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4, 2023</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1408" w:right="359" w:bottom="1440" w:gutter="0" w:footer="0" w:header="0"/>
        </w:sectPr>
      </w:pPr>
    </w:p>
    <w:p>
      <w:pPr>
        <w:spacing w:after="0" w:line="30"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3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7"/>
          <w:szCs w:val="17"/>
          <w:color w:val="auto"/>
        </w:rPr>
        <w:t>(IRS Employer Identification No.)</w:t>
      </w:r>
    </w:p>
    <w:p>
      <w:pPr>
        <w:spacing w:after="0" w:line="16" w:lineRule="exact"/>
        <w:rPr>
          <w:sz w:val="24"/>
          <w:szCs w:val="24"/>
          <w:color w:val="auto"/>
        </w:rPr>
      </w:pPr>
    </w:p>
    <w:p>
      <w:pPr>
        <w:sectPr>
          <w:pgSz w:w="11900" w:h="16838" w:orient="portrait"/>
          <w:cols w:equalWidth="0" w:num="3">
            <w:col w:w="3900" w:space="720"/>
            <w:col w:w="2540" w:space="720"/>
            <w:col w:w="3340"/>
          </w:cols>
          <w:pgMar w:left="320" w:top="1408" w:right="35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incorporation)</w:t>
      </w:r>
    </w:p>
    <w:p>
      <w:pPr>
        <w:spacing w:after="0" w:line="319"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20"/>
          </w:cols>
          <w:pgMar w:left="320" w:top="1408" w:right="359" w:bottom="1440" w:gutter="0" w:footer="0" w:header="0"/>
          <w:type w:val="continuous"/>
        </w:sect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80" w:firstLine="8"/>
        <w:spacing w:after="0" w:line="553"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100" w:type="dxa"/>
            <w:vAlign w:val="bottom"/>
          </w:tcPr>
          <w:p>
            <w:pPr>
              <w:spacing w:after="0"/>
              <w:rPr>
                <w:sz w:val="20"/>
                <w:szCs w:val="20"/>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380" w:type="dxa"/>
            <w:vAlign w:val="bottom"/>
          </w:tcPr>
          <w:p>
            <w:pPr>
              <w:jc w:val="center"/>
              <w:spacing w:after="0"/>
              <w:rPr>
                <w:sz w:val="20"/>
                <w:szCs w:val="20"/>
                <w:color w:val="auto"/>
              </w:rPr>
            </w:pPr>
            <w:r>
              <w:rPr>
                <w:rFonts w:ascii="Arial" w:cs="Arial" w:eastAsia="Arial" w:hAnsi="Arial"/>
                <w:sz w:val="18"/>
                <w:szCs w:val="18"/>
                <w:color w:val="auto"/>
                <w:w w:val="92"/>
              </w:rPr>
              <w:t>Common Units</w:t>
            </w:r>
          </w:p>
        </w:tc>
        <w:tc>
          <w:tcPr>
            <w:tcW w:w="120" w:type="dxa"/>
            <w:vAlign w:val="bottom"/>
          </w:tcPr>
          <w:p>
            <w:pPr>
              <w:spacing w:after="0"/>
              <w:rPr>
                <w:sz w:val="19"/>
                <w:szCs w:val="19"/>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4"/>
              </w:rPr>
              <w:t>PAA</w:t>
            </w:r>
          </w:p>
        </w:tc>
        <w:tc>
          <w:tcPr>
            <w:tcW w:w="100" w:type="dxa"/>
            <w:vAlign w:val="bottom"/>
          </w:tcPr>
          <w:p>
            <w:pPr>
              <w:spacing w:after="0"/>
              <w:rPr>
                <w:sz w:val="19"/>
                <w:szCs w:val="19"/>
                <w:color w:val="auto"/>
              </w:rPr>
            </w:pPr>
          </w:p>
        </w:tc>
        <w:tc>
          <w:tcPr>
            <w:tcW w:w="4200" w:type="dxa"/>
            <w:vAlign w:val="bottom"/>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322"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03" w:lineRule="exact"/>
        <w:rPr>
          <w:sz w:val="24"/>
          <w:szCs w:val="24"/>
          <w:color w:val="auto"/>
        </w:rPr>
      </w:pPr>
    </w:p>
    <w:p>
      <w:pPr>
        <w:ind w:right="220"/>
        <w:spacing w:after="0" w:line="23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154305</wp:posOffset>
            </wp:positionV>
            <wp:extent cx="7098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213995</wp:posOffset>
            </wp:positionV>
            <wp:extent cx="70980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firstLine="180"/>
        <w:spacing w:after="0" w:line="257" w:lineRule="auto"/>
        <w:rPr>
          <w:sz w:val="20"/>
          <w:szCs w:val="20"/>
          <w:color w:val="auto"/>
        </w:rPr>
      </w:pPr>
      <w:r>
        <w:rPr>
          <w:rFonts w:ascii="Arial" w:cs="Arial" w:eastAsia="Arial" w:hAnsi="Arial"/>
          <w:sz w:val="18"/>
          <w:szCs w:val="18"/>
          <w:color w:val="auto"/>
        </w:rPr>
        <w:t>On August 4, 2023, the Registrant issued a press release reporting its second-quarter 2023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8"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840" w:type="dxa"/>
            <w:vAlign w:val="bottom"/>
            <w:vMerge w:val="restart"/>
          </w:tcPr>
          <w:p>
            <w:pPr>
              <w:ind w:left="7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3"/>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Number</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120" w:type="dxa"/>
            <w:vAlign w:val="bottom"/>
          </w:tcPr>
          <w:p>
            <w:pPr>
              <w:jc w:val="center"/>
              <w:spacing w:after="0" w:line="185" w:lineRule="exact"/>
              <w:rPr>
                <w:sz w:val="20"/>
                <w:szCs w:val="20"/>
                <w:color w:val="auto"/>
              </w:rPr>
            </w:pPr>
            <w:r>
              <w:rPr>
                <w:rFonts w:ascii="Arial" w:cs="Arial" w:eastAsia="Arial" w:hAnsi="Arial"/>
                <w:sz w:val="18"/>
                <w:szCs w:val="18"/>
                <w:color w:val="auto"/>
                <w:w w:val="91"/>
              </w:rPr>
              <w:t>99.1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60" w:type="dxa"/>
            <w:vAlign w:val="bottom"/>
            <w:tcBorders>
              <w:bottom w:val="single" w:sz="8" w:color="0000FF"/>
            </w:tcBorders>
          </w:tcPr>
          <w:p>
            <w:pPr>
              <w:spacing w:after="0" w:line="185" w:lineRule="exact"/>
              <w:rPr>
                <w:sz w:val="20"/>
                <w:szCs w:val="20"/>
                <w:color w:val="auto"/>
              </w:rPr>
            </w:pPr>
            <w:r>
              <w:rPr>
                <w:rFonts w:ascii="Arial" w:cs="Arial" w:eastAsia="Arial" w:hAnsi="Arial"/>
                <w:sz w:val="18"/>
                <w:szCs w:val="18"/>
                <w:color w:val="0000FF"/>
                <w:w w:val="86"/>
              </w:rPr>
              <w:t>Press Release dated August 4, 2023</w:t>
            </w:r>
          </w:p>
        </w:tc>
        <w:tc>
          <w:tcPr>
            <w:tcW w:w="4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900" w:hanging="821"/>
        <w:spacing w:after="0"/>
        <w:tabs>
          <w:tab w:leader="none" w:pos="1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ind w:left="5040"/>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8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PLAINS ALL AMERICAN PIPELINE, L.P.</w:t>
      </w:r>
    </w:p>
    <w:p>
      <w:pPr>
        <w:spacing w:after="0" w:line="293"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PAA GP LLC, its general partner</w:t>
      </w:r>
    </w:p>
    <w:p>
      <w:pPr>
        <w:spacing w:after="0" w:line="306"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Plains AAP, L.P., its sole member</w:t>
      </w:r>
    </w:p>
    <w:p>
      <w:pPr>
        <w:spacing w:after="0" w:line="293"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Plains All American GP LLC, its general partner</w:t>
      </w:r>
    </w:p>
    <w:p>
      <w:pPr>
        <w:spacing w:after="0" w:line="293" w:lineRule="exact"/>
        <w:rPr>
          <w:sz w:val="20"/>
          <w:szCs w:val="20"/>
          <w:color w:val="auto"/>
        </w:rPr>
      </w:pPr>
    </w:p>
    <w:p>
      <w:pPr>
        <w:ind w:left="20"/>
        <w:spacing w:after="0"/>
        <w:tabs>
          <w:tab w:leader="none" w:pos="4500" w:val="left"/>
          <w:tab w:leader="none" w:pos="498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Sharon Spurlin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23495</wp:posOffset>
            </wp:positionV>
            <wp:extent cx="3960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30" w:lineRule="exact"/>
        <w:rPr>
          <w:sz w:val="20"/>
          <w:szCs w:val="20"/>
          <w:color w:val="auto"/>
        </w:rPr>
      </w:pPr>
    </w:p>
    <w:p>
      <w:pPr>
        <w:ind w:left="5000"/>
        <w:spacing w:after="0"/>
        <w:tabs>
          <w:tab w:leader="none" w:pos="5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Sharon Spurlin</w:t>
      </w:r>
    </w:p>
    <w:p>
      <w:pPr>
        <w:spacing w:after="0" w:line="23" w:lineRule="exact"/>
        <w:rPr>
          <w:sz w:val="20"/>
          <w:szCs w:val="20"/>
          <w:color w:val="auto"/>
        </w:rPr>
      </w:pPr>
    </w:p>
    <w:p>
      <w:pPr>
        <w:ind w:left="5000"/>
        <w:spacing w:after="0"/>
        <w:tabs>
          <w:tab w:leader="none" w:pos="5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20"/>
          </w:cols>
          <w:pgMar w:left="320" w:top="985"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291465</wp:posOffset>
            </wp:positionV>
            <wp:extent cx="4946650" cy="780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4665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Plains All American Reports Second-Quarter 2023 Results and Provides Updated 2023 Guidance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Announces Permian Bolt-On Acquisition and NGL Segment Updates</w:t>
      </w:r>
    </w:p>
    <w:p>
      <w:pPr>
        <w:spacing w:after="0" w:line="2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Houston, TX – August 4, 2023 – Plains All American Pipeline, L.P. (Nasdaq: </w:t>
      </w:r>
      <w:r>
        <w:rPr>
          <w:rFonts w:ascii="Arial" w:cs="Arial" w:eastAsia="Arial" w:hAnsi="Arial"/>
          <w:sz w:val="18"/>
          <w:szCs w:val="18"/>
          <w:color w:val="0000FF"/>
        </w:rPr>
        <w:t>PAA</w:t>
      </w:r>
      <w:r>
        <w:rPr>
          <w:rFonts w:ascii="Arial" w:cs="Arial" w:eastAsia="Arial" w:hAnsi="Arial"/>
          <w:sz w:val="18"/>
          <w:szCs w:val="18"/>
          <w:color w:val="auto"/>
        </w:rPr>
        <w:t xml:space="preserve">) and Plains GP Holdings (Nasdaq: </w:t>
      </w:r>
      <w:r>
        <w:rPr>
          <w:rFonts w:ascii="Arial" w:cs="Arial" w:eastAsia="Arial" w:hAnsi="Arial"/>
          <w:sz w:val="18"/>
          <w:szCs w:val="18"/>
          <w:color w:val="0000FF"/>
        </w:rPr>
        <w:t>PAGP</w:t>
      </w:r>
      <w:r>
        <w:rPr>
          <w:rFonts w:ascii="Arial" w:cs="Arial" w:eastAsia="Arial" w:hAnsi="Arial"/>
          <w:sz w:val="18"/>
          <w:szCs w:val="18"/>
          <w:color w:val="auto"/>
        </w:rPr>
        <w:t>) today reported second-quarter 2023 results and provided updated 2023 guidance as highlighted below. Plains also announced a bolt-on acquisition in the Permian and provided updates regarding its NGL segment.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Second-Quarter Results</w:t>
      </w:r>
    </w:p>
    <w:p>
      <w:pPr>
        <w:spacing w:after="0" w:line="12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Net income attributable to PAA of $293 million &amp; Net cash provided by operating activities of $888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strong results with Adjusted EBITDA attributable to PAA of $597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Permian Bolt-on Acquisition</w:t>
      </w:r>
    </w:p>
    <w:p>
      <w:pPr>
        <w:spacing w:after="0" w:line="121" w:lineRule="exact"/>
        <w:rPr>
          <w:sz w:val="20"/>
          <w:szCs w:val="20"/>
          <w:color w:val="auto"/>
        </w:rPr>
      </w:pPr>
    </w:p>
    <w:p>
      <w:pPr>
        <w:ind w:left="660" w:right="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subsidiary of Plains Oryx Permian Basin LLC acquired Diamondback Energy’s 43% interest in OMOG JV LLC for approximately $225 million ($145 million net to PAA’s interest), which closed on July 28th.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NGL Segment Updates</w:t>
      </w:r>
    </w:p>
    <w:p>
      <w:pPr>
        <w:spacing w:after="0" w:line="121" w:lineRule="exact"/>
        <w:rPr>
          <w:sz w:val="20"/>
          <w:szCs w:val="20"/>
          <w:color w:val="auto"/>
        </w:rPr>
      </w:pPr>
    </w:p>
    <w:p>
      <w:pPr>
        <w:ind w:left="660" w:right="2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Sanctioned Plains Fort Saskatchewan (PFS) Train 1 debottlenecking project (~30 Mb/d of additional capacity) and additional connectivity projects to both Co-Ed Pipeline &amp; Fort Sask complex. Substantially increased weighted average contract tenor to approximately 10-years across Fort Sask fractionation capacity and Co-Ed Pipeline.</w:t>
      </w:r>
    </w:p>
    <w:p>
      <w:pPr>
        <w:spacing w:after="0" w:line="21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 sanctioned projects and new contracts on existing assets to largely offset a third-party NGL supply agreement expiring year-end 2024, that reduces frac spread exposed volumes by ~15 Mb/d.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Guidance Update</w:t>
      </w:r>
    </w:p>
    <w:p>
      <w:pPr>
        <w:spacing w:after="0" w:line="121" w:lineRule="exact"/>
        <w:rPr>
          <w:sz w:val="20"/>
          <w:szCs w:val="20"/>
          <w:color w:val="auto"/>
        </w:rPr>
      </w:pPr>
    </w:p>
    <w:p>
      <w:pPr>
        <w:ind w:left="660" w:right="4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 to be at the high end of our guidance range of $2.45 - $2.55 billion Adjusted EBITDA attributable to PAA for full-year 2023; year-end 2023 leverage now expected to be &lt;3.5x.</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2023 investment and maintenance capital guidance of $325 million and $195 million respectively, net to PAA (inclusive of sanctioned NGL project); demonstrating a continued focus on capital discipline.</w:t>
      </w:r>
    </w:p>
    <w:p>
      <w:pPr>
        <w:spacing w:after="0" w:line="197"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Free cash flow generation remains robust with approximately $1.6 billion of Free Cash Flow expected in 2023, while meaningfully increasing returns of capital to equity holders and further reducing absolute debt.</w:t>
      </w:r>
    </w:p>
    <w:p>
      <w:pPr>
        <w:spacing w:after="0" w:line="19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team remains focused on execution while continuing to identify and progress capital efficient growth opportunities; as a result, we expect to be at the high-end of our 2023 EBITDA guidance range,” said Willie Chiang, Chairman &amp; CEO of Plains. “We announced multiple strategic actions this quarter including a bolt-on acquisition in the Permian that will complement our existing geographic footprint. Additionally, we took steps to improve the long-term durability and quality of our cash flow stream in the NGL segment by sanctioning the debottlenecking project at our Fort Sask complex and extending the duration of our contracts across our NGL portfolio. This will help offset commodity exposed NGL contracts that are expiring at the end of next year and should result in increased contribution from the more stable fee-based part of our business. These actions align with our ongoing goals of remaining capital disciplined, generating multi-year Free Cash Flow, reducing leverage and increasing returns of capital to our unitholders.”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gridSpan w:val="2"/>
            <w:vMerge w:val="restart"/>
          </w:tcPr>
          <w:p>
            <w:pPr>
              <w:jc w:val="center"/>
              <w:ind w:left="1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4"/>
          </w:tcPr>
          <w:p>
            <w:pPr>
              <w:jc w:val="center"/>
              <w:ind w:right="113"/>
              <w:spacing w:after="0"/>
              <w:rPr>
                <w:sz w:val="20"/>
                <w:szCs w:val="20"/>
                <w:color w:val="auto"/>
              </w:rPr>
            </w:pPr>
            <w:r>
              <w:rPr>
                <w:rFonts w:ascii="Arial" w:cs="Arial" w:eastAsia="Arial" w:hAnsi="Arial"/>
                <w:sz w:val="14"/>
                <w:szCs w:val="14"/>
                <w:b w:val="1"/>
                <w:bCs w:val="1"/>
                <w:color w:val="auto"/>
                <w:w w:val="93"/>
              </w:rPr>
              <w:t>Six Months Ended</w:t>
            </w:r>
          </w:p>
        </w:tc>
        <w:tc>
          <w:tcPr>
            <w:tcW w:w="1000" w:type="dxa"/>
            <w:vAlign w:val="bottom"/>
            <w:gridSpan w:val="2"/>
            <w:vMerge w:val="restart"/>
          </w:tcPr>
          <w:p>
            <w:pPr>
              <w:jc w:val="center"/>
              <w:ind w:left="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336"/>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GAAP Results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30"/>
        </w:trPr>
        <w:tc>
          <w:tcPr>
            <w:tcW w:w="5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PAA</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37"/>
        </w:trPr>
        <w:tc>
          <w:tcPr>
            <w:tcW w:w="5120" w:type="dxa"/>
            <w:vAlign w:val="bottom"/>
            <w:gridSpan w:val="3"/>
          </w:tcPr>
          <w:p>
            <w:pPr>
              <w:ind w:left="20"/>
              <w:spacing w:after="0"/>
              <w:rPr>
                <w:sz w:val="20"/>
                <w:szCs w:val="20"/>
                <w:color w:val="auto"/>
              </w:rPr>
            </w:pPr>
            <w:r>
              <w:rPr>
                <w:rFonts w:ascii="Arial" w:cs="Arial" w:eastAsia="Arial" w:hAnsi="Arial"/>
                <w:sz w:val="18"/>
                <w:szCs w:val="18"/>
                <w:color w:val="auto"/>
              </w:rPr>
              <w:t>Diluted net income per common unit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0.32</w:t>
            </w:r>
          </w:p>
        </w:tc>
        <w:tc>
          <w:tcPr>
            <w:tcW w:w="3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0.84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0.41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36"/>
        </w:trPr>
        <w:tc>
          <w:tcPr>
            <w:tcW w:w="5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120" w:type="dxa"/>
            <w:vAlign w:val="bottom"/>
            <w:gridSpan w:val="3"/>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888</w:t>
            </w:r>
          </w:p>
        </w:tc>
        <w:tc>
          <w:tcPr>
            <w:tcW w:w="3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1,631</w:t>
            </w:r>
          </w:p>
        </w:tc>
        <w:tc>
          <w:tcPr>
            <w:tcW w:w="360" w:type="dxa"/>
            <w:vAlign w:val="bottom"/>
            <w:gridSpan w:val="2"/>
          </w:tcPr>
          <w:p>
            <w:pPr>
              <w:jc w:val="right"/>
              <w:ind w:right="7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1,132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43"/>
        </w:trPr>
        <w:tc>
          <w:tcPr>
            <w:tcW w:w="5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Distribution per common unit declared for the period</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0.2675</w:t>
            </w:r>
          </w:p>
        </w:tc>
        <w:tc>
          <w:tcPr>
            <w:tcW w:w="3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0.2175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0.5350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0.4350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598"/>
        </w:trPr>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gridSpan w:val="2"/>
            <w:vMerge w:val="restart"/>
          </w:tcPr>
          <w:p>
            <w:pPr>
              <w:jc w:val="center"/>
              <w:ind w:left="3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4"/>
          </w:tcPr>
          <w:p>
            <w:pPr>
              <w:jc w:val="center"/>
              <w:ind w:right="113"/>
              <w:spacing w:after="0"/>
              <w:rPr>
                <w:sz w:val="20"/>
                <w:szCs w:val="20"/>
                <w:color w:val="auto"/>
              </w:rPr>
            </w:pPr>
            <w:r>
              <w:rPr>
                <w:rFonts w:ascii="Arial" w:cs="Arial" w:eastAsia="Arial" w:hAnsi="Arial"/>
                <w:sz w:val="14"/>
                <w:szCs w:val="14"/>
                <w:b w:val="1"/>
                <w:bCs w:val="1"/>
                <w:color w:val="auto"/>
                <w:w w:val="93"/>
              </w:rPr>
              <w:t>Six Months Ended</w:t>
            </w:r>
          </w:p>
        </w:tc>
        <w:tc>
          <w:tcPr>
            <w:tcW w:w="1000" w:type="dxa"/>
            <w:vAlign w:val="bottom"/>
            <w:gridSpan w:val="2"/>
            <w:vMerge w:val="restart"/>
          </w:tcPr>
          <w:p>
            <w:pPr>
              <w:jc w:val="center"/>
              <w:ind w:left="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center"/>
              <w:ind w:left="336"/>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6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 xml:space="preserve">Non-GAAP Results </w:t>
            </w:r>
            <w:r>
              <w:rPr>
                <w:rFonts w:ascii="Arial" w:cs="Arial" w:eastAsia="Arial" w:hAnsi="Arial"/>
                <w:sz w:val="18"/>
                <w:szCs w:val="18"/>
                <w:b w:val="1"/>
                <w:bCs w:val="1"/>
                <w:i w:val="1"/>
                <w:iCs w:val="1"/>
                <w:color w:val="auto"/>
                <w:vertAlign w:val="superscript"/>
              </w:rPr>
              <w:t>(1)</w:t>
            </w:r>
          </w:p>
        </w:tc>
        <w:tc>
          <w:tcPr>
            <w:tcW w:w="60" w:type="dxa"/>
            <w:vAlign w:val="bottom"/>
            <w:vMerge w:val="restart"/>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gridSpan w:val="2"/>
            <w:vMerge w:val="restart"/>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3"/>
        </w:trPr>
        <w:tc>
          <w:tcPr>
            <w:tcW w:w="5060" w:type="dxa"/>
            <w:vAlign w:val="bottom"/>
            <w:tcBorders>
              <w:bottom w:val="single" w:sz="8" w:color="auto"/>
            </w:tcBorders>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5120" w:type="dxa"/>
            <w:vAlign w:val="bottom"/>
            <w:gridSpan w:val="3"/>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0.25</w:t>
            </w:r>
          </w:p>
        </w:tc>
        <w:tc>
          <w:tcPr>
            <w:tcW w:w="38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5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5120" w:type="dxa"/>
            <w:vAlign w:val="bottom"/>
            <w:gridSpan w:val="3"/>
          </w:tcPr>
          <w:p>
            <w:pPr>
              <w:ind w:left="20"/>
              <w:spacing w:after="0" w:line="243" w:lineRule="exact"/>
              <w:rPr>
                <w:sz w:val="20"/>
                <w:szCs w:val="20"/>
                <w:color w:val="auto"/>
              </w:rPr>
            </w:pPr>
            <w:r>
              <w:rPr>
                <w:rFonts w:ascii="Arial" w:cs="Arial" w:eastAsia="Arial" w:hAnsi="Arial"/>
                <w:sz w:val="18"/>
                <w:szCs w:val="18"/>
                <w:color w:val="auto"/>
              </w:rPr>
              <w:t xml:space="preserve">Adjusted EBITDA attributable to PAA </w:t>
            </w:r>
            <w:r>
              <w:rPr>
                <w:rFonts w:ascii="Arial" w:cs="Arial" w:eastAsia="Arial" w:hAnsi="Arial"/>
                <w:sz w:val="23"/>
                <w:szCs w:val="23"/>
                <w:color w:val="auto"/>
                <w:vertAlign w:val="superscript"/>
              </w:rPr>
              <w:t>(2)</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597</w:t>
            </w:r>
          </w:p>
        </w:tc>
        <w:tc>
          <w:tcPr>
            <w:tcW w:w="38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1,312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1,228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5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unit equivalent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3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5120" w:type="dxa"/>
            <w:vAlign w:val="bottom"/>
            <w:gridSpan w:val="3"/>
          </w:tcPr>
          <w:p>
            <w:pPr>
              <w:ind w:left="20"/>
              <w:spacing w:after="0"/>
              <w:rPr>
                <w:sz w:val="20"/>
                <w:szCs w:val="20"/>
                <w:color w:val="auto"/>
              </w:rPr>
            </w:pPr>
            <w:r>
              <w:rPr>
                <w:rFonts w:ascii="Arial" w:cs="Arial" w:eastAsia="Arial" w:hAnsi="Arial"/>
                <w:sz w:val="18"/>
                <w:szCs w:val="18"/>
                <w:color w:val="auto"/>
              </w:rPr>
              <w:t>Free Cash Flow</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650</w:t>
            </w:r>
          </w:p>
        </w:tc>
        <w:tc>
          <w:tcPr>
            <w:tcW w:w="38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1,474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43"/>
        </w:trPr>
        <w:tc>
          <w:tcPr>
            <w:tcW w:w="5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Free Cash Flow after Distributions</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3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4599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63" w:lineRule="exact"/>
        <w:rPr>
          <w:sz w:val="20"/>
          <w:szCs w:val="20"/>
          <w:color w:val="auto"/>
        </w:rPr>
      </w:pPr>
    </w:p>
    <w:p>
      <w:pPr>
        <w:ind w:left="340" w:hanging="332"/>
        <w:spacing w:after="0" w:line="269" w:lineRule="auto"/>
        <w:tabs>
          <w:tab w:leader="none" w:pos="34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18" w:lineRule="exact"/>
        <w:rPr>
          <w:rFonts w:ascii="Arial" w:cs="Arial" w:eastAsia="Arial" w:hAnsi="Arial"/>
          <w:sz w:val="21"/>
          <w:szCs w:val="21"/>
          <w:color w:val="auto"/>
          <w:vertAlign w:val="superscript"/>
        </w:rPr>
      </w:pPr>
    </w:p>
    <w:p>
      <w:pPr>
        <w:ind w:left="340" w:right="420" w:hanging="332"/>
        <w:spacing w:after="0" w:line="227" w:lineRule="auto"/>
        <w:tabs>
          <w:tab w:leader="none" w:pos="3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Excludes amounts attributable to noncontrolling interests in the Plains Oryx Permian Basin LLC joint venture, Cactus II Pipeline LLC (beginning November 2022) and Red River Pipeline LLC.</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6"/>
                <w:szCs w:val="16"/>
                <w:b w:val="1"/>
                <w:bCs w:val="1"/>
                <w:color w:val="auto"/>
              </w:rPr>
              <w:t>Segment Adjusted EBITDA</w:t>
            </w:r>
          </w:p>
        </w:tc>
      </w:tr>
      <w:tr>
        <w:trPr>
          <w:trHeight w:val="210"/>
        </w:trPr>
        <w:tc>
          <w:tcPr>
            <w:tcW w:w="7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Crude Oil</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NGL</w:t>
            </w:r>
          </w:p>
        </w:tc>
      </w:tr>
      <w:tr>
        <w:trPr>
          <w:trHeight w:val="24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2023</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62</w:t>
            </w:r>
          </w:p>
        </w:tc>
      </w:tr>
      <w:tr>
        <w:trPr>
          <w:trHeight w:val="20"/>
        </w:trPr>
        <w:tc>
          <w:tcPr>
            <w:tcW w:w="7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8"/>
                <w:szCs w:val="18"/>
                <w:color w:val="auto"/>
              </w:rPr>
              <w:t>Three Months Ended June 30, 2022</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120</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1"/>
        </w:trPr>
        <w:tc>
          <w:tcPr>
            <w:tcW w:w="78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i w:val="1"/>
                <w:iCs w:val="1"/>
                <w:color w:val="auto"/>
              </w:rPr>
              <w:t>Percentage change in Segment Adjusted EBITDA versus 2022 period</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7 %</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(48)%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30"/>
        </w:trPr>
        <w:tc>
          <w:tcPr>
            <w:tcW w:w="78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6"/>
                <w:szCs w:val="16"/>
                <w:b w:val="1"/>
                <w:bCs w:val="1"/>
                <w:color w:val="auto"/>
              </w:rPr>
              <w:t>Segment Adjusted EBITDA</w:t>
            </w:r>
          </w:p>
        </w:tc>
      </w:tr>
      <w:tr>
        <w:trPr>
          <w:trHeight w:val="210"/>
        </w:trPr>
        <w:tc>
          <w:tcPr>
            <w:tcW w:w="78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Crude Oil</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NGL</w:t>
            </w:r>
          </w:p>
        </w:tc>
      </w:tr>
      <w:tr>
        <w:trPr>
          <w:trHeight w:val="251"/>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Six Months Ended June 30, 2023</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254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217"/>
        </w:trPr>
        <w:tc>
          <w:tcPr>
            <w:tcW w:w="7840" w:type="dxa"/>
            <w:vAlign w:val="bottom"/>
          </w:tcPr>
          <w:p>
            <w:pPr>
              <w:ind w:left="20"/>
              <w:spacing w:after="0"/>
              <w:rPr>
                <w:sz w:val="20"/>
                <w:szCs w:val="20"/>
                <w:color w:val="auto"/>
              </w:rPr>
            </w:pPr>
            <w:r>
              <w:rPr>
                <w:rFonts w:ascii="Arial" w:cs="Arial" w:eastAsia="Arial" w:hAnsi="Arial"/>
                <w:sz w:val="18"/>
                <w:szCs w:val="18"/>
                <w:color w:val="auto"/>
              </w:rPr>
              <w:t>Six Months Ended June 30, 2022</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281</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Percentage change in Segment Adjusted EBITDA versus 2022 period</w:t>
            </w: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Second-quarter 2023 Crude Oil Segment Adjusted EBITDA increased 7% versus comparable 2022 results primarily due to higher tariff volumes across our asset base, tariff escalations and Canadian market-based opportunities. These items were partially offset by the impact of increased operating expenses, minimum volume commitment deficiency payments received in the second quarter of 2022 and lower commodity prices.</w:t>
      </w:r>
    </w:p>
    <w:p>
      <w:pPr>
        <w:spacing w:after="0" w:line="176"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Second-quarter 2023 NGL Segment Adjusted EBITDA decreased 48% versus comparable 2022 results primarily due to lower propane sales volumes, impacted by turnarounds and deferring sales due to market structure, and the absence of weather events that benefited the 2022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56"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and Webcast Instructions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PAA and PAGP will hold a joint conference call at 9:00 a.m. CT on Friday, August 4, 2023 to discuss second-quarter performance and related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access the internet webcast, please go to https://edge.media-server.com/mmc/p/w4wbvvbs.</w:t>
      </w:r>
    </w:p>
    <w:p>
      <w:pPr>
        <w:spacing w:after="0" w:line="252"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Alternatively, the webcast can be accessed on our website (www.plains.com)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Slides will be posted prior to the call at the above referenced website.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171"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Free Cash Flow and Free Cash Flow after Distributions.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00" w:lineRule="exact"/>
        <w:rPr>
          <w:sz w:val="20"/>
          <w:szCs w:val="20"/>
          <w:color w:val="auto"/>
        </w:rPr>
      </w:pPr>
    </w:p>
    <w:p>
      <w:pPr>
        <w:spacing w:after="0" w:line="24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Adjusted EBITDA is defined as earnings before interest, taxes, depreciation and amortization (including our proportionate share of depreciation and amortization, including write-downs related to cancelled projects and impairments, of unconsolidated entities), gains and losses on asset sales and asset impairments, goodwill impairment losses and gains or losses on and impairments of investments in unconsolidated entities, adjusted for certain selected items impacting comparability. 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Free Cash Flow and Free Cash Flow after Distributions are reconciled to Net Cash Provided by Operating Activities (the most directly comparable measures as reported in accordance with GAAP) for the historical periods presented in the tables attached to this release, and should be viewed in addition to, and not in lieu of, our Condensed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Non-GAAP Financial Performance Measures</w:t>
      </w:r>
    </w:p>
    <w:p>
      <w:pPr>
        <w:spacing w:after="0" w:line="13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0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Non-GAAP Financial Liquidity Measures</w:t>
      </w:r>
    </w:p>
    <w:p>
      <w:pPr>
        <w:spacing w:after="0" w:line="13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Management also uses the non-GAAP financial liquidity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Free Cash Flow is further reduced by cash distributions paid to our preferred and common unitholders to arrive at Free Cash Flow after Distributions.</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00"/>
          </w:cols>
          <w:pgMar w:left="320" w:top="368"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23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20" w:type="dxa"/>
            <w:vAlign w:val="bottom"/>
            <w:gridSpan w:val="4"/>
          </w:tcPr>
          <w:p>
            <w:pPr>
              <w:jc w:val="center"/>
              <w:ind w:right="251"/>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16,359</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23,943</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30,053</w:t>
            </w:r>
          </w:p>
        </w:tc>
        <w:tc>
          <w:tcPr>
            <w:tcW w:w="2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28,109</w:t>
            </w:r>
          </w:p>
        </w:tc>
        <w:tc>
          <w:tcPr>
            <w:tcW w:w="20" w:type="dxa"/>
            <w:vAlign w:val="bottom"/>
          </w:tcPr>
          <w:p>
            <w:pPr>
              <w:spacing w:after="0"/>
              <w:rPr>
                <w:sz w:val="20"/>
                <w:szCs w:val="20"/>
                <w:color w:val="auto"/>
              </w:rPr>
            </w:pPr>
          </w:p>
        </w:tc>
      </w:tr>
      <w:tr>
        <w:trPr>
          <w:trHeight w:val="236"/>
        </w:trPr>
        <w:tc>
          <w:tcPr>
            <w:tcW w:w="2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9"/>
                <w:szCs w:val="19"/>
                <w:color w:val="auto"/>
              </w:rPr>
            </w:pPr>
          </w:p>
        </w:tc>
      </w:tr>
      <w:tr>
        <w:trPr>
          <w:trHeight w:val="243"/>
        </w:trPr>
        <w:tc>
          <w:tcPr>
            <w:tcW w:w="20" w:type="dxa"/>
            <w:vAlign w:val="bottom"/>
            <w:shd w:val="clear" w:color="auto" w:fill="CCEEFF"/>
          </w:tcPr>
          <w:p>
            <w:pPr>
              <w:spacing w:after="0"/>
              <w:rPr>
                <w:sz w:val="21"/>
                <w:szCs w:val="21"/>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(Gains)/losses on asset sales and asset impairments, net</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29,349</w:t>
            </w:r>
          </w:p>
        </w:tc>
        <w:tc>
          <w:tcPr>
            <w:tcW w:w="2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20"/>
                <w:szCs w:val="20"/>
                <w:color w:val="auto"/>
              </w:rPr>
            </w:pPr>
          </w:p>
        </w:tc>
      </w:tr>
      <w:tr>
        <w:trPr>
          <w:trHeight w:val="236"/>
        </w:trPr>
        <w:tc>
          <w:tcPr>
            <w:tcW w:w="2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 w:type="dxa"/>
            <w:vAlign w:val="bottom"/>
            <w:tcBorders>
              <w:bottom w:val="single" w:sz="8" w:color="auto"/>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47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INCOME BEFORE TAX</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544</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9"/>
                <w:szCs w:val="19"/>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expense</w:t>
            </w:r>
          </w:p>
        </w:tc>
        <w:tc>
          <w:tcPr>
            <w:tcW w:w="42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tcPr>
          <w:p>
            <w:pPr>
              <w:spacing w:after="0"/>
              <w:rPr>
                <w:sz w:val="21"/>
                <w:szCs w:val="21"/>
                <w:color w:val="auto"/>
              </w:rPr>
            </w:pPr>
          </w:p>
        </w:tc>
      </w:tr>
      <w:tr>
        <w:trPr>
          <w:trHeight w:val="237"/>
        </w:trPr>
        <w:tc>
          <w:tcPr>
            <w:tcW w:w="2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476</w:t>
            </w:r>
          </w:p>
        </w:tc>
        <w:tc>
          <w:tcPr>
            <w:tcW w:w="20" w:type="dxa"/>
            <w:vAlign w:val="bottom"/>
          </w:tcPr>
          <w:p>
            <w:pPr>
              <w:spacing w:after="0"/>
              <w:rPr>
                <w:sz w:val="19"/>
                <w:szCs w:val="19"/>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4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auto"/>
            </w:tcBorders>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NET INCOME ATTRIBUTABLE TO PAA</w:t>
            </w:r>
          </w:p>
        </w:tc>
        <w:tc>
          <w:tcPr>
            <w:tcW w:w="420" w:type="dxa"/>
            <w:vAlign w:val="bottom"/>
          </w:tcPr>
          <w:p>
            <w:pPr>
              <w:spacing w:after="0"/>
              <w:rPr>
                <w:sz w:val="20"/>
                <w:szCs w:val="20"/>
                <w:color w:val="auto"/>
              </w:rPr>
            </w:pP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293</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203</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715</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20"/>
                <w:szCs w:val="20"/>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NET INCOME PER COMMON UNIT:</w:t>
            </w: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20" w:type="dxa"/>
            <w:vAlign w:val="bottom"/>
            <w:shd w:val="clear" w:color="auto" w:fill="CCEEFF"/>
          </w:tcPr>
          <w:p>
            <w:pPr>
              <w:spacing w:after="0"/>
              <w:rPr>
                <w:sz w:val="20"/>
                <w:szCs w:val="20"/>
                <w:color w:val="auto"/>
              </w:rPr>
            </w:pPr>
          </w:p>
        </w:tc>
        <w:tc>
          <w:tcPr>
            <w:tcW w:w="5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Net income allocated to common unitholders — Basic and Diluted</w:t>
            </w:r>
          </w:p>
        </w:tc>
        <w:tc>
          <w:tcPr>
            <w:tcW w:w="1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w w:val="91"/>
              </w:rPr>
              <w:t>Basic and diluted weighted average common units outstanding</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19"/>
                <w:szCs w:val="19"/>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and diluted net income per common unit</w:t>
            </w:r>
          </w:p>
        </w:tc>
        <w:tc>
          <w:tcPr>
            <w:tcW w:w="4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63"/>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gridSpan w:val="2"/>
          </w:tcPr>
          <w:p>
            <w:pPr>
              <w:jc w:val="right"/>
              <w:ind w:right="550"/>
              <w:spacing w:after="0"/>
              <w:rPr>
                <w:sz w:val="20"/>
                <w:szCs w:val="20"/>
                <w:color w:val="auto"/>
              </w:rPr>
            </w:pPr>
            <w:r>
              <w:rPr>
                <w:rFonts w:ascii="Arial" w:cs="Arial" w:eastAsia="Arial" w:hAnsi="Arial"/>
                <w:sz w:val="18"/>
                <w:szCs w:val="18"/>
                <w:color w:val="auto"/>
              </w:rPr>
              <w:t>- more -</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3"/>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gridSpan w:val="6"/>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331"/>
        </w:trPr>
        <w:tc>
          <w:tcPr>
            <w:tcW w:w="20" w:type="dxa"/>
            <w:vAlign w:val="bottom"/>
          </w:tcPr>
          <w:p>
            <w:pPr>
              <w:spacing w:after="0"/>
              <w:rPr>
                <w:sz w:val="24"/>
                <w:szCs w:val="24"/>
                <w:color w:val="auto"/>
              </w:rPr>
            </w:pPr>
          </w:p>
        </w:tc>
        <w:tc>
          <w:tcPr>
            <w:tcW w:w="4700" w:type="dxa"/>
            <w:vAlign w:val="bottom"/>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18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9"/>
              </w:rPr>
              <w:t>Houston, Texas 77002</w:t>
            </w:r>
          </w:p>
        </w:tc>
        <w:tc>
          <w:tcPr>
            <w:tcW w:w="840" w:type="dxa"/>
            <w:vAlign w:val="bottom"/>
          </w:tcPr>
          <w:p>
            <w:pPr>
              <w:spacing w:after="0"/>
              <w:rPr>
                <w:sz w:val="24"/>
                <w:szCs w:val="24"/>
                <w:color w:val="auto"/>
              </w:rPr>
            </w:pPr>
          </w:p>
        </w:tc>
        <w:tc>
          <w:tcPr>
            <w:tcW w:w="2560" w:type="dxa"/>
            <w:vAlign w:val="bottom"/>
            <w:gridSpan w:val="6"/>
          </w:tcPr>
          <w:p>
            <w:pPr>
              <w:ind w:left="100"/>
              <w:spacing w:after="0"/>
              <w:rPr>
                <w:sz w:val="20"/>
                <w:szCs w:val="20"/>
                <w:color w:val="auto"/>
              </w:rPr>
            </w:pPr>
            <w:r>
              <w:rPr>
                <w:rFonts w:ascii="Arial" w:cs="Arial" w:eastAsia="Arial" w:hAnsi="Arial"/>
                <w:sz w:val="18"/>
                <w:szCs w:val="18"/>
                <w:b w:val="1"/>
                <w:bCs w:val="1"/>
                <w:color w:val="auto"/>
              </w:rPr>
              <w:t>713-646-4100 / 866-809-1291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23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5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3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40" w:type="dxa"/>
            <w:vAlign w:val="bottom"/>
            <w:gridSpan w:val="3"/>
          </w:tcPr>
          <w:p>
            <w:pPr>
              <w:ind w:left="20"/>
              <w:spacing w:after="0"/>
              <w:rPr>
                <w:sz w:val="20"/>
                <w:szCs w:val="20"/>
                <w:color w:val="auto"/>
              </w:rPr>
            </w:pPr>
            <w:r>
              <w:rPr>
                <w:rFonts w:ascii="Arial" w:cs="Arial" w:eastAsia="Arial" w:hAnsi="Arial"/>
                <w:sz w:val="18"/>
                <w:szCs w:val="18"/>
                <w:color w:val="auto"/>
              </w:rPr>
              <w:t>Current assets (including Cash and cash equivalents of $933 and $401, respectively)</w:t>
            </w:r>
          </w:p>
        </w:tc>
        <w:tc>
          <w:tcPr>
            <w:tcW w:w="18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3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3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Linefill</w:t>
            </w:r>
          </w:p>
        </w:tc>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operating lease right-of-use assets, net</w:t>
            </w:r>
          </w:p>
        </w:tc>
        <w:tc>
          <w:tcPr>
            <w:tcW w:w="23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Long-term inventory</w:t>
            </w:r>
          </w:p>
        </w:tc>
        <w:tc>
          <w:tcPr>
            <w:tcW w:w="2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3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PARTNERS’ CAPITAL</w:t>
            </w:r>
          </w:p>
        </w:tc>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34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Senior notes, net</w:t>
            </w:r>
          </w:p>
        </w:tc>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debt, net</w:t>
            </w:r>
          </w:p>
        </w:tc>
        <w:tc>
          <w:tcPr>
            <w:tcW w:w="23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Long-term operating lease liabilities</w:t>
            </w:r>
          </w:p>
        </w:tc>
        <w:tc>
          <w:tcPr>
            <w:tcW w:w="2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 and deferred credits</w:t>
            </w:r>
          </w:p>
        </w:tc>
        <w:tc>
          <w:tcPr>
            <w:tcW w:w="23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14,567</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0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Partners’ capital excluding noncontrolling interests</w:t>
            </w:r>
          </w:p>
        </w:tc>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3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partners’ capital</w:t>
            </w:r>
          </w:p>
        </w:tc>
        <w:tc>
          <w:tcPr>
            <w:tcW w:w="234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23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2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720" w:type="dxa"/>
            <w:vAlign w:val="bottom"/>
            <w:gridSpan w:val="3"/>
            <w:vMerge w:val="continue"/>
          </w:tcPr>
          <w:p>
            <w:pPr>
              <w:spacing w:after="0"/>
              <w:rPr>
                <w:sz w:val="24"/>
                <w:szCs w:val="24"/>
                <w:color w:val="auto"/>
              </w:rPr>
            </w:pPr>
          </w:p>
        </w:tc>
        <w:tc>
          <w:tcPr>
            <w:tcW w:w="2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5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23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 debt</w:t>
            </w:r>
          </w:p>
        </w:tc>
        <w:tc>
          <w:tcPr>
            <w:tcW w:w="2340" w:type="dxa"/>
            <w:vAlign w:val="bottom"/>
            <w:tcBorders>
              <w:bottom w:val="single" w:sz="8" w:color="CCEEFF"/>
            </w:tcBorders>
          </w:tcPr>
          <w:p>
            <w:pPr>
              <w:spacing w:after="0"/>
              <w:rPr>
                <w:sz w:val="21"/>
                <w:szCs w:val="21"/>
                <w:color w:val="auto"/>
              </w:rPr>
            </w:pPr>
          </w:p>
        </w:tc>
        <w:tc>
          <w:tcPr>
            <w:tcW w:w="16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2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3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Partners’ capital excluding noncontrolling interests</w:t>
            </w:r>
          </w:p>
        </w:tc>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99"/>
              </w:rPr>
              <w:t>Total book capitalization excluding noncontrolling interests (“Total book capitalization”)</w:t>
            </w:r>
          </w:p>
        </w:tc>
        <w:tc>
          <w:tcPr>
            <w:tcW w:w="16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Total book capitalization, including short-term debt</w:t>
            </w:r>
          </w:p>
        </w:tc>
        <w:tc>
          <w:tcPr>
            <w:tcW w:w="2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18,376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Long-term debt-to-total book capitalization</w:t>
            </w:r>
          </w:p>
        </w:tc>
        <w:tc>
          <w:tcPr>
            <w:tcW w:w="2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Total debt-to-total book capitalization, including short-term debt</w:t>
            </w:r>
          </w:p>
        </w:tc>
        <w:tc>
          <w:tcPr>
            <w:tcW w:w="23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78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40" w:type="dxa"/>
            <w:vAlign w:val="bottom"/>
          </w:tcPr>
          <w:p>
            <w:pPr>
              <w:jc w:val="center"/>
              <w:ind w:right="430"/>
              <w:spacing w:after="0"/>
              <w:rPr>
                <w:sz w:val="20"/>
                <w:szCs w:val="20"/>
                <w:color w:val="auto"/>
              </w:rPr>
            </w:pPr>
            <w:r>
              <w:rPr>
                <w:rFonts w:ascii="Arial" w:cs="Arial" w:eastAsia="Arial" w:hAnsi="Arial"/>
                <w:sz w:val="18"/>
                <w:szCs w:val="18"/>
                <w:color w:val="auto"/>
                <w:w w:val="91"/>
              </w:rPr>
              <w:t>- more -</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gridSpan w:val="2"/>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gridSpan w:val="3"/>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gridSpan w:val="2"/>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2340" w:type="dxa"/>
            <w:vAlign w:val="bottom"/>
          </w:tcPr>
          <w:p>
            <w:pPr>
              <w:jc w:val="center"/>
              <w:ind w:right="470"/>
              <w:spacing w:after="0"/>
              <w:rPr>
                <w:sz w:val="20"/>
                <w:szCs w:val="20"/>
                <w:color w:val="auto"/>
              </w:rPr>
            </w:pPr>
            <w:r>
              <w:rPr>
                <w:rFonts w:ascii="Arial" w:cs="Arial" w:eastAsia="Arial" w:hAnsi="Arial"/>
                <w:sz w:val="18"/>
                <w:szCs w:val="18"/>
                <w:b w:val="1"/>
                <w:bCs w:val="1"/>
                <w:color w:val="auto"/>
                <w:w w:val="87"/>
              </w:rPr>
              <w:t>Houston, Texas 77002</w:t>
            </w:r>
          </w:p>
        </w:tc>
        <w:tc>
          <w:tcPr>
            <w:tcW w:w="2840" w:type="dxa"/>
            <w:vAlign w:val="bottom"/>
            <w:gridSpan w:val="3"/>
          </w:tcPr>
          <w:p>
            <w:pPr>
              <w:jc w:val="right"/>
              <w:ind w:right="132"/>
              <w:spacing w:after="0"/>
              <w:rPr>
                <w:sz w:val="20"/>
                <w:szCs w:val="20"/>
                <w:color w:val="auto"/>
              </w:rPr>
            </w:pPr>
            <w:r>
              <w:rPr>
                <w:rFonts w:ascii="Arial" w:cs="Arial" w:eastAsia="Arial" w:hAnsi="Arial"/>
                <w:sz w:val="18"/>
                <w:szCs w:val="18"/>
                <w:b w:val="1"/>
                <w:bCs w:val="1"/>
                <w:color w:val="auto"/>
              </w:rPr>
              <w:t>713-646-4100 / 866-809-1291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368"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234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10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32"/>
              <w:spacing w:after="0"/>
              <w:rPr>
                <w:sz w:val="20"/>
                <w:szCs w:val="20"/>
                <w:color w:val="auto"/>
              </w:rPr>
            </w:pPr>
            <w:r>
              <w:rPr>
                <w:rFonts w:ascii="Arial" w:cs="Arial" w:eastAsia="Arial" w:hAnsi="Arial"/>
                <w:sz w:val="14"/>
                <w:szCs w:val="14"/>
                <w:b w:val="1"/>
                <w:bCs w:val="1"/>
                <w:color w:val="auto"/>
              </w:rPr>
              <w:t>2022</w:t>
            </w:r>
          </w:p>
        </w:tc>
      </w:tr>
      <w:tr>
        <w:trPr>
          <w:trHeight w:val="229"/>
        </w:trPr>
        <w:tc>
          <w:tcPr>
            <w:tcW w:w="20" w:type="dxa"/>
            <w:vAlign w:val="bottom"/>
          </w:tcPr>
          <w:p>
            <w:pPr>
              <w:spacing w:after="0"/>
              <w:rPr>
                <w:sz w:val="19"/>
                <w:szCs w:val="19"/>
                <w:color w:val="auto"/>
              </w:rPr>
            </w:pPr>
          </w:p>
        </w:tc>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 per Common Unit</w:t>
            </w:r>
          </w:p>
        </w:tc>
        <w:tc>
          <w:tcPr>
            <w:tcW w:w="7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40" w:type="dxa"/>
            <w:vAlign w:val="bottom"/>
            <w:gridSpan w:val="2"/>
          </w:tcPr>
          <w:p>
            <w:pPr>
              <w:ind w:left="20"/>
              <w:spacing w:after="0"/>
              <w:rPr>
                <w:sz w:val="20"/>
                <w:szCs w:val="20"/>
                <w:color w:val="auto"/>
              </w:rPr>
            </w:pPr>
            <w:r>
              <w:rPr>
                <w:rFonts w:ascii="Arial" w:cs="Arial" w:eastAsia="Arial" w:hAnsi="Arial"/>
                <w:sz w:val="18"/>
                <w:szCs w:val="18"/>
                <w:color w:val="auto"/>
              </w:rPr>
              <w:t>Net income attributable to PAA</w:t>
            </w:r>
          </w:p>
        </w:tc>
        <w:tc>
          <w:tcPr>
            <w:tcW w:w="780" w:type="dxa"/>
            <w:vAlign w:val="bottom"/>
          </w:tcPr>
          <w:p>
            <w:pPr>
              <w:jc w:val="right"/>
              <w:ind w:right="577"/>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293</w:t>
            </w:r>
          </w:p>
        </w:tc>
        <w:tc>
          <w:tcPr>
            <w:tcW w:w="90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203</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715</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43"/>
        </w:trPr>
        <w:tc>
          <w:tcPr>
            <w:tcW w:w="20" w:type="dxa"/>
            <w:vAlign w:val="bottom"/>
          </w:tcPr>
          <w:p>
            <w:pPr>
              <w:spacing w:after="0"/>
              <w:rPr>
                <w:sz w:val="21"/>
                <w:szCs w:val="21"/>
                <w:color w:val="auto"/>
              </w:rPr>
            </w:pPr>
          </w:p>
        </w:tc>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7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20" w:type="dxa"/>
            <w:vAlign w:val="bottom"/>
          </w:tcPr>
          <w:p>
            <w:pPr>
              <w:spacing w:after="0"/>
              <w:rPr>
                <w:sz w:val="19"/>
                <w:szCs w:val="19"/>
                <w:color w:val="auto"/>
              </w:rPr>
            </w:pPr>
          </w:p>
        </w:tc>
        <w:tc>
          <w:tcPr>
            <w:tcW w:w="6140" w:type="dxa"/>
            <w:vAlign w:val="bottom"/>
            <w:gridSpan w:val="2"/>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20" w:type="dxa"/>
            <w:vAlign w:val="bottom"/>
          </w:tcPr>
          <w:p>
            <w:pPr>
              <w:spacing w:after="0"/>
              <w:rPr>
                <w:sz w:val="19"/>
                <w:szCs w:val="19"/>
                <w:color w:val="auto"/>
              </w:rPr>
            </w:pPr>
          </w:p>
        </w:tc>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allocated to participating securities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20" w:type="dxa"/>
            <w:vAlign w:val="bottom"/>
          </w:tcPr>
          <w:p>
            <w:pPr>
              <w:spacing w:after="0"/>
              <w:rPr>
                <w:sz w:val="21"/>
                <w:szCs w:val="21"/>
                <w:color w:val="auto"/>
              </w:rPr>
            </w:pPr>
          </w:p>
        </w:tc>
        <w:tc>
          <w:tcPr>
            <w:tcW w:w="61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Pr>
          <w:p>
            <w:pPr>
              <w:spacing w:after="0"/>
              <w:rPr>
                <w:sz w:val="21"/>
                <w:szCs w:val="21"/>
                <w:color w:val="auto"/>
              </w:rPr>
            </w:pPr>
          </w:p>
        </w:tc>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allocated to common unitholders</w:t>
            </w:r>
          </w:p>
        </w:tc>
        <w:tc>
          <w:tcPr>
            <w:tcW w:w="780" w:type="dxa"/>
            <w:vAlign w:val="bottom"/>
            <w:tcBorders>
              <w:bottom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61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Basic and diluted weighted average common units outstanding </w:t>
            </w:r>
            <w:r>
              <w:rPr>
                <w:rFonts w:ascii="Arial" w:cs="Arial" w:eastAsia="Arial" w:hAnsi="Arial"/>
                <w:sz w:val="23"/>
                <w:szCs w:val="23"/>
                <w:color w:val="auto"/>
                <w:vertAlign w:val="superscript"/>
              </w:rPr>
              <w:t>(2) (3)</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r>
      <w:tr>
        <w:trPr>
          <w:trHeight w:val="256"/>
        </w:trPr>
        <w:tc>
          <w:tcPr>
            <w:tcW w:w="2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net income per common unit</w:t>
            </w:r>
          </w:p>
        </w:tc>
        <w:tc>
          <w:tcPr>
            <w:tcW w:w="78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0.32</w:t>
            </w:r>
          </w:p>
        </w:tc>
        <w:tc>
          <w:tcPr>
            <w:tcW w:w="90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0.22</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20" w:type="dxa"/>
            <w:vAlign w:val="bottom"/>
            <w:tcBorders>
              <w:bottom w:val="single" w:sz="8" w:color="auto"/>
            </w:tcBorders>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c>
          <w:tcPr>
            <w:tcW w:w="2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134" w:lineRule="exact"/>
        <w:rPr>
          <w:sz w:val="20"/>
          <w:szCs w:val="20"/>
          <w:color w:val="auto"/>
        </w:rPr>
      </w:pPr>
    </w:p>
    <w:p>
      <w:pPr>
        <w:ind w:left="340" w:right="160" w:hanging="332"/>
        <w:spacing w:after="0" w:line="238" w:lineRule="auto"/>
        <w:tabs>
          <w:tab w:leader="none" w:pos="34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39" w:lineRule="exact"/>
        <w:rPr>
          <w:rFonts w:ascii="Arial" w:cs="Arial" w:eastAsia="Arial" w:hAnsi="Arial"/>
          <w:sz w:val="23"/>
          <w:szCs w:val="23"/>
          <w:color w:val="auto"/>
          <w:vertAlign w:val="superscript"/>
        </w:rPr>
      </w:pPr>
    </w:p>
    <w:p>
      <w:pPr>
        <w:ind w:left="340" w:right="60" w:hanging="332"/>
        <w:spacing w:after="0" w:line="227" w:lineRule="auto"/>
        <w:tabs>
          <w:tab w:leader="none" w:pos="34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net income per common unit for each of the three and six months ended June 30, 2023 and 2022 as the effect was antidilutive.</w:t>
      </w:r>
    </w:p>
    <w:p>
      <w:pPr>
        <w:spacing w:after="0" w:line="40" w:lineRule="exact"/>
        <w:rPr>
          <w:rFonts w:ascii="Arial" w:cs="Arial" w:eastAsia="Arial" w:hAnsi="Arial"/>
          <w:sz w:val="23"/>
          <w:szCs w:val="23"/>
          <w:color w:val="auto"/>
          <w:vertAlign w:val="superscript"/>
        </w:rPr>
      </w:pPr>
    </w:p>
    <w:p>
      <w:pPr>
        <w:ind w:left="340" w:right="260" w:hanging="332"/>
        <w:spacing w:after="0" w:line="238" w:lineRule="auto"/>
        <w:tabs>
          <w:tab w:leader="none" w:pos="34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234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CASH FLOW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 w:lineRule="exact"/>
        <w:rPr>
          <w:sz w:val="20"/>
          <w:szCs w:val="20"/>
          <w:color w:val="auto"/>
        </w:rPr>
      </w:pPr>
    </w:p>
    <w:p>
      <w:pPr>
        <w:jc w:val="center"/>
        <w:ind w:left="86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64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top w:val="single" w:sz="8" w:color="auto"/>
              <w:bottom w:val="single" w:sz="8" w:color="auto"/>
            </w:tcBorders>
            <w:gridSpan w:val="3"/>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gridSpan w:val="3"/>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6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455"/>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824</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40" w:type="dxa"/>
            <w:vAlign w:val="bottom"/>
            <w:gridSpan w:val="9"/>
            <w:shd w:val="clear" w:color="auto" w:fill="CCEEFF"/>
          </w:tcPr>
          <w:p>
            <w:pPr>
              <w:ind w:left="140"/>
              <w:spacing w:after="0"/>
              <w:rPr>
                <w:sz w:val="20"/>
                <w:szCs w:val="20"/>
                <w:color w:val="auto"/>
              </w:rPr>
            </w:pPr>
            <w:r>
              <w:rPr>
                <w:rFonts w:ascii="Arial" w:cs="Arial" w:eastAsia="Arial" w:hAnsi="Arial"/>
                <w:sz w:val="18"/>
                <w:szCs w:val="18"/>
                <w:color w:val="auto"/>
                <w:w w:val="91"/>
              </w:rPr>
              <w:t>Reconciliation of net income to net cash provided by operating activities:</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4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515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7"/>
              </w:rPr>
              <w:t>Gains on asset sales and asset impairments, net</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140"/>
              <w:spacing w:after="0"/>
              <w:rPr>
                <w:sz w:val="20"/>
                <w:szCs w:val="20"/>
                <w:color w:val="auto"/>
              </w:rPr>
            </w:pPr>
            <w:r>
              <w:rPr>
                <w:rFonts w:ascii="Arial" w:cs="Arial" w:eastAsia="Arial" w:hAnsi="Arial"/>
                <w:sz w:val="18"/>
                <w:szCs w:val="18"/>
                <w:color w:val="auto"/>
              </w:rPr>
              <w:t>Equity earnings in unconsolidated entities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91"/>
              </w:rPr>
              <w:t>Distributions on earnings from unconsolidated entities</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4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95"/>
              </w:rPr>
              <w:t>Changes in assets and liabilities, net of acquisitions</w:t>
            </w: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ind w:left="2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1,631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24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60" w:type="dxa"/>
            <w:vAlign w:val="bottom"/>
            <w:gridSpan w:val="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3"/>
                <w:szCs w:val="23"/>
                <w:color w:val="auto"/>
              </w:rPr>
            </w:pPr>
          </w:p>
        </w:tc>
        <w:tc>
          <w:tcPr>
            <w:tcW w:w="1640" w:type="dxa"/>
            <w:vAlign w:val="bottom"/>
            <w:gridSpan w:val="2"/>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6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gridSpan w:val="2"/>
          </w:tcPr>
          <w:p>
            <w:pPr>
              <w:ind w:left="1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1"/>
              </w:rPr>
              <w:t>(1,101)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140"/>
              <w:spacing w:after="0"/>
              <w:rPr>
                <w:sz w:val="20"/>
                <w:szCs w:val="20"/>
                <w:color w:val="auto"/>
              </w:rPr>
            </w:pPr>
            <w:r>
              <w:rPr>
                <w:rFonts w:ascii="Arial" w:cs="Arial" w:eastAsia="Arial" w:hAnsi="Arial"/>
                <w:sz w:val="18"/>
                <w:szCs w:val="18"/>
                <w:color w:val="auto"/>
              </w:rPr>
              <w:t>Effect of translation adjustment</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24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spacing w:after="0"/>
              <w:rPr>
                <w:sz w:val="24"/>
                <w:szCs w:val="24"/>
                <w:color w:val="auto"/>
              </w:rPr>
            </w:pPr>
          </w:p>
        </w:tc>
        <w:tc>
          <w:tcPr>
            <w:tcW w:w="600" w:type="dxa"/>
            <w:vAlign w:val="bottom"/>
            <w:gridSpan w:val="3"/>
            <w:shd w:val="clear" w:color="auto" w:fill="CCEEFF"/>
          </w:tcPr>
          <w:p>
            <w:pPr>
              <w:spacing w:after="0"/>
              <w:rPr>
                <w:sz w:val="24"/>
                <w:szCs w:val="24"/>
                <w:color w:val="auto"/>
              </w:rPr>
            </w:pPr>
          </w:p>
        </w:tc>
        <w:tc>
          <w:tcPr>
            <w:tcW w:w="88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40" w:type="dxa"/>
            <w:vAlign w:val="bottom"/>
            <w:gridSpan w:val="9"/>
          </w:tcPr>
          <w:p>
            <w:pPr>
              <w:ind w:left="20"/>
              <w:spacing w:after="0"/>
              <w:rPr>
                <w:sz w:val="20"/>
                <w:szCs w:val="20"/>
                <w:color w:val="auto"/>
              </w:rPr>
            </w:pPr>
            <w:r>
              <w:rPr>
                <w:rFonts w:ascii="Arial" w:cs="Arial" w:eastAsia="Arial" w:hAnsi="Arial"/>
                <w:sz w:val="18"/>
                <w:szCs w:val="18"/>
                <w:color w:val="auto"/>
                <w:w w:val="92"/>
              </w:rPr>
              <w:t>Net increase/(decrease) in cash and cash equivalents and restricted cash</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532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24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spacing w:after="0"/>
              <w:rPr>
                <w:sz w:val="23"/>
                <w:szCs w:val="23"/>
                <w:color w:val="auto"/>
              </w:rPr>
            </w:pPr>
          </w:p>
        </w:tc>
        <w:tc>
          <w:tcPr>
            <w:tcW w:w="600" w:type="dxa"/>
            <w:vAlign w:val="bottom"/>
            <w:gridSpan w:val="3"/>
            <w:shd w:val="clear" w:color="auto" w:fill="CCEEFF"/>
          </w:tcPr>
          <w:p>
            <w:pPr>
              <w:spacing w:after="0"/>
              <w:rPr>
                <w:sz w:val="23"/>
                <w:szCs w:val="23"/>
                <w:color w:val="auto"/>
              </w:rPr>
            </w:pPr>
          </w:p>
        </w:tc>
        <w:tc>
          <w:tcPr>
            <w:tcW w:w="880" w:type="dxa"/>
            <w:vAlign w:val="bottom"/>
            <w:gridSpan w:val="2"/>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40" w:type="dxa"/>
            <w:vAlign w:val="bottom"/>
            <w:gridSpan w:val="9"/>
          </w:tcPr>
          <w:p>
            <w:pPr>
              <w:ind w:left="2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4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w w:val="89"/>
              </w:rPr>
              <w:t>Cash and cash equivalents and restricted cash, end of period</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CAPITAL EXPENDITURES</w:t>
            </w: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35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millions)</w:t>
            </w: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 xml:space="preserve">Net to PAA </w:t>
            </w:r>
            <w:r>
              <w:rPr>
                <w:rFonts w:ascii="Arial" w:cs="Arial" w:eastAsia="Arial" w:hAnsi="Arial"/>
                <w:sz w:val="18"/>
                <w:szCs w:val="18"/>
                <w:b w:val="1"/>
                <w:bCs w:val="1"/>
                <w:color w:val="auto"/>
                <w:vertAlign w:val="superscript"/>
              </w:rPr>
              <w:t>(1)</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4"/>
                <w:szCs w:val="14"/>
                <w:b w:val="1"/>
                <w:bCs w:val="1"/>
                <w:color w:val="auto"/>
              </w:rPr>
              <w:t>Consolidated</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900" w:type="dxa"/>
            <w:vAlign w:val="bottom"/>
            <w:gridSpan w:val="7"/>
          </w:tcPr>
          <w:p>
            <w:pPr>
              <w:ind w:left="260"/>
              <w:spacing w:after="0" w:line="133" w:lineRule="exact"/>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1"/>
                <w:szCs w:val="11"/>
                <w:color w:val="auto"/>
              </w:rPr>
            </w:pPr>
          </w:p>
        </w:tc>
        <w:tc>
          <w:tcPr>
            <w:tcW w:w="1640" w:type="dxa"/>
            <w:vAlign w:val="bottom"/>
            <w:gridSpan w:val="4"/>
          </w:tcPr>
          <w:p>
            <w:pPr>
              <w:jc w:val="right"/>
              <w:ind w:right="273"/>
              <w:spacing w:after="0" w:line="133" w:lineRule="exact"/>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4"/>
          </w:tcPr>
          <w:p>
            <w:pPr>
              <w:jc w:val="right"/>
              <w:ind w:right="175"/>
              <w:spacing w:after="0" w:line="133" w:lineRule="exact"/>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1"/>
                <w:szCs w:val="11"/>
                <w:color w:val="auto"/>
              </w:rPr>
            </w:pPr>
          </w:p>
        </w:tc>
        <w:tc>
          <w:tcPr>
            <w:tcW w:w="1800" w:type="dxa"/>
            <w:vAlign w:val="bottom"/>
            <w:gridSpan w:val="6"/>
          </w:tcPr>
          <w:p>
            <w:pPr>
              <w:jc w:val="right"/>
              <w:ind w:right="231"/>
              <w:spacing w:after="0" w:line="133" w:lineRule="exact"/>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June 30,</w:t>
            </w: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4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 capital expenditures:</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ind w:left="140"/>
              <w:spacing w:after="0"/>
              <w:rPr>
                <w:sz w:val="20"/>
                <w:szCs w:val="20"/>
                <w:color w:val="auto"/>
              </w:rPr>
            </w:pPr>
            <w:r>
              <w:rPr>
                <w:rFonts w:ascii="Arial" w:cs="Arial" w:eastAsia="Arial" w:hAnsi="Arial"/>
                <w:sz w:val="18"/>
                <w:szCs w:val="18"/>
                <w:color w:val="auto"/>
              </w:rPr>
              <w:t>Crude Oil</w:t>
            </w:r>
          </w:p>
        </w:tc>
        <w:tc>
          <w:tcPr>
            <w:tcW w:w="340" w:type="dxa"/>
            <w:vAlign w:val="bottom"/>
          </w:tcPr>
          <w:p>
            <w:pPr>
              <w:jc w:val="right"/>
              <w:ind w:right="159"/>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102</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560" w:type="dxa"/>
            <w:vAlign w:val="bottom"/>
            <w:gridSpan w:val="2"/>
          </w:tcPr>
          <w:p>
            <w:pPr>
              <w:jc w:val="right"/>
              <w:ind w:right="28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86"/>
              </w:rPr>
              <w:t>143</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NGL</w:t>
            </w:r>
          </w:p>
        </w:tc>
        <w:tc>
          <w:tcPr>
            <w:tcW w:w="3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Total Investment capital expenditures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86"/>
              </w:rPr>
              <w:t>182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 expenditures</w:t>
            </w:r>
          </w:p>
        </w:tc>
        <w:tc>
          <w:tcPr>
            <w:tcW w:w="3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6"/>
              </w:rPr>
              <w:t>109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141</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8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6"/>
              </w:rPr>
              <w:t>291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Excludes expenditures attributable to noncontrolling interests.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234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Computation of Basic and Diluted Adjusted Net Income Per Common Unit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2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Adjusted Net Income per Common Unit</w:t>
            </w:r>
          </w:p>
        </w:tc>
        <w:tc>
          <w:tcPr>
            <w:tcW w:w="7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Net income attributable to PAA</w:t>
            </w: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293</w:t>
            </w:r>
          </w:p>
        </w:tc>
        <w:tc>
          <w:tcPr>
            <w:tcW w:w="8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203</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715</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176"/>
        </w:trPr>
        <w:tc>
          <w:tcPr>
            <w:tcW w:w="62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4"/>
              </w:rPr>
              <w:t>Selected items impacting comparability - Adjusted net income attributable to PAA</w:t>
            </w:r>
          </w:p>
        </w:tc>
        <w:tc>
          <w:tcPr>
            <w:tcW w:w="76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75"/>
        </w:trPr>
        <w:tc>
          <w:tcPr>
            <w:tcW w:w="62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(2)</w:t>
            </w:r>
          </w:p>
        </w:tc>
        <w:tc>
          <w:tcPr>
            <w:tcW w:w="7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6280" w:type="dxa"/>
            <w:vAlign w:val="bottom"/>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allocated to participating securities</w:t>
            </w:r>
          </w:p>
        </w:tc>
        <w:tc>
          <w:tcPr>
            <w:tcW w:w="76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280" w:type="dxa"/>
            <w:vAlign w:val="bottom"/>
          </w:tcPr>
          <w:p>
            <w:pPr>
              <w:ind w:left="18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allocated to common unitholders</w:t>
            </w: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6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Basic and diluted weighted average common units outstanding </w:t>
            </w:r>
            <w:r>
              <w:rPr>
                <w:rFonts w:ascii="Arial" w:cs="Arial" w:eastAsia="Arial" w:hAnsi="Arial"/>
                <w:sz w:val="23"/>
                <w:szCs w:val="23"/>
                <w:color w:val="auto"/>
                <w:vertAlign w:val="superscript"/>
              </w:rPr>
              <w:t>(3) (4)</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70"/>
        </w:trPr>
        <w:tc>
          <w:tcPr>
            <w:tcW w:w="6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adjusted net income per common unit</w:t>
            </w: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0.25</w:t>
            </w:r>
          </w:p>
        </w:tc>
        <w:tc>
          <w:tcPr>
            <w:tcW w:w="86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24599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40" w:right="420" w:hanging="332"/>
        <w:spacing w:after="0" w:line="238" w:lineRule="auto"/>
        <w:tabs>
          <w:tab w:leader="none" w:pos="34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15" w:lineRule="exact"/>
        <w:rPr>
          <w:rFonts w:ascii="Arial" w:cs="Arial" w:eastAsia="Arial" w:hAnsi="Arial"/>
          <w:sz w:val="21"/>
          <w:szCs w:val="21"/>
          <w:color w:val="auto"/>
          <w:vertAlign w:val="superscript"/>
        </w:rPr>
      </w:pPr>
    </w:p>
    <w:p>
      <w:pPr>
        <w:ind w:left="340" w:hanging="332"/>
        <w:spacing w:after="0"/>
        <w:tabs>
          <w:tab w:leader="none" w:pos="34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See the “Selected Items Impacting Comparability” table for additional information.</w:t>
      </w:r>
    </w:p>
    <w:p>
      <w:pPr>
        <w:spacing w:after="0" w:line="50" w:lineRule="exact"/>
        <w:rPr>
          <w:rFonts w:ascii="Arial" w:cs="Arial" w:eastAsia="Arial" w:hAnsi="Arial"/>
          <w:sz w:val="21"/>
          <w:szCs w:val="21"/>
          <w:color w:val="auto"/>
          <w:vertAlign w:val="superscript"/>
        </w:rPr>
      </w:pPr>
    </w:p>
    <w:p>
      <w:pPr>
        <w:ind w:left="340" w:right="80" w:hanging="332"/>
        <w:spacing w:after="0" w:line="222" w:lineRule="auto"/>
        <w:tabs>
          <w:tab w:leader="none" w:pos="34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 possible conversion of our Series A preferred units was excluded from the calculation of diluted adjusted net income per common unit for each of the three and six months ended June 30, 2023 and 2022 as the effect was antidilutive.</w:t>
      </w:r>
    </w:p>
    <w:p>
      <w:pPr>
        <w:spacing w:after="0" w:line="37" w:lineRule="exact"/>
        <w:rPr>
          <w:rFonts w:ascii="Arial" w:cs="Arial" w:eastAsia="Arial" w:hAnsi="Arial"/>
          <w:sz w:val="21"/>
          <w:szCs w:val="21"/>
          <w:color w:val="auto"/>
          <w:vertAlign w:val="superscript"/>
        </w:rPr>
      </w:pPr>
    </w:p>
    <w:p>
      <w:pPr>
        <w:ind w:left="340" w:right="140" w:hanging="332"/>
        <w:spacing w:after="0" w:line="238" w:lineRule="auto"/>
        <w:tabs>
          <w:tab w:leader="none" w:pos="34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Unit to Adjusted Net Income Per Common Unit Reconciliation: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2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38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7"/>
                <w:szCs w:val="17"/>
                <w:color w:val="auto"/>
              </w:rPr>
            </w:pPr>
          </w:p>
        </w:tc>
      </w:tr>
      <w:tr>
        <w:trPr>
          <w:trHeight w:val="188"/>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r>
      <w:tr>
        <w:trPr>
          <w:trHeight w:val="238"/>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net income per common unit</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0.32</w:t>
            </w:r>
          </w:p>
        </w:tc>
        <w:tc>
          <w:tcPr>
            <w:tcW w:w="8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0.22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left="359"/>
              <w:spacing w:after="0"/>
              <w:rPr>
                <w:sz w:val="20"/>
                <w:szCs w:val="20"/>
                <w:color w:val="auto"/>
              </w:rPr>
            </w:pPr>
            <w:r>
              <w:rPr>
                <w:rFonts w:ascii="Arial" w:cs="Arial" w:eastAsia="Arial" w:hAnsi="Arial"/>
                <w:sz w:val="18"/>
                <w:szCs w:val="18"/>
                <w:color w:val="auto"/>
                <w:w w:val="85"/>
              </w:rPr>
              <w:t>0.84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30"/>
        </w:trPr>
        <w:tc>
          <w:tcPr>
            <w:tcW w:w="62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1160" w:type="dxa"/>
            <w:vAlign w:val="bottom"/>
            <w:tcBorders>
              <w:bottom w:val="single" w:sz="8" w:color="auto"/>
            </w:tcBorders>
            <w:gridSpan w:val="2"/>
          </w:tcPr>
          <w:p>
            <w:pPr>
              <w:jc w:val="center"/>
              <w:ind w:left="597"/>
              <w:spacing w:after="0"/>
              <w:rPr>
                <w:sz w:val="20"/>
                <w:szCs w:val="20"/>
                <w:color w:val="auto"/>
              </w:rPr>
            </w:pPr>
            <w:r>
              <w:rPr>
                <w:rFonts w:ascii="Arial" w:cs="Arial" w:eastAsia="Arial" w:hAnsi="Arial"/>
                <w:sz w:val="18"/>
                <w:szCs w:val="18"/>
                <w:color w:val="auto"/>
                <w:w w:val="93"/>
              </w:rPr>
              <w:t>(0.07)</w:t>
            </w:r>
          </w:p>
        </w:tc>
        <w:tc>
          <w:tcPr>
            <w:tcW w:w="1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0.08</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39"/>
              <w:spacing w:after="0"/>
              <w:rPr>
                <w:sz w:val="20"/>
                <w:szCs w:val="20"/>
                <w:color w:val="auto"/>
              </w:rPr>
            </w:pPr>
            <w:r>
              <w:rPr>
                <w:rFonts w:ascii="Arial" w:cs="Arial" w:eastAsia="Arial" w:hAnsi="Arial"/>
                <w:sz w:val="18"/>
                <w:szCs w:val="18"/>
                <w:color w:val="auto"/>
                <w:w w:val="93"/>
              </w:rPr>
              <w:t>(0.18)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r>
      <w:tr>
        <w:trPr>
          <w:trHeight w:val="243"/>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adjusted net income per common unit</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0.25</w:t>
            </w:r>
          </w:p>
        </w:tc>
        <w:tc>
          <w:tcPr>
            <w:tcW w:w="8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left="359"/>
              <w:spacing w:after="0"/>
              <w:rPr>
                <w:sz w:val="20"/>
                <w:szCs w:val="20"/>
                <w:color w:val="auto"/>
              </w:rPr>
            </w:pPr>
            <w:r>
              <w:rPr>
                <w:rFonts w:ascii="Arial" w:cs="Arial" w:eastAsia="Arial" w:hAnsi="Arial"/>
                <w:sz w:val="18"/>
                <w:szCs w:val="18"/>
                <w:color w:val="auto"/>
                <w:w w:val="85"/>
              </w:rPr>
              <w:t>0.66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2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r>
    </w:tbl>
    <w:p>
      <w:pPr>
        <w:spacing w:after="0" w:line="125" w:lineRule="exact"/>
        <w:rPr>
          <w:sz w:val="20"/>
          <w:szCs w:val="20"/>
          <w:color w:val="auto"/>
        </w:rPr>
      </w:pPr>
    </w:p>
    <w:p>
      <w:pPr>
        <w:ind w:left="340" w:right="720" w:hanging="332"/>
        <w:spacing w:after="0" w:line="230" w:lineRule="auto"/>
        <w:tabs>
          <w:tab w:leader="none" w:pos="34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See the “Selected Items Impacting Comparability” and the “Computation of Basic and Diluted Adjusted Net Income Per Common Unit” tables for additional information.</w:t>
      </w:r>
    </w:p>
    <w:p>
      <w:pPr>
        <w:spacing w:after="0" w:line="154" w:lineRule="exact"/>
        <w:rPr>
          <w:rFonts w:ascii="Arial" w:cs="Arial" w:eastAsia="Arial" w:hAnsi="Arial"/>
          <w:sz w:val="21"/>
          <w:szCs w:val="21"/>
          <w:color w:val="auto"/>
          <w:vertAlign w:val="superscript"/>
        </w:rPr>
      </w:pPr>
    </w:p>
    <w:p>
      <w:pPr>
        <w:ind w:left="5440" w:hanging="106"/>
        <w:spacing w:after="0"/>
        <w:tabs>
          <w:tab w:leader="none" w:pos="5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234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to Adjusted EBITDA attributable to PAA and Implied DCF Reconciliation:</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00" w:type="dxa"/>
            <w:vAlign w:val="bottom"/>
            <w:gridSpan w:val="2"/>
          </w:tcPr>
          <w:p>
            <w:pPr>
              <w:ind w:left="120"/>
              <w:spacing w:after="0"/>
              <w:rPr>
                <w:sz w:val="20"/>
                <w:szCs w:val="20"/>
                <w:color w:val="auto"/>
              </w:rPr>
            </w:pPr>
            <w:r>
              <w:rPr>
                <w:rFonts w:ascii="Arial" w:cs="Arial" w:eastAsia="Arial" w:hAnsi="Arial"/>
                <w:sz w:val="17"/>
                <w:szCs w:val="17"/>
                <w:color w:val="auto"/>
              </w:rPr>
              <w:t>Interest expense, net</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Income tax expense</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gridSpan w:val="2"/>
          </w:tcPr>
          <w:p>
            <w:pPr>
              <w:ind w:left="120"/>
              <w:spacing w:after="0"/>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(Gains)/losses on asset sales and asset impairments, net</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gridSpan w:val="2"/>
          </w:tcPr>
          <w:p>
            <w:pPr>
              <w:ind w:left="120"/>
              <w:spacing w:after="0" w:line="229" w:lineRule="exact"/>
              <w:rPr>
                <w:sz w:val="20"/>
                <w:szCs w:val="20"/>
                <w:color w:val="auto"/>
              </w:rPr>
            </w:pPr>
            <w:r>
              <w:rPr>
                <w:rFonts w:ascii="Arial" w:cs="Arial" w:eastAsia="Arial" w:hAnsi="Arial"/>
                <w:sz w:val="17"/>
                <w:szCs w:val="17"/>
                <w:color w:val="auto"/>
              </w:rPr>
              <w:t xml:space="preserve">Depreciation and amortization of unconsolidated entities </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Borders>
              <w:bottom w:val="single" w:sz="8" w:color="CCEEFF"/>
            </w:tcBorders>
            <w:gridSpan w:val="2"/>
            <w:shd w:val="clear" w:color="auto" w:fill="CCEEFF"/>
          </w:tcPr>
          <w:p>
            <w:pPr>
              <w:ind w:left="120"/>
              <w:spacing w:after="0" w:line="229" w:lineRule="exact"/>
              <w:rPr>
                <w:sz w:val="20"/>
                <w:szCs w:val="20"/>
                <w:color w:val="auto"/>
              </w:rPr>
            </w:pPr>
            <w:r>
              <w:rPr>
                <w:rFonts w:ascii="Arial" w:cs="Arial" w:eastAsia="Arial" w:hAnsi="Arial"/>
                <w:sz w:val="17"/>
                <w:szCs w:val="17"/>
                <w:color w:val="auto"/>
              </w:rPr>
              <w:t xml:space="preserve">Selected items impacting comparability - Adjusted EBITDA </w:t>
            </w:r>
            <w:r>
              <w:rPr>
                <w:rFonts w:ascii="Arial" w:cs="Arial" w:eastAsia="Arial" w:hAnsi="Arial"/>
                <w:sz w:val="22"/>
                <w:szCs w:val="22"/>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gridSpan w:val="2"/>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704</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1,513</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Adjusted EBITDA attributable to noncontrolling interests</w:t>
            </w: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tcPr>
          <w:p>
            <w:pPr>
              <w:ind w:left="20"/>
              <w:spacing w:after="0"/>
              <w:rPr>
                <w:sz w:val="20"/>
                <w:szCs w:val="20"/>
                <w:color w:val="auto"/>
              </w:rPr>
            </w:pPr>
            <w:r>
              <w:rPr>
                <w:rFonts w:ascii="Arial" w:cs="Arial" w:eastAsia="Arial" w:hAnsi="Arial"/>
                <w:sz w:val="17"/>
                <w:szCs w:val="17"/>
                <w:color w:val="auto"/>
              </w:rPr>
              <w:t>Adjusted EBITDA attributable to PAA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615</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1,312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00" w:type="dxa"/>
            <w:vAlign w:val="bottom"/>
            <w:gridSpan w:val="2"/>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704</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1,513</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00" w:type="dxa"/>
            <w:vAlign w:val="bottom"/>
            <w:gridSpan w:val="2"/>
            <w:shd w:val="clear" w:color="auto" w:fill="CCEEFF"/>
          </w:tcPr>
          <w:p>
            <w:pPr>
              <w:ind w:left="120"/>
              <w:spacing w:after="0" w:line="236" w:lineRule="exact"/>
              <w:rPr>
                <w:sz w:val="20"/>
                <w:szCs w:val="20"/>
                <w:color w:val="auto"/>
              </w:rPr>
            </w:pPr>
            <w:r>
              <w:rPr>
                <w:rFonts w:ascii="Arial" w:cs="Arial" w:eastAsia="Arial" w:hAnsi="Arial"/>
                <w:sz w:val="17"/>
                <w:szCs w:val="17"/>
                <w:color w:val="auto"/>
              </w:rPr>
              <w:t xml:space="preserve">Interest expense, net of certain non-cash items </w:t>
            </w:r>
            <w:r>
              <w:rPr>
                <w:rFonts w:ascii="Arial" w:cs="Arial" w:eastAsia="Arial" w:hAnsi="Arial"/>
                <w:sz w:val="22"/>
                <w:szCs w:val="22"/>
                <w:color w:val="auto"/>
                <w:vertAlign w:val="superscript"/>
              </w:rPr>
              <w:t>(3)</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gridSpan w:val="2"/>
          </w:tcPr>
          <w:p>
            <w:pPr>
              <w:ind w:left="120"/>
              <w:spacing w:after="0"/>
              <w:rPr>
                <w:sz w:val="20"/>
                <w:szCs w:val="20"/>
                <w:color w:val="auto"/>
              </w:rPr>
            </w:pPr>
            <w:r>
              <w:rPr>
                <w:rFonts w:ascii="Arial" w:cs="Arial" w:eastAsia="Arial" w:hAnsi="Arial"/>
                <w:sz w:val="17"/>
                <w:szCs w:val="17"/>
                <w:color w:val="auto"/>
              </w:rPr>
              <w:t>Maintenance capital</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gridSpan w:val="2"/>
            <w:shd w:val="clear" w:color="auto" w:fill="CCEEFF"/>
          </w:tcPr>
          <w:p>
            <w:pPr>
              <w:ind w:left="120"/>
              <w:spacing w:after="0" w:line="243" w:lineRule="exact"/>
              <w:rPr>
                <w:sz w:val="20"/>
                <w:szCs w:val="20"/>
                <w:color w:val="auto"/>
              </w:rPr>
            </w:pPr>
            <w:r>
              <w:rPr>
                <w:rFonts w:ascii="Arial" w:cs="Arial" w:eastAsia="Arial" w:hAnsi="Arial"/>
                <w:sz w:val="17"/>
                <w:szCs w:val="17"/>
                <w:color w:val="auto"/>
              </w:rPr>
              <w:t xml:space="preserve">Investment capital of noncontrolling interests </w:t>
            </w:r>
            <w:r>
              <w:rPr>
                <w:rFonts w:ascii="Arial" w:cs="Arial" w:eastAsia="Arial" w:hAnsi="Arial"/>
                <w:sz w:val="22"/>
                <w:szCs w:val="22"/>
                <w:color w:val="auto"/>
                <w:vertAlign w:val="superscript"/>
              </w:rPr>
              <w:t>(4)</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gridSpan w:val="2"/>
          </w:tcPr>
          <w:p>
            <w:pPr>
              <w:ind w:left="120"/>
              <w:spacing w:after="0"/>
              <w:rPr>
                <w:sz w:val="20"/>
                <w:szCs w:val="20"/>
                <w:color w:val="auto"/>
              </w:rPr>
            </w:pPr>
            <w:r>
              <w:rPr>
                <w:rFonts w:ascii="Arial" w:cs="Arial" w:eastAsia="Arial" w:hAnsi="Arial"/>
                <w:sz w:val="17"/>
                <w:szCs w:val="17"/>
                <w:color w:val="auto"/>
              </w:rPr>
              <w:t>Current income tax expense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200" w:type="dxa"/>
            <w:vAlign w:val="bottom"/>
            <w:gridSpan w:val="2"/>
            <w:shd w:val="clear" w:color="auto" w:fill="CCEEFF"/>
          </w:tcPr>
          <w:p>
            <w:pPr>
              <w:ind w:left="120"/>
              <w:spacing w:after="0" w:line="163" w:lineRule="exact"/>
              <w:rPr>
                <w:sz w:val="20"/>
                <w:szCs w:val="20"/>
                <w:color w:val="auto"/>
              </w:rPr>
            </w:pPr>
            <w:r>
              <w:rPr>
                <w:rFonts w:ascii="Arial" w:cs="Arial" w:eastAsia="Arial" w:hAnsi="Arial"/>
                <w:sz w:val="17"/>
                <w:szCs w:val="17"/>
                <w:color w:val="auto"/>
                <w:w w:val="99"/>
              </w:rPr>
              <w:t>Distributions from unconsolidated entities in excess of/(less than) adjusted equity</w:t>
            </w:r>
          </w:p>
        </w:tc>
        <w:tc>
          <w:tcPr>
            <w:tcW w:w="2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0" w:type="dxa"/>
            <w:vAlign w:val="bottom"/>
            <w:gridSpan w:val="2"/>
            <w:shd w:val="clear" w:color="auto" w:fill="CCEEFF"/>
          </w:tcPr>
          <w:p>
            <w:pPr>
              <w:ind w:left="120"/>
              <w:spacing w:after="0" w:line="228" w:lineRule="exact"/>
              <w:rPr>
                <w:sz w:val="20"/>
                <w:szCs w:val="20"/>
                <w:color w:val="auto"/>
              </w:rPr>
            </w:pPr>
            <w:r>
              <w:rPr>
                <w:rFonts w:ascii="Arial" w:cs="Arial" w:eastAsia="Arial" w:hAnsi="Arial"/>
                <w:sz w:val="17"/>
                <w:szCs w:val="17"/>
                <w:color w:val="auto"/>
              </w:rPr>
              <w:t xml:space="preserve">earnings </w:t>
            </w:r>
            <w:r>
              <w:rPr>
                <w:rFonts w:ascii="Arial" w:cs="Arial" w:eastAsia="Arial" w:hAnsi="Arial"/>
                <w:sz w:val="22"/>
                <w:szCs w:val="22"/>
                <w:color w:val="auto"/>
                <w:vertAlign w:val="superscript"/>
              </w:rPr>
              <w:t>(5)</w:t>
            </w: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tcBorders>
              <w:bottom w:val="single" w:sz="8" w:color="CCEEFF"/>
            </w:tcBorders>
            <w:gridSpan w:val="2"/>
          </w:tcPr>
          <w:p>
            <w:pPr>
              <w:ind w:left="120"/>
              <w:spacing w:after="0" w:line="243" w:lineRule="exact"/>
              <w:rPr>
                <w:sz w:val="20"/>
                <w:szCs w:val="20"/>
                <w:color w:val="auto"/>
              </w:rPr>
            </w:pPr>
            <w:r>
              <w:rPr>
                <w:rFonts w:ascii="Arial" w:cs="Arial" w:eastAsia="Arial" w:hAnsi="Arial"/>
                <w:sz w:val="17"/>
                <w:szCs w:val="17"/>
                <w:color w:val="auto"/>
              </w:rPr>
              <w:t xml:space="preserve">Distributions to noncontrolling interests </w:t>
            </w:r>
            <w:r>
              <w:rPr>
                <w:rFonts w:ascii="Arial" w:cs="Arial" w:eastAsia="Arial" w:hAnsi="Arial"/>
                <w:sz w:val="22"/>
                <w:szCs w:val="22"/>
                <w:color w:val="auto"/>
                <w:vertAlign w:val="superscript"/>
              </w:rPr>
              <w:t>(6)</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Implied DCF</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gridSpan w:val="2"/>
          </w:tcPr>
          <w:p>
            <w:pPr>
              <w:ind w:left="180"/>
              <w:spacing w:after="0" w:line="229" w:lineRule="exact"/>
              <w:rPr>
                <w:sz w:val="20"/>
                <w:szCs w:val="20"/>
                <w:color w:val="auto"/>
              </w:rPr>
            </w:pPr>
            <w:r>
              <w:rPr>
                <w:rFonts w:ascii="Arial" w:cs="Arial" w:eastAsia="Arial" w:hAnsi="Arial"/>
                <w:sz w:val="17"/>
                <w:szCs w:val="17"/>
                <w:color w:val="auto"/>
              </w:rPr>
              <w:t xml:space="preserve">Preferred unit distributions paid </w:t>
            </w:r>
            <w:r>
              <w:rPr>
                <w:rFonts w:ascii="Arial" w:cs="Arial" w:eastAsia="Arial" w:hAnsi="Arial"/>
                <w:sz w:val="22"/>
                <w:szCs w:val="22"/>
                <w:color w:val="auto"/>
                <w:vertAlign w:val="superscript"/>
              </w:rPr>
              <w:t>(6)</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Implied DCF Available to Common Unitholders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Common Units Outstanding</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gridSpan w:val="2"/>
          </w:tcPr>
          <w:p>
            <w:pPr>
              <w:ind w:left="20"/>
              <w:spacing w:after="0"/>
              <w:rPr>
                <w:sz w:val="20"/>
                <w:szCs w:val="20"/>
                <w:color w:val="auto"/>
              </w:rPr>
            </w:pPr>
            <w:r>
              <w:rPr>
                <w:rFonts w:ascii="Arial" w:cs="Arial" w:eastAsia="Arial" w:hAnsi="Arial"/>
                <w:sz w:val="17"/>
                <w:szCs w:val="17"/>
                <w:color w:val="auto"/>
              </w:rPr>
              <w:t>Weighted Average Common Units and Common Unit Equivalents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gridSpan w:val="2"/>
          </w:tcPr>
          <w:p>
            <w:pPr>
              <w:ind w:left="20"/>
              <w:spacing w:after="0" w:line="243" w:lineRule="exact"/>
              <w:rPr>
                <w:sz w:val="20"/>
                <w:szCs w:val="20"/>
                <w:color w:val="auto"/>
              </w:rPr>
            </w:pPr>
            <w:r>
              <w:rPr>
                <w:rFonts w:ascii="Arial" w:cs="Arial" w:eastAsia="Arial" w:hAnsi="Arial"/>
                <w:sz w:val="17"/>
                <w:szCs w:val="17"/>
                <w:color w:val="auto"/>
              </w:rPr>
              <w:t xml:space="preserve">Implied DCF per Common Unit </w:t>
            </w:r>
            <w:r>
              <w:rPr>
                <w:rFonts w:ascii="Arial" w:cs="Arial" w:eastAsia="Arial" w:hAnsi="Arial"/>
                <w:sz w:val="22"/>
                <w:szCs w:val="22"/>
                <w:color w:val="auto"/>
                <w:vertAlign w:val="superscript"/>
              </w:rPr>
              <w:t>(7)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0.53</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0.57</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gridSpan w:val="2"/>
            <w:shd w:val="clear" w:color="auto" w:fill="CCEEFF"/>
          </w:tcPr>
          <w:p>
            <w:pPr>
              <w:ind w:left="20"/>
              <w:spacing w:after="0" w:line="229" w:lineRule="exact"/>
              <w:rPr>
                <w:sz w:val="20"/>
                <w:szCs w:val="20"/>
                <w:color w:val="auto"/>
              </w:rPr>
            </w:pPr>
            <w:r>
              <w:rPr>
                <w:rFonts w:ascii="Arial" w:cs="Arial" w:eastAsia="Arial" w:hAnsi="Arial"/>
                <w:sz w:val="17"/>
                <w:szCs w:val="17"/>
                <w:color w:val="auto"/>
              </w:rPr>
              <w:t xml:space="preserve">Implied DCF per Common Unit and Common Unit Equivalent </w:t>
            </w:r>
            <w:r>
              <w:rPr>
                <w:rFonts w:ascii="Arial" w:cs="Arial" w:eastAsia="Arial" w:hAnsi="Arial"/>
                <w:sz w:val="22"/>
                <w:szCs w:val="22"/>
                <w:color w:val="auto"/>
                <w:vertAlign w:val="superscript"/>
              </w:rPr>
              <w:t>(8)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Distribution Paid per Common Unit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0.2675</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0.2175</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0.5350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gridSpan w:val="2"/>
          </w:tcPr>
          <w:p>
            <w:pPr>
              <w:ind w:left="20"/>
              <w:spacing w:after="0" w:line="243" w:lineRule="exact"/>
              <w:rPr>
                <w:sz w:val="20"/>
                <w:szCs w:val="20"/>
                <w:color w:val="auto"/>
              </w:rPr>
            </w:pPr>
            <w:r>
              <w:rPr>
                <w:rFonts w:ascii="Arial" w:cs="Arial" w:eastAsia="Arial" w:hAnsi="Arial"/>
                <w:sz w:val="17"/>
                <w:szCs w:val="17"/>
                <w:color w:val="auto"/>
              </w:rPr>
              <w:t xml:space="preserve">Common Unit Cash Distributions </w:t>
            </w:r>
            <w:r>
              <w:rPr>
                <w:rFonts w:ascii="Arial" w:cs="Arial" w:eastAsia="Arial" w:hAnsi="Arial"/>
                <w:sz w:val="22"/>
                <w:szCs w:val="22"/>
                <w:color w:val="auto"/>
                <w:vertAlign w:val="superscript"/>
              </w:rPr>
              <w:t>(6)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153</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374</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Common Unit Distribution Coverage Ratio</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1.98x</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2.61x</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2.18x</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Implied DCF Excess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Adjustment to exclude our proportionate share of depreciation and amortization expense (including write-downs related to cancelled projects and impairments) of unconsolidated entities.</w:t>
      </w:r>
    </w:p>
    <w:p>
      <w:pPr>
        <w:spacing w:after="0" w:line="32" w:lineRule="exact"/>
        <w:rPr>
          <w:rFonts w:ascii="Arial" w:cs="Arial" w:eastAsia="Arial" w:hAnsi="Arial"/>
          <w:sz w:val="17"/>
          <w:szCs w:val="17"/>
          <w:color w:val="auto"/>
          <w:vertAlign w:val="superscript"/>
        </w:rPr>
      </w:pPr>
    </w:p>
    <w:p>
      <w:pPr>
        <w:ind w:left="340" w:hanging="332"/>
        <w:spacing w:after="0"/>
        <w:tabs>
          <w:tab w:leader="none" w:pos="340" w:val="left"/>
        </w:tabs>
        <w:numPr>
          <w:ilvl w:val="0"/>
          <w:numId w:val="12"/>
        </w:numPr>
        <w:rPr>
          <w:rFonts w:ascii="Arial" w:cs="Arial" w:eastAsia="Arial" w:hAnsi="Arial"/>
          <w:sz w:val="9"/>
          <w:szCs w:val="9"/>
          <w:color w:val="auto"/>
        </w:rPr>
      </w:pPr>
      <w:r>
        <w:rPr>
          <w:rFonts w:ascii="Arial" w:cs="Arial" w:eastAsia="Arial" w:hAnsi="Arial"/>
          <w:sz w:val="14"/>
          <w:szCs w:val="14"/>
          <w:color w:val="auto"/>
        </w:rPr>
        <w:t>See the “Selected Items Impacting Comparability” table for additional information.</w:t>
      </w:r>
    </w:p>
    <w:p>
      <w:pPr>
        <w:spacing w:after="0" w:line="9" w:lineRule="exact"/>
        <w:rPr>
          <w:rFonts w:ascii="Arial" w:cs="Arial" w:eastAsia="Arial" w:hAnsi="Arial"/>
          <w:sz w:val="9"/>
          <w:szCs w:val="9"/>
          <w:color w:val="auto"/>
        </w:rPr>
      </w:pPr>
    </w:p>
    <w:p>
      <w:pPr>
        <w:ind w:left="340" w:hanging="332"/>
        <w:spacing w:after="0" w:line="237" w:lineRule="auto"/>
        <w:tabs>
          <w:tab w:leader="none" w:pos="34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Excludes certain non-cash items impacting interest expense such as amortization of debt issuance costs and terminated interest rate swaps.</w:t>
      </w:r>
    </w:p>
    <w:p>
      <w:pPr>
        <w:spacing w:after="0" w:line="32" w:lineRule="exact"/>
        <w:rPr>
          <w:rFonts w:ascii="Arial" w:cs="Arial" w:eastAsia="Arial" w:hAnsi="Arial"/>
          <w:sz w:val="19"/>
          <w:szCs w:val="19"/>
          <w:color w:val="auto"/>
          <w:vertAlign w:val="superscript"/>
        </w:rPr>
      </w:pPr>
    </w:p>
    <w:p>
      <w:pPr>
        <w:ind w:left="340" w:hanging="332"/>
        <w:spacing w:after="0" w:line="186" w:lineRule="auto"/>
        <w:tabs>
          <w:tab w:leader="none" w:pos="34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Investment capital expenditures attributable to noncontrolling interests that reduce Implied DCF available to PAA common unitholders.</w:t>
      </w:r>
    </w:p>
    <w:p>
      <w:pPr>
        <w:spacing w:after="0" w:line="46" w:lineRule="exact"/>
        <w:rPr>
          <w:rFonts w:ascii="Arial" w:cs="Arial" w:eastAsia="Arial" w:hAnsi="Arial"/>
          <w:sz w:val="19"/>
          <w:szCs w:val="19"/>
          <w:color w:val="auto"/>
          <w:vertAlign w:val="superscript"/>
        </w:rPr>
      </w:pPr>
    </w:p>
    <w:p>
      <w:pPr>
        <w:ind w:left="340" w:right="80" w:hanging="332"/>
        <w:spacing w:after="0" w:line="210" w:lineRule="auto"/>
        <w:tabs>
          <w:tab w:leader="none" w:pos="34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ind w:left="340" w:hanging="332"/>
        <w:spacing w:after="0" w:line="237" w:lineRule="auto"/>
        <w:tabs>
          <w:tab w:leader="none" w:pos="34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Cash distributions paid during the period presented.</w:t>
      </w:r>
    </w:p>
    <w:p>
      <w:pPr>
        <w:spacing w:after="0" w:line="32" w:lineRule="exact"/>
        <w:rPr>
          <w:rFonts w:ascii="Arial" w:cs="Arial" w:eastAsia="Arial" w:hAnsi="Arial"/>
          <w:sz w:val="19"/>
          <w:szCs w:val="19"/>
          <w:color w:val="auto"/>
          <w:vertAlign w:val="superscript"/>
        </w:rPr>
      </w:pPr>
    </w:p>
    <w:p>
      <w:pPr>
        <w:ind w:left="340" w:hanging="332"/>
        <w:spacing w:after="0"/>
        <w:tabs>
          <w:tab w:leader="none" w:pos="340" w:val="left"/>
        </w:tabs>
        <w:numPr>
          <w:ilvl w:val="0"/>
          <w:numId w:val="12"/>
        </w:numPr>
        <w:rPr>
          <w:rFonts w:ascii="Arial" w:cs="Arial" w:eastAsia="Arial" w:hAnsi="Arial"/>
          <w:sz w:val="9"/>
          <w:szCs w:val="9"/>
          <w:color w:val="auto"/>
        </w:rPr>
      </w:pPr>
      <w:r>
        <w:rPr>
          <w:rFonts w:ascii="Arial" w:cs="Arial" w:eastAsia="Arial" w:hAnsi="Arial"/>
          <w:sz w:val="14"/>
          <w:szCs w:val="14"/>
          <w:color w:val="auto"/>
        </w:rPr>
        <w:t>Implied DCF Available to Common Unitholders for the period divided by the weighted average common units outstanding for the period.</w:t>
      </w:r>
    </w:p>
    <w:p>
      <w:pPr>
        <w:spacing w:after="0" w:line="43" w:lineRule="exact"/>
        <w:rPr>
          <w:rFonts w:ascii="Arial" w:cs="Arial" w:eastAsia="Arial" w:hAnsi="Arial"/>
          <w:sz w:val="9"/>
          <w:szCs w:val="9"/>
          <w:color w:val="auto"/>
        </w:rPr>
      </w:pPr>
    </w:p>
    <w:p>
      <w:pPr>
        <w:ind w:left="340" w:right="40" w:hanging="332"/>
        <w:spacing w:after="0" w:line="230" w:lineRule="auto"/>
        <w:tabs>
          <w:tab w:leader="none" w:pos="34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234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Unit to Implied DCF Per Common Unit and Common Unit Equivalent Reconciliation:</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r>
      <w:tr>
        <w:trPr>
          <w:trHeight w:val="229"/>
        </w:trPr>
        <w:tc>
          <w:tcPr>
            <w:tcW w:w="20" w:type="dxa"/>
            <w:vAlign w:val="bottom"/>
          </w:tcPr>
          <w:p>
            <w:pPr>
              <w:spacing w:after="0"/>
              <w:rPr>
                <w:sz w:val="19"/>
                <w:szCs w:val="19"/>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net income per common unit</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0.32</w:t>
            </w:r>
          </w:p>
        </w:tc>
        <w:tc>
          <w:tcPr>
            <w:tcW w:w="860" w:type="dxa"/>
            <w:vAlign w:val="bottom"/>
            <w:gridSpan w:val="2"/>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0.22</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43"/>
        </w:trPr>
        <w:tc>
          <w:tcPr>
            <w:tcW w:w="20" w:type="dxa"/>
            <w:vAlign w:val="bottom"/>
          </w:tcPr>
          <w:p>
            <w:pPr>
              <w:spacing w:after="0"/>
              <w:rPr>
                <w:sz w:val="21"/>
                <w:szCs w:val="21"/>
                <w:color w:val="auto"/>
              </w:rPr>
            </w:pPr>
          </w:p>
        </w:tc>
        <w:tc>
          <w:tcPr>
            <w:tcW w:w="6120" w:type="dxa"/>
            <w:vAlign w:val="bottom"/>
            <w:tcBorders>
              <w:bottom w:val="single" w:sz="8" w:color="CCEEFF"/>
            </w:tcBorders>
            <w:gridSpan w:val="2"/>
          </w:tcPr>
          <w:p>
            <w:pPr>
              <w:ind w:left="20"/>
              <w:spacing w:after="0" w:line="243"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7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0.21</w:t>
            </w: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0.35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0.73</w:t>
            </w:r>
          </w:p>
        </w:tc>
      </w:tr>
      <w:tr>
        <w:trPr>
          <w:trHeight w:val="248"/>
        </w:trPr>
        <w:tc>
          <w:tcPr>
            <w:tcW w:w="20" w:type="dxa"/>
            <w:vAlign w:val="bottom"/>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Implied DCF per common unit</w:t>
            </w: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net income per common unit</w:t>
            </w: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0.32</w:t>
            </w:r>
          </w:p>
        </w:tc>
        <w:tc>
          <w:tcPr>
            <w:tcW w:w="860" w:type="dxa"/>
            <w:vAlign w:val="bottom"/>
            <w:gridSpan w:val="2"/>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0.22</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43"/>
        </w:trPr>
        <w:tc>
          <w:tcPr>
            <w:tcW w:w="20" w:type="dxa"/>
            <w:vAlign w:val="bottom"/>
          </w:tcPr>
          <w:p>
            <w:pPr>
              <w:spacing w:after="0"/>
              <w:rPr>
                <w:sz w:val="21"/>
                <w:szCs w:val="21"/>
                <w:color w:val="auto"/>
              </w:rPr>
            </w:pPr>
          </w:p>
        </w:tc>
        <w:tc>
          <w:tcPr>
            <w:tcW w:w="6120" w:type="dxa"/>
            <w:vAlign w:val="bottom"/>
            <w:tcBorders>
              <w:bottom w:val="single" w:sz="8" w:color="CCEEFF"/>
            </w:tcBorders>
            <w:gridSpan w:val="2"/>
          </w:tcPr>
          <w:p>
            <w:pPr>
              <w:ind w:left="20"/>
              <w:spacing w:after="0" w:line="243" w:lineRule="exact"/>
              <w:rPr>
                <w:sz w:val="20"/>
                <w:szCs w:val="20"/>
                <w:color w:val="auto"/>
              </w:rPr>
            </w:pPr>
            <w:r>
              <w:rPr>
                <w:rFonts w:ascii="Arial" w:cs="Arial" w:eastAsia="Arial" w:hAnsi="Arial"/>
                <w:sz w:val="18"/>
                <w:szCs w:val="18"/>
                <w:color w:val="auto"/>
              </w:rPr>
              <w:t xml:space="preserve">Reconciling items per common unit and common unit equivalent </w:t>
            </w:r>
            <w:r>
              <w:rPr>
                <w:rFonts w:ascii="Arial" w:cs="Arial" w:eastAsia="Arial" w:hAnsi="Arial"/>
                <w:sz w:val="23"/>
                <w:szCs w:val="23"/>
                <w:color w:val="auto"/>
                <w:vertAlign w:val="superscript"/>
              </w:rPr>
              <w:t>(1) (3)</w:t>
            </w:r>
          </w:p>
        </w:tc>
        <w:tc>
          <w:tcPr>
            <w:tcW w:w="7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0.22</w:t>
            </w: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0.35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r>
      <w:tr>
        <w:trPr>
          <w:trHeight w:val="248"/>
        </w:trPr>
        <w:tc>
          <w:tcPr>
            <w:tcW w:w="20" w:type="dxa"/>
            <w:vAlign w:val="bottom"/>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unit equivalent</w:t>
            </w: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134" w:lineRule="exact"/>
        <w:rPr>
          <w:sz w:val="20"/>
          <w:szCs w:val="20"/>
          <w:color w:val="auto"/>
        </w:rPr>
      </w:pPr>
    </w:p>
    <w:p>
      <w:pPr>
        <w:ind w:left="340" w:right="600" w:hanging="332"/>
        <w:spacing w:after="0" w:line="227" w:lineRule="auto"/>
        <w:tabs>
          <w:tab w:leader="none" w:pos="3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attributable to PAA and Implied DCF Reconciliation” table for additional information.</w:t>
      </w:r>
    </w:p>
    <w:p>
      <w:pPr>
        <w:spacing w:after="0" w:line="5"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698 million, 702 million, 698 million and 703 million, respectively.</w:t>
      </w:r>
    </w:p>
    <w:p>
      <w:pPr>
        <w:spacing w:after="0" w:line="55" w:lineRule="exact"/>
        <w:rPr>
          <w:rFonts w:ascii="Arial" w:cs="Arial" w:eastAsia="Arial" w:hAnsi="Arial"/>
          <w:sz w:val="23"/>
          <w:szCs w:val="23"/>
          <w:color w:val="auto"/>
          <w:vertAlign w:val="superscript"/>
        </w:rPr>
      </w:pPr>
    </w:p>
    <w:p>
      <w:pPr>
        <w:ind w:left="340" w:right="240" w:hanging="332"/>
        <w:spacing w:after="0" w:line="219" w:lineRule="auto"/>
        <w:tabs>
          <w:tab w:leader="none" w:pos="3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Free Cash Flow and Free Cash Flow after Distributions Reconciliation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5"/>
        </w:trPr>
        <w:tc>
          <w:tcPr>
            <w:tcW w:w="38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353"/>
              <w:spacing w:after="0"/>
              <w:rPr>
                <w:sz w:val="20"/>
                <w:szCs w:val="20"/>
                <w:color w:val="auto"/>
              </w:rPr>
            </w:pPr>
            <w:r>
              <w:rPr>
                <w:rFonts w:ascii="Arial" w:cs="Arial" w:eastAsia="Arial" w:hAnsi="Arial"/>
                <w:sz w:val="14"/>
                <w:szCs w:val="14"/>
                <w:b w:val="1"/>
                <w:bCs w:val="1"/>
                <w:color w:val="auto"/>
              </w:rPr>
              <w:t>2022</w:t>
            </w:r>
          </w:p>
        </w:tc>
      </w:tr>
      <w:tr>
        <w:trPr>
          <w:trHeight w:val="230"/>
        </w:trPr>
        <w:tc>
          <w:tcPr>
            <w:tcW w:w="6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740" w:type="dxa"/>
            <w:vAlign w:val="bottom"/>
            <w:tcBorders>
              <w:top w:val="single" w:sz="8" w:color="auto"/>
            </w:tcBorders>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188"/>
        </w:trPr>
        <w:tc>
          <w:tcPr>
            <w:tcW w:w="6240" w:type="dxa"/>
            <w:vAlign w:val="bottom"/>
            <w:gridSpan w:val="2"/>
          </w:tcPr>
          <w:p>
            <w:pPr>
              <w:ind w:left="20"/>
              <w:spacing w:after="0" w:line="189" w:lineRule="exact"/>
              <w:rPr>
                <w:sz w:val="20"/>
                <w:szCs w:val="20"/>
                <w:color w:val="auto"/>
              </w:rPr>
            </w:pPr>
            <w:r>
              <w:rPr>
                <w:rFonts w:ascii="Arial" w:cs="Arial" w:eastAsia="Arial" w:hAnsi="Arial"/>
                <w:sz w:val="18"/>
                <w:szCs w:val="18"/>
                <w:color w:val="auto"/>
                <w:w w:val="97"/>
              </w:rPr>
              <w:t>Adjustments to reconcile Net cash provided by operating activities to Free Cash</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0"/>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Flow:</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62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(2)</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23"/>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4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r>
      <w:tr>
        <w:trPr>
          <w:trHeight w:val="243"/>
        </w:trPr>
        <w:tc>
          <w:tcPr>
            <w:tcW w:w="6240" w:type="dxa"/>
            <w:vAlign w:val="bottom"/>
            <w:tcBorders>
              <w:bottom w:val="single" w:sz="8" w:color="CCEEFF"/>
            </w:tcBorders>
            <w:gridSpan w:val="2"/>
          </w:tcPr>
          <w:p>
            <w:pPr>
              <w:ind w:left="140"/>
              <w:spacing w:after="0" w:line="243" w:lineRule="exact"/>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(3)</w:t>
            </w:r>
          </w:p>
        </w:tc>
        <w:tc>
          <w:tcPr>
            <w:tcW w:w="7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(246)</w:t>
            </w: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r>
      <w:tr>
        <w:trPr>
          <w:trHeight w:val="248"/>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Free Cash Flow after Distributions</w:t>
            </w: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880" w:type="dxa"/>
            <w:vAlign w:val="bottom"/>
            <w:tcBorders>
              <w:bottom w:val="single" w:sz="8" w:color="auto"/>
            </w:tcBorders>
          </w:tcPr>
          <w:p>
            <w:pPr>
              <w:spacing w:after="0"/>
              <w:rPr>
                <w:sz w:val="16"/>
                <w:szCs w:val="16"/>
                <w:color w:val="auto"/>
              </w:rPr>
            </w:pPr>
          </w:p>
        </w:tc>
        <w:tc>
          <w:tcPr>
            <w:tcW w:w="2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r>
    </w:tbl>
    <w:p>
      <w:pPr>
        <w:spacing w:after="0" w:line="134" w:lineRule="exact"/>
        <w:rPr>
          <w:sz w:val="20"/>
          <w:szCs w:val="20"/>
          <w:color w:val="auto"/>
        </w:rPr>
      </w:pPr>
    </w:p>
    <w:p>
      <w:pPr>
        <w:ind w:left="340" w:right="300" w:hanging="332"/>
        <w:spacing w:after="0" w:line="238"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Management uses the Non-GAAP financial liquidity measures Free Cash Flow and Free Cash Flow after Distributions to assess the amount of cash that is available for distributions, debt repayments, common equity repurchases and other general partnership purposes.</w:t>
      </w:r>
    </w:p>
    <w:p>
      <w:pPr>
        <w:spacing w:after="0" w:line="7"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55" w:lineRule="exact"/>
        <w:rPr>
          <w:rFonts w:ascii="Arial" w:cs="Arial" w:eastAsia="Arial" w:hAnsi="Arial"/>
          <w:sz w:val="23"/>
          <w:szCs w:val="23"/>
          <w:color w:val="auto"/>
          <w:vertAlign w:val="superscript"/>
        </w:rPr>
      </w:pPr>
    </w:p>
    <w:p>
      <w:pPr>
        <w:ind w:left="340" w:hanging="332"/>
        <w:spacing w:after="0" w:line="194" w:lineRule="auto"/>
        <w:tabs>
          <w:tab w:leader="none" w:pos="34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preferred and common unitholders during the period.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234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6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ind w:right="355"/>
              <w:spacing w:after="0"/>
              <w:rPr>
                <w:sz w:val="20"/>
                <w:szCs w:val="20"/>
                <w:color w:val="auto"/>
              </w:rPr>
            </w:pPr>
            <w:r>
              <w:rPr>
                <w:rFonts w:ascii="Arial" w:cs="Arial" w:eastAsia="Arial" w:hAnsi="Arial"/>
                <w:sz w:val="14"/>
                <w:szCs w:val="14"/>
                <w:b w:val="1"/>
                <w:bCs w:val="1"/>
                <w:color w:val="auto"/>
              </w:rPr>
              <w:t>2022</w:t>
            </w: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8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200" w:type="dxa"/>
            <w:vAlign w:val="bottom"/>
            <w:gridSpan w:val="2"/>
          </w:tcPr>
          <w:p>
            <w:pPr>
              <w:ind w:left="20"/>
              <w:spacing w:after="0" w:line="229" w:lineRule="exact"/>
              <w:rPr>
                <w:sz w:val="20"/>
                <w:szCs w:val="20"/>
                <w:color w:val="auto"/>
              </w:rPr>
            </w:pPr>
            <w:r>
              <w:rPr>
                <w:rFonts w:ascii="Arial" w:cs="Arial" w:eastAsia="Arial" w:hAnsi="Arial"/>
                <w:sz w:val="17"/>
                <w:szCs w:val="17"/>
                <w:color w:val="auto"/>
              </w:rPr>
              <w:t xml:space="preserve">Derivative activities and inventory valuation adjustments </w:t>
            </w:r>
            <w:r>
              <w:rPr>
                <w:rFonts w:ascii="Arial" w:cs="Arial" w:eastAsia="Arial" w:hAnsi="Arial"/>
                <w:sz w:val="22"/>
                <w:szCs w:val="22"/>
                <w:color w:val="auto"/>
                <w:vertAlign w:val="superscript"/>
              </w:rPr>
              <w:t>(2)</w:t>
            </w:r>
          </w:p>
        </w:tc>
        <w:tc>
          <w:tcPr>
            <w:tcW w:w="800" w:type="dxa"/>
            <w:vAlign w:val="bottom"/>
          </w:tcPr>
          <w:p>
            <w:pPr>
              <w:jc w:val="right"/>
              <w:ind w:right="620"/>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86</w:t>
            </w:r>
          </w:p>
        </w:tc>
        <w:tc>
          <w:tcPr>
            <w:tcW w:w="880" w:type="dxa"/>
            <w:vAlign w:val="bottom"/>
            <w:gridSpan w:val="2"/>
          </w:tcPr>
          <w:p>
            <w:pPr>
              <w:jc w:val="right"/>
              <w:ind w:right="595"/>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(28)</w:t>
            </w:r>
          </w:p>
        </w:tc>
        <w:tc>
          <w:tcPr>
            <w:tcW w:w="38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52</w:t>
            </w:r>
          </w:p>
        </w:tc>
        <w:tc>
          <w:tcPr>
            <w:tcW w:w="44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(160)</w:t>
            </w:r>
          </w:p>
        </w:tc>
      </w:tr>
      <w:tr>
        <w:trPr>
          <w:trHeight w:val="229"/>
        </w:trPr>
        <w:tc>
          <w:tcPr>
            <w:tcW w:w="20" w:type="dxa"/>
            <w:vAlign w:val="bottom"/>
          </w:tcPr>
          <w:p>
            <w:pPr>
              <w:spacing w:after="0"/>
              <w:rPr>
                <w:sz w:val="19"/>
                <w:szCs w:val="19"/>
                <w:color w:val="auto"/>
              </w:rPr>
            </w:pPr>
          </w:p>
        </w:tc>
        <w:tc>
          <w:tcPr>
            <w:tcW w:w="6200" w:type="dxa"/>
            <w:vAlign w:val="bottom"/>
            <w:gridSpan w:val="2"/>
            <w:shd w:val="clear" w:color="auto" w:fill="CCEEFF"/>
          </w:tcPr>
          <w:p>
            <w:pPr>
              <w:ind w:left="20"/>
              <w:spacing w:after="0" w:line="229" w:lineRule="exact"/>
              <w:rPr>
                <w:sz w:val="20"/>
                <w:szCs w:val="20"/>
                <w:color w:val="auto"/>
              </w:rPr>
            </w:pPr>
            <w:r>
              <w:rPr>
                <w:rFonts w:ascii="Arial" w:cs="Arial" w:eastAsia="Arial" w:hAnsi="Arial"/>
                <w:sz w:val="17"/>
                <w:szCs w:val="17"/>
                <w:color w:val="auto"/>
              </w:rPr>
              <w:t xml:space="preserve">Long-term inventory costing adjustments </w:t>
            </w:r>
            <w:r>
              <w:rPr>
                <w:rFonts w:ascii="Arial" w:cs="Arial" w:eastAsia="Arial" w:hAnsi="Arial"/>
                <w:sz w:val="22"/>
                <w:szCs w:val="22"/>
                <w:color w:val="auto"/>
                <w:vertAlign w:val="superscript"/>
              </w:rPr>
              <w:t>(3)</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r>
      <w:tr>
        <w:trPr>
          <w:trHeight w:val="216"/>
        </w:trPr>
        <w:tc>
          <w:tcPr>
            <w:tcW w:w="20" w:type="dxa"/>
            <w:vAlign w:val="bottom"/>
          </w:tcPr>
          <w:p>
            <w:pPr>
              <w:spacing w:after="0"/>
              <w:rPr>
                <w:sz w:val="18"/>
                <w:szCs w:val="18"/>
                <w:color w:val="auto"/>
              </w:rPr>
            </w:pPr>
          </w:p>
        </w:tc>
        <w:tc>
          <w:tcPr>
            <w:tcW w:w="62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Deficiencies under minimum volume commitments, net </w:t>
            </w:r>
            <w:r>
              <w:rPr>
                <w:rFonts w:ascii="Arial" w:cs="Arial" w:eastAsia="Arial" w:hAnsi="Arial"/>
                <w:sz w:val="22"/>
                <w:szCs w:val="22"/>
                <w:color w:val="auto"/>
                <w:vertAlign w:val="superscript"/>
              </w:rPr>
              <w:t>(4)</w:t>
            </w: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30"/>
        </w:trPr>
        <w:tc>
          <w:tcPr>
            <w:tcW w:w="20" w:type="dxa"/>
            <w:vAlign w:val="bottom"/>
          </w:tcPr>
          <w:p>
            <w:pPr>
              <w:spacing w:after="0"/>
              <w:rPr>
                <w:sz w:val="19"/>
                <w:szCs w:val="19"/>
                <w:color w:val="auto"/>
              </w:rPr>
            </w:pPr>
          </w:p>
        </w:tc>
        <w:tc>
          <w:tcPr>
            <w:tcW w:w="6200" w:type="dxa"/>
            <w:vAlign w:val="bottom"/>
            <w:gridSpan w:val="2"/>
            <w:shd w:val="clear" w:color="auto" w:fill="CCEEFF"/>
          </w:tcPr>
          <w:p>
            <w:pPr>
              <w:ind w:left="20"/>
              <w:spacing w:after="0" w:line="229" w:lineRule="exact"/>
              <w:rPr>
                <w:sz w:val="20"/>
                <w:szCs w:val="20"/>
                <w:color w:val="auto"/>
              </w:rPr>
            </w:pPr>
            <w:r>
              <w:rPr>
                <w:rFonts w:ascii="Arial" w:cs="Arial" w:eastAsia="Arial" w:hAnsi="Arial"/>
                <w:sz w:val="17"/>
                <w:szCs w:val="17"/>
                <w:color w:val="auto"/>
              </w:rPr>
              <w:t xml:space="preserve">Equity-indexed compensation expense </w:t>
            </w:r>
            <w:r>
              <w:rPr>
                <w:rFonts w:ascii="Arial" w:cs="Arial" w:eastAsia="Arial" w:hAnsi="Arial"/>
                <w:sz w:val="22"/>
                <w:szCs w:val="22"/>
                <w:color w:val="auto"/>
                <w:vertAlign w:val="superscript"/>
              </w:rPr>
              <w:t>(5)</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29"/>
        </w:trPr>
        <w:tc>
          <w:tcPr>
            <w:tcW w:w="20" w:type="dxa"/>
            <w:vAlign w:val="bottom"/>
          </w:tcPr>
          <w:p>
            <w:pPr>
              <w:spacing w:after="0"/>
              <w:rPr>
                <w:sz w:val="19"/>
                <w:szCs w:val="19"/>
                <w:color w:val="auto"/>
              </w:rPr>
            </w:pPr>
          </w:p>
        </w:tc>
        <w:tc>
          <w:tcPr>
            <w:tcW w:w="6200" w:type="dxa"/>
            <w:vAlign w:val="bottom"/>
            <w:gridSpan w:val="2"/>
          </w:tcPr>
          <w:p>
            <w:pPr>
              <w:ind w:left="20"/>
              <w:spacing w:after="0" w:line="229" w:lineRule="exact"/>
              <w:rPr>
                <w:sz w:val="20"/>
                <w:szCs w:val="20"/>
                <w:color w:val="auto"/>
              </w:rPr>
            </w:pPr>
            <w:r>
              <w:rPr>
                <w:rFonts w:ascii="Arial" w:cs="Arial" w:eastAsia="Arial" w:hAnsi="Arial"/>
                <w:sz w:val="17"/>
                <w:szCs w:val="17"/>
                <w:color w:val="auto"/>
              </w:rPr>
              <w:t xml:space="preserve">Foreign currency revaluation </w:t>
            </w:r>
            <w:r>
              <w:rPr>
                <w:rFonts w:ascii="Arial" w:cs="Arial" w:eastAsia="Arial" w:hAnsi="Arial"/>
                <w:sz w:val="22"/>
                <w:szCs w:val="22"/>
                <w:color w:val="auto"/>
                <w:vertAlign w:val="superscript"/>
              </w:rPr>
              <w:t>(6)</w:t>
            </w: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Line 901 incident </w:t>
            </w:r>
            <w:r>
              <w:rPr>
                <w:rFonts w:ascii="Arial" w:cs="Arial" w:eastAsia="Arial" w:hAnsi="Arial"/>
                <w:sz w:val="22"/>
                <w:szCs w:val="22"/>
                <w:color w:val="auto"/>
                <w:vertAlign w:val="superscript"/>
              </w:rPr>
              <w:t>(7)</w:t>
            </w:r>
          </w:p>
        </w:tc>
        <w:tc>
          <w:tcPr>
            <w:tcW w:w="8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10"/>
        </w:trPr>
        <w:tc>
          <w:tcPr>
            <w:tcW w:w="20" w:type="dxa"/>
            <w:vAlign w:val="bottom"/>
          </w:tcPr>
          <w:p>
            <w:pPr>
              <w:spacing w:after="0"/>
              <w:rPr>
                <w:sz w:val="18"/>
                <w:szCs w:val="18"/>
                <w:color w:val="auto"/>
              </w:rPr>
            </w:pPr>
          </w:p>
        </w:tc>
        <w:tc>
          <w:tcPr>
            <w:tcW w:w="6200" w:type="dxa"/>
            <w:vAlign w:val="bottom"/>
            <w:gridSpan w:val="2"/>
          </w:tcPr>
          <w:p>
            <w:pPr>
              <w:ind w:left="180"/>
              <w:spacing w:after="0"/>
              <w:rPr>
                <w:sz w:val="20"/>
                <w:szCs w:val="20"/>
                <w:color w:val="auto"/>
              </w:rPr>
            </w:pPr>
            <w:r>
              <w:rPr>
                <w:rFonts w:ascii="Arial" w:cs="Arial" w:eastAsia="Arial" w:hAnsi="Arial"/>
                <w:sz w:val="17"/>
                <w:szCs w:val="17"/>
                <w:color w:val="auto"/>
              </w:rPr>
              <w:t>Selected items impacting comparability - Adjusted EBITDA</w:t>
            </w:r>
          </w:p>
        </w:tc>
        <w:tc>
          <w:tcPr>
            <w:tcW w:w="800" w:type="dxa"/>
            <w:vAlign w:val="bottom"/>
          </w:tcPr>
          <w:p>
            <w:pPr>
              <w:jc w:val="right"/>
              <w:ind w:right="620"/>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8"/>
                <w:szCs w:val="18"/>
                <w:color w:val="auto"/>
              </w:rPr>
            </w:pPr>
          </w:p>
        </w:tc>
        <w:tc>
          <w:tcPr>
            <w:tcW w:w="780" w:type="dxa"/>
            <w:vAlign w:val="bottom"/>
          </w:tcPr>
          <w:p>
            <w:pPr>
              <w:jc w:val="right"/>
              <w:ind w:right="595"/>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8"/>
                <w:szCs w:val="18"/>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(180)</w:t>
            </w:r>
          </w:p>
        </w:tc>
      </w:tr>
      <w:tr>
        <w:trPr>
          <w:trHeight w:val="243"/>
        </w:trPr>
        <w:tc>
          <w:tcPr>
            <w:tcW w:w="20" w:type="dxa"/>
            <w:vAlign w:val="bottom"/>
          </w:tcPr>
          <w:p>
            <w:pPr>
              <w:spacing w:after="0"/>
              <w:rPr>
                <w:sz w:val="21"/>
                <w:szCs w:val="21"/>
                <w:color w:val="auto"/>
              </w:rPr>
            </w:pPr>
          </w:p>
        </w:tc>
        <w:tc>
          <w:tcPr>
            <w:tcW w:w="6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Derivative activities</w:t>
            </w:r>
          </w:p>
        </w:tc>
        <w:tc>
          <w:tcPr>
            <w:tcW w:w="80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19"/>
                <w:szCs w:val="19"/>
                <w:color w:val="auto"/>
              </w:rPr>
            </w:pPr>
          </w:p>
        </w:tc>
        <w:tc>
          <w:tcPr>
            <w:tcW w:w="6200" w:type="dxa"/>
            <w:vAlign w:val="bottom"/>
            <w:gridSpan w:val="2"/>
          </w:tcPr>
          <w:p>
            <w:pPr>
              <w:ind w:left="20"/>
              <w:spacing w:after="0"/>
              <w:rPr>
                <w:sz w:val="20"/>
                <w:szCs w:val="20"/>
                <w:color w:val="auto"/>
              </w:rPr>
            </w:pPr>
            <w:r>
              <w:rPr>
                <w:rFonts w:ascii="Arial" w:cs="Arial" w:eastAsia="Arial" w:hAnsi="Arial"/>
                <w:sz w:val="17"/>
                <w:szCs w:val="17"/>
                <w:color w:val="auto"/>
              </w:rPr>
              <w:t>Gains/(losses) on asset sales and asset impairments, net</w:t>
            </w: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20" w:type="dxa"/>
            <w:vAlign w:val="bottom"/>
          </w:tcPr>
          <w:p>
            <w:pPr>
              <w:spacing w:after="0"/>
              <w:rPr>
                <w:sz w:val="19"/>
                <w:szCs w:val="19"/>
                <w:color w:val="auto"/>
              </w:rPr>
            </w:pPr>
          </w:p>
        </w:tc>
        <w:tc>
          <w:tcPr>
            <w:tcW w:w="6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 effect on selected items impacting comparability</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16"/>
        </w:trPr>
        <w:tc>
          <w:tcPr>
            <w:tcW w:w="20" w:type="dxa"/>
            <w:vAlign w:val="bottom"/>
          </w:tcPr>
          <w:p>
            <w:pPr>
              <w:spacing w:after="0"/>
              <w:rPr>
                <w:sz w:val="18"/>
                <w:szCs w:val="18"/>
                <w:color w:val="auto"/>
              </w:rPr>
            </w:pPr>
          </w:p>
        </w:tc>
        <w:tc>
          <w:tcPr>
            <w:tcW w:w="6200" w:type="dxa"/>
            <w:vAlign w:val="bottom"/>
            <w:gridSpan w:val="2"/>
          </w:tcPr>
          <w:p>
            <w:pPr>
              <w:ind w:left="20"/>
              <w:spacing w:after="0"/>
              <w:rPr>
                <w:sz w:val="20"/>
                <w:szCs w:val="20"/>
                <w:color w:val="auto"/>
              </w:rPr>
            </w:pPr>
            <w:r>
              <w:rPr>
                <w:rFonts w:ascii="Arial" w:cs="Arial" w:eastAsia="Arial" w:hAnsi="Arial"/>
                <w:sz w:val="17"/>
                <w:szCs w:val="17"/>
                <w:color w:val="auto"/>
              </w:rPr>
              <w:t>Aggregate selected items impacting noncontrolling interests</w:t>
            </w: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3"/>
        </w:trPr>
        <w:tc>
          <w:tcPr>
            <w:tcW w:w="20" w:type="dxa"/>
            <w:vAlign w:val="bottom"/>
          </w:tcPr>
          <w:p>
            <w:pPr>
              <w:spacing w:after="0"/>
              <w:rPr>
                <w:sz w:val="21"/>
                <w:szCs w:val="21"/>
                <w:color w:val="auto"/>
              </w:rPr>
            </w:pPr>
          </w:p>
        </w:tc>
        <w:tc>
          <w:tcPr>
            <w:tcW w:w="62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8"/>
              </w:rPr>
              <w:t>Selected items impacting comparability - Adjusted net income attributable to PAA</w:t>
            </w:r>
          </w:p>
        </w:tc>
        <w:tc>
          <w:tcPr>
            <w:tcW w:w="800" w:type="dxa"/>
            <w:vAlign w:val="bottom"/>
            <w:shd w:val="clear" w:color="auto" w:fill="CCEEFF"/>
          </w:tcPr>
          <w:p>
            <w:pPr>
              <w:jc w:val="right"/>
              <w:ind w:right="620"/>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880" w:type="dxa"/>
            <w:vAlign w:val="bottom"/>
            <w:gridSpan w:val="2"/>
            <w:shd w:val="clear" w:color="auto" w:fill="CCEEFF"/>
          </w:tcPr>
          <w:p>
            <w:pPr>
              <w:jc w:val="right"/>
              <w:ind w:right="59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38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440" w:type="dxa"/>
            <w:vAlign w:val="bottom"/>
            <w:gridSpan w:val="2"/>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2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2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r>
    </w:tbl>
    <w:p>
      <w:pPr>
        <w:spacing w:after="0" w:line="130" w:lineRule="exact"/>
        <w:rPr>
          <w:sz w:val="20"/>
          <w:szCs w:val="20"/>
          <w:color w:val="auto"/>
        </w:rPr>
      </w:pPr>
    </w:p>
    <w:p>
      <w:pPr>
        <w:ind w:left="340" w:right="40" w:hanging="332"/>
        <w:spacing w:after="0" w:line="230" w:lineRule="auto"/>
        <w:tabs>
          <w:tab w:leader="none" w:pos="34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 for additional details on how these selected items impacting comparability affect such measures.</w:t>
      </w:r>
    </w:p>
    <w:p>
      <w:pPr>
        <w:spacing w:after="0" w:line="35" w:lineRule="exact"/>
        <w:rPr>
          <w:rFonts w:ascii="Arial" w:cs="Arial" w:eastAsia="Arial" w:hAnsi="Arial"/>
          <w:sz w:val="19"/>
          <w:szCs w:val="19"/>
          <w:color w:val="auto"/>
          <w:vertAlign w:val="superscript"/>
        </w:rPr>
      </w:pPr>
    </w:p>
    <w:p>
      <w:pPr>
        <w:ind w:left="340" w:right="40" w:hanging="332"/>
        <w:spacing w:after="0" w:line="271" w:lineRule="auto"/>
        <w:tabs>
          <w:tab w:leader="none" w:pos="340"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 In addition, for applicable periods, we excluded gains and losses from the mark-to-market of the embedded derivative associated with the Preferred Distribution Rate Reset Option of our Series A preferred units.</w:t>
      </w:r>
    </w:p>
    <w:p>
      <w:pPr>
        <w:spacing w:after="0" w:line="8" w:lineRule="exact"/>
        <w:rPr>
          <w:rFonts w:ascii="Arial" w:cs="Arial" w:eastAsia="Arial" w:hAnsi="Arial"/>
          <w:sz w:val="17"/>
          <w:szCs w:val="17"/>
          <w:color w:val="auto"/>
          <w:vertAlign w:val="superscript"/>
        </w:rPr>
      </w:pPr>
    </w:p>
    <w:p>
      <w:pPr>
        <w:ind w:left="340" w:right="20" w:hanging="332"/>
        <w:spacing w:after="0" w:line="264" w:lineRule="auto"/>
        <w:tabs>
          <w:tab w:leader="none" w:pos="340"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20" w:lineRule="exact"/>
        <w:rPr>
          <w:rFonts w:ascii="Arial" w:cs="Arial" w:eastAsia="Arial" w:hAnsi="Arial"/>
          <w:sz w:val="17"/>
          <w:szCs w:val="17"/>
          <w:color w:val="auto"/>
          <w:vertAlign w:val="superscript"/>
        </w:rPr>
      </w:pPr>
    </w:p>
    <w:p>
      <w:pPr>
        <w:ind w:left="340" w:hanging="332"/>
        <w:spacing w:after="0" w:line="272" w:lineRule="auto"/>
        <w:tabs>
          <w:tab w:leader="none" w:pos="340"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6" w:lineRule="exact"/>
        <w:rPr>
          <w:rFonts w:ascii="Arial" w:cs="Arial" w:eastAsia="Arial" w:hAnsi="Arial"/>
          <w:sz w:val="17"/>
          <w:szCs w:val="17"/>
          <w:color w:val="auto"/>
          <w:vertAlign w:val="superscript"/>
        </w:rPr>
      </w:pPr>
    </w:p>
    <w:p>
      <w:pPr>
        <w:ind w:left="340" w:right="20" w:hanging="332"/>
        <w:spacing w:after="0" w:line="237" w:lineRule="auto"/>
        <w:tabs>
          <w:tab w:leader="none" w:pos="34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6" w:lineRule="exact"/>
        <w:rPr>
          <w:rFonts w:ascii="Arial" w:cs="Arial" w:eastAsia="Arial" w:hAnsi="Arial"/>
          <w:sz w:val="19"/>
          <w:szCs w:val="19"/>
          <w:color w:val="auto"/>
          <w:vertAlign w:val="superscript"/>
        </w:rPr>
      </w:pPr>
    </w:p>
    <w:p>
      <w:pPr>
        <w:ind w:left="340" w:right="60" w:hanging="332"/>
        <w:spacing w:after="0" w:line="230" w:lineRule="auto"/>
        <w:tabs>
          <w:tab w:leader="none" w:pos="34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1" w:lineRule="exact"/>
        <w:rPr>
          <w:rFonts w:ascii="Arial" w:cs="Arial" w:eastAsia="Arial" w:hAnsi="Arial"/>
          <w:sz w:val="19"/>
          <w:szCs w:val="19"/>
          <w:color w:val="auto"/>
          <w:vertAlign w:val="superscript"/>
        </w:rPr>
      </w:pPr>
    </w:p>
    <w:p>
      <w:pPr>
        <w:ind w:left="340" w:hanging="332"/>
        <w:spacing w:after="0" w:line="237" w:lineRule="auto"/>
        <w:tabs>
          <w:tab w:leader="none" w:pos="34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Includes costs recognized during the period related to the Line 901 incident that occurred in May 2015, net of amounts we believe are probable of recovery from insurance.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234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38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2023</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780" w:type="dxa"/>
            <w:vAlign w:val="bottom"/>
            <w:tcBorders>
              <w:bottom w:val="single" w:sz="8" w:color="auto"/>
            </w:tcBorders>
          </w:tcPr>
          <w:p>
            <w:pPr>
              <w:spacing w:after="0"/>
              <w:rPr>
                <w:sz w:val="16"/>
                <w:szCs w:val="16"/>
                <w:color w:val="auto"/>
              </w:rPr>
            </w:pPr>
          </w:p>
        </w:tc>
      </w:tr>
      <w:tr>
        <w:trPr>
          <w:trHeight w:val="209"/>
        </w:trPr>
        <w:tc>
          <w:tcPr>
            <w:tcW w:w="3880" w:type="dxa"/>
            <w:vAlign w:val="bottom"/>
            <w:tcBorders>
              <w:bottom w:val="single" w:sz="8" w:color="CCEEFF"/>
            </w:tcBorders>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5"/>
                <w:szCs w:val="15"/>
                <w:b w:val="1"/>
                <w:bCs w:val="1"/>
                <w:color w:val="auto"/>
              </w:rPr>
              <w:t>Crude Oil</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5"/>
                <w:szCs w:val="15"/>
                <w:b w:val="1"/>
                <w:bCs w:val="1"/>
                <w:color w:val="auto"/>
              </w:rPr>
              <w:t>NGL</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5"/>
                <w:szCs w:val="15"/>
                <w:b w:val="1"/>
                <w:bCs w:val="1"/>
                <w:color w:val="auto"/>
              </w:rPr>
              <w:t>Crude Oil</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5"/>
                <w:szCs w:val="15"/>
                <w:b w:val="1"/>
                <w:bCs w:val="1"/>
                <w:color w:val="auto"/>
              </w:rPr>
              <w:t>NGL</w:t>
            </w:r>
          </w:p>
        </w:tc>
      </w:tr>
      <w:tr>
        <w:trPr>
          <w:trHeight w:val="229"/>
        </w:trPr>
        <w:tc>
          <w:tcPr>
            <w:tcW w:w="61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30"/>
        </w:trPr>
        <w:tc>
          <w:tcPr>
            <w:tcW w:w="61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43"/>
        </w:trPr>
        <w:tc>
          <w:tcPr>
            <w:tcW w:w="614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61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8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43"/>
        </w:trPr>
        <w:tc>
          <w:tcPr>
            <w:tcW w:w="614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9"/>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 of unconsolidated entities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Deficiencies under minimum volume commitments, net</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revaluation</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14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Adjusted EBITDA attributable to noncontrolling interests </w:t>
            </w:r>
            <w:r>
              <w:rPr>
                <w:rFonts w:ascii="Arial" w:cs="Arial" w:eastAsia="Arial" w:hAnsi="Arial"/>
                <w:sz w:val="23"/>
                <w:szCs w:val="23"/>
                <w:color w:val="auto"/>
                <w:vertAlign w:val="superscript"/>
              </w:rPr>
              <w:t>(5)</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right w:val="single" w:sz="8" w:color="auto"/>
            </w:tcBorders>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3"/>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 expenditures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right w:val="single" w:sz="8" w:color="auto"/>
            </w:tcBorders>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r>
    </w:tbl>
    <w:p>
      <w:pPr>
        <w:spacing w:after="0" w:line="129"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200"/>
            <w:col w:w="10900"/>
          </w:cols>
          <w:pgMar w:left="320" w:top="368" w:right="339" w:bottom="1440" w:gutter="0" w:footer="0" w:header="0"/>
          <w:type w:val="continuous"/>
        </w:sectPr>
      </w:pPr>
    </w:p>
    <w:p>
      <w:pPr>
        <w:ind w:left="340" w:right="80" w:hanging="332"/>
        <w:spacing w:after="0" w:line="267" w:lineRule="auto"/>
        <w:tabs>
          <w:tab w:leader="none" w:pos="34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140" w:hanging="332"/>
        <w:spacing w:after="0" w:line="234" w:lineRule="auto"/>
        <w:tabs>
          <w:tab w:leader="none" w:pos="34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40" w:lineRule="exact"/>
        <w:rPr>
          <w:rFonts w:ascii="Arial" w:cs="Arial" w:eastAsia="Arial" w:hAnsi="Arial"/>
          <w:sz w:val="23"/>
          <w:szCs w:val="23"/>
          <w:color w:val="auto"/>
          <w:vertAlign w:val="superscript"/>
        </w:rPr>
      </w:pPr>
    </w:p>
    <w:p>
      <w:pPr>
        <w:ind w:left="340" w:right="600" w:hanging="332"/>
        <w:spacing w:after="0" w:line="227" w:lineRule="auto"/>
        <w:tabs>
          <w:tab w:leader="none" w:pos="34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Reflects amounts attributable to noncontrolling interests in the Permian JV, Cactus II Pipeline LLC (beginning November 2022) and Red River Pipeline LLC.</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234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3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2023</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780" w:type="dxa"/>
            <w:vAlign w:val="bottom"/>
            <w:tcBorders>
              <w:bottom w:val="single" w:sz="8" w:color="auto"/>
            </w:tcBorders>
          </w:tcPr>
          <w:p>
            <w:pPr>
              <w:spacing w:after="0"/>
              <w:rPr>
                <w:sz w:val="16"/>
                <w:szCs w:val="16"/>
                <w:color w:val="auto"/>
              </w:rPr>
            </w:pPr>
          </w:p>
        </w:tc>
      </w:tr>
      <w:tr>
        <w:trPr>
          <w:trHeight w:val="209"/>
        </w:trPr>
        <w:tc>
          <w:tcPr>
            <w:tcW w:w="388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73"/>
              <w:spacing w:after="0"/>
              <w:rPr>
                <w:sz w:val="20"/>
                <w:szCs w:val="20"/>
                <w:color w:val="auto"/>
              </w:rPr>
            </w:pPr>
            <w:r>
              <w:rPr>
                <w:rFonts w:ascii="Arial" w:cs="Arial" w:eastAsia="Arial" w:hAnsi="Arial"/>
                <w:sz w:val="15"/>
                <w:szCs w:val="15"/>
                <w:b w:val="1"/>
                <w:bCs w:val="1"/>
                <w:color w:val="auto"/>
              </w:rPr>
              <w:t>Crude Oil</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1"/>
              <w:spacing w:after="0"/>
              <w:rPr>
                <w:sz w:val="20"/>
                <w:szCs w:val="20"/>
                <w:color w:val="auto"/>
              </w:rPr>
            </w:pPr>
            <w:r>
              <w:rPr>
                <w:rFonts w:ascii="Arial" w:cs="Arial" w:eastAsia="Arial" w:hAnsi="Arial"/>
                <w:sz w:val="15"/>
                <w:szCs w:val="15"/>
                <w:b w:val="1"/>
                <w:bCs w:val="1"/>
                <w:color w:val="auto"/>
              </w:rPr>
              <w:t>NGL</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5"/>
                <w:szCs w:val="15"/>
                <w:b w:val="1"/>
                <w:bCs w:val="1"/>
                <w:color w:val="auto"/>
              </w:rPr>
              <w:t>Crude Oil</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5"/>
                <w:szCs w:val="15"/>
                <w:b w:val="1"/>
                <w:bCs w:val="1"/>
                <w:color w:val="auto"/>
              </w:rPr>
              <w:t>NGL</w:t>
            </w:r>
          </w:p>
        </w:tc>
      </w:tr>
      <w:tr>
        <w:trPr>
          <w:trHeight w:val="229"/>
        </w:trPr>
        <w:tc>
          <w:tcPr>
            <w:tcW w:w="61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r>
      <w:tr>
        <w:trPr>
          <w:trHeight w:val="230"/>
        </w:trPr>
        <w:tc>
          <w:tcPr>
            <w:tcW w:w="61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(618)</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(27,556)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243"/>
        </w:trPr>
        <w:tc>
          <w:tcPr>
            <w:tcW w:w="612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61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88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43"/>
        </w:trPr>
        <w:tc>
          <w:tcPr>
            <w:tcW w:w="612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9"/>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 of unconsolidated entities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Derivative activities and inventory valuation adjustments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6"/>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Deficiencies under minimum volume commitments, net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revaluation</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Line 901 incident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20" w:type="dxa"/>
            <w:vAlign w:val="bottom"/>
            <w:tcBorders>
              <w:bottom w:val="single" w:sz="8" w:color="CCEEFF"/>
            </w:tcBorders>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Adjusted EBITDA attributable to noncontrolling interests </w:t>
            </w:r>
            <w:r>
              <w:rPr>
                <w:rFonts w:ascii="Arial" w:cs="Arial" w:eastAsia="Arial" w:hAnsi="Arial"/>
                <w:sz w:val="23"/>
                <w:szCs w:val="23"/>
                <w:color w:val="auto"/>
                <w:vertAlign w:val="superscript"/>
              </w:rPr>
              <w:t>(5)</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Segment Adjusted EBITDA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1,046</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Borders>
              <w:right w:val="single" w:sz="8" w:color="auto"/>
            </w:tcBorders>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946</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Maintenance capital expenditures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right w:val="single" w:sz="8" w:color="auto"/>
            </w:tcBorders>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56"/>
        </w:trPr>
        <w:tc>
          <w:tcPr>
            <w:tcW w:w="3880" w:type="dxa"/>
            <w:vAlign w:val="bottom"/>
            <w:tcBorders>
              <w:bottom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r>
    </w:tbl>
    <w:p>
      <w:pPr>
        <w:spacing w:after="0" w:line="129"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200"/>
            <w:col w:w="10900"/>
          </w:cols>
          <w:pgMar w:left="320" w:top="368" w:right="339" w:bottom="1440" w:gutter="0" w:footer="0" w:header="0"/>
          <w:type w:val="continuous"/>
        </w:sectPr>
      </w:pPr>
    </w:p>
    <w:p>
      <w:pPr>
        <w:ind w:left="340" w:right="80" w:hanging="332"/>
        <w:spacing w:after="0" w:line="267" w:lineRule="auto"/>
        <w:tabs>
          <w:tab w:leader="none" w:pos="34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140" w:hanging="332"/>
        <w:spacing w:after="0" w:line="234" w:lineRule="auto"/>
        <w:tabs>
          <w:tab w:leader="none" w:pos="34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40" w:lineRule="exact"/>
        <w:rPr>
          <w:rFonts w:ascii="Arial" w:cs="Arial" w:eastAsia="Arial" w:hAnsi="Arial"/>
          <w:sz w:val="23"/>
          <w:szCs w:val="23"/>
          <w:color w:val="auto"/>
          <w:vertAlign w:val="superscript"/>
        </w:rPr>
      </w:pPr>
    </w:p>
    <w:p>
      <w:pPr>
        <w:ind w:left="340" w:right="600" w:hanging="332"/>
        <w:spacing w:after="0" w:line="227" w:lineRule="auto"/>
        <w:tabs>
          <w:tab w:leader="none" w:pos="34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Reflects amounts attributable to noncontrolling interests in the Permian JV, Cactus II Pipeline LLC (beginning November 2022) and Red River Pipeline LLC.</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234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 BY SEGMENT</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2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600" w:type="dxa"/>
            <w:vAlign w:val="bottom"/>
            <w:tcBorders>
              <w:bottom w:val="single" w:sz="8" w:color="auto"/>
            </w:tcBorders>
            <w:gridSpan w:val="3"/>
          </w:tcPr>
          <w:p>
            <w:pPr>
              <w:jc w:val="center"/>
              <w:ind w:left="753"/>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gridSpan w:val="3"/>
          </w:tcPr>
          <w:p>
            <w:pPr>
              <w:jc w:val="center"/>
              <w:ind w:left="764"/>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r>
      <w:tr>
        <w:trPr>
          <w:trHeight w:val="196"/>
        </w:trPr>
        <w:tc>
          <w:tcPr>
            <w:tcW w:w="38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1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16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Crude Oil Segment Volumes</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62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Crude oil pipeline tariff volumes (by region) </w:t>
            </w:r>
            <w:r>
              <w:rPr>
                <w:rFonts w:ascii="Arial" w:cs="Arial" w:eastAsia="Arial" w:hAnsi="Arial"/>
                <w:sz w:val="23"/>
                <w:szCs w:val="23"/>
                <w:color w:val="auto"/>
                <w:vertAlign w:val="superscript"/>
              </w:rPr>
              <w:t>(1)</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3"/>
        </w:trPr>
        <w:tc>
          <w:tcPr>
            <w:tcW w:w="6240" w:type="dxa"/>
            <w:vAlign w:val="bottom"/>
            <w:gridSpan w:val="2"/>
            <w:shd w:val="clear" w:color="auto" w:fill="CCEEFF"/>
          </w:tcPr>
          <w:p>
            <w:pPr>
              <w:ind w:left="240"/>
              <w:spacing w:after="0" w:line="243"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2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6,299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w:t>
            </w:r>
          </w:p>
        </w:tc>
      </w:tr>
      <w:tr>
        <w:trPr>
          <w:trHeight w:val="229"/>
        </w:trPr>
        <w:tc>
          <w:tcPr>
            <w:tcW w:w="62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116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w:t>
            </w:r>
          </w:p>
        </w:tc>
        <w:tc>
          <w:tcPr>
            <w:tcW w:w="1280" w:type="dxa"/>
            <w:vAlign w:val="bottom"/>
            <w:gridSpan w:val="2"/>
          </w:tcPr>
          <w:p>
            <w:pPr>
              <w:jc w:val="right"/>
              <w:ind w:right="4"/>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29"/>
        </w:trPr>
        <w:tc>
          <w:tcPr>
            <w:tcW w:w="62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Mid-Continent </w:t>
            </w:r>
            <w:r>
              <w:rPr>
                <w:rFonts w:ascii="Arial" w:cs="Arial" w:eastAsia="Arial" w:hAnsi="Arial"/>
                <w:sz w:val="23"/>
                <w:szCs w:val="23"/>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37"/>
        </w:trPr>
        <w:tc>
          <w:tcPr>
            <w:tcW w:w="6240" w:type="dxa"/>
            <w:vAlign w:val="bottom"/>
            <w:gridSpan w:val="2"/>
          </w:tcPr>
          <w:p>
            <w:pPr>
              <w:ind w:left="240"/>
              <w:spacing w:after="0"/>
              <w:rPr>
                <w:sz w:val="20"/>
                <w:szCs w:val="20"/>
                <w:color w:val="auto"/>
              </w:rPr>
            </w:pPr>
            <w:r>
              <w:rPr>
                <w:rFonts w:ascii="Arial" w:cs="Arial" w:eastAsia="Arial" w:hAnsi="Arial"/>
                <w:sz w:val="18"/>
                <w:szCs w:val="18"/>
                <w:color w:val="auto"/>
              </w:rPr>
              <w:t>Gulf Coast</w:t>
            </w:r>
          </w:p>
        </w:tc>
        <w:tc>
          <w:tcPr>
            <w:tcW w:w="116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w:t>
            </w:r>
          </w:p>
        </w:tc>
        <w:tc>
          <w:tcPr>
            <w:tcW w:w="1280" w:type="dxa"/>
            <w:vAlign w:val="bottom"/>
            <w:gridSpan w:val="2"/>
          </w:tcPr>
          <w:p>
            <w:pPr>
              <w:jc w:val="right"/>
              <w:ind w:right="4"/>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36"/>
        </w:trPr>
        <w:tc>
          <w:tcPr>
            <w:tcW w:w="6240" w:type="dxa"/>
            <w:vAlign w:val="bottom"/>
            <w:gridSpan w:val="2"/>
            <w:shd w:val="clear" w:color="auto" w:fill="CCEEFF"/>
          </w:tcPr>
          <w:p>
            <w:pPr>
              <w:ind w:left="240"/>
              <w:spacing w:after="0" w:line="23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6240" w:type="dxa"/>
            <w:vAlign w:val="bottom"/>
            <w:gridSpan w:val="2"/>
          </w:tcPr>
          <w:p>
            <w:pPr>
              <w:ind w:left="240"/>
              <w:spacing w:after="0"/>
              <w:rPr>
                <w:sz w:val="20"/>
                <w:szCs w:val="20"/>
                <w:color w:val="auto"/>
              </w:rPr>
            </w:pPr>
            <w:r>
              <w:rPr>
                <w:rFonts w:ascii="Arial" w:cs="Arial" w:eastAsia="Arial" w:hAnsi="Arial"/>
                <w:sz w:val="18"/>
                <w:szCs w:val="18"/>
                <w:color w:val="auto"/>
              </w:rPr>
              <w:t>Western</w:t>
            </w:r>
          </w:p>
        </w:tc>
        <w:tc>
          <w:tcPr>
            <w:tcW w:w="116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w:t>
            </w:r>
          </w:p>
        </w:tc>
        <w:tc>
          <w:tcPr>
            <w:tcW w:w="1280" w:type="dxa"/>
            <w:vAlign w:val="bottom"/>
            <w:gridSpan w:val="2"/>
          </w:tcPr>
          <w:p>
            <w:pPr>
              <w:jc w:val="right"/>
              <w:ind w:right="4"/>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43"/>
        </w:trPr>
        <w:tc>
          <w:tcPr>
            <w:tcW w:w="6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23"/>
        </w:trPr>
        <w:tc>
          <w:tcPr>
            <w:tcW w:w="6240" w:type="dxa"/>
            <w:vAlign w:val="bottom"/>
            <w:gridSpan w:val="2"/>
          </w:tcPr>
          <w:p>
            <w:pPr>
              <w:ind w:left="140"/>
              <w:spacing w:after="0" w:line="223" w:lineRule="exact"/>
              <w:rPr>
                <w:sz w:val="20"/>
                <w:szCs w:val="20"/>
                <w:color w:val="auto"/>
              </w:rPr>
            </w:pPr>
            <w:r>
              <w:rPr>
                <w:rFonts w:ascii="Arial" w:cs="Arial" w:eastAsia="Arial" w:hAnsi="Arial"/>
                <w:sz w:val="18"/>
                <w:szCs w:val="18"/>
                <w:color w:val="auto"/>
              </w:rPr>
              <w:t xml:space="preserve">Total crude oil pipeline tariff volumes </w:t>
            </w:r>
            <w:r>
              <w:rPr>
                <w:rFonts w:ascii="Arial" w:cs="Arial" w:eastAsia="Arial" w:hAnsi="Arial"/>
                <w:sz w:val="23"/>
                <w:szCs w:val="23"/>
                <w:color w:val="auto"/>
                <w:vertAlign w:val="superscript"/>
              </w:rPr>
              <w:t>(1) (2)</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8,392</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7,417</w:t>
            </w:r>
          </w:p>
        </w:tc>
        <w:tc>
          <w:tcPr>
            <w:tcW w:w="120" w:type="dxa"/>
            <w:vAlign w:val="bottom"/>
          </w:tcPr>
          <w:p>
            <w:pPr>
              <w:spacing w:after="0"/>
              <w:rPr>
                <w:sz w:val="19"/>
                <w:szCs w:val="19"/>
                <w:color w:val="auto"/>
              </w:rPr>
            </w:pPr>
          </w:p>
        </w:tc>
        <w:tc>
          <w:tcPr>
            <w:tcW w:w="11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8,336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7,289</w:t>
            </w:r>
          </w:p>
        </w:tc>
      </w:tr>
      <w:tr>
        <w:trPr>
          <w:trHeight w:val="257"/>
        </w:trPr>
        <w:tc>
          <w:tcPr>
            <w:tcW w:w="3880" w:type="dxa"/>
            <w:vAlign w:val="bottom"/>
            <w:shd w:val="clear" w:color="auto" w:fill="CCEEFF"/>
          </w:tcPr>
          <w:p>
            <w:pPr>
              <w:spacing w:after="0"/>
              <w:rPr>
                <w:sz w:val="22"/>
                <w:szCs w:val="22"/>
                <w:color w:val="auto"/>
              </w:rPr>
            </w:pPr>
          </w:p>
        </w:tc>
        <w:tc>
          <w:tcPr>
            <w:tcW w:w="2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29"/>
        </w:trPr>
        <w:tc>
          <w:tcPr>
            <w:tcW w:w="62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Commercial crude oil storage capacity </w:t>
            </w:r>
            <w:r>
              <w:rPr>
                <w:rFonts w:ascii="Arial" w:cs="Arial" w:eastAsia="Arial" w:hAnsi="Arial"/>
                <w:sz w:val="23"/>
                <w:szCs w:val="23"/>
                <w:color w:val="auto"/>
                <w:vertAlign w:val="superscript"/>
              </w:rPr>
              <w:t>(2) (3)</w:t>
            </w: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1280" w:type="dxa"/>
            <w:vAlign w:val="bottom"/>
            <w:gridSpan w:val="2"/>
          </w:tcPr>
          <w:p>
            <w:pPr>
              <w:jc w:val="right"/>
              <w:ind w:right="4"/>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57"/>
        </w:trPr>
        <w:tc>
          <w:tcPr>
            <w:tcW w:w="3880" w:type="dxa"/>
            <w:vAlign w:val="bottom"/>
            <w:shd w:val="clear" w:color="auto" w:fill="CCEEFF"/>
          </w:tcPr>
          <w:p>
            <w:pPr>
              <w:spacing w:after="0"/>
              <w:rPr>
                <w:sz w:val="22"/>
                <w:szCs w:val="22"/>
                <w:color w:val="auto"/>
              </w:rPr>
            </w:pPr>
          </w:p>
        </w:tc>
        <w:tc>
          <w:tcPr>
            <w:tcW w:w="2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29"/>
        </w:trPr>
        <w:tc>
          <w:tcPr>
            <w:tcW w:w="62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Crude oil lease gathering purchases </w:t>
            </w:r>
            <w:r>
              <w:rPr>
                <w:rFonts w:ascii="Arial" w:cs="Arial" w:eastAsia="Arial" w:hAnsi="Arial"/>
                <w:sz w:val="23"/>
                <w:szCs w:val="23"/>
                <w:color w:val="auto"/>
                <w:vertAlign w:val="superscript"/>
              </w:rPr>
              <w:t>(1)</w:t>
            </w:r>
          </w:p>
        </w:tc>
        <w:tc>
          <w:tcPr>
            <w:tcW w:w="1160" w:type="dxa"/>
            <w:vAlign w:val="bottom"/>
          </w:tcPr>
          <w:p>
            <w:pPr>
              <w:jc w:val="right"/>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1,368</w:t>
            </w:r>
          </w:p>
        </w:tc>
        <w:tc>
          <w:tcPr>
            <w:tcW w:w="1280" w:type="dxa"/>
            <w:vAlign w:val="bottom"/>
            <w:gridSpan w:val="2"/>
          </w:tcPr>
          <w:p>
            <w:pPr>
              <w:jc w:val="right"/>
              <w:ind w:right="4"/>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1,364</w:t>
            </w:r>
          </w:p>
        </w:tc>
      </w:tr>
      <w:tr>
        <w:trPr>
          <w:trHeight w:val="257"/>
        </w:trPr>
        <w:tc>
          <w:tcPr>
            <w:tcW w:w="3880" w:type="dxa"/>
            <w:vAlign w:val="bottom"/>
            <w:shd w:val="clear" w:color="auto" w:fill="CCEEFF"/>
          </w:tcPr>
          <w:p>
            <w:pPr>
              <w:spacing w:after="0"/>
              <w:rPr>
                <w:sz w:val="22"/>
                <w:szCs w:val="22"/>
                <w:color w:val="auto"/>
              </w:rPr>
            </w:pPr>
          </w:p>
        </w:tc>
        <w:tc>
          <w:tcPr>
            <w:tcW w:w="2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30"/>
        </w:trPr>
        <w:tc>
          <w:tcPr>
            <w:tcW w:w="6240" w:type="dxa"/>
            <w:vAlign w:val="bottom"/>
            <w:gridSpan w:val="2"/>
          </w:tcPr>
          <w:p>
            <w:pPr>
              <w:ind w:left="20"/>
              <w:spacing w:after="0" w:line="230" w:lineRule="exact"/>
              <w:rPr>
                <w:sz w:val="20"/>
                <w:szCs w:val="20"/>
                <w:color w:val="auto"/>
              </w:rPr>
            </w:pPr>
            <w:r>
              <w:rPr>
                <w:rFonts w:ascii="Arial" w:cs="Arial" w:eastAsia="Arial" w:hAnsi="Arial"/>
                <w:sz w:val="18"/>
                <w:szCs w:val="18"/>
                <w:b w:val="1"/>
                <w:bCs w:val="1"/>
                <w:color w:val="auto"/>
              </w:rPr>
              <w:t xml:space="preserve">NGL Segment Volumes </w:t>
            </w:r>
            <w:r>
              <w:rPr>
                <w:rFonts w:ascii="Arial" w:cs="Arial" w:eastAsia="Arial" w:hAnsi="Arial"/>
                <w:sz w:val="23"/>
                <w:szCs w:val="23"/>
                <w:color w:val="auto"/>
                <w:vertAlign w:val="superscript"/>
              </w:rPr>
              <w:t>(1)</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NGL fractionation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7"/>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NGL pipeline tariff volumes</w:t>
            </w:r>
          </w:p>
        </w:tc>
        <w:tc>
          <w:tcPr>
            <w:tcW w:w="116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w:t>
            </w:r>
          </w:p>
        </w:tc>
        <w:tc>
          <w:tcPr>
            <w:tcW w:w="1280" w:type="dxa"/>
            <w:vAlign w:val="bottom"/>
            <w:gridSpan w:val="2"/>
          </w:tcPr>
          <w:p>
            <w:pPr>
              <w:jc w:val="right"/>
              <w:ind w:right="4"/>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36"/>
        </w:trPr>
        <w:tc>
          <w:tcPr>
            <w:tcW w:w="6240" w:type="dxa"/>
            <w:vAlign w:val="bottom"/>
            <w:gridSpan w:val="2"/>
            <w:shd w:val="clear" w:color="auto" w:fill="CCEEFF"/>
          </w:tcPr>
          <w:p>
            <w:pPr>
              <w:ind w:left="180"/>
              <w:spacing w:after="0" w:line="236" w:lineRule="exact"/>
              <w:rPr>
                <w:sz w:val="20"/>
                <w:szCs w:val="20"/>
                <w:color w:val="auto"/>
              </w:rPr>
            </w:pPr>
            <w:r>
              <w:rPr>
                <w:rFonts w:ascii="Arial" w:cs="Arial" w:eastAsia="Arial" w:hAnsi="Arial"/>
                <w:sz w:val="18"/>
                <w:szCs w:val="18"/>
                <w:color w:val="auto"/>
              </w:rPr>
              <w:t xml:space="preserve">Propane and butane sales </w:t>
            </w:r>
            <w:r>
              <w:rPr>
                <w:rFonts w:ascii="Arial" w:cs="Arial" w:eastAsia="Arial" w:hAnsi="Arial"/>
                <w:sz w:val="23"/>
                <w:szCs w:val="23"/>
                <w:color w:val="auto"/>
                <w:vertAlign w:val="superscript"/>
              </w:rPr>
              <w:t>(4)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162"/>
        </w:trPr>
        <w:tc>
          <w:tcPr>
            <w:tcW w:w="3880" w:type="dxa"/>
            <w:vAlign w:val="bottom"/>
            <w:tcBorders>
              <w:bottom w:val="single" w:sz="8" w:color="auto"/>
            </w:tcBorders>
          </w:tcPr>
          <w:p>
            <w:pPr>
              <w:spacing w:after="0"/>
              <w:rPr>
                <w:sz w:val="14"/>
                <w:szCs w:val="14"/>
                <w:color w:val="auto"/>
              </w:rPr>
            </w:pPr>
          </w:p>
        </w:tc>
        <w:tc>
          <w:tcPr>
            <w:tcW w:w="2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134" w:lineRule="exact"/>
        <w:rPr>
          <w:sz w:val="20"/>
          <w:szCs w:val="20"/>
          <w:color w:val="auto"/>
        </w:rPr>
      </w:pPr>
    </w:p>
    <w:p>
      <w:pPr>
        <w:ind w:left="340" w:hanging="332"/>
        <w:spacing w:after="0" w:line="249"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ind w:left="340" w:hanging="332"/>
        <w:spacing w:after="0"/>
        <w:tabs>
          <w:tab w:leader="none" w:pos="3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Includes volumes (attributable to our interest) from assets owned by unconsolidated entities.</w:t>
      </w:r>
    </w:p>
    <w:p>
      <w:pPr>
        <w:spacing w:after="0" w:line="55" w:lineRule="exact"/>
        <w:rPr>
          <w:rFonts w:ascii="Arial" w:cs="Arial" w:eastAsia="Arial" w:hAnsi="Arial"/>
          <w:sz w:val="23"/>
          <w:szCs w:val="23"/>
          <w:color w:val="auto"/>
          <w:vertAlign w:val="superscript"/>
        </w:rPr>
      </w:pPr>
    </w:p>
    <w:p>
      <w:pPr>
        <w:ind w:left="340" w:hanging="332"/>
        <w:spacing w:after="0" w:line="194" w:lineRule="auto"/>
        <w:tabs>
          <w:tab w:leader="none" w:pos="3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Average monthly capacity in millions of barrels calculated as total volumes for the period divided by the number of months in the period.</w:t>
      </w:r>
    </w:p>
    <w:p>
      <w:pPr>
        <w:spacing w:after="0" w:line="56" w:lineRule="exact"/>
        <w:rPr>
          <w:rFonts w:ascii="Arial" w:cs="Arial" w:eastAsia="Arial" w:hAnsi="Arial"/>
          <w:sz w:val="23"/>
          <w:szCs w:val="23"/>
          <w:color w:val="auto"/>
          <w:vertAlign w:val="superscript"/>
        </w:rPr>
      </w:pPr>
    </w:p>
    <w:p>
      <w:pPr>
        <w:ind w:left="340" w:right="60" w:hanging="332"/>
        <w:spacing w:after="0" w:line="233" w:lineRule="auto"/>
        <w:tabs>
          <w:tab w:leader="none" w:pos="3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2022, we modified our reported sales volumes to include only propane and butane sales. Prior to the fourth quarter of 2022, our reported sales volumes included other NGL products, primarily ethane, that represented a significant portion of our total NGL sales volumes but did not contribute significantly to Segment Adjusted EBITDA. Sales volumes for earlier periods presented herein have been recast to include only propane and butane.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234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Adjusted EBITDA to Adjusted EBITDA attributable to PAA Reconciliation:</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gridSpan w:val="4"/>
          </w:tcPr>
          <w:p>
            <w:pPr>
              <w:jc w:val="right"/>
              <w:ind w:right="79"/>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38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6"/>
        </w:trPr>
        <w:tc>
          <w:tcPr>
            <w:tcW w:w="3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r>
      <w:tr>
        <w:trPr>
          <w:trHeight w:val="22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Crude Oil Segment Adjusted EBITDA</w:t>
            </w:r>
          </w:p>
        </w:tc>
        <w:tc>
          <w:tcPr>
            <w:tcW w:w="76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529</w:t>
            </w:r>
          </w:p>
        </w:tc>
        <w:tc>
          <w:tcPr>
            <w:tcW w:w="880" w:type="dxa"/>
            <w:vAlign w:val="bottom"/>
            <w:gridSpan w:val="2"/>
            <w:shd w:val="clear" w:color="auto" w:fill="CCEEFF"/>
          </w:tcPr>
          <w:p>
            <w:pPr>
              <w:jc w:val="right"/>
              <w:ind w:right="55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494</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r>
      <w:tr>
        <w:trPr>
          <w:trHeight w:val="243"/>
        </w:trPr>
        <w:tc>
          <w:tcPr>
            <w:tcW w:w="6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NGL Segment Adjusted EBITDA</w:t>
            </w:r>
          </w:p>
        </w:tc>
        <w:tc>
          <w:tcPr>
            <w:tcW w:w="7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223"/>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Segment Adjusted EBITDA</w:t>
            </w:r>
          </w:p>
        </w:tc>
        <w:tc>
          <w:tcPr>
            <w:tcW w:w="76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r>
      <w:tr>
        <w:trPr>
          <w:trHeight w:val="230"/>
        </w:trPr>
        <w:tc>
          <w:tcPr>
            <w:tcW w:w="61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6140" w:type="dxa"/>
            <w:vAlign w:val="bottom"/>
            <w:gridSpan w:val="2"/>
            <w:shd w:val="clear" w:color="auto" w:fill="CCEEFF"/>
          </w:tcPr>
          <w:p>
            <w:pPr>
              <w:ind w:left="140"/>
              <w:spacing w:after="0" w:line="236" w:lineRule="exact"/>
              <w:rPr>
                <w:sz w:val="20"/>
                <w:szCs w:val="20"/>
                <w:color w:val="auto"/>
              </w:rPr>
            </w:pPr>
            <w:r>
              <w:rPr>
                <w:rFonts w:ascii="Arial" w:cs="Arial" w:eastAsia="Arial" w:hAnsi="Arial"/>
                <w:sz w:val="18"/>
                <w:szCs w:val="18"/>
                <w:color w:val="auto"/>
              </w:rPr>
              <w:t xml:space="preserve">Adjusted EBITDA attributable to PAA </w:t>
            </w:r>
            <w:r>
              <w:rPr>
                <w:rFonts w:ascii="Arial" w:cs="Arial" w:eastAsia="Arial" w:hAnsi="Arial"/>
                <w:sz w:val="23"/>
                <w:szCs w:val="23"/>
                <w:color w:val="auto"/>
                <w:vertAlign w:val="superscript"/>
              </w:rPr>
              <w:t>(2)</w:t>
            </w:r>
          </w:p>
        </w:tc>
        <w:tc>
          <w:tcPr>
            <w:tcW w:w="76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597</w:t>
            </w:r>
          </w:p>
        </w:tc>
        <w:tc>
          <w:tcPr>
            <w:tcW w:w="880" w:type="dxa"/>
            <w:vAlign w:val="bottom"/>
            <w:gridSpan w:val="2"/>
            <w:shd w:val="clear" w:color="auto" w:fill="CCEEFF"/>
          </w:tcPr>
          <w:p>
            <w:pPr>
              <w:jc w:val="right"/>
              <w:ind w:right="559"/>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615</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3880" w:type="dxa"/>
            <w:vAlign w:val="bottom"/>
            <w:tcBorders>
              <w:bottom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bl>
    <w:p>
      <w:pPr>
        <w:spacing w:after="0" w:line="134" w:lineRule="exact"/>
        <w:rPr>
          <w:sz w:val="20"/>
          <w:szCs w:val="20"/>
          <w:color w:val="auto"/>
        </w:rPr>
      </w:pPr>
    </w:p>
    <w:p>
      <w:pPr>
        <w:ind w:left="340" w:hanging="332"/>
        <w:spacing w:after="0" w:line="242" w:lineRule="auto"/>
        <w:tabs>
          <w:tab w:leader="none" w:pos="34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income/(expense), net” as reported on our Condensed Consolidated Statements of Operations, excluding other income/(expense), net attributable to noncontrolling interests, adjusted for selected items impacting comparability of $(14) million and $119 million for the three months ended June 30, 2023 and 2022, respectively and $(72) million and $156 million for the six months ended June 30, 2023 and 2022, respectively. See the “Selected Items Impacting Comparability” table for additional information. Other income/(expense), net attributable to noncontrolling interests was $1 million for the six months ended June 30, 2023 and less than $1 million for the three months ended June 30, 2023 and the three and six months ended June 30, 2022.</w:t>
      </w:r>
    </w:p>
    <w:p>
      <w:pPr>
        <w:spacing w:after="0" w:line="5"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See the “Net Income to Adjusted EBITDA attributable to PAA and Implied DCF Reconciliation” table for reconciliation to Net Income.</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00"/>
          </w:cols>
          <w:pgMar w:left="320" w:top="368"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234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2023</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2022</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Consolidating</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3"/>
          </w:tcPr>
          <w:p>
            <w:pPr>
              <w:ind w:left="180"/>
              <w:spacing w:after="0"/>
              <w:rPr>
                <w:sz w:val="20"/>
                <w:szCs w:val="20"/>
                <w:color w:val="auto"/>
              </w:rPr>
            </w:pPr>
            <w:r>
              <w:rPr>
                <w:rFonts w:ascii="Arial" w:cs="Arial" w:eastAsia="Arial" w:hAnsi="Arial"/>
                <w:sz w:val="14"/>
                <w:szCs w:val="14"/>
                <w:b w:val="1"/>
                <w:bCs w:val="1"/>
                <w:color w:val="auto"/>
              </w:rPr>
              <w:t>PAA</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4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6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11,602</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16,359</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10,544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10,544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15,324</w:t>
            </w: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line="176" w:lineRule="exact"/>
              <w:rPr>
                <w:sz w:val="20"/>
                <w:szCs w:val="20"/>
                <w:color w:val="auto"/>
              </w:rPr>
            </w:pPr>
            <w:r>
              <w:rPr>
                <w:rFonts w:ascii="Arial" w:cs="Arial" w:eastAsia="Arial" w:hAnsi="Arial"/>
                <w:sz w:val="18"/>
                <w:szCs w:val="18"/>
                <w:color w:val="auto"/>
              </w:rPr>
              <w:t>(Gains)/losses on asset sales and asset</w:t>
            </w:r>
          </w:p>
        </w:tc>
        <w:tc>
          <w:tcPr>
            <w:tcW w:w="260" w:type="dxa"/>
            <w:vAlign w:val="bottom"/>
          </w:tcPr>
          <w:p>
            <w:pPr>
              <w:spacing w:after="0"/>
              <w:rPr>
                <w:sz w:val="15"/>
                <w:szCs w:val="15"/>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36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11,224</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15,951</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2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3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INCOME BEFORE TAX</w:t>
            </w:r>
          </w:p>
        </w:tc>
        <w:tc>
          <w:tcPr>
            <w:tcW w:w="2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392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4"/>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Deferred income tax expense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349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188"/>
        </w:trPr>
        <w:tc>
          <w:tcPr>
            <w:tcW w:w="33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8"/>
              </w:rPr>
              <w:t>Net income attributable to noncontrolling</w:t>
            </w:r>
          </w:p>
        </w:tc>
        <w:tc>
          <w:tcPr>
            <w:tcW w:w="26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7"/>
        </w:trPr>
        <w:tc>
          <w:tcPr>
            <w:tcW w:w="3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NET INCOME ATTRIBUTABLE TO</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293</w:t>
            </w:r>
          </w:p>
        </w:tc>
        <w:tc>
          <w:tcPr>
            <w:tcW w:w="60" w:type="dxa"/>
            <w:vAlign w:val="bottom"/>
          </w:tcPr>
          <w:p>
            <w:pPr>
              <w:spacing w:after="0"/>
              <w:rPr>
                <w:sz w:val="14"/>
                <w:szCs w:val="14"/>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4"/>
                <w:szCs w:val="14"/>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right w:val="single" w:sz="8" w:color="auto"/>
            </w:tcBorders>
          </w:tcPr>
          <w:p>
            <w:pPr>
              <w:spacing w:after="0"/>
              <w:rPr>
                <w:sz w:val="14"/>
                <w:szCs w:val="14"/>
                <w:color w:val="auto"/>
              </w:rPr>
            </w:pPr>
          </w:p>
        </w:tc>
        <w:tc>
          <w:tcPr>
            <w:tcW w:w="38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203</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4"/>
                <w:szCs w:val="14"/>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360" w:type="dxa"/>
            <w:vAlign w:val="bottom"/>
          </w:tcPr>
          <w:p>
            <w:pPr>
              <w:ind w:left="180"/>
              <w:spacing w:after="0"/>
              <w:rPr>
                <w:sz w:val="20"/>
                <w:szCs w:val="20"/>
                <w:color w:val="auto"/>
              </w:rPr>
            </w:pPr>
            <w:r>
              <w:rPr>
                <w:rFonts w:ascii="Arial" w:cs="Arial" w:eastAsia="Arial" w:hAnsi="Arial"/>
                <w:sz w:val="18"/>
                <w:szCs w:val="18"/>
                <w:b w:val="1"/>
                <w:bCs w:val="1"/>
                <w:color w:val="auto"/>
              </w:rPr>
              <w:t>PAGP</w:t>
            </w:r>
          </w:p>
        </w:tc>
        <w:tc>
          <w:tcPr>
            <w:tcW w:w="26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80" w:type="dxa"/>
            <w:vAlign w:val="bottom"/>
            <w:gridSpan w:val="5"/>
          </w:tcPr>
          <w:p>
            <w:pPr>
              <w:ind w:left="20"/>
              <w:spacing w:after="0"/>
              <w:rPr>
                <w:sz w:val="20"/>
                <w:szCs w:val="20"/>
                <w:color w:val="auto"/>
              </w:rPr>
            </w:pPr>
            <w:r>
              <w:rPr>
                <w:rFonts w:ascii="Arial" w:cs="Arial" w:eastAsia="Arial" w:hAnsi="Arial"/>
                <w:sz w:val="18"/>
                <w:szCs w:val="18"/>
                <w:color w:val="auto"/>
                <w:w w:val="89"/>
              </w:rPr>
              <w:t>Basic and diluted weighted average Class A shares outstanding</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620" w:type="dxa"/>
            <w:vAlign w:val="bottom"/>
            <w:gridSpan w:val="2"/>
          </w:tcPr>
          <w:p>
            <w:pPr>
              <w:ind w:left="20"/>
              <w:spacing w:after="0"/>
              <w:rPr>
                <w:sz w:val="20"/>
                <w:szCs w:val="20"/>
                <w:color w:val="auto"/>
              </w:rPr>
            </w:pPr>
            <w:r>
              <w:rPr>
                <w:rFonts w:ascii="Arial" w:cs="Arial" w:eastAsia="Arial" w:hAnsi="Arial"/>
                <w:sz w:val="18"/>
                <w:szCs w:val="18"/>
                <w:color w:val="auto"/>
                <w:w w:val="94"/>
              </w:rPr>
              <w:t>Basic and diluted net income per Class A share</w:t>
            </w: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29"/>
        </w:trPr>
        <w:tc>
          <w:tcPr>
            <w:tcW w:w="33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234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2"/>
              </w:rPr>
              <w:t>June 30, 2023</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2"/>
              </w:rPr>
              <w:t>June 30, 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3"/>
              <w:spacing w:after="0"/>
              <w:rPr>
                <w:sz w:val="20"/>
                <w:szCs w:val="20"/>
                <w:color w:val="auto"/>
              </w:rPr>
            </w:pPr>
            <w:r>
              <w:rPr>
                <w:rFonts w:ascii="Arial" w:cs="Arial" w:eastAsia="Arial" w:hAnsi="Arial"/>
                <w:sz w:val="14"/>
                <w:szCs w:val="14"/>
                <w:b w:val="1"/>
                <w:bCs w:val="1"/>
                <w:color w:val="auto"/>
                <w:w w:val="92"/>
              </w:rPr>
              <w:t>Consolidating</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Consolidating</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9"/>
                <w:szCs w:val="19"/>
                <w:color w:val="auto"/>
              </w:rPr>
            </w:pPr>
          </w:p>
        </w:tc>
        <w:tc>
          <w:tcPr>
            <w:tcW w:w="1120" w:type="dxa"/>
            <w:vAlign w:val="bottom"/>
          </w:tcPr>
          <w:p>
            <w:pPr>
              <w:jc w:val="center"/>
              <w:ind w:right="53"/>
              <w:spacing w:after="0"/>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53"/>
              <w:spacing w:after="0"/>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23,943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30,053</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21,867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21,867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28,109</w:t>
            </w: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175"/>
        </w:trPr>
        <w:tc>
          <w:tcPr>
            <w:tcW w:w="3360" w:type="dxa"/>
            <w:vAlign w:val="bottom"/>
          </w:tcPr>
          <w:p>
            <w:pPr>
              <w:ind w:left="20"/>
              <w:spacing w:after="0" w:line="176" w:lineRule="exact"/>
              <w:rPr>
                <w:sz w:val="20"/>
                <w:szCs w:val="20"/>
                <w:color w:val="auto"/>
              </w:rPr>
            </w:pPr>
            <w:r>
              <w:rPr>
                <w:rFonts w:ascii="Arial" w:cs="Arial" w:eastAsia="Arial" w:hAnsi="Arial"/>
                <w:sz w:val="18"/>
                <w:szCs w:val="18"/>
                <w:color w:val="auto"/>
              </w:rPr>
              <w:t>(Gains)/losses on asset sales and asset</w:t>
            </w:r>
          </w:p>
        </w:tc>
        <w:tc>
          <w:tcPr>
            <w:tcW w:w="260" w:type="dxa"/>
            <w:vAlign w:val="bottom"/>
          </w:tcPr>
          <w:p>
            <w:pPr>
              <w:spacing w:after="0"/>
              <w:rPr>
                <w:sz w:val="15"/>
                <w:szCs w:val="15"/>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impairments, net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29,354</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income/(expense), net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96"/>
        </w:trPr>
        <w:tc>
          <w:tcPr>
            <w:tcW w:w="3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INCOME BEFORE TAX</w:t>
            </w:r>
          </w:p>
        </w:tc>
        <w:tc>
          <w:tcPr>
            <w:tcW w:w="2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4"/>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Deferred income tax expense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188"/>
        </w:trPr>
        <w:tc>
          <w:tcPr>
            <w:tcW w:w="33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8"/>
              </w:rPr>
              <w:t>Net income attributable to noncontrolling</w:t>
            </w:r>
          </w:p>
        </w:tc>
        <w:tc>
          <w:tcPr>
            <w:tcW w:w="260" w:type="dxa"/>
            <w:vAlign w:val="bottom"/>
            <w:shd w:val="clear" w:color="auto" w:fill="CCEEFF"/>
          </w:tcPr>
          <w:p>
            <w:pPr>
              <w:spacing w:after="0"/>
              <w:rPr>
                <w:sz w:val="16"/>
                <w:szCs w:val="16"/>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7"/>
        </w:trPr>
        <w:tc>
          <w:tcPr>
            <w:tcW w:w="3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NET INCOME ATTRIBUTABLE TO</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(598)</w:t>
            </w:r>
          </w:p>
        </w:tc>
        <w:tc>
          <w:tcPr>
            <w:tcW w:w="36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right w:val="single" w:sz="8" w:color="auto"/>
            </w:tcBorders>
          </w:tcPr>
          <w:p>
            <w:pPr>
              <w:spacing w:after="0"/>
              <w:rPr>
                <w:sz w:val="14"/>
                <w:szCs w:val="14"/>
                <w:color w:val="auto"/>
              </w:rPr>
            </w:pPr>
          </w:p>
        </w:tc>
        <w:tc>
          <w:tcPr>
            <w:tcW w:w="38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390</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(337)</w:t>
            </w:r>
          </w:p>
        </w:tc>
        <w:tc>
          <w:tcPr>
            <w:tcW w:w="36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360" w:type="dxa"/>
            <w:vAlign w:val="bottom"/>
          </w:tcPr>
          <w:p>
            <w:pPr>
              <w:ind w:left="180"/>
              <w:spacing w:after="0"/>
              <w:rPr>
                <w:sz w:val="20"/>
                <w:szCs w:val="20"/>
                <w:color w:val="auto"/>
              </w:rPr>
            </w:pPr>
            <w:r>
              <w:rPr>
                <w:rFonts w:ascii="Arial" w:cs="Arial" w:eastAsia="Arial" w:hAnsi="Arial"/>
                <w:sz w:val="18"/>
                <w:szCs w:val="18"/>
                <w:b w:val="1"/>
                <w:bCs w:val="1"/>
                <w:color w:val="auto"/>
              </w:rPr>
              <w:t>PAGP</w:t>
            </w:r>
          </w:p>
        </w:tc>
        <w:tc>
          <w:tcPr>
            <w:tcW w:w="26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40" w:type="dxa"/>
            <w:vAlign w:val="bottom"/>
            <w:gridSpan w:val="5"/>
          </w:tcPr>
          <w:p>
            <w:pPr>
              <w:ind w:left="20"/>
              <w:spacing w:after="0"/>
              <w:rPr>
                <w:sz w:val="20"/>
                <w:szCs w:val="20"/>
                <w:color w:val="auto"/>
              </w:rPr>
            </w:pPr>
            <w:r>
              <w:rPr>
                <w:rFonts w:ascii="Arial" w:cs="Arial" w:eastAsia="Arial" w:hAnsi="Arial"/>
                <w:sz w:val="18"/>
                <w:szCs w:val="18"/>
                <w:color w:val="auto"/>
                <w:w w:val="90"/>
              </w:rPr>
              <w:t>Basic and diluted weighted average Class A shares outstanding</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620" w:type="dxa"/>
            <w:vAlign w:val="bottom"/>
            <w:gridSpan w:val="2"/>
          </w:tcPr>
          <w:p>
            <w:pPr>
              <w:ind w:left="20"/>
              <w:spacing w:after="0"/>
              <w:rPr>
                <w:sz w:val="20"/>
                <w:szCs w:val="20"/>
                <w:color w:val="auto"/>
              </w:rPr>
            </w:pPr>
            <w:r>
              <w:rPr>
                <w:rFonts w:ascii="Arial" w:cs="Arial" w:eastAsia="Arial" w:hAnsi="Arial"/>
                <w:sz w:val="18"/>
                <w:szCs w:val="18"/>
                <w:color w:val="auto"/>
                <w:w w:val="94"/>
              </w:rPr>
              <w:t>Basic and diluted net income per Class A share</w:t>
            </w: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129"/>
        </w:trPr>
        <w:tc>
          <w:tcPr>
            <w:tcW w:w="33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234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2"/>
              <w:spacing w:after="0"/>
              <w:rPr>
                <w:sz w:val="20"/>
                <w:szCs w:val="20"/>
                <w:color w:val="auto"/>
              </w:rPr>
            </w:pPr>
            <w:r>
              <w:rPr>
                <w:rFonts w:ascii="Arial" w:cs="Arial" w:eastAsia="Arial" w:hAnsi="Arial"/>
                <w:sz w:val="14"/>
                <w:szCs w:val="14"/>
                <w:b w:val="1"/>
                <w:bCs w:val="1"/>
                <w:color w:val="auto"/>
                <w:w w:val="90"/>
              </w:rPr>
              <w:t>June 30, 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52"/>
              <w:spacing w:after="0"/>
              <w:rPr>
                <w:sz w:val="20"/>
                <w:szCs w:val="20"/>
                <w:color w:val="auto"/>
              </w:rPr>
            </w:pPr>
            <w:r>
              <w:rPr>
                <w:rFonts w:ascii="Arial" w:cs="Arial" w:eastAsia="Arial" w:hAnsi="Arial"/>
                <w:sz w:val="14"/>
                <w:szCs w:val="14"/>
                <w:b w:val="1"/>
                <w:bCs w:val="1"/>
                <w:color w:val="auto"/>
                <w:w w:val="92"/>
              </w:rPr>
              <w:t>Consolidating</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52"/>
              <w:spacing w:after="0"/>
              <w:rPr>
                <w:sz w:val="20"/>
                <w:szCs w:val="20"/>
                <w:color w:val="auto"/>
              </w:rPr>
            </w:pPr>
            <w:r>
              <w:rPr>
                <w:rFonts w:ascii="Arial" w:cs="Arial" w:eastAsia="Arial" w:hAnsi="Arial"/>
                <w:sz w:val="14"/>
                <w:szCs w:val="14"/>
                <w:b w:val="1"/>
                <w:bCs w:val="1"/>
                <w:color w:val="auto"/>
                <w:w w:val="92"/>
              </w:rPr>
              <w:t>Consolidating</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2"/>
              <w:spacing w:after="0"/>
              <w:rPr>
                <w:sz w:val="20"/>
                <w:szCs w:val="20"/>
                <w:color w:val="auto"/>
              </w:rPr>
            </w:pPr>
            <w:r>
              <w:rPr>
                <w:rFonts w:ascii="Arial" w:cs="Arial" w:eastAsia="Arial" w:hAnsi="Arial"/>
                <w:sz w:val="14"/>
                <w:szCs w:val="14"/>
                <w:b w:val="1"/>
                <w:bCs w:val="1"/>
                <w:color w:val="auto"/>
                <w:w w:val="94"/>
              </w:rPr>
              <w:t xml:space="preserve">Adjustments </w:t>
            </w:r>
            <w:r>
              <w:rPr>
                <w:rFonts w:ascii="Arial" w:cs="Arial" w:eastAsia="Arial" w:hAnsi="Arial"/>
                <w:sz w:val="9"/>
                <w:szCs w:val="9"/>
                <w:b w:val="1"/>
                <w:bCs w:val="1"/>
                <w:color w:val="auto"/>
                <w:w w:val="94"/>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1"/>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32"/>
              <w:spacing w:after="0"/>
              <w:rPr>
                <w:sz w:val="20"/>
                <w:szCs w:val="20"/>
                <w:color w:val="auto"/>
              </w:rPr>
            </w:pPr>
            <w:r>
              <w:rPr>
                <w:rFonts w:ascii="Arial" w:cs="Arial" w:eastAsia="Arial" w:hAnsi="Arial"/>
                <w:sz w:val="14"/>
                <w:szCs w:val="14"/>
                <w:b w:val="1"/>
                <w:bCs w:val="1"/>
                <w:color w:val="auto"/>
                <w:w w:val="92"/>
              </w:rPr>
              <w:t xml:space="preserve">Adjustments </w:t>
            </w:r>
            <w:r>
              <w:rPr>
                <w:rFonts w:ascii="Arial" w:cs="Arial" w:eastAsia="Arial" w:hAnsi="Arial"/>
                <w:sz w:val="9"/>
                <w:szCs w:val="9"/>
                <w:b w:val="1"/>
                <w:bCs w:val="1"/>
                <w:color w:val="auto"/>
                <w:w w:val="92"/>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6"/>
        </w:trPr>
        <w:tc>
          <w:tcPr>
            <w:tcW w:w="3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4,657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4,660</w:t>
            </w:r>
          </w:p>
        </w:tc>
        <w:tc>
          <w:tcPr>
            <w:tcW w:w="120" w:type="dxa"/>
            <w:vAlign w:val="bottom"/>
            <w:tcBorders>
              <w:right w:val="single" w:sz="8" w:color="auto"/>
            </w:tcBorders>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5,355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5,358</w:t>
            </w: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15,221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15,222</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15,253</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3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Linefill</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line="176" w:lineRule="exact"/>
              <w:rPr>
                <w:sz w:val="20"/>
                <w:szCs w:val="20"/>
                <w:color w:val="auto"/>
              </w:rPr>
            </w:pPr>
            <w:r>
              <w:rPr>
                <w:rFonts w:ascii="Arial" w:cs="Arial" w:eastAsia="Arial" w:hAnsi="Arial"/>
                <w:sz w:val="18"/>
                <w:szCs w:val="18"/>
                <w:color w:val="auto"/>
              </w:rPr>
              <w:t>Long-term operating lease right-of-use</w:t>
            </w:r>
          </w:p>
        </w:tc>
        <w:tc>
          <w:tcPr>
            <w:tcW w:w="280" w:type="dxa"/>
            <w:vAlign w:val="bottom"/>
          </w:tcPr>
          <w:p>
            <w:pPr>
              <w:spacing w:after="0"/>
              <w:rPr>
                <w:sz w:val="15"/>
                <w:szCs w:val="15"/>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7"/>
        </w:trPr>
        <w:tc>
          <w:tcPr>
            <w:tcW w:w="3320" w:type="dxa"/>
            <w:vAlign w:val="bottom"/>
          </w:tcPr>
          <w:p>
            <w:pPr>
              <w:ind w:left="180"/>
              <w:spacing w:after="0"/>
              <w:rPr>
                <w:sz w:val="20"/>
                <w:szCs w:val="20"/>
                <w:color w:val="auto"/>
              </w:rPr>
            </w:pPr>
            <w:r>
              <w:rPr>
                <w:rFonts w:ascii="Arial" w:cs="Arial" w:eastAsia="Arial" w:hAnsi="Arial"/>
                <w:sz w:val="18"/>
                <w:szCs w:val="18"/>
                <w:color w:val="auto"/>
              </w:rPr>
              <w:t>assets, net</w:t>
            </w:r>
          </w:p>
        </w:tc>
        <w:tc>
          <w:tcPr>
            <w:tcW w:w="28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inventory</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Other long-term assets, net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28,167</w:t>
            </w:r>
          </w:p>
        </w:tc>
        <w:tc>
          <w:tcPr>
            <w:tcW w:w="120" w:type="dxa"/>
            <w:vAlign w:val="bottom"/>
            <w:tcBorders>
              <w:right w:val="single" w:sz="8" w:color="auto"/>
            </w:tcBorders>
            <w:shd w:val="clear" w:color="auto" w:fill="CCEEFF"/>
          </w:tcPr>
          <w:p>
            <w:pPr>
              <w:spacing w:after="0"/>
              <w:rPr>
                <w:sz w:val="22"/>
                <w:szCs w:val="22"/>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29,207</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LIABILITIES AND PARTNERS’</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CAPITAL</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4,652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4,654</w:t>
            </w:r>
          </w:p>
        </w:tc>
        <w:tc>
          <w:tcPr>
            <w:tcW w:w="120" w:type="dxa"/>
            <w:vAlign w:val="bottom"/>
            <w:tcBorders>
              <w:right w:val="single" w:sz="8" w:color="auto"/>
            </w:tcBorders>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5,893</w:t>
            </w:r>
          </w:p>
        </w:tc>
        <w:tc>
          <w:tcPr>
            <w:tcW w:w="0" w:type="dxa"/>
            <w:vAlign w:val="bottom"/>
          </w:tcPr>
          <w:p>
            <w:pPr>
              <w:spacing w:after="0"/>
              <w:rPr>
                <w:sz w:val="1"/>
                <w:szCs w:val="1"/>
                <w:color w:val="auto"/>
              </w:rPr>
            </w:pPr>
          </w:p>
        </w:tc>
      </w:tr>
      <w:tr>
        <w:trPr>
          <w:trHeight w:val="23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net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Other long-term debt, net</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and deferred</w:t>
            </w:r>
          </w:p>
        </w:tc>
        <w:tc>
          <w:tcPr>
            <w:tcW w:w="280" w:type="dxa"/>
            <w:vAlign w:val="bottom"/>
          </w:tcPr>
          <w:p>
            <w:pPr>
              <w:spacing w:after="0"/>
              <w:rPr>
                <w:sz w:val="15"/>
                <w:szCs w:val="15"/>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credits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14,569</w:t>
            </w:r>
          </w:p>
        </w:tc>
        <w:tc>
          <w:tcPr>
            <w:tcW w:w="0" w:type="dxa"/>
            <w:vAlign w:val="bottom"/>
          </w:tcPr>
          <w:p>
            <w:pPr>
              <w:spacing w:after="0"/>
              <w:rPr>
                <w:sz w:val="1"/>
                <w:szCs w:val="1"/>
                <w:color w:val="auto"/>
              </w:rPr>
            </w:pPr>
          </w:p>
        </w:tc>
      </w:tr>
      <w:tr>
        <w:trPr>
          <w:trHeight w:val="270"/>
        </w:trPr>
        <w:tc>
          <w:tcPr>
            <w:tcW w:w="3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Partners’ capital excluding noncontrolling</w:t>
            </w:r>
          </w:p>
        </w:tc>
        <w:tc>
          <w:tcPr>
            <w:tcW w:w="28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10,379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(8,811)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10,057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(8,533)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80" w:type="dxa"/>
            <w:vAlign w:val="bottom"/>
            <w:shd w:val="clear" w:color="auto" w:fill="CCEEFF"/>
          </w:tcPr>
          <w:p>
            <w:pPr>
              <w:spacing w:after="0"/>
              <w:rPr>
                <w:sz w:val="21"/>
                <w:szCs w:val="21"/>
                <w:color w:val="auto"/>
              </w:rPr>
            </w:pPr>
          </w:p>
        </w:tc>
        <w:tc>
          <w:tcPr>
            <w:tcW w:w="9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3,223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9,846</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13,114</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13,602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14,867</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14,638</w:t>
            </w:r>
          </w:p>
        </w:tc>
        <w:tc>
          <w:tcPr>
            <w:tcW w:w="0" w:type="dxa"/>
            <w:vAlign w:val="bottom"/>
          </w:tcPr>
          <w:p>
            <w:pPr>
              <w:spacing w:after="0"/>
              <w:rPr>
                <w:sz w:val="1"/>
                <w:szCs w:val="1"/>
                <w:color w:val="auto"/>
              </w:rPr>
            </w:pPr>
          </w:p>
        </w:tc>
      </w:tr>
      <w:tr>
        <w:trPr>
          <w:trHeight w:val="276"/>
        </w:trPr>
        <w:tc>
          <w:tcPr>
            <w:tcW w:w="332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26,900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1,267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28,167</w:t>
            </w:r>
          </w:p>
        </w:tc>
        <w:tc>
          <w:tcPr>
            <w:tcW w:w="120" w:type="dxa"/>
            <w:vAlign w:val="bottom"/>
            <w:tcBorders>
              <w:right w:val="single" w:sz="8" w:color="auto"/>
            </w:tcBorders>
          </w:tcPr>
          <w:p>
            <w:pPr>
              <w:spacing w:after="0"/>
              <w:rPr>
                <w:sz w:val="24"/>
                <w:szCs w:val="2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27,892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1,315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29,207</w:t>
            </w:r>
          </w:p>
        </w:tc>
        <w:tc>
          <w:tcPr>
            <w:tcW w:w="0" w:type="dxa"/>
            <w:vAlign w:val="bottom"/>
          </w:tcPr>
          <w:p>
            <w:pPr>
              <w:spacing w:after="0"/>
              <w:rPr>
                <w:sz w:val="1"/>
                <w:szCs w:val="1"/>
                <w:color w:val="auto"/>
              </w:rPr>
            </w:pPr>
          </w:p>
        </w:tc>
      </w:tr>
      <w:tr>
        <w:trPr>
          <w:trHeight w:val="156"/>
        </w:trPr>
        <w:tc>
          <w:tcPr>
            <w:tcW w:w="332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234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89" w:lineRule="exact"/>
        <w:rPr>
          <w:sz w:val="20"/>
          <w:szCs w:val="20"/>
          <w:color w:val="auto"/>
        </w:rPr>
      </w:pPr>
    </w:p>
    <w:p>
      <w:pPr>
        <w:ind w:right="464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2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196"/>
        </w:trPr>
        <w:tc>
          <w:tcPr>
            <w:tcW w:w="60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355"/>
              <w:spacing w:after="0"/>
              <w:rPr>
                <w:sz w:val="20"/>
                <w:szCs w:val="20"/>
                <w:color w:val="auto"/>
              </w:rPr>
            </w:pPr>
            <w:r>
              <w:rPr>
                <w:rFonts w:ascii="Arial" w:cs="Arial" w:eastAsia="Arial" w:hAnsi="Arial"/>
                <w:sz w:val="14"/>
                <w:szCs w:val="14"/>
                <w:b w:val="1"/>
                <w:bCs w:val="1"/>
                <w:color w:val="auto"/>
              </w:rPr>
              <w:t>2022</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 per Class A Share</w:t>
            </w:r>
          </w:p>
        </w:tc>
        <w:tc>
          <w:tcPr>
            <w:tcW w:w="8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Net income attributable to PAGP</w:t>
            </w: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9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and diluted weighted average Class A shares outstanding</w:t>
            </w: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60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7"/>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and diluted net income per Class A share</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0.16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306"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51" w:lineRule="exact"/>
        <w:rPr>
          <w:sz w:val="20"/>
          <w:szCs w:val="20"/>
          <w:color w:val="auto"/>
        </w:rPr>
      </w:pPr>
    </w:p>
    <w:p>
      <w:pPr>
        <w:ind w:left="660" w:right="80" w:hanging="328"/>
        <w:spacing w:after="0" w:line="259" w:lineRule="auto"/>
        <w:tabs>
          <w:tab w:leader="none" w:pos="660" w:val="left"/>
        </w:tabs>
        <w:numPr>
          <w:ilvl w:val="0"/>
          <w:numId w:val="23"/>
        </w:numPr>
        <w:rPr>
          <w:rFonts w:ascii="Arial" w:cs="Arial" w:eastAsia="Arial" w:hAnsi="Arial"/>
          <w:sz w:val="21"/>
          <w:szCs w:val="21"/>
          <w:color w:val="auto"/>
        </w:rPr>
      </w:pPr>
      <w:r>
        <w:rPr>
          <w:rFonts w:ascii="Arial" w:cs="Arial" w:eastAsia="Arial" w:hAnsi="Arial"/>
          <w:sz w:val="17"/>
          <w:szCs w:val="17"/>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119" w:lineRule="exact"/>
        <w:rPr>
          <w:rFonts w:ascii="Arial" w:cs="Arial" w:eastAsia="Arial" w:hAnsi="Arial"/>
          <w:sz w:val="21"/>
          <w:szCs w:val="21"/>
          <w:color w:val="auto"/>
        </w:rPr>
      </w:pPr>
    </w:p>
    <w:p>
      <w:pPr>
        <w:ind w:left="660" w:right="40" w:hanging="328"/>
        <w:spacing w:after="0" w:line="264" w:lineRule="auto"/>
        <w:tabs>
          <w:tab w:leader="none" w:pos="660" w:val="left"/>
        </w:tabs>
        <w:numPr>
          <w:ilvl w:val="0"/>
          <w:numId w:val="23"/>
        </w:numPr>
        <w:rPr>
          <w:rFonts w:ascii="Arial" w:cs="Arial" w:eastAsia="Arial" w:hAnsi="Arial"/>
          <w:sz w:val="21"/>
          <w:szCs w:val="21"/>
          <w:color w:val="auto"/>
        </w:rPr>
      </w:pPr>
      <w:r>
        <w:rPr>
          <w:rFonts w:ascii="Arial" w:cs="Arial" w:eastAsia="Arial" w:hAnsi="Arial"/>
          <w:sz w:val="17"/>
          <w:szCs w:val="17"/>
          <w:color w:val="auto"/>
        </w:rPr>
        <w:t>declines in global crude oil demand and crude oil prices (whether due to pandemics or other factors)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earn or the commercial opportunities that might otherwise be available to us;</w:t>
      </w:r>
    </w:p>
    <w:p>
      <w:pPr>
        <w:spacing w:after="0" w:line="117" w:lineRule="exact"/>
        <w:rPr>
          <w:rFonts w:ascii="Arial" w:cs="Arial" w:eastAsia="Arial" w:hAnsi="Arial"/>
          <w:sz w:val="21"/>
          <w:szCs w:val="21"/>
          <w:color w:val="auto"/>
        </w:rPr>
      </w:pPr>
    </w:p>
    <w:p>
      <w:pPr>
        <w:ind w:left="660" w:right="300" w:hanging="328"/>
        <w:spacing w:after="0" w:line="232"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34" w:lineRule="exact"/>
        <w:rPr>
          <w:rFonts w:ascii="Arial" w:cs="Arial" w:eastAsia="Arial" w:hAnsi="Arial"/>
          <w:sz w:val="22"/>
          <w:szCs w:val="22"/>
          <w:color w:val="auto"/>
        </w:rPr>
      </w:pPr>
    </w:p>
    <w:p>
      <w:pPr>
        <w:ind w:left="660" w:right="100" w:hanging="328"/>
        <w:spacing w:after="0" w:line="238"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135" w:lineRule="exact"/>
        <w:rPr>
          <w:rFonts w:ascii="Arial" w:cs="Arial" w:eastAsia="Arial" w:hAnsi="Arial"/>
          <w:sz w:val="22"/>
          <w:szCs w:val="22"/>
          <w:color w:val="auto"/>
        </w:rPr>
      </w:pPr>
    </w:p>
    <w:p>
      <w:pPr>
        <w:ind w:left="660" w:right="180" w:hanging="328"/>
        <w:spacing w:after="0" w:line="251" w:lineRule="auto"/>
        <w:tabs>
          <w:tab w:leader="none" w:pos="660" w:val="left"/>
        </w:tabs>
        <w:numPr>
          <w:ilvl w:val="0"/>
          <w:numId w:val="23"/>
        </w:numPr>
        <w:rPr>
          <w:rFonts w:ascii="Arial" w:cs="Arial" w:eastAsia="Arial" w:hAnsi="Arial"/>
          <w:sz w:val="21"/>
          <w:szCs w:val="21"/>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100" w:lineRule="exact"/>
        <w:rPr>
          <w:rFonts w:ascii="Arial" w:cs="Arial" w:eastAsia="Arial" w:hAnsi="Arial"/>
          <w:sz w:val="21"/>
          <w:szCs w:val="21"/>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environmental liabilities, litigation or other events that are not covered by an indemnity, insurance or existing reserves;</w:t>
      </w:r>
    </w:p>
    <w:p>
      <w:pPr>
        <w:spacing w:after="0" w:line="147" w:lineRule="exact"/>
        <w:rPr>
          <w:rFonts w:ascii="Arial" w:cs="Arial" w:eastAsia="Arial" w:hAnsi="Arial"/>
          <w:sz w:val="22"/>
          <w:szCs w:val="22"/>
          <w:color w:val="auto"/>
        </w:rPr>
      </w:pPr>
    </w:p>
    <w:p>
      <w:pPr>
        <w:ind w:left="660" w:right="700" w:hanging="328"/>
        <w:spacing w:after="0" w:line="232"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134" w:lineRule="exact"/>
        <w:rPr>
          <w:rFonts w:ascii="Arial" w:cs="Arial" w:eastAsia="Arial" w:hAnsi="Arial"/>
          <w:sz w:val="22"/>
          <w:szCs w:val="22"/>
          <w:color w:val="auto"/>
        </w:rPr>
      </w:pPr>
    </w:p>
    <w:p>
      <w:pPr>
        <w:ind w:left="660" w:hanging="328"/>
        <w:spacing w:after="0" w:line="241"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 or that negatively impact our ability to develop, operate or repair midstream assets;</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loss of key personnel and inability to attract and retain new talent;</w:t>
      </w:r>
    </w:p>
    <w:p>
      <w:pPr>
        <w:spacing w:after="0" w:line="147" w:lineRule="exact"/>
        <w:rPr>
          <w:rFonts w:ascii="Arial" w:cs="Arial" w:eastAsia="Arial" w:hAnsi="Arial"/>
          <w:sz w:val="22"/>
          <w:szCs w:val="22"/>
          <w:color w:val="auto"/>
        </w:rPr>
      </w:pPr>
    </w:p>
    <w:p>
      <w:pPr>
        <w:ind w:left="660" w:right="540" w:hanging="328"/>
        <w:spacing w:after="0" w:line="232"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effectiveness of our risk management activities;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shortages or cost increases of supplies, materials or labor;</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34" w:lineRule="exact"/>
        <w:rPr>
          <w:rFonts w:ascii="Arial" w:cs="Arial" w:eastAsia="Arial" w:hAnsi="Arial"/>
          <w:sz w:val="22"/>
          <w:szCs w:val="22"/>
          <w:color w:val="auto"/>
        </w:rPr>
      </w:pPr>
    </w:p>
    <w:p>
      <w:pPr>
        <w:ind w:left="660" w:right="100" w:hanging="328"/>
        <w:spacing w:after="0" w:line="239"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34" w:lineRule="exact"/>
        <w:rPr>
          <w:rFonts w:ascii="Arial" w:cs="Arial" w:eastAsia="Arial" w:hAnsi="Arial"/>
          <w:sz w:val="22"/>
          <w:szCs w:val="22"/>
          <w:color w:val="auto"/>
        </w:rPr>
      </w:pPr>
    </w:p>
    <w:p>
      <w:pPr>
        <w:ind w:left="660" w:right="40" w:hanging="328"/>
        <w:spacing w:after="0" w:line="284" w:lineRule="auto"/>
        <w:tabs>
          <w:tab w:leader="none" w:pos="660" w:val="left"/>
        </w:tabs>
        <w:numPr>
          <w:ilvl w:val="0"/>
          <w:numId w:val="24"/>
        </w:numPr>
        <w:rPr>
          <w:rFonts w:ascii="Arial" w:cs="Arial" w:eastAsia="Arial" w:hAnsi="Arial"/>
          <w:sz w:val="19"/>
          <w:szCs w:val="19"/>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100" w:lineRule="exact"/>
        <w:rPr>
          <w:rFonts w:ascii="Arial" w:cs="Arial" w:eastAsia="Arial" w:hAnsi="Arial"/>
          <w:sz w:val="19"/>
          <w:szCs w:val="19"/>
          <w:color w:val="auto"/>
        </w:rPr>
      </w:pPr>
    </w:p>
    <w:p>
      <w:pPr>
        <w:ind w:left="660" w:right="200" w:hanging="328"/>
        <w:spacing w:after="0" w:line="238"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incurrence of costs and expenses related to unexpected or unplanned capital expenditures, third-party claims or other factors;</w:t>
      </w:r>
    </w:p>
    <w:p>
      <w:pPr>
        <w:spacing w:after="0" w:line="134" w:lineRule="exact"/>
        <w:rPr>
          <w:rFonts w:ascii="Arial" w:cs="Arial" w:eastAsia="Arial" w:hAnsi="Arial"/>
          <w:sz w:val="22"/>
          <w:szCs w:val="22"/>
          <w:color w:val="auto"/>
        </w:rPr>
      </w:pPr>
    </w:p>
    <w:p>
      <w:pPr>
        <w:ind w:left="660" w:right="360" w:hanging="328"/>
        <w:spacing w:after="0" w:line="232"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135" w:lineRule="exact"/>
        <w:rPr>
          <w:rFonts w:ascii="Arial" w:cs="Arial" w:eastAsia="Arial" w:hAnsi="Arial"/>
          <w:sz w:val="22"/>
          <w:szCs w:val="22"/>
          <w:color w:val="auto"/>
        </w:rPr>
      </w:pPr>
    </w:p>
    <w:p>
      <w:pPr>
        <w:ind w:left="660" w:right="400" w:hanging="328"/>
        <w:spacing w:after="0" w:line="314" w:lineRule="auto"/>
        <w:tabs>
          <w:tab w:leader="none" w:pos="660" w:val="left"/>
        </w:tabs>
        <w:numPr>
          <w:ilvl w:val="0"/>
          <w:numId w:val="24"/>
        </w:numPr>
        <w:rPr>
          <w:rFonts w:ascii="Arial" w:cs="Arial" w:eastAsia="Arial" w:hAnsi="Arial"/>
          <w:sz w:val="19"/>
          <w:szCs w:val="19"/>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acquisitions, investment capital projects, working capital requirements and the repayment or refinancing of indebtedness;</w:t>
      </w:r>
    </w:p>
    <w:p>
      <w:pPr>
        <w:spacing w:after="0" w:line="44" w:lineRule="exact"/>
        <w:rPr>
          <w:rFonts w:ascii="Arial" w:cs="Arial" w:eastAsia="Arial" w:hAnsi="Arial"/>
          <w:sz w:val="19"/>
          <w:szCs w:val="19"/>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currency exchange rate of the Canadian dollar to the United States dollar;</w:t>
      </w:r>
    </w:p>
    <w:p>
      <w:pPr>
        <w:spacing w:after="0" w:line="134" w:lineRule="exact"/>
        <w:rPr>
          <w:rFonts w:ascii="Arial" w:cs="Arial" w:eastAsia="Arial" w:hAnsi="Arial"/>
          <w:sz w:val="22"/>
          <w:szCs w:val="22"/>
          <w:color w:val="auto"/>
        </w:rPr>
      </w:pPr>
    </w:p>
    <w:p>
      <w:pPr>
        <w:ind w:left="660" w:right="140" w:hanging="328"/>
        <w:spacing w:after="0" w:line="232"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significant under-utilization of our assets and facilities;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increased costs, or lack of availability, of insurance;</w:t>
      </w:r>
    </w:p>
    <w:p>
      <w:pPr>
        <w:spacing w:after="0" w:line="123"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1"/>
          <w:szCs w:val="21"/>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25" w:lineRule="exact"/>
        <w:rPr>
          <w:rFonts w:ascii="Arial" w:cs="Arial" w:eastAsia="Arial" w:hAnsi="Arial"/>
          <w:sz w:val="21"/>
          <w:szCs w:val="21"/>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risks related to the development and operation of our assets; and</w:t>
      </w:r>
    </w:p>
    <w:p>
      <w:pPr>
        <w:spacing w:after="0" w:line="134" w:lineRule="exact"/>
        <w:rPr>
          <w:rFonts w:ascii="Arial" w:cs="Arial" w:eastAsia="Arial" w:hAnsi="Arial"/>
          <w:sz w:val="22"/>
          <w:szCs w:val="22"/>
          <w:color w:val="auto"/>
        </w:rPr>
      </w:pPr>
    </w:p>
    <w:p>
      <w:pPr>
        <w:ind w:left="660" w:right="460" w:hanging="328"/>
        <w:spacing w:after="0" w:line="238"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Plains:</w:t>
      </w:r>
    </w:p>
    <w:p>
      <w:pPr>
        <w:spacing w:after="0" w:line="30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approximately 8 million barrels per day of crude oil and NGL.</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are headquartered in Houston, Texas. For more information, please visit www.plains.com.</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Contacts</w:t>
      </w:r>
      <w:r>
        <w:rPr>
          <w:rFonts w:ascii="Arial" w:cs="Arial" w:eastAsia="Arial" w:hAnsi="Arial"/>
          <w:sz w:val="18"/>
          <w:szCs w:val="18"/>
          <w:color w:val="auto"/>
        </w:rPr>
        <w: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Blake Fernandez</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Investor Relations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(866) 809-1291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Gladstein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Investor Relations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(866) 809-1291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47"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sectPr>
      <w:pgSz w:w="11900" w:h="16838" w:orient="portrait"/>
      <w:cols w:equalWidth="0" w:num="1">
        <w:col w:w="11040"/>
      </w:cols>
      <w:pgMar w:left="320" w:top="36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104"/>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lvl w:ilvl="1">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3"/>
    </w:lvl>
  </w:abstractNum>
  <w:abstractNum w:abstractNumId="16">
    <w:nsid w:val="628C895D"/>
    <w:multiLevelType w:val="hybridMultilevel"/>
    <w:lvl w:ilvl="0">
      <w:lvlJc w:val="left"/>
      <w:lvlText w:val="(%1)"/>
      <w:numFmt w:val="decimal"/>
      <w:start w:val="3"/>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2023-08-04T07:29:48Z</dcterms:created>
  <dcterms:modified xsi:type="dcterms:W3CDTF">2023-08-04T07:29:48Z</dcterms:modified>
</cp:coreProperties>
</file>