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673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673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Ziemba Lawrence Michael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PLAINS GP HOLDINGS LP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PAGP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08/14/2025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7,650</w:t>
            </w: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right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75,880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11,900</w:t>
            </w: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right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87,780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righ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7,650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7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7,650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08/14/2025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11,900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3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11,900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08/14/2025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7,400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08/14/2026</w:t>
            </w:r>
          </w:p>
        </w:tc>
        <w:tc>
          <w:tcPr>
            <w:tcW w:w="420" w:type="dxa"/>
            <w:vAlign w:val="bottom"/>
          </w:tcPr>
          <w:p>
            <w:pPr>
              <w:jc w:val="center"/>
              <w:ind w:lef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9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Phantom Class A shares granted under Long-Term Incentive Plan (includes associated dividend equivalent rights payable in cash).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One Class A share is deliverable for each Phantom Class A share that vests.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3. Upon termination of service as director, other than because of death, disability or retirement.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Lawrence Michael Ziemba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08/18/2025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-3398520</wp:posOffset>
            </wp:positionV>
            <wp:extent cx="29210" cy="26079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607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7334" TargetMode="External"/><Relationship Id="rId14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2025-08-18T16:10:07Z</dcterms:created>
  <dcterms:modified xsi:type="dcterms:W3CDTF">2025-08-18T16:10:07Z</dcterms:modified>
</cp:coreProperties>
</file>