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November 8, 2024</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290"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November 8, 2024, the Registrant issued a press release reporting its third-quarter 2024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6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40" w:type="dxa"/>
            <w:vAlign w:val="bottom"/>
            <w:tcBorders>
              <w:top w:val="single" w:sz="8" w:color="auto"/>
            </w:tcBorders>
            <w:gridSpan w:val="2"/>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November 8, 2024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6" w:right="45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100" w:type="dxa"/>
            <w:vAlign w:val="bottom"/>
          </w:tcPr>
          <w:p>
            <w:pPr>
              <w:spacing w:after="0"/>
              <w:rPr>
                <w:sz w:val="19"/>
                <w:szCs w:val="19"/>
                <w:color w:val="auto"/>
              </w:rPr>
            </w:pPr>
          </w:p>
        </w:tc>
        <w:tc>
          <w:tcPr>
            <w:tcW w:w="7600" w:type="dxa"/>
            <w:vAlign w:val="bottom"/>
            <w:gridSpan w:val="3"/>
          </w:tcPr>
          <w:p>
            <w:pPr>
              <w:ind w:left="142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3100" w:type="dxa"/>
            <w:vAlign w:val="bottom"/>
          </w:tcPr>
          <w:p>
            <w:pPr>
              <w:spacing w:after="0"/>
              <w:rPr>
                <w:sz w:val="24"/>
                <w:szCs w:val="24"/>
                <w:color w:val="auto"/>
              </w:rPr>
            </w:pPr>
          </w:p>
        </w:tc>
        <w:tc>
          <w:tcPr>
            <w:tcW w:w="18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8, 2024</w:t>
            </w:r>
          </w:p>
        </w:tc>
        <w:tc>
          <w:tcPr>
            <w:tcW w:w="18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3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3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282575</wp:posOffset>
            </wp:positionV>
            <wp:extent cx="1969135" cy="443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9135" cy="44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Plains All American Reports Third-Quarter 2024 Results</w:t>
      </w:r>
    </w:p>
    <w:p>
      <w:pPr>
        <w:spacing w:after="0" w:line="200" w:lineRule="exact"/>
        <w:rPr>
          <w:sz w:val="20"/>
          <w:szCs w:val="20"/>
          <w:color w:val="auto"/>
        </w:rPr>
      </w:pPr>
    </w:p>
    <w:p>
      <w:pPr>
        <w:spacing w:after="0" w:line="256"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 xml:space="preserve">Houston, TX – November 8, 2024 – Plains All American Pipeline, L.P. (Nasdaq: </w:t>
      </w:r>
      <w:r>
        <w:rPr>
          <w:rFonts w:ascii="Times New Roman" w:cs="Times New Roman" w:eastAsia="Times New Roman" w:hAnsi="Times New Roman"/>
          <w:sz w:val="17"/>
          <w:szCs w:val="17"/>
          <w:color w:val="0000FF"/>
        </w:rPr>
        <w:t>PAA</w:t>
      </w:r>
      <w:r>
        <w:rPr>
          <w:rFonts w:ascii="Times New Roman" w:cs="Times New Roman" w:eastAsia="Times New Roman" w:hAnsi="Times New Roman"/>
          <w:sz w:val="17"/>
          <w:szCs w:val="17"/>
          <w:color w:val="auto"/>
        </w:rPr>
        <w:t xml:space="preserve">) and Plains GP Holdings (Nasdaq: </w:t>
      </w:r>
      <w:r>
        <w:rPr>
          <w:rFonts w:ascii="Times New Roman" w:cs="Times New Roman" w:eastAsia="Times New Roman" w:hAnsi="Times New Roman"/>
          <w:sz w:val="17"/>
          <w:szCs w:val="17"/>
          <w:color w:val="0000FF"/>
        </w:rPr>
        <w:t>PAGP</w:t>
      </w:r>
      <w:r>
        <w:rPr>
          <w:rFonts w:ascii="Times New Roman" w:cs="Times New Roman" w:eastAsia="Times New Roman" w:hAnsi="Times New Roman"/>
          <w:sz w:val="17"/>
          <w:szCs w:val="17"/>
          <w:color w:val="auto"/>
        </w:rPr>
        <w:t>) today reported third-quarter 2024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Third-Quarter Results</w:t>
      </w:r>
    </w:p>
    <w:p>
      <w:pPr>
        <w:spacing w:after="0" w:line="235"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net income attributable to PAA of $220 million and net cash provided by operating activities of $692 million</w:t>
      </w:r>
    </w:p>
    <w:p>
      <w:pPr>
        <w:spacing w:after="0" w:line="3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solid Adjusted EBITDA attributable to PAA of $659 million</w:t>
      </w:r>
    </w:p>
    <w:p>
      <w:pPr>
        <w:spacing w:after="0" w:line="3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Progressed our efficient growth strategy with a small bolt-on acquisition of a Permian gathering system</w:t>
      </w:r>
    </w:p>
    <w:p>
      <w:pPr>
        <w:spacing w:after="0" w:line="3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Exited the quarter with 3.0x leverage ratio, below our target range of 3.25x – 3.75x</w:t>
      </w:r>
    </w:p>
    <w:p>
      <w:pPr>
        <w:spacing w:after="0" w:line="3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Moody’s upgrade from Baa3 to Baa2 with stable outlook; now mid-BBB at all three credit rating agencies</w:t>
      </w:r>
    </w:p>
    <w:p>
      <w:pPr>
        <w:spacing w:after="0" w:line="3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Resolved remaining material Line 901 claims against Plains with two lawsuit settlements resulting in a $120 million charge to GAAP earnings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Guidance Update</w:t>
      </w:r>
    </w:p>
    <w:p>
      <w:pPr>
        <w:spacing w:after="0" w:line="248"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Expect to be toward the high-end of the guidance range for full-year 2024 Adjusted EBITDA attributable to PAA of $2.725 - $2.775 billion</w:t>
      </w:r>
    </w:p>
    <w:p>
      <w:pPr>
        <w:spacing w:after="0" w:line="246" w:lineRule="exact"/>
        <w:rPr>
          <w:rFonts w:ascii="Times New Roman" w:cs="Times New Roman" w:eastAsia="Times New Roman" w:hAnsi="Times New Roman"/>
          <w:sz w:val="19"/>
          <w:szCs w:val="19"/>
          <w:color w:val="auto"/>
        </w:rPr>
      </w:pPr>
    </w:p>
    <w:p>
      <w:pPr>
        <w:ind w:left="620" w:right="80" w:hanging="307"/>
        <w:spacing w:after="0" w:line="259"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Expect 2024 Adjusted Free Cash Flow to be approximately $1.45 billion (excluding changes in Assets &amp; Liabilities; including bolt-on acquisition capital and legal settlements)</w:t>
      </w:r>
    </w:p>
    <w:p>
      <w:pPr>
        <w:spacing w:after="0" w:line="199"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7"/>
          <w:szCs w:val="17"/>
          <w:color w:val="auto"/>
        </w:rPr>
        <w:t>“We delivered solid operational and financial results in the third quarter and we continue to make progress on our efficient growth strategy, which includes generating multi-year Free Cash Flow, maintaining capital discipline and returning capital to our investors while preserving financial flexibility,” said Willie Chiang, Chairman and CEO of Plains. “Our company is well positioned, and we have grown increasingly confident in both the durability and cash generating potential of the asset base. The improved outlook for the year provides more confidence in our long-term return of capital framework, which should continue creating value for our unitholders.”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8"/>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net income per common unit</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0.9525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581"/>
        </w:trPr>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7"/>
                <w:szCs w:val="17"/>
                <w:b w:val="1"/>
                <w:bCs w:val="1"/>
                <w:i w:val="1"/>
                <w:iCs w:val="1"/>
                <w:color w:val="auto"/>
                <w:vertAlign w:val="superscript"/>
              </w:rPr>
              <w:t>(1)</w:t>
            </w: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3"/>
        </w:trPr>
        <w:tc>
          <w:tcPr>
            <w:tcW w:w="5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Adjusted Free Cash Flow</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 after Distributions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Adjusted Free Cash Flow (Excluding Changes in Assets &amp; Liabilities)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68"/>
        </w:trPr>
        <w:tc>
          <w:tcPr>
            <w:tcW w:w="5160" w:type="dxa"/>
            <w:vAlign w:val="bottom"/>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&amp; Liabilities)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37"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35" w:lineRule="exact"/>
        <w:rPr>
          <w:rFonts w:ascii="Times New Roman" w:cs="Times New Roman" w:eastAsia="Times New Roman" w:hAnsi="Times New Roman"/>
          <w:sz w:val="22"/>
          <w:szCs w:val="22"/>
          <w:color w:val="auto"/>
          <w:vertAlign w:val="superscript"/>
        </w:rPr>
      </w:pPr>
    </w:p>
    <w:p>
      <w:pPr>
        <w:ind w:left="320" w:right="40" w:hanging="317"/>
        <w:spacing w:after="0" w:line="230"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amounts attributable to noncontrolling interests in the Plains Oryx Permian Basin LLC joint venture, Cactus II Pipeline LLC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of Selected Financial Data by Segment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01"/>
        </w:trPr>
        <w:tc>
          <w:tcPr>
            <w:tcW w:w="7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39"/>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September 30, 2024</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September 30, 2023</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7"/>
              <w:spacing w:after="0" w:line="191" w:lineRule="exact"/>
              <w:rPr>
                <w:sz w:val="20"/>
                <w:szCs w:val="20"/>
                <w:color w:val="auto"/>
              </w:rPr>
            </w:pPr>
            <w:r>
              <w:rPr>
                <w:rFonts w:ascii="Times New Roman" w:cs="Times New Roman" w:eastAsia="Times New Roman" w:hAnsi="Times New Roman"/>
                <w:sz w:val="17"/>
                <w:szCs w:val="17"/>
                <w:color w:val="auto"/>
              </w:rPr>
              <w:t>553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99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7860" w:type="dxa"/>
            <w:vAlign w:val="bottom"/>
            <w:tcBorders>
              <w:bottom w:val="single" w:sz="8" w:color="CCEEFF"/>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2023 period</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4 %</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(26)%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8"/>
        </w:trPr>
        <w:tc>
          <w:tcPr>
            <w:tcW w:w="7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01"/>
        </w:trPr>
        <w:tc>
          <w:tcPr>
            <w:tcW w:w="7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39"/>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Ended September 30, 2024</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1,707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326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Nine Months Ended September 30, 2023</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7"/>
              <w:spacing w:after="0" w:line="191" w:lineRule="exact"/>
              <w:rPr>
                <w:sz w:val="20"/>
                <w:szCs w:val="20"/>
                <w:color w:val="auto"/>
              </w:rPr>
            </w:pPr>
            <w:r>
              <w:rPr>
                <w:rFonts w:ascii="Times New Roman" w:cs="Times New Roman" w:eastAsia="Times New Roman" w:hAnsi="Times New Roman"/>
                <w:sz w:val="17"/>
                <w:szCs w:val="17"/>
                <w:color w:val="auto"/>
              </w:rPr>
              <w:t>1,600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352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2023 period</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7 %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right="280" w:firstLine="620"/>
        <w:spacing w:after="0" w:line="288" w:lineRule="auto"/>
        <w:rPr>
          <w:sz w:val="20"/>
          <w:szCs w:val="20"/>
          <w:color w:val="auto"/>
        </w:rPr>
      </w:pPr>
      <w:r>
        <w:rPr>
          <w:rFonts w:ascii="Times New Roman" w:cs="Times New Roman" w:eastAsia="Times New Roman" w:hAnsi="Times New Roman"/>
          <w:sz w:val="17"/>
          <w:szCs w:val="17"/>
          <w:color w:val="auto"/>
        </w:rPr>
        <w:t>Third-quarter 2024 Crude Oil Segment Adjusted EBITDA increased 4% versus comparable 2023 results primarily due to higher tariff volumes on our pipelines, tariff escalations and contributions from acquisitions. These items were partially offset by fewer market-based opportunities.</w:t>
      </w:r>
    </w:p>
    <w:p>
      <w:pPr>
        <w:spacing w:after="0" w:line="177" w:lineRule="exact"/>
        <w:rPr>
          <w:sz w:val="20"/>
          <w:szCs w:val="20"/>
          <w:color w:val="auto"/>
        </w:rPr>
      </w:pPr>
    </w:p>
    <w:p>
      <w:pPr>
        <w:ind w:right="480" w:firstLine="620"/>
        <w:spacing w:after="0" w:line="288" w:lineRule="auto"/>
        <w:rPr>
          <w:sz w:val="20"/>
          <w:szCs w:val="20"/>
          <w:color w:val="auto"/>
        </w:rPr>
      </w:pPr>
      <w:r>
        <w:rPr>
          <w:rFonts w:ascii="Times New Roman" w:cs="Times New Roman" w:eastAsia="Times New Roman" w:hAnsi="Times New Roman"/>
          <w:sz w:val="17"/>
          <w:szCs w:val="17"/>
          <w:color w:val="auto"/>
        </w:rPr>
        <w:t>Third-quarter 2024 NGL Segment Adjusted EBITDA decreased 26% versus comparable 2023 results primarily due to lower weighted average frac spreads in the third quarter of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November 8, 2024 to discuss third-quarter performance and related items.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https://edge.media-server.com/mmc/p/cjupfudo/</w:t>
      </w:r>
    </w:p>
    <w:p>
      <w:pPr>
        <w:spacing w:after="0" w:line="244"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Alternatively, the webcast can be accessed on our website (www.plains.com) under Investor Relations (Navigate to: Investor Relations / either “PAA” or “PAGP” / News &amp; Events / Events &amp; Presentations). Following the live webcast, an audio replay will be available on our website and will be accessible for a period of 365 days. Slides will be posted prior to the call at the above referenced website.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132"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asset impairments, gains or losses on investments in unconsolidated entities and interest income on promissory notes by and among PAA and certain Plains entities, adjusted for certain selected items impacting comparability. Adjusted EBITDA attributable to PAA excludes the portion of Adjusted EBITDA that is attributable to noncontrolling interests.</w:t>
      </w:r>
    </w:p>
    <w:p>
      <w:pPr>
        <w:spacing w:after="0" w:line="96"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5"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144" w:lineRule="exact"/>
        <w:rPr>
          <w:sz w:val="20"/>
          <w:szCs w:val="20"/>
          <w:color w:val="auto"/>
        </w:rPr>
      </w:pPr>
    </w:p>
    <w:p>
      <w:pPr>
        <w:ind w:right="100" w:firstLine="620"/>
        <w:spacing w:after="0" w:line="259"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74"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36,014</w:t>
            </w: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32,972</w:t>
            </w: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20"/>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3"/>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34,929</w:t>
            </w: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investment in unconsolidated entities</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Interest expense, net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Other income, net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5"/>
        </w:trPr>
        <w:tc>
          <w:tcPr>
            <w:tcW w:w="38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r>
      <w:tr>
        <w:trPr>
          <w:trHeight w:val="22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5"/>
        </w:trPr>
        <w:tc>
          <w:tcPr>
            <w:tcW w:w="38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r>
      <w:tr>
        <w:trPr>
          <w:trHeight w:val="220"/>
        </w:trPr>
        <w:tc>
          <w:tcPr>
            <w:tcW w:w="63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3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PAA</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COMMON UNIT: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income allocated to common unitholders — Basic and Diluted</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w:t>
            </w:r>
          </w:p>
        </w:tc>
      </w:tr>
      <w:tr>
        <w:trPr>
          <w:trHeight w:val="220"/>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weighted average common units outstanding</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20"/>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126" w:lineRule="exact"/>
        <w:rPr>
          <w:sz w:val="20"/>
          <w:szCs w:val="20"/>
          <w:color w:val="auto"/>
        </w:rPr>
      </w:pPr>
    </w:p>
    <w:p>
      <w:pPr>
        <w:ind w:left="320" w:right="140" w:hanging="317"/>
        <w:spacing w:after="0" w:line="237"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PAA and certain Plains entities have issued promissory notes by and among such entities to facilitate financing. “Interest expense, net” and “Other income, net” each include $16 million and $31 million for the three and nine months ended September 30, 2024, respectively, related to interest on such notes. These amounts offset and do not impact Net Income or Non-GAAP metrics such as Adjusted EBITDA, Implied DCF and Adjusted Free Cash Flow.</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40" w:type="dxa"/>
            <w:vAlign w:val="bottom"/>
          </w:tcPr>
          <w:p>
            <w:pPr>
              <w:spacing w:after="0"/>
              <w:rPr>
                <w:sz w:val="13"/>
                <w:szCs w:val="13"/>
                <w:color w:val="auto"/>
              </w:rPr>
            </w:pPr>
          </w:p>
        </w:tc>
        <w:tc>
          <w:tcPr>
            <w:tcW w:w="10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Current assets (including Cash and cash equivalents of $640 and $450, respectively)</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27,155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3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3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DEBT CAPITALIZATION RATIOS</w:t>
            </w:r>
          </w:p>
        </w:tc>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40" w:type="dxa"/>
            <w:vAlign w:val="bottom"/>
          </w:tcPr>
          <w:p>
            <w:pPr>
              <w:spacing w:after="0"/>
              <w:rPr>
                <w:sz w:val="13"/>
                <w:szCs w:val="13"/>
                <w:color w:val="auto"/>
              </w:rPr>
            </w:pPr>
          </w:p>
        </w:tc>
        <w:tc>
          <w:tcPr>
            <w:tcW w:w="1060" w:type="dxa"/>
            <w:vAlign w:val="bottom"/>
          </w:tcPr>
          <w:p>
            <w:pPr>
              <w:jc w:val="center"/>
              <w:ind w:right="76"/>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book capitalization excluding noncontrolling interests (“Total book capitalization”)</w:t>
            </w:r>
          </w:p>
        </w:tc>
        <w:tc>
          <w:tcPr>
            <w:tcW w:w="1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book capitalization, including short-term debt</w:t>
            </w: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18,212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debt-to-total book capitalization</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 more -</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2960" w:type="dxa"/>
            <w:vAlign w:val="bottom"/>
            <w:gridSpan w:val="3"/>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8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5"/>
        </w:trPr>
        <w:tc>
          <w:tcPr>
            <w:tcW w:w="6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and Diluted Net Income per Common Unit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0"/>
        </w:trPr>
        <w:tc>
          <w:tcPr>
            <w:tcW w:w="6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40" w:type="dxa"/>
            <w:vAlign w:val="bottom"/>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9"/>
                <w:szCs w:val="19"/>
                <w:color w:val="auto"/>
              </w:rPr>
            </w:pPr>
          </w:p>
        </w:tc>
        <w:tc>
          <w:tcPr>
            <w:tcW w:w="74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20"/>
        </w:trPr>
        <w:tc>
          <w:tcPr>
            <w:tcW w:w="60" w:type="dxa"/>
            <w:vAlign w:val="bottom"/>
          </w:tcPr>
          <w:p>
            <w:pPr>
              <w:spacing w:after="0"/>
              <w:rPr>
                <w:sz w:val="19"/>
                <w:szCs w:val="19"/>
                <w:color w:val="auto"/>
              </w:rPr>
            </w:pPr>
          </w:p>
        </w:tc>
        <w:tc>
          <w:tcPr>
            <w:tcW w:w="6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60" w:type="dxa"/>
            <w:vAlign w:val="bottom"/>
          </w:tcPr>
          <w:p>
            <w:pPr>
              <w:spacing w:after="0"/>
              <w:rPr>
                <w:sz w:val="19"/>
                <w:szCs w:val="19"/>
                <w:color w:val="auto"/>
              </w:rPr>
            </w:pPr>
          </w:p>
        </w:tc>
        <w:tc>
          <w:tcPr>
            <w:tcW w:w="62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60" w:type="dxa"/>
            <w:vAlign w:val="bottom"/>
          </w:tcPr>
          <w:p>
            <w:pPr>
              <w:spacing w:after="0"/>
              <w:rPr>
                <w:sz w:val="20"/>
                <w:szCs w:val="20"/>
                <w:color w:val="auto"/>
              </w:rPr>
            </w:pPr>
          </w:p>
        </w:tc>
        <w:tc>
          <w:tcPr>
            <w:tcW w:w="6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allocated to common unitholders</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(2) (3)</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45"/>
        </w:trPr>
        <w:tc>
          <w:tcPr>
            <w:tcW w:w="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5"/>
        </w:trPr>
        <w:tc>
          <w:tcPr>
            <w:tcW w:w="60" w:type="dxa"/>
            <w:vAlign w:val="bottom"/>
          </w:tcPr>
          <w:p>
            <w:pPr>
              <w:spacing w:after="0"/>
              <w:rPr>
                <w:sz w:val="20"/>
                <w:szCs w:val="20"/>
                <w:color w:val="auto"/>
              </w:rPr>
            </w:pPr>
          </w:p>
        </w:tc>
        <w:tc>
          <w:tcPr>
            <w:tcW w:w="6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6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126" w:lineRule="exact"/>
        <w:rPr>
          <w:sz w:val="20"/>
          <w:szCs w:val="20"/>
          <w:color w:val="auto"/>
        </w:rPr>
      </w:pPr>
    </w:p>
    <w:p>
      <w:pPr>
        <w:ind w:left="320" w:right="8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5" w:lineRule="exact"/>
        <w:rPr>
          <w:rFonts w:ascii="Times New Roman" w:cs="Times New Roman" w:eastAsia="Times New Roman" w:hAnsi="Times New Roman"/>
          <w:sz w:val="22"/>
          <w:szCs w:val="22"/>
          <w:color w:val="auto"/>
          <w:vertAlign w:val="superscript"/>
        </w:rPr>
      </w:pPr>
    </w:p>
    <w:p>
      <w:pPr>
        <w:ind w:left="320" w:right="240" w:hanging="317"/>
        <w:spacing w:after="0" w:line="230"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net income per common unit for each of the three and nine months ended September 30, 2024 and 2023 as the effect was antidilutive.</w:t>
      </w:r>
    </w:p>
    <w:p>
      <w:pPr>
        <w:spacing w:after="0" w:line="35" w:lineRule="exact"/>
        <w:rPr>
          <w:rFonts w:ascii="Times New Roman" w:cs="Times New Roman" w:eastAsia="Times New Roman" w:hAnsi="Times New Roman"/>
          <w:sz w:val="22"/>
          <w:szCs w:val="22"/>
          <w:color w:val="auto"/>
          <w:vertAlign w:val="superscript"/>
        </w:rPr>
      </w:pPr>
    </w:p>
    <w:p>
      <w:pPr>
        <w:ind w:left="32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w:t>
            </w: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0"/>
        </w:trPr>
        <w:tc>
          <w:tcPr>
            <w:tcW w:w="8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3"/>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w:t>
            </w:r>
          </w:p>
        </w:tc>
      </w:tr>
      <w:tr>
        <w:trPr>
          <w:trHeight w:val="142"/>
        </w:trPr>
        <w:tc>
          <w:tcPr>
            <w:tcW w:w="3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142"/>
        </w:trPr>
        <w:tc>
          <w:tcPr>
            <w:tcW w:w="388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2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Net cash used in financing activities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r>
      <w:tr>
        <w:trPr>
          <w:trHeight w:val="142"/>
        </w:trPr>
        <w:tc>
          <w:tcPr>
            <w:tcW w:w="3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42"/>
        </w:trPr>
        <w:tc>
          <w:tcPr>
            <w:tcW w:w="3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increase/(decrease) in cash and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142"/>
        </w:trPr>
        <w:tc>
          <w:tcPr>
            <w:tcW w:w="3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0"/>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130" w:lineRule="exact"/>
        <w:rPr>
          <w:sz w:val="20"/>
          <w:szCs w:val="20"/>
          <w:color w:val="auto"/>
        </w:rPr>
      </w:pPr>
    </w:p>
    <w:p>
      <w:pPr>
        <w:ind w:left="320" w:right="40" w:hanging="317"/>
        <w:spacing w:after="0" w:line="230" w:lineRule="auto"/>
        <w:tabs>
          <w:tab w:leader="none" w:pos="30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PAA and certain Plains entities have issued promissory notes by and among such entities to facilitate financing. For the nine months ended September 30, 2024, “Net cash used in investing activities” includes a cash outflow of $629 million associated with our investment in related party notes. An equal and offsetting cash inflow associated with our issuance of related party notes is included in “Net cash used in financing activities.”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17"/>
                <w:szCs w:val="17"/>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24"/>
        </w:trPr>
        <w:tc>
          <w:tcPr>
            <w:tcW w:w="3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gridSpan w:val="6"/>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00" w:type="dxa"/>
            <w:vAlign w:val="bottom"/>
          </w:tcPr>
          <w:p>
            <w:pPr>
              <w:spacing w:after="0"/>
              <w:rPr>
                <w:sz w:val="10"/>
                <w:szCs w:val="10"/>
                <w:color w:val="auto"/>
              </w:rPr>
            </w:pPr>
          </w:p>
        </w:tc>
        <w:tc>
          <w:tcPr>
            <w:tcW w:w="1620" w:type="dxa"/>
            <w:vAlign w:val="bottom"/>
            <w:gridSpan w:val="4"/>
          </w:tcPr>
          <w:p>
            <w:pPr>
              <w:jc w:val="center"/>
              <w:ind w:right="117"/>
              <w:spacing w:after="0" w:line="124" w:lineRule="exact"/>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5"/>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00" w:type="dxa"/>
            <w:vAlign w:val="bottom"/>
          </w:tcPr>
          <w:p>
            <w:pPr>
              <w:spacing w:after="0"/>
              <w:rPr>
                <w:sz w:val="10"/>
                <w:szCs w:val="10"/>
                <w:color w:val="auto"/>
              </w:rPr>
            </w:pPr>
          </w:p>
        </w:tc>
        <w:tc>
          <w:tcPr>
            <w:tcW w:w="1620" w:type="dxa"/>
            <w:vAlign w:val="bottom"/>
            <w:gridSpan w:val="4"/>
          </w:tcPr>
          <w:p>
            <w:pPr>
              <w:jc w:val="right"/>
              <w:ind w:right="237"/>
              <w:spacing w:after="0" w:line="124"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0" w:type="dxa"/>
            <w:vAlign w:val="bottom"/>
          </w:tcPr>
          <w:p>
            <w:pPr>
              <w:spacing w:after="0"/>
              <w:rPr>
                <w:sz w:val="16"/>
                <w:szCs w:val="16"/>
                <w:color w:val="auto"/>
              </w:rPr>
            </w:pPr>
          </w:p>
        </w:tc>
        <w:tc>
          <w:tcPr>
            <w:tcW w:w="18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8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0" w:type="dxa"/>
            <w:vAlign w:val="bottom"/>
          </w:tcPr>
          <w:p>
            <w:pPr>
              <w:spacing w:after="0"/>
              <w:rPr>
                <w:sz w:val="16"/>
                <w:szCs w:val="16"/>
                <w:color w:val="auto"/>
              </w:rPr>
            </w:pPr>
          </w:p>
        </w:tc>
        <w:tc>
          <w:tcPr>
            <w:tcW w:w="1620" w:type="dxa"/>
            <w:vAlign w:val="bottom"/>
            <w:gridSpan w:val="4"/>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6"/>
        </w:trPr>
        <w:tc>
          <w:tcPr>
            <w:tcW w:w="35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0"/>
        </w:trPr>
        <w:tc>
          <w:tcPr>
            <w:tcW w:w="3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220"/>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200" w:type="dxa"/>
            <w:vAlign w:val="bottom"/>
          </w:tcPr>
          <w:p>
            <w:pPr>
              <w:spacing w:after="0"/>
              <w:rPr>
                <w:sz w:val="18"/>
                <w:szCs w:val="18"/>
                <w:color w:val="auto"/>
              </w:rPr>
            </w:pPr>
          </w:p>
        </w:tc>
        <w:tc>
          <w:tcPr>
            <w:tcW w:w="660" w:type="dxa"/>
            <w:vAlign w:val="bottom"/>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2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3"/>
        </w:trPr>
        <w:tc>
          <w:tcPr>
            <w:tcW w:w="35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w:t>
            </w: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0"/>
        </w:trPr>
        <w:tc>
          <w:tcPr>
            <w:tcW w:w="3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83"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expenditures attributable to noncontrolling interests.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and ratio data)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Computation of Basic and Diluted Adjusted Net Income Per Common Unit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96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5"/>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9"/>
                <w:szCs w:val="19"/>
                <w:color w:val="auto"/>
              </w:rPr>
            </w:pP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8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r>
      <w:tr>
        <w:trPr>
          <w:trHeight w:val="220"/>
        </w:trPr>
        <w:tc>
          <w:tcPr>
            <w:tcW w:w="64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Pr>
          <w:p>
            <w:pPr>
              <w:spacing w:after="0"/>
              <w:rPr>
                <w:sz w:val="18"/>
                <w:szCs w:val="18"/>
                <w:color w:val="auto"/>
              </w:rPr>
            </w:pP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8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r>
      <w:tr>
        <w:trPr>
          <w:trHeight w:val="220"/>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20"/>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0"/>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6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0"/>
        </w:trPr>
        <w:tc>
          <w:tcPr>
            <w:tcW w:w="642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(3) (4)</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58"/>
        </w:trPr>
        <w:tc>
          <w:tcPr>
            <w:tcW w:w="38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45"/>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130" w:lineRule="exact"/>
        <w:rPr>
          <w:sz w:val="20"/>
          <w:szCs w:val="20"/>
          <w:color w:val="auto"/>
        </w:rPr>
      </w:pPr>
    </w:p>
    <w:p>
      <w:pPr>
        <w:ind w:left="320" w:right="80" w:hanging="317"/>
        <w:spacing w:after="0" w:line="246" w:lineRule="auto"/>
        <w:tabs>
          <w:tab w:leader="none" w:pos="30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00" w:hanging="297"/>
        <w:spacing w:after="0"/>
        <w:tabs>
          <w:tab w:leader="none" w:pos="3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Items Impacting Comparability” table for additional information.</w:t>
      </w:r>
    </w:p>
    <w:p>
      <w:pPr>
        <w:spacing w:after="0" w:line="61" w:lineRule="exact"/>
        <w:rPr>
          <w:rFonts w:ascii="Times New Roman" w:cs="Times New Roman" w:eastAsia="Times New Roman" w:hAnsi="Times New Roman"/>
          <w:sz w:val="20"/>
          <w:szCs w:val="20"/>
          <w:color w:val="auto"/>
          <w:vertAlign w:val="superscript"/>
        </w:rPr>
      </w:pPr>
    </w:p>
    <w:p>
      <w:pPr>
        <w:ind w:left="320" w:right="60" w:hanging="317"/>
        <w:spacing w:after="0" w:line="211" w:lineRule="auto"/>
        <w:tabs>
          <w:tab w:leader="none" w:pos="30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adjusted net income per common unit for the three and nine months ended September 30, 2024 and 2023 as the effect was antidilutive.</w:t>
      </w:r>
    </w:p>
    <w:p>
      <w:pPr>
        <w:spacing w:after="0" w:line="33" w:lineRule="exact"/>
        <w:rPr>
          <w:rFonts w:ascii="Times New Roman" w:cs="Times New Roman" w:eastAsia="Times New Roman" w:hAnsi="Times New Roman"/>
          <w:sz w:val="20"/>
          <w:szCs w:val="20"/>
          <w:color w:val="auto"/>
          <w:vertAlign w:val="superscript"/>
        </w:rPr>
      </w:pPr>
    </w:p>
    <w:p>
      <w:pPr>
        <w:ind w:left="320" w:hanging="317"/>
        <w:spacing w:after="0" w:line="246" w:lineRule="auto"/>
        <w:tabs>
          <w:tab w:leader="none" w:pos="30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Adjusted Net Income Per Common Unit Reconciliation: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63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98"/>
              <w:spacing w:after="0"/>
              <w:rPr>
                <w:sz w:val="20"/>
                <w:szCs w:val="20"/>
                <w:color w:val="auto"/>
              </w:rPr>
            </w:pPr>
            <w:r>
              <w:rPr>
                <w:rFonts w:ascii="Times New Roman" w:cs="Times New Roman" w:eastAsia="Times New Roman" w:hAnsi="Times New Roman"/>
                <w:sz w:val="17"/>
                <w:szCs w:val="17"/>
                <w:color w:val="auto"/>
              </w:rPr>
              <w:t>(0.03)</w:t>
            </w:r>
          </w:p>
        </w:tc>
      </w:tr>
      <w:tr>
        <w:trPr>
          <w:trHeight w:val="23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rPr>
              <w:t>1.01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100"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Items Impacting Comparability” and the “Computation of Basic and Diluted Adjusted Net Income Per Common Unit” tables for additional information.</w:t>
      </w:r>
    </w:p>
    <w:p>
      <w:pPr>
        <w:spacing w:after="0" w:line="157"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6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r>
      <w:tr>
        <w:trPr>
          <w:trHeight w:val="220"/>
        </w:trPr>
        <w:tc>
          <w:tcPr>
            <w:tcW w:w="630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2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expense/(benefit)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0"/>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2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20"/>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investment in unconsolidated entities</w:t>
            </w: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63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0"/>
        </w:trPr>
        <w:tc>
          <w:tcPr>
            <w:tcW w:w="630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1"/>
                <w:szCs w:val="21"/>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1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w:t>
            </w:r>
          </w:p>
        </w:tc>
      </w:tr>
      <w:tr>
        <w:trPr>
          <w:trHeight w:val="220"/>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38"/>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 attributable to PAA</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6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w:t>
            </w:r>
          </w:p>
        </w:tc>
      </w:tr>
      <w:tr>
        <w:trPr>
          <w:trHeight w:val="220"/>
        </w:trPr>
        <w:tc>
          <w:tcPr>
            <w:tcW w:w="630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non-cash and other items </w:t>
            </w:r>
            <w:r>
              <w:rPr>
                <w:rFonts w:ascii="Times New Roman" w:cs="Times New Roman" w:eastAsia="Times New Roman" w:hAnsi="Times New Roman"/>
                <w:sz w:val="21"/>
                <w:szCs w:val="21"/>
                <w:color w:val="auto"/>
                <w:vertAlign w:val="superscript"/>
              </w:rPr>
              <w:t>(4)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2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Maintenance capital</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20"/>
        </w:trPr>
        <w:tc>
          <w:tcPr>
            <w:tcW w:w="630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1"/>
                <w:szCs w:val="21"/>
                <w:color w:val="auto"/>
                <w:vertAlign w:val="superscript"/>
              </w:rPr>
              <w:t>(5)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630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1"/>
                <w:szCs w:val="21"/>
                <w:color w:val="auto"/>
                <w:vertAlign w:val="superscript"/>
              </w:rPr>
              <w:t>(6)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630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1"/>
                <w:szCs w:val="21"/>
                <w:color w:val="auto"/>
                <w:vertAlign w:val="superscript"/>
              </w:rPr>
              <w:t>(7)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10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w:t>
            </w:r>
          </w:p>
        </w:tc>
      </w:tr>
      <w:tr>
        <w:trPr>
          <w:trHeight w:val="220"/>
        </w:trPr>
        <w:tc>
          <w:tcPr>
            <w:tcW w:w="630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Preferred unit distributions paid </w:t>
            </w:r>
            <w:r>
              <w:rPr>
                <w:rFonts w:ascii="Times New Roman" w:cs="Times New Roman" w:eastAsia="Times New Roman" w:hAnsi="Times New Roman"/>
                <w:sz w:val="21"/>
                <w:szCs w:val="21"/>
                <w:color w:val="auto"/>
                <w:vertAlign w:val="superscript"/>
              </w:rPr>
              <w:t>(7)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 Available to Common Unitholders</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1,245</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08"/>
        </w:trPr>
        <w:tc>
          <w:tcPr>
            <w:tcW w:w="6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r>
      <w:tr>
        <w:trPr>
          <w:trHeight w:val="142"/>
        </w:trPr>
        <w:tc>
          <w:tcPr>
            <w:tcW w:w="6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20"/>
        </w:trPr>
        <w:tc>
          <w:tcPr>
            <w:tcW w:w="63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1"/>
                <w:szCs w:val="21"/>
                <w:color w:val="auto"/>
                <w:vertAlign w:val="superscript"/>
              </w:rPr>
              <w:t>(8)</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0"/>
        </w:trPr>
        <w:tc>
          <w:tcPr>
            <w:tcW w:w="630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1"/>
                <w:szCs w:val="21"/>
                <w:color w:val="auto"/>
                <w:vertAlign w:val="superscript"/>
              </w:rPr>
              <w:t>(9)</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142"/>
        </w:trPr>
        <w:tc>
          <w:tcPr>
            <w:tcW w:w="6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0.2675</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0.9525</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0.8025</w:t>
            </w:r>
          </w:p>
        </w:tc>
      </w:tr>
      <w:tr>
        <w:trPr>
          <w:trHeight w:val="220"/>
        </w:trPr>
        <w:tc>
          <w:tcPr>
            <w:tcW w:w="63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1"/>
                <w:szCs w:val="21"/>
                <w:color w:val="auto"/>
                <w:vertAlign w:val="superscript"/>
              </w:rPr>
              <w:t>(7)</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Unit Distribution Coverage Ratio</w:t>
            </w:r>
          </w:p>
        </w:tc>
        <w:tc>
          <w:tcPr>
            <w:tcW w:w="280" w:type="dxa"/>
            <w:vAlign w:val="bottom"/>
          </w:tcPr>
          <w:p>
            <w:pPr>
              <w:spacing w:after="0"/>
              <w:rPr>
                <w:sz w:val="19"/>
                <w:szCs w:val="19"/>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1.92x</w:t>
            </w:r>
          </w:p>
        </w:tc>
        <w:tc>
          <w:tcPr>
            <w:tcW w:w="400" w:type="dxa"/>
            <w:vAlign w:val="bottom"/>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2.30x</w:t>
            </w:r>
          </w:p>
        </w:tc>
        <w:tc>
          <w:tcPr>
            <w:tcW w:w="280" w:type="dxa"/>
            <w:vAlign w:val="bottom"/>
          </w:tcPr>
          <w:p>
            <w:pPr>
              <w:spacing w:after="0"/>
              <w:rPr>
                <w:sz w:val="19"/>
                <w:szCs w:val="19"/>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1.95x</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2.22x</w:t>
            </w:r>
          </w:p>
        </w:tc>
      </w:tr>
      <w:tr>
        <w:trPr>
          <w:trHeight w:val="142"/>
        </w:trPr>
        <w:tc>
          <w:tcPr>
            <w:tcW w:w="6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 Excess</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24612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5"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by and among PAA and certain Plains entities.</w:t>
      </w:r>
    </w:p>
    <w:p>
      <w:pPr>
        <w:spacing w:after="0" w:line="5" w:lineRule="exact"/>
        <w:rPr>
          <w:rFonts w:ascii="Times New Roman" w:cs="Times New Roman" w:eastAsia="Times New Roman" w:hAnsi="Times New Roman"/>
          <w:sz w:val="16"/>
          <w:szCs w:val="16"/>
          <w:color w:val="auto"/>
          <w:vertAlign w:val="superscript"/>
        </w:rPr>
      </w:pPr>
    </w:p>
    <w:p>
      <w:pPr>
        <w:ind w:left="300" w:hanging="297"/>
        <w:spacing w:after="0" w:line="195" w:lineRule="auto"/>
        <w:tabs>
          <w:tab w:leader="none" w:pos="3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31" w:lineRule="exact"/>
        <w:rPr>
          <w:rFonts w:ascii="Times New Roman" w:cs="Times New Roman" w:eastAsia="Times New Roman" w:hAnsi="Times New Roman"/>
          <w:sz w:val="16"/>
          <w:szCs w:val="16"/>
          <w:color w:val="auto"/>
          <w:vertAlign w:val="superscript"/>
        </w:rPr>
      </w:pPr>
    </w:p>
    <w:p>
      <w:pPr>
        <w:ind w:left="300" w:hanging="297"/>
        <w:spacing w:after="0" w:line="195" w:lineRule="auto"/>
        <w:tabs>
          <w:tab w:leader="none" w:pos="3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31" w:lineRule="exact"/>
        <w:rPr>
          <w:rFonts w:ascii="Times New Roman" w:cs="Times New Roman" w:eastAsia="Times New Roman" w:hAnsi="Times New Roman"/>
          <w:sz w:val="16"/>
          <w:szCs w:val="16"/>
          <w:color w:val="auto"/>
          <w:vertAlign w:val="superscript"/>
        </w:rPr>
      </w:pPr>
    </w:p>
    <w:p>
      <w:pPr>
        <w:ind w:left="320" w:right="40" w:hanging="317"/>
        <w:spacing w:after="0" w:line="219" w:lineRule="auto"/>
        <w:tabs>
          <w:tab w:leader="none" w:pos="312"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Amount excludes certain non-cash items impacting interest expense such as amortization of debt issuance costs and terminated interest rate swaps and is net of interest income associated with promissory notes by and among PAA and certain Plains entities.</w:t>
      </w:r>
    </w:p>
    <w:p>
      <w:pPr>
        <w:ind w:left="300" w:hanging="297"/>
        <w:spacing w:after="0" w:line="235" w:lineRule="auto"/>
        <w:tabs>
          <w:tab w:leader="none" w:pos="3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44" w:lineRule="exact"/>
        <w:rPr>
          <w:rFonts w:ascii="Times New Roman" w:cs="Times New Roman" w:eastAsia="Times New Roman" w:hAnsi="Times New Roman"/>
          <w:sz w:val="16"/>
          <w:szCs w:val="16"/>
          <w:color w:val="auto"/>
          <w:vertAlign w:val="superscript"/>
        </w:rPr>
      </w:pPr>
    </w:p>
    <w:p>
      <w:pPr>
        <w:ind w:left="320" w:right="300" w:hanging="317"/>
        <w:spacing w:after="0" w:line="210" w:lineRule="auto"/>
        <w:tabs>
          <w:tab w:leader="none" w:pos="312"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0"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30" w:lineRule="exact"/>
        <w:rPr>
          <w:rFonts w:ascii="Times New Roman" w:cs="Times New Roman" w:eastAsia="Times New Roman" w:hAnsi="Times New Roman"/>
          <w:sz w:val="16"/>
          <w:szCs w:val="16"/>
          <w:color w:val="auto"/>
          <w:vertAlign w:val="superscript"/>
        </w:rPr>
      </w:pPr>
    </w:p>
    <w:p>
      <w:pPr>
        <w:ind w:left="300" w:hanging="297"/>
        <w:spacing w:after="0" w:line="195" w:lineRule="auto"/>
        <w:tabs>
          <w:tab w:leader="none" w:pos="3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31" w:lineRule="exact"/>
        <w:rPr>
          <w:rFonts w:ascii="Times New Roman" w:cs="Times New Roman" w:eastAsia="Times New Roman" w:hAnsi="Times New Roman"/>
          <w:sz w:val="16"/>
          <w:szCs w:val="16"/>
          <w:color w:val="auto"/>
          <w:vertAlign w:val="superscript"/>
        </w:rPr>
      </w:pPr>
    </w:p>
    <w:p>
      <w:pPr>
        <w:ind w:left="320" w:hanging="317"/>
        <w:spacing w:after="0" w:line="228" w:lineRule="auto"/>
        <w:tabs>
          <w:tab w:leader="none" w:pos="312"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57" w:lineRule="exact"/>
        <w:rPr>
          <w:rFonts w:ascii="Times New Roman" w:cs="Times New Roman" w:eastAsia="Times New Roman" w:hAnsi="Times New Roman"/>
          <w:sz w:val="16"/>
          <w:szCs w:val="16"/>
          <w:color w:val="auto"/>
          <w:vertAlign w:val="superscript"/>
        </w:rPr>
      </w:pPr>
    </w:p>
    <w:p>
      <w:pPr>
        <w:ind w:left="5440" w:hanging="93"/>
        <w:spacing w:after="0"/>
        <w:tabs>
          <w:tab w:leader="none" w:pos="54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Implied DCF Per Common Unit and Common Unit Equivalent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94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7"/>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8"/>
        </w:trPr>
        <w:tc>
          <w:tcPr>
            <w:tcW w:w="60" w:type="dxa"/>
            <w:vAlign w:val="bottom"/>
          </w:tcPr>
          <w:p>
            <w:pPr>
              <w:spacing w:after="0"/>
              <w:rPr>
                <w:sz w:val="18"/>
                <w:szCs w:val="18"/>
                <w:color w:val="auto"/>
              </w:rPr>
            </w:pP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60" w:type="dxa"/>
            <w:vAlign w:val="bottom"/>
          </w:tcPr>
          <w:p>
            <w:pPr>
              <w:spacing w:after="0"/>
              <w:rPr>
                <w:sz w:val="19"/>
                <w:szCs w:val="19"/>
                <w:color w:val="auto"/>
              </w:rPr>
            </w:pPr>
          </w:p>
        </w:tc>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(1) (2)</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0.74</w:t>
            </w:r>
          </w:p>
        </w:tc>
      </w:tr>
      <w:tr>
        <w:trPr>
          <w:trHeight w:val="238"/>
        </w:trPr>
        <w:tc>
          <w:tcPr>
            <w:tcW w:w="60" w:type="dxa"/>
            <w:vAlign w:val="bottom"/>
          </w:tcPr>
          <w:p>
            <w:pPr>
              <w:spacing w:after="0"/>
              <w:rPr>
                <w:sz w:val="20"/>
                <w:szCs w:val="20"/>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0"/>
        </w:trPr>
        <w:tc>
          <w:tcPr>
            <w:tcW w:w="60" w:type="dxa"/>
            <w:vAlign w:val="bottom"/>
          </w:tcPr>
          <w:p>
            <w:pPr>
              <w:spacing w:after="0"/>
              <w:rPr>
                <w:sz w:val="19"/>
                <w:szCs w:val="19"/>
                <w:color w:val="auto"/>
              </w:rPr>
            </w:pP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60" w:type="dxa"/>
            <w:vAlign w:val="bottom"/>
          </w:tcPr>
          <w:p>
            <w:pPr>
              <w:spacing w:after="0"/>
              <w:rPr>
                <w:sz w:val="19"/>
                <w:szCs w:val="19"/>
                <w:color w:val="auto"/>
              </w:rPr>
            </w:pPr>
          </w:p>
        </w:tc>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(1) (3)</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0.74</w:t>
            </w:r>
          </w:p>
        </w:tc>
      </w:tr>
      <w:tr>
        <w:trPr>
          <w:trHeight w:val="238"/>
        </w:trPr>
        <w:tc>
          <w:tcPr>
            <w:tcW w:w="60" w:type="dxa"/>
            <w:vAlign w:val="bottom"/>
          </w:tcPr>
          <w:p>
            <w:pPr>
              <w:spacing w:after="0"/>
              <w:rPr>
                <w:sz w:val="20"/>
                <w:szCs w:val="20"/>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6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2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26" w:lineRule="exact"/>
        <w:rPr>
          <w:sz w:val="20"/>
          <w:szCs w:val="20"/>
          <w:color w:val="auto"/>
        </w:rPr>
      </w:pPr>
    </w:p>
    <w:p>
      <w:pPr>
        <w:ind w:left="320" w:hanging="317"/>
        <w:spacing w:after="0" w:line="230" w:lineRule="auto"/>
        <w:tabs>
          <w:tab w:leader="none" w:pos="308"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of 702 million, 700 million, 702 million and 699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80" w:hanging="317"/>
        <w:spacing w:after="0" w:line="220" w:lineRule="auto"/>
        <w:tabs>
          <w:tab w:leader="none" w:pos="308"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as well as weighted average Series A preferred units outstanding of 71 million for each of the periods presented.</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 to Non-GAAP Financial Liquidity Measures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Adjustments to reconcile Net cash provided by operating activities to Adjusted Free Cash</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gridSpan w:val="2"/>
            <w:shd w:val="clear" w:color="auto" w:fill="CCEEFF"/>
          </w:tcPr>
          <w:p>
            <w:pPr>
              <w:ind w:left="120"/>
              <w:spacing w:after="0" w:line="224"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(823)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6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(2)</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(113)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6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Proceeds from the issuance of related party notes </w:t>
            </w:r>
            <w:r>
              <w:rPr>
                <w:rFonts w:ascii="Times New Roman" w:cs="Times New Roman" w:eastAsia="Times New Roman" w:hAnsi="Times New Roman"/>
                <w:sz w:val="22"/>
                <w:szCs w:val="22"/>
                <w:color w:val="auto"/>
                <w:vertAlign w:val="superscript"/>
              </w:rPr>
              <w:t>(1)</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60" w:type="dxa"/>
            <w:vAlign w:val="bottom"/>
            <w:tcBorders>
              <w:top w:val="single" w:sz="8" w:color="CCEEFF"/>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(3)</w:t>
            </w:r>
          </w:p>
        </w:tc>
        <w:tc>
          <w:tcPr>
            <w:tcW w:w="74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(4)</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260" w:type="dxa"/>
            <w:vAlign w:val="bottom"/>
            <w:tcBorders>
              <w:bottom w:val="single" w:sz="8" w:color="CCEEFF"/>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7"/>
              </w:rPr>
              <w:t>(287)</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(858)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6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(3) (5)</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(3)</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6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6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(7)</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(4)</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260" w:type="dxa"/>
            <w:vAlign w:val="bottom"/>
            <w:tcBorders>
              <w:bottom w:val="single" w:sz="8" w:color="CCEEFF"/>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7"/>
              </w:rPr>
              <w:t>(287)</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(858)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 Assets &amp; Liabilities)</w:t>
            </w:r>
          </w:p>
        </w:tc>
        <w:tc>
          <w:tcPr>
            <w:tcW w:w="740" w:type="dxa"/>
            <w:vAlign w:val="bottom"/>
            <w:vMerge w:val="restart"/>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(7)</w:t>
            </w:r>
          </w:p>
        </w:tc>
        <w:tc>
          <w:tcPr>
            <w:tcW w:w="24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380" w:hanging="317"/>
        <w:spacing w:after="0" w:line="233" w:lineRule="auto"/>
        <w:tabs>
          <w:tab w:leader="none" w:pos="308"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PAA and 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17" w:lineRule="exact"/>
        <w:rPr>
          <w:rFonts w:ascii="Times New Roman" w:cs="Times New Roman" w:eastAsia="Times New Roman" w:hAnsi="Times New Roman"/>
          <w:sz w:val="19"/>
          <w:szCs w:val="19"/>
          <w:color w:val="auto"/>
          <w:vertAlign w:val="superscript"/>
        </w:rPr>
      </w:pPr>
    </w:p>
    <w:p>
      <w:pPr>
        <w:ind w:left="300" w:hanging="297"/>
        <w:spacing w:after="0"/>
        <w:tabs>
          <w:tab w:leader="none" w:pos="30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48" w:lineRule="exact"/>
        <w:rPr>
          <w:rFonts w:ascii="Times New Roman" w:cs="Times New Roman" w:eastAsia="Times New Roman" w:hAnsi="Times New Roman"/>
          <w:sz w:val="20"/>
          <w:szCs w:val="20"/>
          <w:color w:val="auto"/>
          <w:vertAlign w:val="superscript"/>
        </w:rPr>
      </w:pPr>
    </w:p>
    <w:p>
      <w:pPr>
        <w:ind w:left="320" w:right="60" w:hanging="317"/>
        <w:spacing w:after="0" w:line="224" w:lineRule="auto"/>
        <w:tabs>
          <w:tab w:leader="none" w:pos="308"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1" w:lineRule="exact"/>
        <w:rPr>
          <w:rFonts w:ascii="Times New Roman" w:cs="Times New Roman" w:eastAsia="Times New Roman" w:hAnsi="Times New Roman"/>
          <w:sz w:val="20"/>
          <w:szCs w:val="20"/>
          <w:color w:val="auto"/>
          <w:vertAlign w:val="superscript"/>
        </w:rPr>
      </w:pPr>
    </w:p>
    <w:p>
      <w:pPr>
        <w:ind w:left="320" w:right="40" w:hanging="317"/>
        <w:spacing w:after="0" w:line="219" w:lineRule="auto"/>
        <w:tabs>
          <w:tab w:leader="none" w:pos="308"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15"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48" w:lineRule="exact"/>
        <w:rPr>
          <w:rFonts w:ascii="Times New Roman" w:cs="Times New Roman" w:eastAsia="Times New Roman" w:hAnsi="Times New Roman"/>
          <w:sz w:val="20"/>
          <w:szCs w:val="20"/>
          <w:color w:val="auto"/>
          <w:vertAlign w:val="superscript"/>
        </w:rPr>
      </w:pPr>
    </w:p>
    <w:p>
      <w:pPr>
        <w:ind w:left="320" w:right="20" w:hanging="317"/>
        <w:spacing w:after="0" w:line="224" w:lineRule="auto"/>
        <w:tabs>
          <w:tab w:leader="none" w:pos="308"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80" w:type="dxa"/>
            <w:vAlign w:val="bottom"/>
            <w:gridSpan w:val="4"/>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5"/>
        </w:trPr>
        <w:tc>
          <w:tcPr>
            <w:tcW w:w="60" w:type="dxa"/>
            <w:vAlign w:val="bottom"/>
          </w:tcPr>
          <w:p>
            <w:pPr>
              <w:spacing w:after="0"/>
              <w:rPr>
                <w:sz w:val="17"/>
                <w:szCs w:val="17"/>
                <w:color w:val="auto"/>
              </w:rPr>
            </w:pPr>
          </w:p>
        </w:tc>
        <w:tc>
          <w:tcPr>
            <w:tcW w:w="62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1"/>
                <w:szCs w:val="21"/>
                <w:b w:val="1"/>
                <w:bCs w:val="1"/>
                <w:color w:val="auto"/>
                <w:vertAlign w:val="superscript"/>
              </w:rPr>
              <w:t>(1)</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0"/>
        </w:trPr>
        <w:tc>
          <w:tcPr>
            <w:tcW w:w="60" w:type="dxa"/>
            <w:vAlign w:val="bottom"/>
          </w:tcPr>
          <w:p>
            <w:pPr>
              <w:spacing w:after="0"/>
              <w:rPr>
                <w:sz w:val="19"/>
                <w:szCs w:val="19"/>
                <w:color w:val="auto"/>
              </w:rPr>
            </w:pPr>
          </w:p>
        </w:tc>
        <w:tc>
          <w:tcPr>
            <w:tcW w:w="6280" w:type="dxa"/>
            <w:vAlign w:val="bottom"/>
            <w:gridSpan w:val="2"/>
          </w:tcPr>
          <w:p>
            <w:pPr>
              <w:spacing w:after="0" w:line="220"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1"/>
                <w:szCs w:val="21"/>
                <w:color w:val="auto"/>
                <w:vertAlign w:val="superscript"/>
              </w:rPr>
              <w:t>(2)</w:t>
            </w:r>
          </w:p>
        </w:tc>
        <w:tc>
          <w:tcPr>
            <w:tcW w:w="740" w:type="dxa"/>
            <w:vAlign w:val="bottom"/>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74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1"/>
                <w:szCs w:val="21"/>
                <w:color w:val="auto"/>
                <w:vertAlign w:val="superscript"/>
              </w:rPr>
              <w:t>(3)</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0"/>
        </w:trPr>
        <w:tc>
          <w:tcPr>
            <w:tcW w:w="60" w:type="dxa"/>
            <w:vAlign w:val="bottom"/>
          </w:tcPr>
          <w:p>
            <w:pPr>
              <w:spacing w:after="0"/>
              <w:rPr>
                <w:sz w:val="19"/>
                <w:szCs w:val="19"/>
                <w:color w:val="auto"/>
              </w:rPr>
            </w:pPr>
          </w:p>
        </w:tc>
        <w:tc>
          <w:tcPr>
            <w:tcW w:w="6280" w:type="dxa"/>
            <w:vAlign w:val="bottom"/>
            <w:gridSpan w:val="2"/>
          </w:tcPr>
          <w:p>
            <w:pPr>
              <w:spacing w:after="0" w:line="220"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1"/>
                <w:szCs w:val="21"/>
                <w:color w:val="auto"/>
                <w:vertAlign w:val="superscript"/>
              </w:rPr>
              <w:t>(4)</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1"/>
                <w:szCs w:val="21"/>
                <w:color w:val="auto"/>
                <w:vertAlign w:val="superscript"/>
              </w:rPr>
              <w:t>(5)</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20"/>
        </w:trPr>
        <w:tc>
          <w:tcPr>
            <w:tcW w:w="60" w:type="dxa"/>
            <w:vAlign w:val="bottom"/>
          </w:tcPr>
          <w:p>
            <w:pPr>
              <w:spacing w:after="0"/>
              <w:rPr>
                <w:sz w:val="19"/>
                <w:szCs w:val="19"/>
                <w:color w:val="auto"/>
              </w:rPr>
            </w:pPr>
          </w:p>
        </w:tc>
        <w:tc>
          <w:tcPr>
            <w:tcW w:w="6280" w:type="dxa"/>
            <w:vAlign w:val="bottom"/>
            <w:gridSpan w:val="2"/>
          </w:tcPr>
          <w:p>
            <w:pPr>
              <w:spacing w:after="0" w:line="220"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1"/>
                <w:szCs w:val="21"/>
                <w:color w:val="auto"/>
                <w:vertAlign w:val="superscript"/>
              </w:rPr>
              <w:t>(6)</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6"/>
                <w:szCs w:val="16"/>
                <w:color w:val="auto"/>
              </w:rPr>
              <w:t xml:space="preserve">Line 901 incident </w:t>
            </w:r>
            <w:r>
              <w:rPr>
                <w:rFonts w:ascii="Times New Roman" w:cs="Times New Roman" w:eastAsia="Times New Roman" w:hAnsi="Times New Roman"/>
                <w:sz w:val="21"/>
                <w:szCs w:val="21"/>
                <w:color w:val="auto"/>
                <w:vertAlign w:val="superscript"/>
              </w:rPr>
              <w:t>(7)</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0" w:type="dxa"/>
            <w:vAlign w:val="bottom"/>
          </w:tcPr>
          <w:p>
            <w:pPr>
              <w:spacing w:after="0"/>
              <w:rPr>
                <w:sz w:val="19"/>
                <w:szCs w:val="19"/>
                <w:color w:val="auto"/>
              </w:rPr>
            </w:pPr>
          </w:p>
        </w:tc>
        <w:tc>
          <w:tcPr>
            <w:tcW w:w="6280" w:type="dxa"/>
            <w:vAlign w:val="bottom"/>
            <w:gridSpan w:val="2"/>
          </w:tcPr>
          <w:p>
            <w:pPr>
              <w:spacing w:after="0" w:line="220" w:lineRule="exact"/>
              <w:rPr>
                <w:sz w:val="20"/>
                <w:szCs w:val="20"/>
                <w:color w:val="auto"/>
              </w:rPr>
            </w:pPr>
            <w:r>
              <w:rPr>
                <w:rFonts w:ascii="Times New Roman" w:cs="Times New Roman" w:eastAsia="Times New Roman" w:hAnsi="Times New Roman"/>
                <w:sz w:val="16"/>
                <w:szCs w:val="16"/>
                <w:color w:val="auto"/>
              </w:rPr>
              <w:t xml:space="preserve">Transaction-related expenses </w:t>
            </w:r>
            <w:r>
              <w:rPr>
                <w:rFonts w:ascii="Times New Roman" w:cs="Times New Roman" w:eastAsia="Times New Roman" w:hAnsi="Times New Roman"/>
                <w:sz w:val="21"/>
                <w:szCs w:val="21"/>
                <w:color w:val="auto"/>
                <w:vertAlign w:val="superscript"/>
              </w:rPr>
              <w:t>(8)</w:t>
            </w:r>
          </w:p>
        </w:tc>
        <w:tc>
          <w:tcPr>
            <w:tcW w:w="7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60" w:type="dxa"/>
            <w:vAlign w:val="bottom"/>
          </w:tcPr>
          <w:p>
            <w:pPr>
              <w:spacing w:after="0"/>
              <w:rPr>
                <w:sz w:val="18"/>
                <w:szCs w:val="18"/>
                <w:color w:val="auto"/>
              </w:rPr>
            </w:pPr>
          </w:p>
        </w:tc>
        <w:tc>
          <w:tcPr>
            <w:tcW w:w="62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740" w:type="dxa"/>
            <w:vAlign w:val="bottom"/>
            <w:tcBorders>
              <w:top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20"/>
        </w:trPr>
        <w:tc>
          <w:tcPr>
            <w:tcW w:w="6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 on investment in unconsolidated entities</w:t>
            </w:r>
          </w:p>
        </w:tc>
        <w:tc>
          <w:tcPr>
            <w:tcW w:w="7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7"/>
        </w:trPr>
        <w:tc>
          <w:tcPr>
            <w:tcW w:w="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0"/>
        </w:trPr>
        <w:tc>
          <w:tcPr>
            <w:tcW w:w="60" w:type="dxa"/>
            <w:vAlign w:val="bottom"/>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6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74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7"/>
        </w:trPr>
        <w:tc>
          <w:tcPr>
            <w:tcW w:w="6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bl>
    <w:p>
      <w:pPr>
        <w:spacing w:after="0" w:line="73" w:lineRule="exact"/>
        <w:rPr>
          <w:sz w:val="20"/>
          <w:szCs w:val="20"/>
          <w:color w:val="auto"/>
        </w:rPr>
      </w:pPr>
    </w:p>
    <w:p>
      <w:pPr>
        <w:ind w:left="320" w:hanging="317"/>
        <w:spacing w:after="0" w:line="228" w:lineRule="auto"/>
        <w:tabs>
          <w:tab w:leader="none" w:pos="318"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34" w:lineRule="exact"/>
        <w:rPr>
          <w:rFonts w:ascii="Times New Roman" w:cs="Times New Roman" w:eastAsia="Times New Roman" w:hAnsi="Times New Roman"/>
          <w:sz w:val="17"/>
          <w:szCs w:val="17"/>
          <w:color w:val="auto"/>
          <w:vertAlign w:val="superscript"/>
        </w:rPr>
      </w:pPr>
    </w:p>
    <w:p>
      <w:pPr>
        <w:ind w:left="320" w:right="40" w:hanging="317"/>
        <w:spacing w:after="0" w:line="249" w:lineRule="auto"/>
        <w:tabs>
          <w:tab w:leader="none" w:pos="318"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16" w:lineRule="exact"/>
        <w:rPr>
          <w:rFonts w:ascii="Times New Roman" w:cs="Times New Roman" w:eastAsia="Times New Roman" w:hAnsi="Times New Roman"/>
          <w:sz w:val="17"/>
          <w:szCs w:val="17"/>
          <w:color w:val="auto"/>
          <w:vertAlign w:val="superscript"/>
        </w:rPr>
      </w:pPr>
    </w:p>
    <w:p>
      <w:pPr>
        <w:ind w:left="320" w:right="60" w:hanging="317"/>
        <w:spacing w:after="0" w:line="243" w:lineRule="auto"/>
        <w:tabs>
          <w:tab w:leader="none" w:pos="318"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2" w:lineRule="exact"/>
        <w:rPr>
          <w:rFonts w:ascii="Times New Roman" w:cs="Times New Roman" w:eastAsia="Times New Roman" w:hAnsi="Times New Roman"/>
          <w:sz w:val="17"/>
          <w:szCs w:val="17"/>
          <w:color w:val="auto"/>
          <w:vertAlign w:val="superscript"/>
        </w:rPr>
      </w:pPr>
    </w:p>
    <w:p>
      <w:pPr>
        <w:ind w:left="320" w:right="20" w:hanging="317"/>
        <w:spacing w:after="0" w:line="252" w:lineRule="auto"/>
        <w:tabs>
          <w:tab w:leader="none" w:pos="318"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3" w:lineRule="exact"/>
        <w:rPr>
          <w:rFonts w:ascii="Times New Roman" w:cs="Times New Roman" w:eastAsia="Times New Roman" w:hAnsi="Times New Roman"/>
          <w:sz w:val="17"/>
          <w:szCs w:val="17"/>
          <w:color w:val="auto"/>
          <w:vertAlign w:val="superscript"/>
        </w:rPr>
      </w:pPr>
    </w:p>
    <w:p>
      <w:pPr>
        <w:jc w:val="both"/>
        <w:ind w:left="320" w:right="220" w:hanging="317"/>
        <w:spacing w:after="0" w:line="243" w:lineRule="auto"/>
        <w:tabs>
          <w:tab w:leader="none" w:pos="318"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2" w:lineRule="exact"/>
        <w:rPr>
          <w:rFonts w:ascii="Times New Roman" w:cs="Times New Roman" w:eastAsia="Times New Roman" w:hAnsi="Times New Roman"/>
          <w:sz w:val="17"/>
          <w:szCs w:val="17"/>
          <w:color w:val="auto"/>
          <w:vertAlign w:val="superscript"/>
        </w:rPr>
      </w:pPr>
    </w:p>
    <w:p>
      <w:pPr>
        <w:ind w:left="320" w:right="60" w:hanging="317"/>
        <w:spacing w:after="0" w:line="234" w:lineRule="auto"/>
        <w:tabs>
          <w:tab w:leader="none" w:pos="318"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12" w:lineRule="exact"/>
        <w:rPr>
          <w:rFonts w:ascii="Times New Roman" w:cs="Times New Roman" w:eastAsia="Times New Roman" w:hAnsi="Times New Roman"/>
          <w:sz w:val="17"/>
          <w:szCs w:val="17"/>
          <w:color w:val="auto"/>
          <w:vertAlign w:val="superscript"/>
        </w:rPr>
      </w:pPr>
    </w:p>
    <w:p>
      <w:pPr>
        <w:ind w:left="320" w:hanging="317"/>
        <w:spacing w:after="0"/>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costs recognized during the period related to the Line 901 incident that occurred in May 2015, net of amounts we believe are probable of recovery from insurance.</w:t>
      </w:r>
    </w:p>
    <w:p>
      <w:pPr>
        <w:spacing w:after="0" w:line="34" w:lineRule="exact"/>
        <w:rPr>
          <w:rFonts w:ascii="Times New Roman" w:cs="Times New Roman" w:eastAsia="Times New Roman" w:hAnsi="Times New Roman"/>
          <w:sz w:val="17"/>
          <w:szCs w:val="17"/>
          <w:color w:val="auto"/>
          <w:vertAlign w:val="superscript"/>
        </w:rPr>
      </w:pPr>
    </w:p>
    <w:p>
      <w:pPr>
        <w:ind w:left="320" w:hanging="317"/>
        <w:spacing w:after="0" w:line="196"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associated with the Rattler Permian Transaction.</w:t>
      </w:r>
    </w:p>
    <w:p>
      <w:pPr>
        <w:spacing w:after="0" w:line="163" w:lineRule="exact"/>
        <w:rPr>
          <w:rFonts w:ascii="Times New Roman" w:cs="Times New Roman" w:eastAsia="Times New Roman" w:hAnsi="Times New Roman"/>
          <w:sz w:val="17"/>
          <w:szCs w:val="17"/>
          <w:color w:val="auto"/>
          <w:vertAlign w:val="superscript"/>
        </w:rPr>
      </w:pPr>
    </w:p>
    <w:p>
      <w:pPr>
        <w:ind w:left="5440" w:hanging="93"/>
        <w:spacing w:after="0"/>
        <w:tabs>
          <w:tab w:leader="none" w:pos="54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80" w:type="dxa"/>
            <w:vAlign w:val="bottom"/>
          </w:tcPr>
          <w:p>
            <w:pPr>
              <w:spacing w:after="0"/>
              <w:rPr>
                <w:sz w:val="13"/>
                <w:szCs w:val="13"/>
                <w:color w:val="auto"/>
              </w:rPr>
            </w:pPr>
          </w:p>
        </w:tc>
        <w:tc>
          <w:tcPr>
            <w:tcW w:w="22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September 30, 2024</w:t>
            </w:r>
          </w:p>
        </w:tc>
        <w:tc>
          <w:tcPr>
            <w:tcW w:w="180" w:type="dxa"/>
            <w:vAlign w:val="bottom"/>
          </w:tcPr>
          <w:p>
            <w:pPr>
              <w:spacing w:after="0"/>
              <w:rPr>
                <w:sz w:val="16"/>
                <w:szCs w:val="16"/>
                <w:color w:val="auto"/>
              </w:rPr>
            </w:pPr>
          </w:p>
        </w:tc>
        <w:tc>
          <w:tcPr>
            <w:tcW w:w="22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Line 901 incident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Transaction-related expenses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224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22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34,988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Line 901 incident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Transaction-related expenses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40" w:type="dxa"/>
            <w:vAlign w:val="bottom"/>
            <w:tcBorders>
              <w:bottom w:val="single" w:sz="8" w:color="auto"/>
            </w:tcBorders>
            <w:gridSpan w:val="3"/>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5"/>
        </w:trPr>
        <w:tc>
          <w:tcPr>
            <w:tcW w:w="20" w:type="dxa"/>
            <w:vAlign w:val="bottom"/>
          </w:tcPr>
          <w:p>
            <w:pPr>
              <w:spacing w:after="0"/>
              <w:rPr>
                <w:sz w:val="17"/>
                <w:szCs w:val="17"/>
                <w:color w:val="auto"/>
              </w:rPr>
            </w:pPr>
          </w:p>
        </w:tc>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Segment Volumes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pipeline tariff volumes (by region) </w:t>
            </w:r>
            <w:r>
              <w:rPr>
                <w:rFonts w:ascii="Times New Roman" w:cs="Times New Roman" w:eastAsia="Times New Roman" w:hAnsi="Times New Roman"/>
                <w:sz w:val="22"/>
                <w:szCs w:val="22"/>
                <w:color w:val="auto"/>
                <w:vertAlign w:val="superscript"/>
              </w:rPr>
              <w:t>(1)</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6,237</w:t>
            </w:r>
          </w:p>
        </w:tc>
      </w:tr>
      <w:tr>
        <w:trPr>
          <w:trHeight w:val="220"/>
        </w:trPr>
        <w:tc>
          <w:tcPr>
            <w:tcW w:w="20" w:type="dxa"/>
            <w:vAlign w:val="bottom"/>
          </w:tcPr>
          <w:p>
            <w:pPr>
              <w:spacing w:after="0"/>
              <w:rPr>
                <w:sz w:val="19"/>
                <w:szCs w:val="19"/>
                <w:color w:val="auto"/>
              </w:rPr>
            </w:pPr>
          </w:p>
        </w:tc>
        <w:tc>
          <w:tcPr>
            <w:tcW w:w="6340" w:type="dxa"/>
            <w:vAlign w:val="bottom"/>
            <w:gridSpan w:val="2"/>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r>
      <w:tr>
        <w:trPr>
          <w:trHeight w:val="220"/>
        </w:trPr>
        <w:tc>
          <w:tcPr>
            <w:tcW w:w="20" w:type="dxa"/>
            <w:vAlign w:val="bottom"/>
          </w:tcPr>
          <w:p>
            <w:pPr>
              <w:spacing w:after="0"/>
              <w:rPr>
                <w:sz w:val="19"/>
                <w:szCs w:val="19"/>
                <w:color w:val="auto"/>
              </w:rPr>
            </w:pPr>
          </w:p>
        </w:tc>
        <w:tc>
          <w:tcPr>
            <w:tcW w:w="6340" w:type="dxa"/>
            <w:vAlign w:val="bottom"/>
            <w:gridSpan w:val="2"/>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Gulf Coast </w:t>
            </w:r>
            <w:r>
              <w:rPr>
                <w:rFonts w:ascii="Times New Roman" w:cs="Times New Roman" w:eastAsia="Times New Roman" w:hAnsi="Times New Roman"/>
                <w:sz w:val="22"/>
                <w:szCs w:val="22"/>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24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20"/>
        </w:trPr>
        <w:tc>
          <w:tcPr>
            <w:tcW w:w="20" w:type="dxa"/>
            <w:vAlign w:val="bottom"/>
          </w:tcPr>
          <w:p>
            <w:pPr>
              <w:spacing w:after="0"/>
              <w:rPr>
                <w:sz w:val="19"/>
                <w:szCs w:val="19"/>
                <w:color w:val="auto"/>
              </w:rPr>
            </w:pP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Western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Canada</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r>
      <w:tr>
        <w:trPr>
          <w:trHeight w:val="213"/>
        </w:trPr>
        <w:tc>
          <w:tcPr>
            <w:tcW w:w="20" w:type="dxa"/>
            <w:vAlign w:val="bottom"/>
          </w:tcPr>
          <w:p>
            <w:pPr>
              <w:spacing w:after="0"/>
              <w:rPr>
                <w:sz w:val="18"/>
                <w:szCs w:val="18"/>
                <w:color w:val="auto"/>
              </w:rPr>
            </w:pPr>
          </w:p>
        </w:tc>
        <w:tc>
          <w:tcPr>
            <w:tcW w:w="634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volumes </w:t>
            </w:r>
            <w:r>
              <w:rPr>
                <w:rFonts w:ascii="Times New Roman" w:cs="Times New Roman" w:eastAsia="Times New Roman" w:hAnsi="Times New Roman"/>
                <w:sz w:val="22"/>
                <w:szCs w:val="22"/>
                <w:color w:val="auto"/>
                <w:vertAlign w:val="superscript"/>
              </w:rPr>
              <w:t>(1) (2)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8,310</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Commercial crude oil storage capacity </w:t>
            </w:r>
            <w:r>
              <w:rPr>
                <w:rFonts w:ascii="Times New Roman" w:cs="Times New Roman" w:eastAsia="Times New Roman" w:hAnsi="Times New Roman"/>
                <w:sz w:val="22"/>
                <w:szCs w:val="22"/>
                <w:color w:val="auto"/>
                <w:vertAlign w:val="superscript"/>
              </w:rPr>
              <w:t>(2) (3)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lease gathering purchases </w:t>
            </w:r>
            <w:r>
              <w:rPr>
                <w:rFonts w:ascii="Times New Roman" w:cs="Times New Roman" w:eastAsia="Times New Roman" w:hAnsi="Times New Roman"/>
                <w:sz w:val="22"/>
                <w:szCs w:val="22"/>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NGL Segment Volumes </w:t>
            </w:r>
            <w:r>
              <w:rPr>
                <w:rFonts w:ascii="Times New Roman" w:cs="Times New Roman" w:eastAsia="Times New Roman" w:hAnsi="Times New Roman"/>
                <w:sz w:val="22"/>
                <w:szCs w:val="22"/>
                <w:color w:val="auto"/>
                <w:vertAlign w:val="superscript"/>
              </w:rPr>
              <w:t>(1)</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NGL fractionation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20"/>
        </w:trPr>
        <w:tc>
          <w:tcPr>
            <w:tcW w:w="20" w:type="dxa"/>
            <w:vAlign w:val="bottom"/>
          </w:tcPr>
          <w:p>
            <w:pPr>
              <w:spacing w:after="0"/>
              <w:rPr>
                <w:sz w:val="19"/>
                <w:szCs w:val="19"/>
                <w:color w:val="auto"/>
              </w:rPr>
            </w:pPr>
          </w:p>
        </w:tc>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NGL pipeline tariff volumes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0"/>
        </w:trPr>
        <w:tc>
          <w:tcPr>
            <w:tcW w:w="20" w:type="dxa"/>
            <w:vAlign w:val="bottom"/>
          </w:tcPr>
          <w:p>
            <w:pPr>
              <w:spacing w:after="0"/>
              <w:rPr>
                <w:sz w:val="19"/>
                <w:szCs w:val="19"/>
                <w:color w:val="auto"/>
              </w:rPr>
            </w:pPr>
          </w:p>
        </w:tc>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Propane and butane sales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155"/>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126" w:lineRule="exact"/>
        <w:rPr>
          <w:sz w:val="20"/>
          <w:szCs w:val="20"/>
          <w:color w:val="auto"/>
        </w:rPr>
      </w:pPr>
    </w:p>
    <w:p>
      <w:pPr>
        <w:ind w:left="320" w:right="300" w:hanging="317"/>
        <w:spacing w:after="0" w:line="237"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monthly capacity in millions of barrels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SEGMENT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 net </w:t>
            </w:r>
            <w:r>
              <w:rPr>
                <w:rFonts w:ascii="Times New Roman" w:cs="Times New Roman" w:eastAsia="Times New Roman" w:hAnsi="Times New Roman"/>
                <w:sz w:val="22"/>
                <w:szCs w:val="22"/>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3"/>
        </w:trPr>
        <w:tc>
          <w:tcPr>
            <w:tcW w:w="628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1,974</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8"/>
        </w:trPr>
        <w:tc>
          <w:tcPr>
            <w:tcW w:w="3880" w:type="dxa"/>
            <w:vAlign w:val="bottom"/>
            <w:tcBorders>
              <w:bottom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126" w:lineRule="exact"/>
        <w:rPr>
          <w:sz w:val="20"/>
          <w:szCs w:val="20"/>
          <w:color w:val="auto"/>
        </w:rPr>
      </w:pPr>
    </w:p>
    <w:p>
      <w:pPr>
        <w:ind w:left="320" w:hanging="317"/>
        <w:spacing w:after="0" w:line="237"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 net” as reported on our Condensed Consolidated Statements of Operations, excluding interest income on promissory notes by and among PAA and certain Plains entities, as well as other income, net attributable to noncontrolling interests, adjusted for selected items impacting comparability. See the “Selected Items Impacting Comparability”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40"/>
          </w:cols>
          <w:pgMar w:left="320" w:top="356"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September 30, 2024</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September 30, 2023</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8"/>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12,071</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11,106</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11,839</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investment in unconsolidated entities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87"/>
        </w:trPr>
        <w:tc>
          <w:tcPr>
            <w:tcW w:w="3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187"/>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168"/>
        </w:trPr>
        <w:tc>
          <w:tcPr>
            <w:tcW w:w="3380" w:type="dxa"/>
            <w:vAlign w:val="bottom"/>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3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
        </w:trPr>
        <w:tc>
          <w:tcPr>
            <w:tcW w:w="3880" w:type="dxa"/>
            <w:vAlign w:val="bottom"/>
            <w:tcBorders>
              <w:top w:val="single" w:sz="8" w:color="CCEEFF"/>
            </w:tcBorders>
            <w:gridSpan w:val="3"/>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20"/>
        </w:trPr>
        <w:tc>
          <w:tcPr>
            <w:tcW w:w="4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96"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8"/>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36,014</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32,972</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34,936</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w:t>
            </w:r>
          </w:p>
        </w:tc>
      </w:tr>
      <w:tr>
        <w:trPr>
          <w:trHeight w:val="258"/>
        </w:trPr>
        <w:tc>
          <w:tcPr>
            <w:tcW w:w="3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investment in unconsolidated entities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187"/>
        </w:trPr>
        <w:tc>
          <w:tcPr>
            <w:tcW w:w="3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187"/>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r>
      <w:tr>
        <w:trPr>
          <w:trHeight w:val="168"/>
        </w:trPr>
        <w:tc>
          <w:tcPr>
            <w:tcW w:w="3380" w:type="dxa"/>
            <w:vAlign w:val="bottom"/>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w:t>
            </w:r>
          </w:p>
        </w:tc>
      </w:tr>
      <w:tr>
        <w:trPr>
          <w:trHeight w:val="23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0"/>
        </w:trPr>
        <w:tc>
          <w:tcPr>
            <w:tcW w:w="3880" w:type="dxa"/>
            <w:vAlign w:val="bottom"/>
            <w:tcBorders>
              <w:top w:val="single" w:sz="8" w:color="CCEEFF"/>
            </w:tcBorders>
            <w:gridSpan w:val="3"/>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20"/>
        </w:trPr>
        <w:tc>
          <w:tcPr>
            <w:tcW w:w="4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96"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4,916</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28,357</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5,005</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13,625</w:t>
            </w: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13,424</w:t>
            </w:r>
          </w:p>
        </w:tc>
      </w:tr>
      <w:tr>
        <w:trPr>
          <w:trHeight w:val="21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14,972</w:t>
            </w:r>
          </w:p>
        </w:tc>
      </w:tr>
      <w:tr>
        <w:trPr>
          <w:trHeight w:val="253"/>
        </w:trPr>
        <w:tc>
          <w:tcPr>
            <w:tcW w:w="3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27,155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28,357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28,597</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Page 22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8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CLASS A SHARE </w:t>
      </w:r>
      <w:r>
        <w:rPr>
          <w:rFonts w:ascii="Times New Roman" w:cs="Times New Roman" w:eastAsia="Times New Roman" w:hAnsi="Times New Roman"/>
          <w:sz w:val="17"/>
          <w:szCs w:val="17"/>
          <w:color w:val="auto"/>
        </w:rPr>
        <w:t>(in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9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3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Class A Share</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0"/>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attributable to PAGP</w:t>
            </w:r>
          </w:p>
        </w:tc>
        <w:tc>
          <w:tcPr>
            <w:tcW w:w="740" w:type="dxa"/>
            <w:vAlign w:val="bottom"/>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74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2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45"/>
        </w:trPr>
        <w:tc>
          <w:tcPr>
            <w:tcW w:w="6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5"/>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302"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2" w:lineRule="exact"/>
        <w:rPr>
          <w:sz w:val="20"/>
          <w:szCs w:val="20"/>
          <w:color w:val="auto"/>
        </w:rPr>
      </w:pPr>
    </w:p>
    <w:p>
      <w:pPr>
        <w:ind w:left="620" w:right="200" w:hanging="307"/>
        <w:spacing w:after="0" w:line="250"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19" w:lineRule="exact"/>
        <w:rPr>
          <w:rFonts w:ascii="Arial" w:cs="Arial" w:eastAsia="Arial" w:hAnsi="Arial"/>
          <w:sz w:val="21"/>
          <w:szCs w:val="21"/>
          <w:color w:val="auto"/>
        </w:rPr>
      </w:pPr>
    </w:p>
    <w:p>
      <w:pPr>
        <w:ind w:left="620" w:right="120" w:hanging="307"/>
        <w:spacing w:after="0" w:line="248"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3" w:lineRule="exact"/>
        <w:rPr>
          <w:rFonts w:ascii="Arial" w:cs="Arial" w:eastAsia="Arial" w:hAnsi="Arial"/>
          <w:sz w:val="21"/>
          <w:szCs w:val="21"/>
          <w:color w:val="auto"/>
        </w:rPr>
      </w:pPr>
    </w:p>
    <w:p>
      <w:pPr>
        <w:ind w:left="620" w:right="180" w:hanging="307"/>
        <w:spacing w:after="0" w:line="236"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NGL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25" w:lineRule="exact"/>
        <w:rPr>
          <w:rFonts w:ascii="Arial" w:cs="Arial" w:eastAsia="Arial" w:hAnsi="Arial"/>
          <w:sz w:val="21"/>
          <w:szCs w:val="21"/>
          <w:color w:val="auto"/>
        </w:rPr>
      </w:pPr>
    </w:p>
    <w:p>
      <w:pPr>
        <w:ind w:left="620" w:right="100" w:hanging="307"/>
        <w:spacing w:after="0" w:line="242"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24" w:lineRule="exact"/>
        <w:rPr>
          <w:rFonts w:ascii="Arial" w:cs="Arial" w:eastAsia="Arial" w:hAnsi="Arial"/>
          <w:sz w:val="21"/>
          <w:szCs w:val="21"/>
          <w:color w:val="auto"/>
        </w:rPr>
      </w:pPr>
    </w:p>
    <w:p>
      <w:pPr>
        <w:ind w:left="620" w:right="240" w:hanging="307"/>
        <w:spacing w:after="0" w:line="236"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38" w:lineRule="exact"/>
        <w:rPr>
          <w:rFonts w:ascii="Arial" w:cs="Arial" w:eastAsia="Arial" w:hAnsi="Arial"/>
          <w:sz w:val="21"/>
          <w:szCs w:val="21"/>
          <w:color w:val="auto"/>
        </w:rPr>
      </w:pPr>
    </w:p>
    <w:p>
      <w:pPr>
        <w:ind w:left="620" w:right="360" w:hanging="307"/>
        <w:spacing w:after="0" w:line="236"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auto"/>
        </w:rPr>
        <w:t>Page 23</w:t>
      </w:r>
    </w:p>
    <w:p>
      <w:pPr>
        <w:spacing w:after="0" w:line="200" w:lineRule="exact"/>
        <w:rPr>
          <w:sz w:val="20"/>
          <w:szCs w:val="20"/>
          <w:color w:val="auto"/>
        </w:rPr>
      </w:pPr>
    </w:p>
    <w:p>
      <w:pPr>
        <w:spacing w:after="0" w:line="263" w:lineRule="exact"/>
        <w:rPr>
          <w:sz w:val="20"/>
          <w:szCs w:val="20"/>
          <w:color w:val="auto"/>
        </w:rPr>
      </w:pPr>
    </w:p>
    <w:p>
      <w:pPr>
        <w:ind w:left="620" w:right="160" w:hanging="307"/>
        <w:spacing w:after="0" w:line="236"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 (including wildfires and drought);</w:t>
      </w:r>
    </w:p>
    <w:p>
      <w:pPr>
        <w:spacing w:after="0" w:line="125" w:lineRule="exact"/>
        <w:rPr>
          <w:rFonts w:ascii="Arial" w:cs="Arial" w:eastAsia="Arial" w:hAnsi="Arial"/>
          <w:sz w:val="21"/>
          <w:szCs w:val="21"/>
          <w:color w:val="auto"/>
        </w:rPr>
      </w:pPr>
    </w:p>
    <w:p>
      <w:pPr>
        <w:ind w:left="620" w:hanging="307"/>
        <w:spacing w:after="0" w:line="242"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124" w:lineRule="exact"/>
        <w:rPr>
          <w:rFonts w:ascii="Arial" w:cs="Arial" w:eastAsia="Arial" w:hAnsi="Arial"/>
          <w:sz w:val="21"/>
          <w:szCs w:val="21"/>
          <w:color w:val="auto"/>
        </w:rPr>
      </w:pPr>
    </w:p>
    <w:p>
      <w:pPr>
        <w:ind w:left="620" w:right="80" w:hanging="307"/>
        <w:spacing w:after="0" w:line="247"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00"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pace of development of natural gas or other infrastructure and its impact on expected crude oil production growth in the Permian Basin;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25" w:lineRule="exact"/>
        <w:rPr>
          <w:rFonts w:ascii="Arial" w:cs="Arial" w:eastAsia="Arial" w:hAnsi="Arial"/>
          <w:sz w:val="21"/>
          <w:szCs w:val="21"/>
          <w:color w:val="auto"/>
        </w:rPr>
      </w:pPr>
    </w:p>
    <w:p>
      <w:pPr>
        <w:ind w:left="620" w:right="420" w:hanging="307"/>
        <w:spacing w:after="0" w:line="236"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shortages or cost increases of supplies, materials or labor;</w:t>
      </w:r>
    </w:p>
    <w:p>
      <w:pPr>
        <w:spacing w:after="0" w:line="120"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maintenance of our credit ratings and ability to receive open credit from our suppliers and trade counterparties;</w:t>
      </w:r>
    </w:p>
    <w:p>
      <w:pPr>
        <w:spacing w:after="0" w:line="125"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w:t>
      </w:r>
    </w:p>
    <w:p>
      <w:pPr>
        <w:spacing w:after="0" w:line="125" w:lineRule="exact"/>
        <w:rPr>
          <w:rFonts w:ascii="Arial" w:cs="Arial" w:eastAsia="Arial" w:hAnsi="Arial"/>
          <w:sz w:val="21"/>
          <w:szCs w:val="21"/>
          <w:color w:val="auto"/>
        </w:rPr>
      </w:pPr>
    </w:p>
    <w:p>
      <w:pPr>
        <w:ind w:left="620" w:right="20" w:hanging="307"/>
        <w:spacing w:after="0" w:line="245"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23" w:lineRule="exact"/>
        <w:rPr>
          <w:rFonts w:ascii="Arial" w:cs="Arial" w:eastAsia="Arial" w:hAnsi="Arial"/>
          <w:sz w:val="21"/>
          <w:szCs w:val="21"/>
          <w:color w:val="auto"/>
        </w:rPr>
      </w:pPr>
    </w:p>
    <w:p>
      <w:pPr>
        <w:jc w:val="both"/>
        <w:ind w:left="620" w:right="120" w:hanging="307"/>
        <w:spacing w:after="0" w:line="236"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incurrence of costs and expenses related to unexpected or unplanned capital or maintenance expenditures, third-party claims or other factors;</w:t>
      </w:r>
    </w:p>
    <w:p>
      <w:pPr>
        <w:spacing w:after="0" w:line="138" w:lineRule="exact"/>
        <w:rPr>
          <w:rFonts w:ascii="Arial" w:cs="Arial" w:eastAsia="Arial" w:hAnsi="Arial"/>
          <w:sz w:val="21"/>
          <w:szCs w:val="21"/>
          <w:color w:val="auto"/>
        </w:rPr>
      </w:pPr>
    </w:p>
    <w:p>
      <w:pPr>
        <w:ind w:left="620" w:right="100" w:hanging="307"/>
        <w:spacing w:after="0" w:line="236"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125" w:lineRule="exact"/>
        <w:rPr>
          <w:rFonts w:ascii="Arial" w:cs="Arial" w:eastAsia="Arial" w:hAnsi="Arial"/>
          <w:sz w:val="21"/>
          <w:szCs w:val="21"/>
          <w:color w:val="auto"/>
        </w:rPr>
      </w:pPr>
    </w:p>
    <w:p>
      <w:pPr>
        <w:ind w:left="620" w:right="300" w:hanging="307"/>
        <w:spacing w:after="0" w:line="236"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amplification of other risks caused by volatile or closed financial markets, capital constraints, liquidity concerns and inflation;</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auto"/>
        </w:rPr>
        <w:t>Page 24</w:t>
      </w:r>
    </w:p>
    <w:p>
      <w:pPr>
        <w:spacing w:after="0" w:line="200" w:lineRule="exact"/>
        <w:rPr>
          <w:sz w:val="20"/>
          <w:szCs w:val="20"/>
          <w:color w:val="auto"/>
        </w:rPr>
      </w:pPr>
    </w:p>
    <w:p>
      <w:pPr>
        <w:spacing w:after="0" w:line="245"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125" w:lineRule="exact"/>
        <w:rPr>
          <w:rFonts w:ascii="Arial" w:cs="Arial" w:eastAsia="Arial" w:hAnsi="Arial"/>
          <w:sz w:val="21"/>
          <w:szCs w:val="21"/>
          <w:color w:val="auto"/>
        </w:rPr>
      </w:pPr>
    </w:p>
    <w:p>
      <w:pPr>
        <w:ind w:left="620" w:right="620" w:hanging="307"/>
        <w:spacing w:after="0" w:line="247" w:lineRule="auto"/>
        <w:tabs>
          <w:tab w:leader="none" w:pos="61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100"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costs, or lack of availability, of insurance;</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risks related to the development and operation of our assets; and</w:t>
      </w:r>
    </w:p>
    <w:p>
      <w:pPr>
        <w:spacing w:after="0" w:line="125" w:lineRule="exact"/>
        <w:rPr>
          <w:rFonts w:ascii="Arial" w:cs="Arial" w:eastAsia="Arial" w:hAnsi="Arial"/>
          <w:sz w:val="21"/>
          <w:szCs w:val="21"/>
          <w:color w:val="auto"/>
        </w:rPr>
      </w:pPr>
    </w:p>
    <w:p>
      <w:pPr>
        <w:ind w:left="620" w:right="60" w:hanging="307"/>
        <w:spacing w:after="0" w:line="247" w:lineRule="auto"/>
        <w:tabs>
          <w:tab w:leader="none" w:pos="61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Michael Gladstein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04"/>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lvl w:ilvl="1">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lvl w:ilvl="1">
      <w:lvlJc w:val="left"/>
      <w:lvlText w:val="-"/>
      <w:numFmt w:val="bullet"/>
      <w:start w:val="1"/>
    </w:lvl>
  </w:abstractNum>
  <w:abstractNum w:abstractNumId="11">
    <w:nsid w:val="3F2DBA31"/>
    <w:multiLevelType w:val="hybridMultilevel"/>
    <w:lvl w:ilvl="0">
      <w:lvlJc w:val="left"/>
      <w:lvlText w:val="(%1)"/>
      <w:numFmt w:val="decimal"/>
      <w:start w:val="1"/>
    </w:lvl>
    <w:lvl w:ilvl="1">
      <w:lvlJc w:val="left"/>
      <w:lvlText w:val="-"/>
      <w:numFmt w:val="bullet"/>
      <w:start w:val="1"/>
    </w:lvl>
  </w:abstractNum>
  <w:abstractNum w:abstractNumId="12">
    <w:nsid w:val="7C83E458"/>
    <w:multiLevelType w:val="hybridMultilevel"/>
    <w:lvl w:ilvl="0">
      <w:lvlJc w:val="left"/>
      <w:lvlText w:val="(%1)"/>
      <w:numFmt w:val="decimal"/>
      <w:start w:val="1"/>
    </w:lvl>
    <w:lvl w:ilvl="1">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
      <w:numFmt w:val="bullet"/>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2024-11-08T07:40:42Z</dcterms:created>
  <dcterms:modified xsi:type="dcterms:W3CDTF">2024-11-08T07:40:42Z</dcterms:modified>
</cp:coreProperties>
</file>