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692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2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340" w:space="340"/>
            <w:col w:w="8840"/>
          </w:cols>
          <w:pgMar w:left="240" w:top="225" w:right="139" w:bottom="92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21"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AVENUE OF THE STARS,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2"/>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09/28/2018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8" w:right="660" w:hanging="8"/>
        <w:spacing w:after="0" w:line="252"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08" w:type="dxa"/>
        <w:tblCellMar>
          <w:top w:w="0" w:type="dxa"/>
          <w:left w:w="0" w:type="dxa"/>
          <w:bottom w:w="0" w:type="dxa"/>
          <w:right w:w="0" w:type="dxa"/>
        </w:tblCellMar>
      </w:tblPr>
      <w:tr>
        <w:trPr>
          <w:trHeight w:val="220"/>
        </w:trPr>
        <w:tc>
          <w:tcPr>
            <w:tcW w:w="146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146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48"/>
        <w:spacing w:after="0"/>
        <w:rPr>
          <w:sz w:val="20"/>
          <w:szCs w:val="20"/>
          <w:color w:val="auto"/>
        </w:rPr>
      </w:pPr>
      <w:r>
        <w:rPr>
          <w:rFonts w:ascii="Arial" w:cs="Arial" w:eastAsia="Arial" w:hAnsi="Arial"/>
          <w:sz w:val="17"/>
          <w:szCs w:val="17"/>
          <w:color w:val="0000FF"/>
        </w:rPr>
        <w:t>See remaks</w:t>
      </w:r>
    </w:p>
    <w:p>
      <w:pPr>
        <w:spacing w:after="0" w:line="255" w:lineRule="exact"/>
        <w:rPr>
          <w:sz w:val="24"/>
          <w:szCs w:val="24"/>
          <w:color w:val="auto"/>
        </w:rPr>
      </w:pPr>
    </w:p>
    <w:p>
      <w:pPr>
        <w:sectPr>
          <w:pgSz w:w="11900" w:h="16838" w:orient="portrait"/>
          <w:cols w:equalWidth="0" w:num="3">
            <w:col w:w="3340" w:space="720"/>
            <w:col w:w="3272" w:space="720"/>
            <w:col w:w="3468"/>
          </w:cols>
          <w:pgMar w:left="240" w:top="225" w:right="139" w:bottom="923" w:gutter="0" w:footer="0" w:header="0"/>
          <w:type w:val="continuous"/>
        </w:sectPr>
      </w:pP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80" w:type="dxa"/>
            <w:vAlign w:val="bottom"/>
            <w:gridSpan w:val="11"/>
            <w:vMerge w:val="restart"/>
          </w:tcPr>
          <w:p>
            <w:pPr>
              <w:ind w:left="5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9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gridSpan w:val="3"/>
          </w:tcPr>
          <w:p>
            <w:pPr>
              <w:ind w:left="5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0000FF"/>
              </w:rPr>
              <w:t>LOS ANGELES CA</w:t>
            </w:r>
          </w:p>
        </w:tc>
        <w:tc>
          <w:tcPr>
            <w:tcW w:w="90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Arial" w:cs="Arial" w:eastAsia="Arial" w:hAnsi="Arial"/>
                <w:sz w:val="17"/>
                <w:szCs w:val="17"/>
                <w:color w:val="0000FF"/>
              </w:rPr>
              <w:t>90067</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9"/>
            <w:vMerge w:val="restart"/>
          </w:tcPr>
          <w:p>
            <w:pPr>
              <w:jc w:val="center"/>
              <w:ind w:righ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3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ind w:left="4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220" w:type="dxa"/>
            <w:vAlign w:val="bottom"/>
            <w:tcBorders>
              <w:bottom w:val="single" w:sz="8" w:color="2C2C2C"/>
            </w:tcBorders>
            <w:gridSpan w:val="8"/>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5"/>
                <w:szCs w:val="15"/>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0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1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900" w:type="dxa"/>
            <w:vAlign w:val="bottom"/>
          </w:tcPr>
          <w:p>
            <w:pPr>
              <w:spacing w:after="0"/>
              <w:rPr>
                <w:sz w:val="22"/>
                <w:szCs w:val="22"/>
                <w:color w:val="auto"/>
              </w:rPr>
            </w:pPr>
          </w:p>
        </w:tc>
        <w:tc>
          <w:tcPr>
            <w:tcW w:w="1720" w:type="dxa"/>
            <w:vAlign w:val="bottom"/>
            <w:gridSpan w:val="2"/>
            <w:vMerge w:val="restart"/>
          </w:tcPr>
          <w:p>
            <w:pPr>
              <w:ind w:left="740"/>
              <w:spacing w:after="0"/>
              <w:rPr>
                <w:sz w:val="20"/>
                <w:szCs w:val="20"/>
                <w:color w:val="auto"/>
              </w:rPr>
            </w:pPr>
            <w:r>
              <w:rPr>
                <w:rFonts w:ascii="Arial" w:cs="Arial" w:eastAsia="Arial" w:hAnsi="Arial"/>
                <w:sz w:val="17"/>
                <w:szCs w:val="17"/>
                <w:color w:val="0000FF"/>
              </w:rPr>
              <w:t>09/28/2018</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2"/>
                <w:szCs w:val="22"/>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7"/>
                <w:szCs w:val="17"/>
                <w:color w:val="0000FF"/>
              </w:rPr>
              <w:t>45,405</w:t>
            </w:r>
          </w:p>
        </w:tc>
        <w:tc>
          <w:tcPr>
            <w:tcW w:w="50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780" w:type="dxa"/>
            <w:vAlign w:val="bottom"/>
            <w:vMerge w:val="restart"/>
          </w:tcPr>
          <w:p>
            <w:pPr>
              <w:jc w:val="center"/>
              <w:ind w:left="193"/>
              <w:spacing w:after="0"/>
              <w:rPr>
                <w:sz w:val="20"/>
                <w:szCs w:val="20"/>
                <w:color w:val="auto"/>
              </w:rPr>
            </w:pPr>
            <w:r>
              <w:rPr>
                <w:rFonts w:ascii="Arial" w:cs="Arial" w:eastAsia="Arial" w:hAnsi="Arial"/>
                <w:sz w:val="17"/>
                <w:szCs w:val="17"/>
                <w:color w:val="0000FF"/>
                <w:w w:val="92"/>
              </w:rPr>
              <w:t>45,405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38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0000FF"/>
                <w:w w:val="99"/>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gridSpan w:val="4"/>
            <w:vMerge w:val="restart"/>
          </w:tcPr>
          <w:p>
            <w:pPr>
              <w:ind w:left="2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900" w:type="dxa"/>
            <w:vAlign w:val="bottom"/>
            <w:tcBorders>
              <w:top w:val="single" w:sz="8" w:color="2C2C2C"/>
            </w:tcBorders>
          </w:tcPr>
          <w:p>
            <w:pPr>
              <w:spacing w:after="0"/>
              <w:rPr>
                <w:sz w:val="22"/>
                <w:szCs w:val="22"/>
                <w:color w:val="auto"/>
              </w:rPr>
            </w:pPr>
          </w:p>
        </w:tc>
        <w:tc>
          <w:tcPr>
            <w:tcW w:w="1720" w:type="dxa"/>
            <w:vAlign w:val="bottom"/>
            <w:tcBorders>
              <w:top w:val="single" w:sz="8" w:color="2C2C2C"/>
            </w:tcBorders>
            <w:gridSpan w:val="2"/>
            <w:vMerge w:val="restart"/>
          </w:tcPr>
          <w:p>
            <w:pPr>
              <w:ind w:left="740"/>
              <w:spacing w:after="0"/>
              <w:rPr>
                <w:sz w:val="20"/>
                <w:szCs w:val="20"/>
                <w:color w:val="auto"/>
              </w:rPr>
            </w:pPr>
            <w:r>
              <w:rPr>
                <w:rFonts w:ascii="Arial" w:cs="Arial" w:eastAsia="Arial" w:hAnsi="Arial"/>
                <w:sz w:val="17"/>
                <w:szCs w:val="17"/>
                <w:color w:val="0000FF"/>
              </w:rPr>
              <w:t>09/28/2018</w:t>
            </w:r>
          </w:p>
        </w:tc>
        <w:tc>
          <w:tcPr>
            <w:tcW w:w="4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jc w:val="right"/>
              <w:ind w:right="134"/>
              <w:spacing w:after="0"/>
              <w:rPr>
                <w:sz w:val="20"/>
                <w:szCs w:val="20"/>
                <w:color w:val="auto"/>
              </w:rPr>
            </w:pPr>
            <w:r>
              <w:rPr>
                <w:rFonts w:ascii="Arial" w:cs="Arial" w:eastAsia="Arial" w:hAnsi="Arial"/>
                <w:sz w:val="17"/>
                <w:szCs w:val="17"/>
                <w:color w:val="0000FF"/>
              </w:rPr>
              <w:t>45,405</w:t>
            </w:r>
          </w:p>
        </w:tc>
        <w:tc>
          <w:tcPr>
            <w:tcW w:w="5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left="193"/>
              <w:spacing w:after="0"/>
              <w:rPr>
                <w:sz w:val="20"/>
                <w:szCs w:val="20"/>
                <w:color w:val="auto"/>
              </w:rPr>
            </w:pPr>
            <w:r>
              <w:rPr>
                <w:rFonts w:ascii="Arial" w:cs="Arial" w:eastAsia="Arial" w:hAnsi="Arial"/>
                <w:sz w:val="17"/>
                <w:szCs w:val="17"/>
                <w:color w:val="0000FF"/>
                <w:w w:val="84"/>
              </w:rPr>
              <w:t>0</w:t>
            </w: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3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9"/>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90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272,288</w:t>
            </w:r>
          </w:p>
        </w:tc>
        <w:tc>
          <w:tcPr>
            <w:tcW w:w="3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3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 (Instr.</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Class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gridSpan w:val="2"/>
            <w:vMerge w:val="restart"/>
          </w:tcPr>
          <w:p>
            <w:pPr>
              <w:ind w:left="60"/>
              <w:spacing w:after="0" w:line="129" w:lineRule="exact"/>
              <w:rPr>
                <w:sz w:val="20"/>
                <w:szCs w:val="20"/>
                <w:color w:val="auto"/>
              </w:rPr>
            </w:pPr>
            <w:r>
              <w:rPr>
                <w:rFonts w:ascii="Arial" w:cs="Arial" w:eastAsia="Arial" w:hAnsi="Arial"/>
                <w:sz w:val="13"/>
                <w:szCs w:val="13"/>
                <w:color w:val="0000FF"/>
                <w:w w:val="95"/>
              </w:rPr>
              <w:t>Shares/Class</w:t>
            </w: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vMerge w:val="restart"/>
          </w:tcPr>
          <w:p>
            <w:pPr>
              <w:jc w:val="right"/>
              <w:ind w:right="82"/>
              <w:spacing w:after="0"/>
              <w:rPr>
                <w:sz w:val="20"/>
                <w:szCs w:val="20"/>
                <w:color w:val="auto"/>
              </w:rPr>
            </w:pPr>
            <w:r>
              <w:rPr>
                <w:rFonts w:ascii="Arial" w:cs="Arial" w:eastAsia="Arial" w:hAnsi="Arial"/>
                <w:sz w:val="11"/>
                <w:szCs w:val="11"/>
                <w:color w:val="008000"/>
                <w:w w:val="96"/>
              </w:rPr>
              <w:t>(1)(2)</w:t>
            </w:r>
          </w:p>
        </w:tc>
        <w:tc>
          <w:tcPr>
            <w:tcW w:w="840" w:type="dxa"/>
            <w:vAlign w:val="bottom"/>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w w:val="88"/>
              </w:rPr>
              <w:t>45,405</w:t>
            </w: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restart"/>
          </w:tcPr>
          <w:p>
            <w:pPr>
              <w:jc w:val="right"/>
              <w:ind w:right="89"/>
              <w:spacing w:after="0"/>
              <w:rPr>
                <w:sz w:val="20"/>
                <w:szCs w:val="20"/>
                <w:color w:val="auto"/>
              </w:rPr>
            </w:pPr>
            <w:r>
              <w:rPr>
                <w:rFonts w:ascii="Arial" w:cs="Arial" w:eastAsia="Arial" w:hAnsi="Arial"/>
                <w:sz w:val="11"/>
                <w:szCs w:val="11"/>
                <w:color w:val="008000"/>
                <w:w w:val="74"/>
              </w:rPr>
              <w:t>(5)</w:t>
            </w: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40" w:type="dxa"/>
            <w:vAlign w:val="bottom"/>
            <w:vMerge w:val="restart"/>
          </w:tcPr>
          <w:p>
            <w:pPr>
              <w:ind w:left="3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vMerge w:val="restart"/>
          </w:tcPr>
          <w:p>
            <w:pPr>
              <w:ind w:left="220"/>
              <w:spacing w:after="0" w:line="147" w:lineRule="exact"/>
              <w:rPr>
                <w:sz w:val="20"/>
                <w:szCs w:val="20"/>
                <w:color w:val="auto"/>
              </w:rPr>
            </w:pPr>
            <w:r>
              <w:rPr>
                <w:rFonts w:ascii="Arial" w:cs="Arial" w:eastAsia="Arial" w:hAnsi="Arial"/>
                <w:sz w:val="13"/>
                <w:szCs w:val="13"/>
                <w:color w:val="0000FF"/>
              </w:rPr>
              <w:t>09/28/2018</w:t>
            </w:r>
          </w:p>
        </w:tc>
        <w:tc>
          <w:tcPr>
            <w:tcW w:w="1320" w:type="dxa"/>
            <w:vAlign w:val="bottom"/>
          </w:tcPr>
          <w:p>
            <w:pPr>
              <w:spacing w:after="0"/>
              <w:rPr>
                <w:sz w:val="5"/>
                <w:szCs w:val="5"/>
                <w:color w:val="auto"/>
              </w:rPr>
            </w:pPr>
          </w:p>
        </w:tc>
        <w:tc>
          <w:tcPr>
            <w:tcW w:w="400" w:type="dxa"/>
            <w:vAlign w:val="bottom"/>
            <w:vMerge w:val="restart"/>
          </w:tcPr>
          <w:p>
            <w:pPr>
              <w:ind w:left="14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1060" w:type="dxa"/>
            <w:vAlign w:val="bottom"/>
            <w:gridSpan w:val="2"/>
            <w:vMerge w:val="restart"/>
          </w:tcPr>
          <w:p>
            <w:pPr>
              <w:ind w:left="380"/>
              <w:spacing w:after="0" w:line="147" w:lineRule="exact"/>
              <w:rPr>
                <w:sz w:val="20"/>
                <w:szCs w:val="20"/>
                <w:color w:val="auto"/>
              </w:rPr>
            </w:pPr>
            <w:r>
              <w:rPr>
                <w:rFonts w:ascii="Arial" w:cs="Arial" w:eastAsia="Arial" w:hAnsi="Arial"/>
                <w:sz w:val="13"/>
                <w:szCs w:val="13"/>
                <w:color w:val="0000FF"/>
              </w:rPr>
              <w:t>45,405</w:t>
            </w:r>
          </w:p>
        </w:tc>
        <w:tc>
          <w:tcPr>
            <w:tcW w:w="4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00" w:type="dxa"/>
            <w:vAlign w:val="bottom"/>
            <w:vMerge w:val="restart"/>
          </w:tcPr>
          <w:p>
            <w:pPr>
              <w:ind w:left="240"/>
              <w:spacing w:after="0" w:line="147" w:lineRule="exact"/>
              <w:rPr>
                <w:sz w:val="20"/>
                <w:szCs w:val="20"/>
                <w:color w:val="auto"/>
              </w:rPr>
            </w:pPr>
            <w:r>
              <w:rPr>
                <w:rFonts w:ascii="Arial" w:cs="Arial" w:eastAsia="Arial" w:hAnsi="Arial"/>
                <w:sz w:val="13"/>
                <w:szCs w:val="13"/>
                <w:color w:val="0000FF"/>
              </w:rPr>
              <w:t>A</w:t>
            </w: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30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89"/>
              </w:rPr>
              <w:t>16,634,621</w:t>
            </w:r>
          </w:p>
        </w:tc>
        <w:tc>
          <w:tcPr>
            <w:tcW w:w="280" w:type="dxa"/>
            <w:vAlign w:val="bottom"/>
            <w:vMerge w:val="continue"/>
          </w:tcPr>
          <w:p>
            <w:pPr>
              <w:spacing w:after="0"/>
              <w:rPr>
                <w:sz w:val="5"/>
                <w:szCs w:val="5"/>
                <w:color w:val="auto"/>
              </w:rPr>
            </w:pPr>
          </w:p>
        </w:tc>
        <w:tc>
          <w:tcPr>
            <w:tcW w:w="3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I</w:t>
            </w:r>
          </w:p>
        </w:tc>
        <w:tc>
          <w:tcPr>
            <w:tcW w:w="3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8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gridSpan w:val="3"/>
            <w:vMerge w:val="restart"/>
          </w:tcPr>
          <w:p>
            <w:pPr>
              <w:ind w:left="60"/>
              <w:spacing w:after="0" w:line="164" w:lineRule="exact"/>
              <w:rPr>
                <w:sz w:val="20"/>
                <w:szCs w:val="20"/>
                <w:color w:val="auto"/>
              </w:rPr>
            </w:pPr>
            <w:r>
              <w:rPr>
                <w:rFonts w:ascii="Arial" w:cs="Arial" w:eastAsia="Arial" w:hAnsi="Arial"/>
                <w:sz w:val="12"/>
                <w:szCs w:val="12"/>
                <w:color w:val="0000FF"/>
              </w:rPr>
              <w:t>footnotes</w:t>
            </w:r>
            <w:r>
              <w:rPr>
                <w:rFonts w:ascii="Arial" w:cs="Arial" w:eastAsia="Arial" w:hAnsi="Arial"/>
                <w:sz w:val="19"/>
                <w:szCs w:val="19"/>
                <w:color w:val="008000"/>
                <w:vertAlign w:val="superscript"/>
              </w:rPr>
              <w:t>(1)(2)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4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September 28, 2018, KAFU Holdings (QP), L.P. exercised the Exchange Right with respect to 45,405 Class A Units.</w:t>
      </w:r>
    </w:p>
    <w:p>
      <w:pPr>
        <w:spacing w:after="0" w:line="32" w:lineRule="exact"/>
        <w:rPr>
          <w:rFonts w:ascii="Arial" w:cs="Arial" w:eastAsia="Arial" w:hAnsi="Arial"/>
          <w:sz w:val="13"/>
          <w:szCs w:val="13"/>
          <w:color w:val="008000"/>
        </w:rPr>
      </w:pP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Shared held by KACALP.</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183,225 Class A units. As a result, such Class A units were cancelled and 183,225 Common Units of Plains All American Pipeline, L.P. were distributed by AAP to KAFU. The number of derivative securities owned reflects both the exchange transaction reported herein and the simultaneous redemption transaction.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140"/>
        <w:spacing w:after="0" w:line="250"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780" w:type="dxa"/>
            <w:vAlign w:val="bottom"/>
          </w:tcPr>
          <w:p>
            <w:pPr>
              <w:spacing w:after="0"/>
              <w:rPr>
                <w:sz w:val="20"/>
                <w:szCs w:val="20"/>
                <w:color w:val="auto"/>
              </w:rPr>
            </w:pPr>
            <w:r>
              <w:rPr>
                <w:rFonts w:ascii="Arial" w:cs="Arial" w:eastAsia="Arial" w:hAnsi="Arial"/>
                <w:sz w:val="17"/>
                <w:szCs w:val="17"/>
                <w:color w:val="0000FF"/>
                <w:w w:val="89"/>
              </w:rPr>
              <w:t>08/28/2018</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2020-01-12T19:32:36Z</dcterms:created>
  <dcterms:modified xsi:type="dcterms:W3CDTF">2020-01-12T19:32:36Z</dcterms:modified>
</cp:coreProperties>
</file>