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color w:val="auto"/>
        </w:rPr>
        <w:t>SCHEDULE 13G</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(Rule 13d-102)</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INFORMATION TO BE INCLUDED</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IN STATEMENTS FILED PURSUANT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TO RULES 13d-1(b), (c), AND</w:t>
      </w:r>
    </w:p>
    <w:p>
      <w:pPr>
        <w:spacing w:after="0" w:line="9" w:lineRule="exact"/>
        <w:rPr>
          <w:sz w:val="24"/>
          <w:szCs w:val="24"/>
          <w:color w:val="auto"/>
        </w:rPr>
      </w:pPr>
    </w:p>
    <w:p>
      <w:pPr>
        <w:jc w:val="both"/>
        <w:ind w:left="4240" w:right="4140" w:hanging="26"/>
        <w:spacing w:after="0" w:line="290" w:lineRule="auto"/>
        <w:tabs>
          <w:tab w:leader="none" w:pos="4468" w:val="left"/>
        </w:tabs>
        <w:numPr>
          <w:ilvl w:val="0"/>
          <w:numId w:val="1"/>
        </w:numPr>
        <w:rPr>
          <w:rFonts w:ascii="Arial" w:cs="Arial" w:eastAsia="Arial" w:hAnsi="Arial"/>
          <w:sz w:val="17"/>
          <w:szCs w:val="17"/>
          <w:color w:val="auto"/>
        </w:rPr>
      </w:pPr>
      <w:r>
        <w:rPr>
          <w:rFonts w:ascii="Arial" w:cs="Arial" w:eastAsia="Arial" w:hAnsi="Arial"/>
          <w:sz w:val="17"/>
          <w:szCs w:val="17"/>
          <w:color w:val="auto"/>
        </w:rPr>
        <w:t>AND AMENDMENTS THERETO FILED PURSUANT TO RULE 13d-2</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43"/>
          <w:szCs w:val="43"/>
          <w:u w:val="single" w:color="auto"/>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Class A Shares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72651A207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May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33" w:lineRule="exact"/>
        <w:rPr>
          <w:sz w:val="24"/>
          <w:szCs w:val="24"/>
          <w:color w:val="auto"/>
        </w:rPr>
      </w:pPr>
    </w:p>
    <w:p>
      <w:pPr>
        <w:jc w:val="both"/>
        <w:ind w:right="9640" w:firstLine="8"/>
        <w:spacing w:after="0" w:line="271" w:lineRule="exact"/>
        <w:tabs>
          <w:tab w:leader="none" w:pos="306"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Rule 13d-1(b)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13d-1(c)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13d-1(d)</w:t>
      </w:r>
    </w:p>
    <w:p>
      <w:pPr>
        <w:spacing w:after="0" w:line="188" w:lineRule="exact"/>
        <w:rPr>
          <w:sz w:val="24"/>
          <w:szCs w:val="24"/>
          <w:color w:val="auto"/>
        </w:rPr>
      </w:pPr>
    </w:p>
    <w:p>
      <w:pPr>
        <w:ind w:right="8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41" w:right="399" w:bottom="1440" w:gutter="0" w:footer="0" w:header="0"/>
        </w:sectPr>
      </w:pPr>
    </w:p>
    <w:bookmarkStart w:id="1" w:name="page2"/>
    <w:bookmarkEnd w:id="1"/>
    <w:p>
      <w:pPr>
        <w:ind w:left="1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6454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454775"/>
                    </a:xfrm>
                    <a:prstGeom prst="rect">
                      <a:avLst/>
                    </a:prstGeom>
                    <a:noFill/>
                  </pic:spPr>
                </pic:pic>
              </a:graphicData>
            </a:graphic>
          </wp:anchor>
        </w:drawing>
        <w:t>NAMES OF REPORTING PERSONS</w:t>
      </w:r>
    </w:p>
    <w:p>
      <w:pPr>
        <w:spacing w:after="0" w:line="63" w:lineRule="exact"/>
        <w:rPr>
          <w:sz w:val="20"/>
          <w:szCs w:val="20"/>
          <w:color w:val="auto"/>
        </w:rPr>
      </w:pPr>
    </w:p>
    <w:p>
      <w:pPr>
        <w:ind w:left="1440" w:right="3940" w:hanging="818"/>
        <w:spacing w:after="0" w:line="180" w:lineRule="auto"/>
        <w:tabs>
          <w:tab w:leader="none" w:pos="1431" w:val="left"/>
        </w:tabs>
        <w:numPr>
          <w:ilvl w:val="0"/>
          <w:numId w:val="3"/>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Tortoise Capital Advisors, L.L.C.</w:t>
      </w:r>
    </w:p>
    <w:p>
      <w:pPr>
        <w:spacing w:after="0" w:line="180"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spacing w:after="0" w:line="39" w:lineRule="exact"/>
        <w:rPr>
          <w:sz w:val="20"/>
          <w:szCs w:val="20"/>
          <w:color w:val="auto"/>
        </w:rPr>
      </w:pPr>
    </w:p>
    <w:p>
      <w:pPr>
        <w:jc w:val="both"/>
        <w:ind w:left="1420" w:right="9400" w:hanging="798"/>
        <w:spacing w:after="0" w:line="266" w:lineRule="exact"/>
        <w:tabs>
          <w:tab w:leader="none" w:pos="142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r>
        <w:rPr>
          <w:rFonts w:ascii="Arial" w:cs="Arial" w:eastAsia="Arial" w:hAnsi="Arial"/>
          <w:sz w:val="18"/>
          <w:szCs w:val="18"/>
          <w:color w:val="auto"/>
        </w:rPr>
        <w:t xml:space="preserve"> (b)[x]</w:t>
      </w:r>
    </w:p>
    <w:p>
      <w:pPr>
        <w:spacing w:after="0" w:line="45"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84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05"/>
        </w:trPr>
        <w:tc>
          <w:tcPr>
            <w:tcW w:w="1400" w:type="dxa"/>
            <w:vAlign w:val="bottom"/>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4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5</w:t>
            </w:r>
          </w:p>
        </w:tc>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8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6</w:t>
            </w:r>
          </w:p>
        </w:tc>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20" w:type="dxa"/>
            <w:vAlign w:val="bottom"/>
          </w:tcPr>
          <w:p>
            <w:pPr>
              <w:spacing w:after="0"/>
              <w:rPr>
                <w:sz w:val="19"/>
                <w:szCs w:val="19"/>
                <w:color w:val="auto"/>
              </w:rPr>
            </w:pPr>
          </w:p>
        </w:tc>
        <w:tc>
          <w:tcPr>
            <w:tcW w:w="440" w:type="dxa"/>
            <w:vAlign w:val="bottom"/>
            <w:tcBorders>
              <w:right w:val="single" w:sz="8" w:color="auto"/>
            </w:tcBorders>
            <w:vMerge w:val="continue"/>
          </w:tcPr>
          <w:p>
            <w:pPr>
              <w:spacing w:after="0"/>
              <w:rPr>
                <w:sz w:val="19"/>
                <w:szCs w:val="19"/>
                <w:color w:val="auto"/>
              </w:rPr>
            </w:pPr>
          </w:p>
        </w:tc>
        <w:tc>
          <w:tcPr>
            <w:tcW w:w="8540" w:type="dxa"/>
            <w:vAlign w:val="bottom"/>
            <w:vMerge w:val="restart"/>
          </w:tcPr>
          <w:p>
            <w:pPr>
              <w:ind w:left="40"/>
              <w:spacing w:after="0"/>
              <w:rPr>
                <w:sz w:val="20"/>
                <w:szCs w:val="20"/>
                <w:color w:val="auto"/>
              </w:rPr>
            </w:pPr>
            <w:r>
              <w:rPr>
                <w:rFonts w:ascii="Arial" w:cs="Arial" w:eastAsia="Arial" w:hAnsi="Arial"/>
                <w:sz w:val="18"/>
                <w:szCs w:val="18"/>
                <w:color w:val="auto"/>
              </w:rPr>
              <w:t>15,692,210 (See Item 4)</w:t>
            </w: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2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8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8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8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20" w:type="dxa"/>
            <w:vAlign w:val="bottom"/>
          </w:tcPr>
          <w:p>
            <w:pPr>
              <w:spacing w:after="0"/>
              <w:rPr>
                <w:sz w:val="14"/>
                <w:szCs w:val="14"/>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7</w:t>
            </w:r>
          </w:p>
        </w:tc>
        <w:tc>
          <w:tcPr>
            <w:tcW w:w="8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vMerge w:val="continue"/>
          </w:tcPr>
          <w:p>
            <w:pPr>
              <w:spacing w:after="0"/>
              <w:rPr>
                <w:sz w:val="4"/>
                <w:szCs w:val="4"/>
                <w:color w:val="auto"/>
              </w:rPr>
            </w:pPr>
          </w:p>
        </w:tc>
        <w:tc>
          <w:tcPr>
            <w:tcW w:w="85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14"/>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right w:val="single" w:sz="8" w:color="auto"/>
            </w:tcBorders>
            <w:vMerge w:val="continue"/>
          </w:tcPr>
          <w:p>
            <w:pPr>
              <w:spacing w:after="0"/>
              <w:rPr>
                <w:sz w:val="15"/>
                <w:szCs w:val="15"/>
                <w:color w:val="auto"/>
              </w:rPr>
            </w:pPr>
          </w:p>
        </w:tc>
        <w:tc>
          <w:tcPr>
            <w:tcW w:w="8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Borders>
              <w:right w:val="single" w:sz="8" w:color="auto"/>
            </w:tcBorders>
          </w:tcPr>
          <w:p>
            <w:pPr>
              <w:spacing w:after="0"/>
              <w:rPr>
                <w:sz w:val="4"/>
                <w:szCs w:val="4"/>
                <w:color w:val="auto"/>
              </w:rPr>
            </w:pPr>
          </w:p>
        </w:tc>
        <w:tc>
          <w:tcPr>
            <w:tcW w:w="8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8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w w:val="89"/>
              </w:rPr>
              <w:t>8</w:t>
            </w:r>
          </w:p>
        </w:tc>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right w:val="single" w:sz="8" w:color="auto"/>
            </w:tcBorders>
            <w:vMerge w:val="continue"/>
          </w:tcPr>
          <w:p>
            <w:pPr>
              <w:spacing w:after="0"/>
              <w:rPr>
                <w:sz w:val="24"/>
                <w:szCs w:val="24"/>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18,670,078 (See Item 4)</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88"/>
              </w:rPr>
              <w:t>18,670,078</w:t>
            </w:r>
          </w:p>
        </w:tc>
        <w:tc>
          <w:tcPr>
            <w:tcW w:w="44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color w:val="auto"/>
              </w:rPr>
              <w:t>Not Applicable</w:t>
            </w:r>
          </w:p>
        </w:tc>
        <w:tc>
          <w:tcPr>
            <w:tcW w:w="8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IA</w:t>
            </w:r>
          </w:p>
        </w:tc>
        <w:tc>
          <w:tcPr>
            <w:tcW w:w="44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751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751580"/>
                    </a:xfrm>
                    <a:prstGeom prst="rect">
                      <a:avLst/>
                    </a:prstGeom>
                    <a:noFill/>
                  </pic:spPr>
                </pic:pic>
              </a:graphicData>
            </a:graphic>
          </wp:anchor>
        </w:drawing>
      </w:r>
    </w:p>
    <w:p>
      <w:pPr>
        <w:spacing w:after="0" w:line="24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40" w:right="3940" w:hanging="818"/>
        <w:spacing w:after="0" w:line="180" w:lineRule="auto"/>
        <w:tabs>
          <w:tab w:leader="none" w:pos="1431" w:val="left"/>
        </w:tabs>
        <w:numPr>
          <w:ilvl w:val="0"/>
          <w:numId w:val="5"/>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Tortoise MLP &amp; Pipeline Fund</w:t>
      </w:r>
    </w:p>
    <w:p>
      <w:pPr>
        <w:spacing w:after="0" w:line="180"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spacing w:after="0" w:line="39" w:lineRule="exact"/>
        <w:rPr>
          <w:sz w:val="20"/>
          <w:szCs w:val="20"/>
          <w:color w:val="auto"/>
        </w:rPr>
      </w:pPr>
    </w:p>
    <w:p>
      <w:pPr>
        <w:jc w:val="both"/>
        <w:ind w:left="1420" w:right="9400" w:hanging="798"/>
        <w:spacing w:after="0" w:line="266" w:lineRule="exact"/>
        <w:tabs>
          <w:tab w:leader="none" w:pos="1420" w:val="left"/>
        </w:tabs>
        <w:numPr>
          <w:ilvl w:val="0"/>
          <w:numId w:val="6"/>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r>
        <w:rPr>
          <w:rFonts w:ascii="Arial" w:cs="Arial" w:eastAsia="Arial" w:hAnsi="Arial"/>
          <w:sz w:val="18"/>
          <w:szCs w:val="18"/>
          <w:color w:val="auto"/>
        </w:rPr>
        <w:t xml:space="preserve"> (b)[x]</w:t>
      </w:r>
    </w:p>
    <w:p>
      <w:pPr>
        <w:spacing w:after="0" w:line="45"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8"/>
        <w:spacing w:after="0" w:line="182" w:lineRule="auto"/>
        <w:tabs>
          <w:tab w:leader="none" w:pos="1440" w:val="left"/>
        </w:tabs>
        <w:numPr>
          <w:ilvl w:val="0"/>
          <w:numId w:val="7"/>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ectPr>
          <w:pgSz w:w="11900" w:h="16838" w:orient="portrait"/>
          <w:cols w:equalWidth="0" w:num="1">
            <w:col w:w="11240"/>
          </w:cols>
          <w:pgMar w:left="320" w:top="405" w:right="339" w:bottom="0" w:gutter="0" w:footer="0" w:header="0"/>
        </w:sectPr>
      </w:pPr>
    </w:p>
    <w:p>
      <w:pPr>
        <w:spacing w:after="0" w:line="205" w:lineRule="exact"/>
        <w:rPr>
          <w:sz w:val="20"/>
          <w:szCs w:val="20"/>
          <w:color w:val="auto"/>
        </w:rPr>
      </w:pPr>
    </w:p>
    <w:p>
      <w:pPr>
        <w:jc w:val="center"/>
        <w:ind w:left="100"/>
        <w:spacing w:after="0" w:line="270" w:lineRule="auto"/>
        <w:rPr>
          <w:sz w:val="20"/>
          <w:szCs w:val="20"/>
          <w:color w:val="auto"/>
        </w:rPr>
      </w:pPr>
      <w:r>
        <w:rPr>
          <w:rFonts w:ascii="Arial" w:cs="Arial" w:eastAsia="Arial" w:hAnsi="Arial"/>
          <w:sz w:val="17"/>
          <w:szCs w:val="17"/>
          <w:b w:val="1"/>
          <w:bCs w:val="1"/>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SOLE VOTING POWER</w:t>
      </w:r>
    </w:p>
    <w:p>
      <w:pPr>
        <w:ind w:left="464" w:hanging="464"/>
        <w:spacing w:after="0" w:line="182" w:lineRule="auto"/>
        <w:tabs>
          <w:tab w:leader="none" w:pos="464" w:val="left"/>
        </w:tabs>
        <w:numPr>
          <w:ilvl w:val="0"/>
          <w:numId w:val="8"/>
        </w:numPr>
        <w:rPr>
          <w:rFonts w:ascii="Arial" w:cs="Arial" w:eastAsia="Arial" w:hAnsi="Arial"/>
          <w:sz w:val="50"/>
          <w:szCs w:val="50"/>
          <w:b w:val="1"/>
          <w:bCs w:val="1"/>
          <w:color w:val="auto"/>
          <w:vertAlign w:val="superscript"/>
        </w:rPr>
      </w:pPr>
      <w:r>
        <w:rPr>
          <w:rFonts w:ascii="Arial" w:cs="Arial" w:eastAsia="Arial" w:hAnsi="Arial"/>
          <w:sz w:val="16"/>
          <w:szCs w:val="16"/>
          <w:color w:val="auto"/>
        </w:rPr>
        <w:t>0</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SHARED VOTING POWER</w:t>
      </w:r>
    </w:p>
    <w:p>
      <w:pPr>
        <w:ind w:left="464" w:hanging="464"/>
        <w:spacing w:after="0" w:line="182" w:lineRule="auto"/>
        <w:tabs>
          <w:tab w:leader="none" w:pos="464" w:val="left"/>
        </w:tabs>
        <w:numPr>
          <w:ilvl w:val="0"/>
          <w:numId w:val="9"/>
        </w:numPr>
        <w:rPr>
          <w:rFonts w:ascii="Arial" w:cs="Arial" w:eastAsia="Arial" w:hAnsi="Arial"/>
          <w:sz w:val="50"/>
          <w:szCs w:val="50"/>
          <w:b w:val="1"/>
          <w:bCs w:val="1"/>
          <w:color w:val="auto"/>
          <w:vertAlign w:val="superscript"/>
        </w:rPr>
      </w:pPr>
      <w:r>
        <w:rPr>
          <w:rFonts w:ascii="Arial" w:cs="Arial" w:eastAsia="Arial" w:hAnsi="Arial"/>
          <w:sz w:val="16"/>
          <w:szCs w:val="16"/>
          <w:color w:val="auto"/>
        </w:rPr>
        <w:t>13,628,707 (See Item 4)</w:t>
      </w:r>
    </w:p>
    <w:p>
      <w:pPr>
        <w:spacing w:after="0" w:line="107" w:lineRule="exact"/>
        <w:rPr>
          <w:sz w:val="20"/>
          <w:szCs w:val="20"/>
          <w:color w:val="auto"/>
        </w:rPr>
      </w:pPr>
    </w:p>
    <w:tbl>
      <w:tblPr>
        <w:tblLayout w:type="fixed"/>
        <w:tblInd w:w="4" w:type="dxa"/>
        <w:tblCellMar>
          <w:top w:w="0" w:type="dxa"/>
          <w:left w:w="0" w:type="dxa"/>
          <w:bottom w:w="0" w:type="dxa"/>
          <w:right w:w="0" w:type="dxa"/>
        </w:tblCellMar>
      </w:tblPr>
      <w:tr>
        <w:trPr>
          <w:trHeight w:val="368"/>
        </w:trPr>
        <w:tc>
          <w:tcPr>
            <w:tcW w:w="300" w:type="dxa"/>
            <w:vAlign w:val="bottom"/>
          </w:tcPr>
          <w:p>
            <w:pPr>
              <w:jc w:val="right"/>
              <w:spacing w:after="0"/>
              <w:rPr>
                <w:sz w:val="20"/>
                <w:szCs w:val="20"/>
                <w:color w:val="auto"/>
              </w:rPr>
            </w:pPr>
            <w:r>
              <w:rPr>
                <w:rFonts w:ascii="Arial" w:cs="Arial" w:eastAsia="Arial" w:hAnsi="Arial"/>
                <w:sz w:val="32"/>
                <w:szCs w:val="32"/>
                <w:b w:val="1"/>
                <w:bCs w:val="1"/>
                <w:color w:val="auto"/>
                <w:w w:val="78"/>
              </w:rPr>
              <w:t>7</w:t>
            </w:r>
          </w:p>
        </w:tc>
        <w:tc>
          <w:tcPr>
            <w:tcW w:w="2560" w:type="dxa"/>
            <w:vAlign w:val="bottom"/>
          </w:tcPr>
          <w:p>
            <w:pPr>
              <w:ind w:left="140"/>
              <w:spacing w:after="0"/>
              <w:rPr>
                <w:sz w:val="20"/>
                <w:szCs w:val="20"/>
                <w:color w:val="auto"/>
              </w:rPr>
            </w:pPr>
            <w:r>
              <w:rPr>
                <w:rFonts w:ascii="Arial" w:cs="Arial" w:eastAsia="Arial" w:hAnsi="Arial"/>
                <w:sz w:val="18"/>
                <w:szCs w:val="18"/>
                <w:b w:val="1"/>
                <w:bCs w:val="1"/>
                <w:color w:val="auto"/>
                <w:w w:val="99"/>
              </w:rPr>
              <w:t>SOLE DISPOSITIVE POWER</w:t>
            </w:r>
          </w:p>
        </w:tc>
      </w:tr>
      <w:tr>
        <w:trPr>
          <w:trHeight w:val="230"/>
        </w:trPr>
        <w:tc>
          <w:tcPr>
            <w:tcW w:w="300" w:type="dxa"/>
            <w:vAlign w:val="bottom"/>
          </w:tcPr>
          <w:p>
            <w:pPr>
              <w:spacing w:after="0"/>
              <w:rPr>
                <w:sz w:val="20"/>
                <w:szCs w:val="20"/>
                <w:color w:val="auto"/>
              </w:rPr>
            </w:pPr>
          </w:p>
        </w:tc>
        <w:tc>
          <w:tcPr>
            <w:tcW w:w="256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1960" w:space="316"/>
            <w:col w:w="8964"/>
          </w:cols>
          <w:pgMar w:left="320" w:top="405" w:right="339" w:bottom="0" w:gutter="0" w:footer="0" w:header="0"/>
          <w:type w:val="continuous"/>
        </w:sectPr>
      </w:pPr>
    </w:p>
    <w:bookmarkStart w:id="2" w:name="page3"/>
    <w:bookmarkEnd w:id="2"/>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890" cy="2777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2777490"/>
                    </a:xfrm>
                    <a:prstGeom prst="rect">
                      <a:avLst/>
                    </a:prstGeom>
                    <a:noFill/>
                  </pic:spPr>
                </pic:pic>
              </a:graphicData>
            </a:graphic>
          </wp:anchor>
        </w:drawing>
      </w:r>
    </w:p>
    <w:p>
      <w:pPr>
        <w:ind w:left="2280"/>
        <w:spacing w:after="0"/>
        <w:rPr>
          <w:sz w:val="20"/>
          <w:szCs w:val="20"/>
          <w:color w:val="auto"/>
        </w:rPr>
      </w:pPr>
      <w:r>
        <w:rPr>
          <w:rFonts w:ascii="Arial" w:cs="Arial" w:eastAsia="Arial" w:hAnsi="Arial"/>
          <w:sz w:val="28"/>
          <w:szCs w:val="28"/>
          <w:b w:val="1"/>
          <w:bCs w:val="1"/>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-299085</wp:posOffset>
            </wp:positionV>
            <wp:extent cx="5855335" cy="2777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55335" cy="2777490"/>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13,628,707 (See Item 4)</w:t>
      </w:r>
    </w:p>
    <w:p>
      <w:pPr>
        <w:spacing w:after="0" w:line="165" w:lineRule="exact"/>
        <w:rPr>
          <w:sz w:val="20"/>
          <w:szCs w:val="20"/>
          <w:color w:val="auto"/>
        </w:rPr>
      </w:pPr>
    </w:p>
    <w:p>
      <w:pPr>
        <w:sectPr>
          <w:pgSz w:w="11900" w:h="16838" w:orient="portrait"/>
          <w:cols w:equalWidth="0" w:num="2">
            <w:col w:w="2440" w:space="280"/>
            <w:col w:w="8520"/>
          </w:cols>
          <w:pgMar w:left="320" w:top="405" w:right="339" w:bottom="1440" w:gutter="0" w:footer="0" w:header="0"/>
        </w:sectPr>
      </w:pPr>
    </w:p>
    <w:tbl>
      <w:tblPr>
        <w:tblLayout w:type="fixed"/>
        <w:tblInd w:w="0" w:type="dxa"/>
        <w:tblCellMar>
          <w:top w:w="0" w:type="dxa"/>
          <w:left w:w="0" w:type="dxa"/>
          <w:bottom w:w="0" w:type="dxa"/>
          <w:right w:w="0" w:type="dxa"/>
        </w:tblCellMar>
      </w:tblPr>
      <w:tr>
        <w:trPr>
          <w:trHeight w:val="257"/>
        </w:trPr>
        <w:tc>
          <w:tcPr>
            <w:tcW w:w="14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840" w:type="dxa"/>
            <w:vAlign w:val="bottom"/>
          </w:tcPr>
          <w:p>
            <w:pPr>
              <w:ind w:left="40"/>
              <w:spacing w:after="0"/>
              <w:rPr>
                <w:sz w:val="20"/>
                <w:szCs w:val="20"/>
                <w:color w:val="auto"/>
              </w:rPr>
            </w:pPr>
            <w:r>
              <w:rPr>
                <w:rFonts w:ascii="Arial" w:cs="Arial" w:eastAsia="Arial" w:hAnsi="Arial"/>
                <w:sz w:val="18"/>
                <w:szCs w:val="18"/>
                <w:color w:val="auto"/>
              </w:rPr>
              <w:t>13,628,707 (See Item 4)</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9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840" w:type="dxa"/>
            <w:vAlign w:val="bottom"/>
          </w:tcPr>
          <w:p>
            <w:pPr>
              <w:ind w:left="2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9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840" w:type="dxa"/>
            <w:vAlign w:val="bottom"/>
          </w:tcPr>
          <w:p>
            <w:pPr>
              <w:ind w:lef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9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840" w:type="dxa"/>
            <w:vAlign w:val="bottom"/>
          </w:tcPr>
          <w:p>
            <w:pPr>
              <w:ind w:left="40"/>
              <w:spacing w:after="0"/>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9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9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5" w:right="339" w:bottom="1440" w:gutter="0" w:footer="0" w:header="0"/>
          <w:type w:val="continuous"/>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Plains GP Holdings, L.P.</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333 Clay Street, Suite 1600, Houston, TX 77002</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56"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This 13G is being jointly filed by Tortoise Capital Advisors, L.L.C., a Delaware limited liability company ("TCA"), and Tortoise MLP &amp; Pipeline Fund, a series of Managed Portfolio Series, a Delaware statutory trust ("TORIX").</w:t>
      </w:r>
    </w:p>
    <w:p>
      <w:pPr>
        <w:spacing w:after="0" w:line="190" w:lineRule="exact"/>
        <w:rPr>
          <w:sz w:val="20"/>
          <w:szCs w:val="20"/>
          <w:color w:val="auto"/>
        </w:rPr>
      </w:pPr>
    </w:p>
    <w:p>
      <w:pPr>
        <w:ind w:left="980" w:right="680"/>
        <w:spacing w:after="0" w:line="238" w:lineRule="auto"/>
        <w:rPr>
          <w:sz w:val="20"/>
          <w:szCs w:val="20"/>
          <w:color w:val="auto"/>
        </w:rPr>
      </w:pPr>
      <w:r>
        <w:rPr>
          <w:rFonts w:ascii="Arial" w:cs="Arial" w:eastAsia="Arial" w:hAnsi="Arial"/>
          <w:sz w:val="22"/>
          <w:szCs w:val="22"/>
          <w:color w:val="auto"/>
        </w:rPr>
        <w:t>TCA and TORIX have entered into an Agreement Regarding Joint Filing of 13G dated June 10, 2020 (the "Agreement") pursuant to which TCA and TORIX have agreed to file this 13G jointly in accordance with the provisions of Rule 13d-1(k)(1) of the Securities Exchange Act of 1934, as amended (the "Act"). A copy of the Agreement is attached hereto as Exhibit A.</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56" w:lineRule="exact"/>
        <w:rPr>
          <w:sz w:val="20"/>
          <w:szCs w:val="20"/>
          <w:color w:val="auto"/>
        </w:rPr>
      </w:pPr>
    </w:p>
    <w:p>
      <w:pPr>
        <w:ind w:left="980" w:right="540"/>
        <w:spacing w:after="0" w:line="308" w:lineRule="auto"/>
        <w:rPr>
          <w:sz w:val="20"/>
          <w:szCs w:val="20"/>
          <w:color w:val="auto"/>
        </w:rPr>
      </w:pPr>
      <w:r>
        <w:rPr>
          <w:rFonts w:ascii="Arial" w:cs="Arial" w:eastAsia="Arial" w:hAnsi="Arial"/>
          <w:sz w:val="17"/>
          <w:szCs w:val="17"/>
          <w:color w:val="auto"/>
        </w:rPr>
        <w:t>The principal business address of TCA is 5100 W. 115th Place Leawood, Kansas 66211 and the principal business address of Managed Portfolio Series, the trust of which TORIX is a series, is 615 East Michigan Street, Milwaukee, Wisconsin 53202.</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TCA is a Delaware limited liability company and TORIX is a series of Managed Portolio Series, a Delaware statutory trust.</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Class A Shares Representing Limited Partner Interests</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72651A207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Sections 240.13d-1(b) or</w:t>
      </w:r>
    </w:p>
    <w:p>
      <w:pPr>
        <w:spacing w:after="0" w:line="24"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240.13d-2(b) or (c), Check Whether the Person Filing Is a(n):</w:t>
      </w:r>
    </w:p>
    <w:p>
      <w:pPr>
        <w:spacing w:after="0" w:line="22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TCA is an investment adviser in accordance with Rule 13d-1(b)(1)(ii)(E) and TORIX is an investment company registered under Section 8 of the Investment Company Act of 1940 (15 U.S.C. 80a-8).</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TCA acts as an investment advisor to certain investment companies registered under the Investment Company Act of 1940, including TORIX. TCA, by virtue of investment advisory agreements with these investment companies, has all investment and voting power over securities owned of record by these investment companies. However, despite their delegation of investment and voting power to TCA, these investment companies may be deemed to be the beneficial owner under Rule 13d-3 of the Act, of the securities they own of record because they have the right to acquire investment and voting power through termination of their investment advisory agreement with TCA. Thus, TCA has reported that it shares voting power and dispositive power over the securities owned of record by these investment companies, and TORIX has reported that it shares voting power and dispositive power over the securities owned of record by it. TCA also acts as an investment advisor to certain managed accounts. Under contractual agreements with these managed account clients, TCA has investment and voting power. TCA has reported that it shares investment and voting power over the securities held by these client managed accounts despite a delegation of investment and voting power to TCA because the clients have the right to acquire investment and voting power through termination of their agreements with TCA. TCA may be deemed the beneficial owner of the securities covered by this statement under Rule 13d-3 of the Act.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 Tortoise Capital Advisors, L.L.C.</w:t>
      </w:r>
    </w:p>
    <w:p>
      <w:pPr>
        <w:spacing w:after="0" w:line="252" w:lineRule="exact"/>
        <w:rPr>
          <w:sz w:val="20"/>
          <w:szCs w:val="20"/>
          <w:color w:val="auto"/>
        </w:rPr>
      </w:pPr>
    </w:p>
    <w:p>
      <w:pPr>
        <w:ind w:left="1300" w:right="786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Amount beneficially owned: 18,670,078</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10.1%</w:t>
      </w:r>
    </w:p>
    <w:p>
      <w:pPr>
        <w:spacing w:after="0" w:line="237" w:lineRule="exact"/>
        <w:rPr>
          <w:rFonts w:ascii="Arial" w:cs="Arial" w:eastAsia="Arial" w:hAnsi="Arial"/>
          <w:sz w:val="18"/>
          <w:szCs w:val="18"/>
          <w:color w:val="auto"/>
        </w:rPr>
      </w:pPr>
    </w:p>
    <w:p>
      <w:pPr>
        <w:ind w:left="1340" w:hanging="360"/>
        <w:spacing w:after="0"/>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620" w:right="6740" w:hanging="316"/>
        <w:spacing w:after="0" w:line="277" w:lineRule="auto"/>
        <w:tabs>
          <w:tab w:leader="none" w:pos="16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97" w:lineRule="exact"/>
        <w:rPr>
          <w:rFonts w:ascii="Arial" w:cs="Arial" w:eastAsia="Arial" w:hAnsi="Arial"/>
          <w:sz w:val="18"/>
          <w:szCs w:val="18"/>
          <w:color w:val="auto"/>
        </w:rPr>
      </w:pPr>
    </w:p>
    <w:p>
      <w:pPr>
        <w:ind w:left="1620" w:right="6560" w:hanging="316"/>
        <w:spacing w:after="0" w:line="277" w:lineRule="auto"/>
        <w:tabs>
          <w:tab w:leader="none" w:pos="16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15,692,210</w:t>
      </w:r>
    </w:p>
    <w:p>
      <w:pPr>
        <w:spacing w:after="0" w:line="197" w:lineRule="exact"/>
        <w:rPr>
          <w:rFonts w:ascii="Arial" w:cs="Arial" w:eastAsia="Arial" w:hAnsi="Arial"/>
          <w:sz w:val="18"/>
          <w:szCs w:val="18"/>
          <w:color w:val="auto"/>
        </w:rPr>
      </w:pPr>
    </w:p>
    <w:p>
      <w:pPr>
        <w:ind w:left="1620" w:right="5820" w:hanging="316"/>
        <w:spacing w:after="0" w:line="277" w:lineRule="auto"/>
        <w:tabs>
          <w:tab w:leader="none" w:pos="16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97" w:lineRule="exact"/>
        <w:rPr>
          <w:rFonts w:ascii="Arial" w:cs="Arial" w:eastAsia="Arial" w:hAnsi="Arial"/>
          <w:sz w:val="18"/>
          <w:szCs w:val="18"/>
          <w:color w:val="auto"/>
        </w:rPr>
      </w:pPr>
    </w:p>
    <w:p>
      <w:pPr>
        <w:ind w:left="1620" w:right="5640" w:hanging="316"/>
        <w:spacing w:after="0" w:line="277" w:lineRule="auto"/>
        <w:tabs>
          <w:tab w:leader="none" w:pos="16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18,670,078</w:t>
      </w:r>
    </w:p>
    <w:p>
      <w:pPr>
        <w:spacing w:after="0" w:line="190"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Tortoise MLP &amp; Pipeline Fund</w:t>
      </w:r>
    </w:p>
    <w:p>
      <w:pPr>
        <w:spacing w:after="0" w:line="240" w:lineRule="exact"/>
        <w:rPr>
          <w:rFonts w:ascii="Arial" w:cs="Arial" w:eastAsia="Arial" w:hAnsi="Arial"/>
          <w:sz w:val="22"/>
          <w:szCs w:val="22"/>
          <w:color w:val="auto"/>
        </w:rPr>
      </w:pPr>
    </w:p>
    <w:p>
      <w:pPr>
        <w:ind w:left="1300" w:right="7860" w:hanging="320"/>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Amount beneficially owned: 13,628,707</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7.4%</w:t>
      </w:r>
    </w:p>
    <w:p>
      <w:pPr>
        <w:spacing w:after="0" w:line="237" w:lineRule="exact"/>
        <w:rPr>
          <w:rFonts w:ascii="Arial" w:cs="Arial" w:eastAsia="Arial" w:hAnsi="Arial"/>
          <w:sz w:val="18"/>
          <w:szCs w:val="18"/>
          <w:color w:val="auto"/>
        </w:rPr>
      </w:pPr>
    </w:p>
    <w:p>
      <w:pPr>
        <w:ind w:left="1340" w:hanging="360"/>
        <w:spacing w:after="0"/>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620" w:right="6740" w:hanging="316"/>
        <w:spacing w:after="0" w:line="277" w:lineRule="auto"/>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97" w:lineRule="exact"/>
        <w:rPr>
          <w:rFonts w:ascii="Arial" w:cs="Arial" w:eastAsia="Arial" w:hAnsi="Arial"/>
          <w:sz w:val="18"/>
          <w:szCs w:val="18"/>
          <w:color w:val="auto"/>
        </w:rPr>
      </w:pPr>
    </w:p>
    <w:p>
      <w:pPr>
        <w:ind w:left="1620" w:right="6560" w:hanging="316"/>
        <w:spacing w:after="0" w:line="277" w:lineRule="auto"/>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 13,628,707</w:t>
      </w:r>
    </w:p>
    <w:p>
      <w:pPr>
        <w:spacing w:after="0" w:line="197" w:lineRule="exact"/>
        <w:rPr>
          <w:rFonts w:ascii="Arial" w:cs="Arial" w:eastAsia="Arial" w:hAnsi="Arial"/>
          <w:sz w:val="18"/>
          <w:szCs w:val="18"/>
          <w:color w:val="auto"/>
        </w:rPr>
      </w:pPr>
    </w:p>
    <w:p>
      <w:pPr>
        <w:ind w:left="1620" w:right="5820" w:hanging="316"/>
        <w:spacing w:after="0" w:line="277" w:lineRule="auto"/>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97" w:lineRule="exact"/>
        <w:rPr>
          <w:rFonts w:ascii="Arial" w:cs="Arial" w:eastAsia="Arial" w:hAnsi="Arial"/>
          <w:sz w:val="18"/>
          <w:szCs w:val="18"/>
          <w:color w:val="auto"/>
        </w:rPr>
      </w:pPr>
    </w:p>
    <w:p>
      <w:pPr>
        <w:ind w:left="1620" w:right="5640" w:hanging="316"/>
        <w:spacing w:after="0" w:line="277" w:lineRule="auto"/>
        <w:tabs>
          <w:tab w:leader="none" w:pos="1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13,628,707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56" w:lineRule="exact"/>
        <w:rPr>
          <w:sz w:val="20"/>
          <w:szCs w:val="20"/>
          <w:color w:val="auto"/>
        </w:rPr>
      </w:pPr>
    </w:p>
    <w:p>
      <w:pPr>
        <w:ind w:left="980"/>
        <w:spacing w:after="0" w:line="263" w:lineRule="auto"/>
        <w:rPr>
          <w:sz w:val="20"/>
          <w:szCs w:val="20"/>
          <w:color w:val="auto"/>
        </w:rPr>
      </w:pPr>
      <w:r>
        <w:rPr>
          <w:rFonts w:ascii="Arial" w:cs="Arial" w:eastAsia="Arial" w:hAnsi="Arial"/>
          <w:sz w:val="18"/>
          <w:szCs w:val="18"/>
          <w:color w:val="auto"/>
        </w:rPr>
        <w:t>The investment companies and the managed accounts discussed in Item 4 above have the right to receive all dividends from, and the proceeds from the sale of, the securities held in their respective accounts. Except for TORIX, the interest of any one such person does not exceed 5% of the class of securities.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jc w:val="center"/>
        <w:ind w:right="792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ind w:right="60" w:firstLine="972"/>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right="440" w:firstLine="972"/>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June 10, 2020</w:t>
      </w:r>
    </w:p>
    <w:p>
      <w:pPr>
        <w:spacing w:after="0" w:line="2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TORTOISE CAPITAL ADVISORS, L.L.C.</w:t>
      </w: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Diane Bono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Compliance Officer and Managing Director</w:t>
      </w:r>
    </w:p>
    <w:p>
      <w:pPr>
        <w:spacing w:after="0" w:line="200" w:lineRule="exact"/>
        <w:rPr>
          <w:sz w:val="20"/>
          <w:szCs w:val="20"/>
          <w:color w:val="auto"/>
        </w:rPr>
      </w:pPr>
    </w:p>
    <w:p>
      <w:pPr>
        <w:spacing w:after="0" w:line="28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TORTOISE MLP &amp; PIPELINE FUND, A SERIES OF MANAGED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PORTFOLIO SERIES</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TORTOISE CAPITAL ADVISORS, L.L.C. AS ADVISOR TO THE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FUND</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Diane Bono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Compliance Officer and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672465</wp:posOffset>
            </wp:positionV>
            <wp:extent cx="71361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Exhibit A</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AGREEMENT REGARDING THE JOINT FILING OF SCHEDULE 13G</w:t>
      </w:r>
    </w:p>
    <w:p>
      <w:pPr>
        <w:spacing w:after="0" w:line="252" w:lineRule="exact"/>
        <w:rPr>
          <w:sz w:val="20"/>
          <w:szCs w:val="20"/>
          <w:color w:val="auto"/>
        </w:rPr>
      </w:pPr>
    </w:p>
    <w:p>
      <w:pPr>
        <w:jc w:val="both"/>
        <w:ind w:firstLine="199"/>
        <w:spacing w:after="0" w:line="263" w:lineRule="auto"/>
        <w:rPr>
          <w:sz w:val="20"/>
          <w:szCs w:val="20"/>
          <w:color w:val="auto"/>
        </w:rPr>
      </w:pPr>
      <w:r>
        <w:rPr>
          <w:rFonts w:ascii="Arial" w:cs="Arial" w:eastAsia="Arial" w:hAnsi="Arial"/>
          <w:sz w:val="18"/>
          <w:szCs w:val="18"/>
          <w:color w:val="auto"/>
        </w:rPr>
        <w:t>In accordance with Rule 13d-1(k) under the Securities Exchange Act of 1934, as amended, the undersigned agree to the joint filing on behalf of each of them of a statement on Schedule 13G (including amendments thereto) with respect to the Common Units Representing Limited Partner Interests of Plains GP Holdings, L.P., and further agree that this agreement be included as an exhibit to such filings.</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 evidence whereof, the undersigned have caused this Agreement to be executed on their behalf this 10th day of June, 2020.</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TORTOISE CAPITAL ADVISORS, L.L.C.</w:t>
      </w: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Diane Bono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Compliance Officer and Managing Director</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TORTOISE MLP &amp; PIPELINE FUND, A SERIES OF MANAGED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PORTFOLIO SERIES</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TORTOISE CAPITAL ADVISORS, L.L.C. AS ADVISOR TO THE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FUND</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Diane Bono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23495</wp:posOffset>
            </wp:positionV>
            <wp:extent cx="33686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Diane Bono</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Chief Compliance Officer and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4"/>
    </w:lvl>
  </w:abstractNum>
  <w:abstractNum w:abstractNumId="1">
    <w:nsid w:val="2EB141F2"/>
    <w:multiLevelType w:val="hybridMultilevel"/>
    <w:lvl w:ilvl="0">
      <w:lvlJc w:val="left"/>
      <w:lvlText w:val="[%1]"/>
      <w:numFmt w:val="lowerRoman"/>
      <w:start w:val="10"/>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1"/>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4"/>
      <w:numFmt w:val="bullet"/>
      <w:start w:val="1"/>
    </w:lvl>
  </w:abstractNum>
  <w:abstractNum w:abstractNumId="7">
    <w:nsid w:val="12200854"/>
    <w:multiLevelType w:val="hybridMultilevel"/>
    <w:lvl w:ilvl="0">
      <w:lvlJc w:val="left"/>
      <w:lvlText w:val="5"/>
      <w:numFmt w:val="bullet"/>
      <w:start w:val="1"/>
    </w:lvl>
  </w:abstractNum>
  <w:abstractNum w:abstractNumId="8">
    <w:nsid w:val="4DB127F8"/>
    <w:multiLevelType w:val="hybridMultilevel"/>
    <w:lvl w:ilvl="0">
      <w:lvlJc w:val="left"/>
      <w:lvlText w:val="6"/>
      <w:numFmt w:val="bullet"/>
      <w:start w:val="1"/>
    </w:lvl>
  </w:abstractNum>
  <w:abstractNum w:abstractNumId="9">
    <w:nsid w:val="216231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0">
    <w:nsid w:val="1F16E9E8"/>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2020-06-10T15:02:47Z</dcterms:created>
  <dcterms:modified xsi:type="dcterms:W3CDTF">2020-06-10T15:02:47Z</dcterms:modified>
</cp:coreProperties>
</file>