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720" w:right="640" w:hanging="388"/>
        <w:spacing w:after="0" w:line="256" w:lineRule="auto"/>
        <w:tabs>
          <w:tab w:leader="none" w:pos="62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1-36132</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30"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62" w:lineRule="exact"/>
        <w:rPr>
          <w:sz w:val="24"/>
          <w:szCs w:val="24"/>
          <w:color w:val="auto"/>
        </w:rPr>
      </w:pPr>
    </w:p>
    <w:p>
      <w:pPr>
        <w:ind w:left="3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Class A Shares,</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Representing Limited Partner Interests</w:t>
            </w:r>
          </w:p>
        </w:tc>
        <w:tc>
          <w:tcPr>
            <w:tcW w:w="5600" w:type="dxa"/>
            <w:vAlign w:val="bottom"/>
          </w:tcPr>
          <w:p>
            <w:pPr>
              <w:spacing w:after="0"/>
              <w:rPr>
                <w:sz w:val="20"/>
                <w:szCs w:val="20"/>
                <w:color w:val="auto"/>
              </w:rPr>
            </w:pPr>
          </w:p>
        </w:tc>
      </w:tr>
      <w:tr>
        <w:trPr>
          <w:trHeight w:val="365"/>
        </w:trPr>
        <w:tc>
          <w:tcPr>
            <w:tcW w:w="5820" w:type="dxa"/>
            <w:vAlign w:val="bottom"/>
            <w:gridSpan w:val="2"/>
          </w:tcPr>
          <w:p>
            <w:pPr>
              <w:ind w:left="30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134" w:lineRule="exact"/>
        <w:rPr>
          <w:sz w:val="24"/>
          <w:szCs w:val="24"/>
          <w:color w:val="auto"/>
        </w:rPr>
      </w:pPr>
    </w:p>
    <w:p>
      <w:pPr>
        <w:ind w:left="300" w:right="1680"/>
        <w:spacing w:after="0" w:line="47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180" w:firstLine="28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4" w:lineRule="exact"/>
        <w:rPr>
          <w:sz w:val="24"/>
          <w:szCs w:val="24"/>
          <w:color w:val="auto"/>
        </w:rPr>
      </w:pPr>
    </w:p>
    <w:p>
      <w:pPr>
        <w:ind w:right="40" w:firstLine="28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14" w:lineRule="exact"/>
        <w:rPr>
          <w:sz w:val="24"/>
          <w:szCs w:val="24"/>
          <w:color w:val="auto"/>
        </w:rPr>
      </w:pPr>
    </w:p>
    <w:p>
      <w:pPr>
        <w:jc w:val="both"/>
        <w:ind w:right="60" w:firstLine="28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14" w:lineRule="exact"/>
        <w:rPr>
          <w:sz w:val="24"/>
          <w:szCs w:val="24"/>
          <w:color w:val="auto"/>
        </w:rPr>
      </w:pPr>
    </w:p>
    <w:p>
      <w:pPr>
        <w:ind w:right="120" w:firstLine="28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693" w:gutter="0" w:footer="0" w:header="0"/>
        </w:sectPr>
      </w:pPr>
    </w:p>
    <w:p>
      <w:pPr>
        <w:spacing w:after="0" w:line="56"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693"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4"/>
          <w:szCs w:val="24"/>
          <w:color w:val="auto"/>
        </w:rPr>
      </w:pPr>
    </w:p>
    <w:p>
      <w:pPr>
        <w:sectPr>
          <w:pgSz w:w="11900" w:h="16838" w:orient="portrait"/>
          <w:cols w:equalWidth="0" w:num="2">
            <w:col w:w="6800" w:space="720"/>
            <w:col w:w="3900"/>
          </w:cols>
          <w:pgMar w:left="240" w:top="233" w:right="239" w:bottom="693"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58" w:lineRule="exact"/>
        <w:rPr>
          <w:sz w:val="24"/>
          <w:szCs w:val="24"/>
          <w:color w:val="auto"/>
        </w:rPr>
      </w:pPr>
    </w:p>
    <w:p>
      <w:pPr>
        <w:ind w:right="80" w:firstLine="324"/>
        <w:spacing w:after="0" w:line="312" w:lineRule="auto"/>
        <w:rPr>
          <w:sz w:val="20"/>
          <w:szCs w:val="20"/>
          <w:color w:val="auto"/>
        </w:rPr>
      </w:pPr>
      <w:r>
        <w:rPr>
          <w:rFonts w:ascii="Arial" w:cs="Arial" w:eastAsia="Arial" w:hAnsi="Arial"/>
          <w:sz w:val="16"/>
          <w:szCs w:val="16"/>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$5.8 billion on June 30, 2015, based on a closing price of $25.84 per Class A share as reported on the New York Stock Exchange on such date.</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12, 2016, there were 244,203,443 Class A shares outstanding.</w:t>
      </w:r>
    </w:p>
    <w:p>
      <w:pPr>
        <w:spacing w:after="0" w:line="15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693"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10-K—2015 ANNUAL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820" w:type="dxa"/>
            <w:vAlign w:val="bottom"/>
            <w:gridSpan w:val="12"/>
            <w:vMerge w:val="restart"/>
          </w:tcPr>
          <w:p>
            <w:pPr>
              <w:jc w:val="center"/>
              <w:ind w:right="42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4820" w:type="dxa"/>
            <w:vAlign w:val="bottom"/>
            <w:gridSpan w:val="12"/>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4520" w:type="dxa"/>
            <w:vAlign w:val="bottom"/>
            <w:gridSpan w:val="15"/>
          </w:tcPr>
          <w:p>
            <w:pPr>
              <w:ind w:left="280"/>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580" w:type="dxa"/>
            <w:vAlign w:val="bottom"/>
            <w:tcBorders>
              <w:top w:val="single" w:sz="8" w:color="0000EE"/>
            </w:tcBorders>
            <w:gridSpan w:val="2"/>
          </w:tcPr>
          <w:p>
            <w:pPr>
              <w:spacing w:after="0"/>
              <w:rPr>
                <w:sz w:val="18"/>
                <w:szCs w:val="18"/>
                <w:color w:val="auto"/>
              </w:rPr>
            </w:pPr>
          </w:p>
        </w:tc>
        <w:tc>
          <w:tcPr>
            <w:tcW w:w="4240" w:type="dxa"/>
            <w:vAlign w:val="bottom"/>
            <w:gridSpan w:val="10"/>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3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320" w:type="dxa"/>
            <w:vAlign w:val="bottom"/>
            <w:gridSpan w:val="2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1B.</w:t>
              </w:r>
            </w:hyperlink>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06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140" w:type="dxa"/>
            <w:vAlign w:val="bottom"/>
            <w:tcBorders>
              <w:top w:val="single" w:sz="8" w:color="0000EE"/>
            </w:tcBorders>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700" w:type="dxa"/>
            <w:vAlign w:val="bottom"/>
            <w:tcBorders>
              <w:top w:val="single" w:sz="8" w:color="0000EE"/>
            </w:tcBorders>
            <w:gridSpan w:val="5"/>
          </w:tcPr>
          <w:p>
            <w:pPr>
              <w:spacing w:after="0"/>
              <w:rPr>
                <w:sz w:val="17"/>
                <w:szCs w:val="17"/>
                <w:color w:val="auto"/>
              </w:rPr>
            </w:pPr>
          </w:p>
        </w:tc>
        <w:tc>
          <w:tcPr>
            <w:tcW w:w="7020" w:type="dxa"/>
            <w:vAlign w:val="bottom"/>
            <w:gridSpan w:val="1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4200" w:type="dxa"/>
            <w:vAlign w:val="bottom"/>
            <w:gridSpan w:val="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5.</w:t>
              </w:r>
            </w:hyperlink>
          </w:p>
        </w:tc>
        <w:tc>
          <w:tcPr>
            <w:tcW w:w="8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73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Market for Registrant’s Shares, Related Shareholder Matters and Issuer Purchases of Equity Securities</w:t>
              </w:r>
            </w:hyperlink>
          </w:p>
        </w:tc>
        <w:tc>
          <w:tcPr>
            <w:tcW w:w="168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6.</w:t>
              </w:r>
            </w:hyperlink>
          </w:p>
        </w:tc>
        <w:tc>
          <w:tcPr>
            <w:tcW w:w="8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Selected Financial Data</w:t>
              </w:r>
            </w:hyperlink>
          </w:p>
        </w:tc>
        <w:tc>
          <w:tcPr>
            <w:tcW w:w="7340" w:type="dxa"/>
            <w:vAlign w:val="bottom"/>
            <w:gridSpan w:val="2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7.</w:t>
              </w:r>
            </w:hyperlink>
          </w:p>
        </w:tc>
        <w:tc>
          <w:tcPr>
            <w:tcW w:w="7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906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7A.</w:t>
              </w:r>
            </w:hyperlink>
          </w:p>
        </w:tc>
        <w:tc>
          <w:tcPr>
            <w:tcW w:w="280" w:type="dxa"/>
            <w:vAlign w:val="bottom"/>
          </w:tcPr>
          <w:p>
            <w:pPr>
              <w:spacing w:after="0"/>
              <w:rPr>
                <w:sz w:val="17"/>
                <w:szCs w:val="17"/>
                <w:color w:val="auto"/>
              </w:rPr>
            </w:pPr>
          </w:p>
        </w:tc>
        <w:tc>
          <w:tcPr>
            <w:tcW w:w="906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Item 8.</w:t>
              </w:r>
            </w:hyperlink>
          </w:p>
        </w:tc>
        <w:tc>
          <w:tcPr>
            <w:tcW w:w="800" w:type="dxa"/>
            <w:vAlign w:val="bottom"/>
            <w:tcBorders>
              <w:top w:val="single" w:sz="8" w:color="0000EE"/>
            </w:tcBorders>
            <w:gridSpan w:val="4"/>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4"/>
          </w:tcPr>
          <w:p>
            <w:pPr>
              <w:spacing w:after="0"/>
              <w:rPr>
                <w:sz w:val="17"/>
                <w:szCs w:val="17"/>
                <w:color w:val="auto"/>
              </w:rPr>
            </w:pPr>
          </w:p>
        </w:tc>
        <w:tc>
          <w:tcPr>
            <w:tcW w:w="4700" w:type="dxa"/>
            <w:vAlign w:val="bottom"/>
            <w:gridSpan w:val="1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Item 9.</w:t>
              </w:r>
            </w:hyperlink>
          </w:p>
        </w:tc>
        <w:tc>
          <w:tcPr>
            <w:tcW w:w="8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65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9A.</w:t>
              </w:r>
            </w:hyperlink>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Controls and Procedures</w:t>
              </w:r>
            </w:hyperlink>
          </w:p>
        </w:tc>
        <w:tc>
          <w:tcPr>
            <w:tcW w:w="7280" w:type="dxa"/>
            <w:vAlign w:val="bottom"/>
            <w:gridSpan w:val="20"/>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9B.</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4160" w:type="dxa"/>
            <w:vAlign w:val="bottom"/>
            <w:gridSpan w:val="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10.</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Directors and Executive Officers of Our General Partner and Corporate Governance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11.</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12.</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Shareholder Matters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13.</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14.</w:t>
              </w:r>
            </w:hyperlink>
          </w:p>
        </w:tc>
        <w:tc>
          <w:tcPr>
            <w:tcW w:w="9340" w:type="dxa"/>
            <w:vAlign w:val="bottom"/>
            <w:gridSpan w:val="27"/>
          </w:tcPr>
          <w:p>
            <w:pPr>
              <w:ind w:left="28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Accountant Fees and Services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80" w:type="dxa"/>
            <w:vAlign w:val="bottom"/>
            <w:gridSpan w:val="14"/>
          </w:tcPr>
          <w:p>
            <w:pPr>
              <w:jc w:val="center"/>
              <w:ind w:right="4180"/>
              <w:spacing w:after="0" w:line="196" w:lineRule="exact"/>
              <w:rPr>
                <w:rFonts w:ascii="Arial" w:cs="Arial" w:eastAsia="Arial" w:hAnsi="Arial"/>
                <w:sz w:val="18"/>
                <w:szCs w:val="18"/>
                <w:b w:val="1"/>
                <w:bCs w:val="1"/>
                <w:color w:val="0000EE"/>
                <w:w w:val="98"/>
              </w:rPr>
            </w:pPr>
            <w:hyperlink w:anchor="page110">
              <w:r>
                <w:rPr>
                  <w:rFonts w:ascii="Arial" w:cs="Arial" w:eastAsia="Arial" w:hAnsi="Arial"/>
                  <w:sz w:val="18"/>
                  <w:szCs w:val="18"/>
                  <w:b w:val="1"/>
                  <w:bCs w:val="1"/>
                  <w:color w:val="0000EE"/>
                  <w:w w:val="98"/>
                </w:rPr>
                <w:t>PART IV</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1320" w:type="dxa"/>
            <w:vAlign w:val="bottom"/>
            <w:gridSpan w:val="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15.</w:t>
              </w:r>
            </w:hyperlink>
          </w:p>
        </w:tc>
        <w:tc>
          <w:tcPr>
            <w:tcW w:w="4480" w:type="dxa"/>
            <w:vAlign w:val="bottom"/>
            <w:gridSpan w:val="14"/>
          </w:tcPr>
          <w:p>
            <w:pPr>
              <w:ind w:left="28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5"/>
          </w:tcPr>
          <w:p>
            <w:pPr>
              <w:spacing w:after="0"/>
              <w:rPr>
                <w:sz w:val="17"/>
                <w:szCs w:val="17"/>
                <w:color w:val="auto"/>
              </w:rPr>
            </w:pPr>
          </w:p>
        </w:tc>
        <w:tc>
          <w:tcPr>
            <w:tcW w:w="4180" w:type="dxa"/>
            <w:vAlign w:val="bottom"/>
            <w:gridSpan w:val="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260" w:hanging="324"/>
        <w:spacing w:after="0" w:line="259"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right="360" w:hanging="324"/>
        <w:spacing w:after="0" w:line="34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ectPr>
          <w:pgSz w:w="11900" w:h="16838" w:orient="portrait"/>
          <w:cols w:equalWidth="0" w:num="1">
            <w:col w:w="11460"/>
          </w:cols>
          <w:pgMar w:left="240" w:top="125" w:right="199" w:bottom="0" w:gutter="0" w:footer="0" w:header="0"/>
        </w:sectPr>
      </w:pPr>
    </w:p>
    <w:bookmarkStart w:id="2" w:name="page3"/>
    <w:bookmarkEnd w:id="2"/>
    <w:p>
      <w:pPr>
        <w:spacing w:after="0" w:line="32"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to own an interest in the general partner and incentive distribution rights (“IDRs”) of Plains All American Pipeline, L.P (“PAA”), a publicly traded Delaware limited partnership. Although formed as a limited partnership, PAGP has elected to be taxed as a corporation for United States federal income tax purposes.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completed our initial public offering (“IPO”) in October 2013. Immediately prior to completion of our IPO, certain owners of Plains AAP, L.P. (“AAP”) transferred a portion of their interests in AAP to us, resulting in our ownership of a limited partnership interest in AAP. As of December 31, 2015, we owned an approximate 38% limited partner interest in AAP (an approximate 35% economic interest), and the remaining limited partner interests in AAP were held by the owners of AAP immediately prior to our IPO (the “Legacy Owners”). AAP is a Delaware limited partnership that directly owns all of PAA’s IDRs and indirectly owns the 2% general partner interest in PAA. AAP is the sole member of PAA GP LLC (“PAA GP”), a Delaware limited liability company that directly holds the 2% general partner interest in PAA. Plains All American GP LLC (“GP LLC”) is a Delaware limited liability company that holds the general partner interest in AAP. Also, through a series of transactions prior to our IPO with PAA GP Holdings LLC (our general partner) and the owners of GP LLC, GP LLC’s general partner interest in AAP became a non-economic interest and we became the owner of a 100% managing member interest in GP LLC.</w:t>
      </w:r>
    </w:p>
    <w:p>
      <w:pPr>
        <w:spacing w:after="0" w:line="19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ectPr>
          <w:pgSz w:w="11900" w:h="16870" w:orient="portrait"/>
          <w:cols w:equalWidth="0" w:num="1">
            <w:col w:w="11400"/>
          </w:cols>
          <w:pgMar w:left="240" w:top="341" w:right="259" w:bottom="0" w:gutter="0" w:footer="0" w:header="0"/>
        </w:sectPr>
      </w:pPr>
    </w:p>
    <w:bookmarkStart w:id="3" w:name="page4"/>
    <w:bookmarkEnd w:id="3"/>
    <w:p>
      <w:pPr>
        <w:ind w:right="40" w:firstLine="648"/>
        <w:spacing w:after="0" w:line="293" w:lineRule="auto"/>
        <w:rPr>
          <w:sz w:val="20"/>
          <w:szCs w:val="20"/>
          <w:color w:val="auto"/>
        </w:rPr>
      </w:pPr>
      <w:r>
        <w:rPr>
          <w:rFonts w:ascii="Arial" w:cs="Arial" w:eastAsia="Arial" w:hAnsi="Arial"/>
          <w:sz w:val="16"/>
          <w:szCs w:val="16"/>
          <w:color w:val="auto"/>
        </w:rPr>
        <w:t>Our general partner manages our operations and activities and is responsible for exercising on our behalf any rights we have as the sole and managing member of GP LLC, including any rights to appoint members to the board of directors of GP LLC. See Item 10. “Directors and Executive Officers of our General Partner and Corporate Governance.” GP LLC has responsibility for managing the business and affairs of PAA and AAP; however, through our rights as the sole and managing member of GP LLC, we effectively control the business and affairs of AAP and PAA. GP LLC employs all domestic officers and personnel involved in the operation and management of PAA and AAP. PAA’s Canadian officers and personnel are employed by Plains Midstream Canada ULC (“PMC”). Our general partner does not receive a management fee or other compensation in connection with its management of our business.</w:t>
      </w:r>
    </w:p>
    <w:p>
      <w:pPr>
        <w:spacing w:after="0" w:line="16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two charts below show the structure and ownership of PAGP and certain subsidiaries as of December 31, 2015 in both a summarized and more detailed format. The first chart depicts PAGP’s legal structure in summary format, while the second chart depicts a more comprehensive view of PAGP’s legal structure, including ownership and economic interests and shares and units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(as of December 31, 2015)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715125" cy="4793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125" cy="479361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In January 2016, PAA completed the sale of approximately 61.0 million Series A Convertible Preferred Units representing limited partner interests in PAA. See Note 10 to our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appointment rights limited to non-management investors that own greater than 10% interest in AAP.</w:t>
      </w:r>
    </w:p>
    <w:p>
      <w:pPr>
        <w:spacing w:after="0" w:line="22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60"/>
          </w:cols>
          <w:pgMar w:left="240" w:top="341" w:right="259" w:bottom="144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(as of December 31, 2015) </w:t>
      </w:r>
      <w:r>
        <w:rPr>
          <w:rFonts w:ascii="Arial" w:cs="Arial" w:eastAsia="Arial" w:hAnsi="Arial"/>
          <w:sz w:val="22"/>
          <w:szCs w:val="22"/>
          <w:b w:val="1"/>
          <w:bCs w:val="1"/>
          <w:color w:val="auto"/>
          <w:vertAlign w:val="superscript"/>
        </w:rPr>
        <w:t>(1)</w:t>
      </w:r>
    </w:p>
    <w:p>
      <w:pPr>
        <w:sectPr>
          <w:pgSz w:w="11900" w:h="16838" w:orient="portrait"/>
          <w:cols w:equalWidth="0" w:num="1">
            <w:col w:w="11400"/>
          </w:cols>
          <w:pgMar w:left="240" w:top="341" w:right="25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7280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28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13"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40" w:right="239" w:bottom="13"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In January 2016, PAA completed the sale of approximately 61.0 million Series A Convertible Preferred Units representing limited partner interests in PAA. See Note 10 to our Consolidated Financial Statements for additional information.</w:t>
      </w:r>
    </w:p>
    <w:p>
      <w:pPr>
        <w:spacing w:after="0" w:line="170"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PMC.</w:t>
      </w:r>
    </w:p>
    <w:p>
      <w:pPr>
        <w:spacing w:after="0" w:line="170" w:lineRule="exact"/>
        <w:rPr>
          <w:sz w:val="20"/>
          <w:szCs w:val="20"/>
          <w:color w:val="auto"/>
        </w:rPr>
      </w:pPr>
    </w:p>
    <w:p>
      <w:pPr>
        <w:ind w:hanging="11"/>
        <w:spacing w:after="0" w:line="259" w:lineRule="auto"/>
        <w:rPr>
          <w:sz w:val="20"/>
          <w:szCs w:val="20"/>
          <w:color w:val="auto"/>
        </w:rPr>
      </w:pPr>
      <w:r>
        <w:rPr>
          <w:rFonts w:ascii="Arial" w:cs="Arial" w:eastAsia="Arial" w:hAnsi="Arial"/>
          <w:sz w:val="18"/>
          <w:szCs w:val="18"/>
          <w:color w:val="auto"/>
        </w:rPr>
        <w:t>PAA holds indirect equity interests in unconsolidated entities including BridgeTex Pipeline Company, LLC (“BridgeTex”), Butte Pipe Line Company (“Butte”), Caddo Pipeline LLC (“Caddo”), Diamond Pipeline LLC (“Diamond”), Eagle Ford Pipeline LLC (“Eagle Ford Pipeline”), Eagle Ford Terminals Corpus Christi LLC (“Eagle Ford Terminals”), Frontier Pipeline Company (“Frontier”), Saddlehorn Pipeline Company, LLC (“Saddlehorn”), Settoon Towing, LLC (“Settoon Towing”) and White Cliffs Pipeline LLC (“White Cliffs”).</w:t>
      </w:r>
    </w:p>
    <w:p>
      <w:pPr>
        <w:spacing w:after="0" w:line="187" w:lineRule="exact"/>
        <w:rPr>
          <w:sz w:val="20"/>
          <w:szCs w:val="20"/>
          <w:color w:val="auto"/>
        </w:rPr>
      </w:pPr>
    </w:p>
    <w:p>
      <w:pPr>
        <w:ind w:right="100" w:hanging="11"/>
        <w:spacing w:after="0" w:line="286" w:lineRule="auto"/>
        <w:rPr>
          <w:sz w:val="20"/>
          <w:szCs w:val="20"/>
          <w:color w:val="auto"/>
        </w:rPr>
      </w:pPr>
      <w:r>
        <w:rPr>
          <w:rFonts w:ascii="Arial" w:cs="Arial" w:eastAsia="Arial" w:hAnsi="Arial"/>
          <w:sz w:val="17"/>
          <w:szCs w:val="17"/>
          <w:color w:val="auto"/>
        </w:rPr>
        <w:t>Represents the number of Class A units of AAP (“AAP units”) for which the Class B units of AAP (referred to herein as the “AAP Management Units”) would be exchangeable, assuming a conversion rate of approximately 0.938 AAP units for each AAP Management Unit as of December 31, 2015. The AAP Management Units are entitled to certain proportionate distributions paid by AAP.</w:t>
      </w:r>
    </w:p>
    <w:p>
      <w:pPr>
        <w:sectPr>
          <w:pgSz w:w="11900" w:h="16838" w:orient="portrait"/>
          <w:cols w:equalWidth="0" w:num="2">
            <w:col w:w="140" w:space="520"/>
            <w:col w:w="10760"/>
          </w:cols>
          <w:pgMar w:left="240" w:top="1440" w:right="239" w:bottom="13" w:gutter="0" w:footer="0" w:header="0"/>
          <w:type w:val="continuous"/>
        </w:sectPr>
      </w:pPr>
    </w:p>
    <w:bookmarkStart w:id="5" w:name="page6"/>
    <w:bookmarkEnd w:id="5"/>
    <w:p>
      <w:pPr>
        <w:ind w:left="660" w:right="160" w:hanging="652"/>
        <w:spacing w:after="0" w:line="234"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As of December 31, 2015, we owned approximately 38% of the membership interests in our general partner, which percentage corresponds to our ownership percentage of AAP units (approximately 38%, representing an approximate 35% economic interest in AAP, including the dilutive effect of the AAP Management Units).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December 31, 2015, our only cash-generating assets consisted of 229,278,980 AAP units, which represent an approximate 38% limited partner interest in AAP (approximately 35% economic interest including the dilutive effect of the AAP Management Units). Unless we directly acquire and hold assets or businesses in the future, our cash flows will be generated solely from the cash distributions we receive from AAP. AAP does not own any common units in PAA and currently receives all of its cash flows from distributions on its direct ownership of PAA’s IDRs and its indirect ownership of PAA’s 2% general partner interest. AAP’s ownership of both of these interests entitles it to receive, without duplication:</w:t>
      </w:r>
    </w:p>
    <w:p>
      <w:pPr>
        <w:spacing w:after="0" w:line="173"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 of all cash distributed in a quarter until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 of all cash distributed in a quarter after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common unit of PAA for that quarter;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 of all cash distributed in a quarter after $0.3375 has been distributed in respect of each common unit of PAA for that quarter.</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in connection with past PAA acquisition activities, PAA’s January 2016 preferred unit offering, or any reductions that may be implemented with respect to future activities. The cash distributions AAP receives from PAA are tied to (i) PAA’s per unit distribution level, (ii) the number of PAA common units outstanding and (iii) the number of PAA preferred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future growth in distributions we receive from AAP will not result from an increase in the percentage participation rate associated with the IDRs.</w:t>
      </w:r>
    </w:p>
    <w:p>
      <w:pPr>
        <w:spacing w:after="0" w:line="17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Business Strategy</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We believe PAA’s successful execution of this strategy will enable it to generate sustainable earnings and cash flow. PAA intends to manage and grow its business by:</w:t>
      </w:r>
    </w:p>
    <w:p>
      <w:pPr>
        <w:spacing w:after="0" w:line="158"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commercially optimizing its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18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88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225" w:lineRule="exact"/>
        <w:rPr>
          <w:sz w:val="20"/>
          <w:szCs w:val="20"/>
          <w:color w:val="auto"/>
        </w:rPr>
      </w:pPr>
    </w:p>
    <w:p>
      <w:pPr>
        <w:ind w:left="980" w:right="240" w:hanging="324"/>
        <w:spacing w:after="0" w:line="293"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Many of PAA’s assets are strategically located and operationally flexible. </w:t>
      </w:r>
      <w:r>
        <w:rPr>
          <w:rFonts w:ascii="Arial" w:cs="Arial" w:eastAsia="Arial" w:hAnsi="Arial"/>
          <w:sz w:val="16"/>
          <w:szCs w:val="16"/>
          <w:color w:val="auto"/>
        </w:rPr>
        <w:t>The majority of PAA’s primary Transportation segment assets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service, are located in well-established crude oil producing regions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w:t>
      </w:r>
    </w:p>
    <w:p>
      <w:pPr>
        <w:spacing w:after="0" w:line="164" w:lineRule="exact"/>
        <w:rPr>
          <w:rFonts w:ascii="Arial" w:cs="Arial" w:eastAsia="Arial" w:hAnsi="Arial"/>
          <w:sz w:val="16"/>
          <w:szCs w:val="16"/>
          <w:color w:val="auto"/>
        </w:rPr>
      </w:pPr>
    </w:p>
    <w:p>
      <w:pPr>
        <w:ind w:left="980" w:right="40" w:hanging="324"/>
        <w:spacing w:after="0" w:line="259"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 participants in various phases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crude oil and NGL distribution chain, from producers to refiners, as well as PAA’s own industry expertise (including PAA’s knowledge of North American crude oil and NGL flows), provide PAA with an extensive understanding of the North American physical crude oil and NGL markets.</w:t>
      </w:r>
    </w:p>
    <w:p>
      <w:pPr>
        <w:spacing w:after="0" w:line="186" w:lineRule="exact"/>
        <w:rPr>
          <w:rFonts w:ascii="Arial" w:cs="Arial" w:eastAsia="Arial" w:hAnsi="Arial"/>
          <w:sz w:val="18"/>
          <w:szCs w:val="18"/>
          <w:color w:val="auto"/>
        </w:rPr>
      </w:pPr>
    </w:p>
    <w:p>
      <w:pPr>
        <w:jc w:val="both"/>
        <w:ind w:left="980" w:right="220" w:hanging="324"/>
        <w:spacing w:after="0" w:line="312"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PAA’s supply and logistics activities typically generate a base level of margin with the opportunity to realize incremental margins. </w:t>
      </w:r>
      <w:r>
        <w:rPr>
          <w:rFonts w:ascii="Arial" w:cs="Arial" w:eastAsia="Arial" w:hAnsi="Arial"/>
          <w:sz w:val="16"/>
          <w:szCs w:val="16"/>
          <w:color w:val="auto"/>
        </w:rPr>
        <w:t>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variety of activities executed within PAA’s Supply and Logistics segment in combination with PAA’s risk management strategies provides PAA with a balance that typically provides PAA with the opportunity to generate a base level of margin in a variety of market conditions</w:t>
      </w:r>
    </w:p>
    <w:p>
      <w:pPr>
        <w:sectPr>
          <w:pgSz w:w="11900" w:h="16838" w:orient="portrait"/>
          <w:cols w:equalWidth="0" w:num="1">
            <w:col w:w="11400"/>
          </w:cols>
          <w:pgMar w:left="240" w:top="125" w:right="259" w:bottom="0" w:gutter="0" w:footer="0" w:header="0"/>
        </w:sectPr>
      </w:pPr>
    </w:p>
    <w:bookmarkStart w:id="6" w:name="page7"/>
    <w:bookmarkEnd w:id="6"/>
    <w:p>
      <w:pPr>
        <w:ind w:left="980" w:right="740"/>
        <w:spacing w:after="0" w:line="277" w:lineRule="auto"/>
        <w:rPr>
          <w:sz w:val="20"/>
          <w:szCs w:val="20"/>
          <w:color w:val="auto"/>
        </w:rPr>
      </w:pPr>
      <w:r>
        <w:rPr>
          <w:rFonts w:ascii="Arial" w:cs="Arial" w:eastAsia="Arial" w:hAnsi="Arial"/>
          <w:sz w:val="18"/>
          <w:szCs w:val="18"/>
          <w:color w:val="auto"/>
        </w:rPr>
        <w:t>(subject to the effects of seasonality). In certain circumstances, PAA may be able to realize incremental margins during volatile market conditions.</w:t>
      </w:r>
    </w:p>
    <w:p>
      <w:pPr>
        <w:spacing w:after="0" w:line="170" w:lineRule="exact"/>
        <w:rPr>
          <w:sz w:val="20"/>
          <w:szCs w:val="20"/>
          <w:color w:val="auto"/>
        </w:rPr>
      </w:pPr>
    </w:p>
    <w:p>
      <w:pPr>
        <w:ind w:left="980" w:right="140" w:hanging="324"/>
        <w:spacing w:after="0" w:line="293"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PAA has the evaluation, integration and engineering skill sets and the financial flexibility to continue to pursue acquisition and expansion opportunities. </w:t>
      </w:r>
      <w:r>
        <w:rPr>
          <w:rFonts w:ascii="Arial" w:cs="Arial" w:eastAsia="Arial" w:hAnsi="Arial"/>
          <w:sz w:val="16"/>
          <w:szCs w:val="16"/>
          <w:color w:val="auto"/>
        </w:rPr>
        <w:t>Since 1998, PAA has completed and integrated over 85 acquisitions with an aggregate purchase price of approximately $11.7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PAA has also implemented expansion capital projects totaling approximately $10 billion. In addition, considering PAA’s investment grade credit rating, liquidity and capital structure, we believe PAA has the financial resources and strength necessary to finance future strategic expansion and acquisition opportunities. As of December 31, 2015, PAA had approximately $2.3 billion of liquidity available, including cash and cash equivalents and availability under its committed credit facilities, subject to continued covenant compliance.</w:t>
      </w:r>
    </w:p>
    <w:p>
      <w:pPr>
        <w:spacing w:after="0" w:line="164" w:lineRule="exact"/>
        <w:rPr>
          <w:rFonts w:ascii="Arial" w:cs="Arial" w:eastAsia="Arial" w:hAnsi="Arial"/>
          <w:sz w:val="16"/>
          <w:szCs w:val="16"/>
          <w:color w:val="auto"/>
        </w:rPr>
      </w:pPr>
    </w:p>
    <w:p>
      <w:pPr>
        <w:ind w:left="980" w:right="20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31 years industry experience, and an average of 18 years with PAA or its predecessors and affiliates. In addition, through their ownership of common units, indirect interests in PAA’s general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partner, grants of phantom units and AAP Management Units, PAA’s management team has a vested interest in PAA’s continued success.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financial strategy is designed to be complementary to PAA’s financial and business strategies. Because our only cash-generating assets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December 31, 2015, AAP had $559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our consolidated financial position, as such equity issuances are typically used to pay down existing debt or fund PAA’s growth through acquisitions or organic growth opportunities. We would expect to fund direct acquisitions made by us, if any, with a combination of debt and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equity-indexed compensation plan charges, certain gains and losses from derivative activities and other selected items that impact comparability);</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significantly above baseline levels.</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Typically, for PAA to maintain its targeted credit profile and achieve growth through acquisitions and expansion capital, PAA funds approximately 55% of the capital requirements associated with these activities with equity and cash flow in excess of distributions. During the latter part of 2015, energy industry conditions deteriorated and capital markets access for energy companies was disrupted, which has continued into 2016. To fund PAA’s ongoing capital program and maintain a solid capital structure and significant liquidity, in January 2016, PAA raised $1.6 billion of equity capital through the sale of approximately 61.0 million unregistered Series A Convertible Preferred Units. See Note 10 to our Consolidated Financial Statements for additional information. From time to time, PAA may be outside the parameters of its targeted credit profile as, in certain cases, capital expenditures and acquisitions may be financed initially using debt or there may be delays in realizing anticipated synergies from acquisitions or contributions from expansion capital projects to adjusted EBITDA. As a result of the challenging environment and the impact of the gap in the timing between PAA funding its capital program and the time the assets are placed in service and begin to generate cash flow, PAA expects its long-term debt-to-adjusted EBITDA to be above its target range for the near-term. PAA expects this leverage ratio will improve and return to targeted levels as the industry recovers and PAA realizes EBITDA growth from capital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PAA’s existing operations constitutes an integral component of its business strategy and growth objectives. Such assets and businesses include crude oil, refined products and NGL logistics assets, natural gas storage assets and other energy assets that have characteristics and provide opportunities similar to its existing business lines and enable PAA to leverage its assets, knowledge and skill sets.</w:t>
      </w:r>
    </w:p>
    <w:p>
      <w:pPr>
        <w:sectPr>
          <w:pgSz w:w="11900" w:h="16838" w:orient="portrait"/>
          <w:cols w:equalWidth="0" w:num="1">
            <w:col w:w="11420"/>
          </w:cols>
          <w:pgMar w:left="240" w:top="125"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Approximate</w:t>
            </w:r>
          </w:p>
        </w:tc>
        <w:tc>
          <w:tcPr>
            <w:tcW w:w="34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w w:val="81"/>
              </w:rPr>
              <w:t>(2)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17"/>
                <w:szCs w:val="17"/>
                <w:b w:val="1"/>
                <w:bCs w:val="1"/>
                <w:color w:val="auto"/>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2"/>
                <w:szCs w:val="12"/>
                <w:color w:val="auto"/>
              </w:rPr>
            </w:pPr>
          </w:p>
        </w:tc>
        <w:tc>
          <w:tcPr>
            <w:tcW w:w="422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Purchase Price</w:t>
            </w:r>
          </w:p>
        </w:tc>
        <w:tc>
          <w:tcPr>
            <w:tcW w:w="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50% Interest in BridgeTex Pipeline</w:t>
            </w:r>
          </w:p>
        </w:tc>
        <w:tc>
          <w:tcPr>
            <w:tcW w:w="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Nov-2014</w:t>
            </w:r>
          </w:p>
        </w:tc>
        <w:tc>
          <w:tcPr>
            <w:tcW w:w="28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BridgeTex owns a crude oil pipeline that extends from</w:t>
            </w: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1,088</w:t>
            </w:r>
          </w:p>
        </w:tc>
        <w:tc>
          <w:tcPr>
            <w:tcW w:w="280" w:type="dxa"/>
            <w:vAlign w:val="bottom"/>
            <w:tcBorders>
              <w:top w:val="single" w:sz="8" w:color="CCEEFF"/>
            </w:tcBorders>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 LLC (“BridgeTex”)</w:t>
            </w:r>
          </w:p>
        </w:tc>
        <w:tc>
          <w:tcPr>
            <w:tcW w:w="114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Colorado City, Texas to East Houston</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US Development Group Crude Oil Rail</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Dec-2012</w:t>
            </w:r>
          </w:p>
        </w:tc>
        <w:tc>
          <w:tcPr>
            <w:tcW w:w="450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6"/>
              </w:rPr>
              <w:t>Four operating crude oil rail terminals and one terminal</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620" w:type="dxa"/>
            <w:vAlign w:val="bottom"/>
            <w:gridSpan w:val="2"/>
          </w:tcPr>
          <w:p>
            <w:pPr>
              <w:jc w:val="right"/>
              <w:ind w:right="222"/>
              <w:spacing w:after="0" w:line="201"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Terminals</w:t>
            </w:r>
          </w:p>
        </w:tc>
        <w:tc>
          <w:tcPr>
            <w:tcW w:w="11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rPr>
              <w:t>under development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vMerge w:val="restart"/>
          </w:tcPr>
          <w:p>
            <w:pPr>
              <w:jc w:val="right"/>
              <w:ind w:right="82"/>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BP Canada Energy Company</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4"/>
              </w:rPr>
              <w:t>Apr-2012</w:t>
            </w:r>
          </w:p>
        </w:tc>
        <w:tc>
          <w:tcPr>
            <w:tcW w:w="450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7"/>
              </w:rPr>
              <w:t>NGL assets located in Canada and the upper-Midwest</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w w:val="94"/>
              </w:rPr>
              <w:t>220</w:t>
            </w:r>
            <w:r>
              <w:rPr>
                <w:rFonts w:ascii="Arial" w:cs="Arial" w:eastAsia="Arial" w:hAnsi="Arial"/>
                <w:sz w:val="23"/>
                <w:szCs w:val="23"/>
                <w:color w:val="auto"/>
                <w:w w:val="94"/>
                <w:vertAlign w:val="superscript"/>
              </w:rPr>
              <w:t>(5)</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Western Refining, Inc. Pipeline and Storage</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Dec-2011</w:t>
            </w:r>
          </w:p>
        </w:tc>
        <w:tc>
          <w:tcPr>
            <w:tcW w:w="450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9"/>
              </w:rPr>
              <w:t>Multi-product storage facility in Virginia and Crude oil</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rPr>
              <w:t>pipeline in southeastern New Mexico</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Velocity South Texas Gathering, LLC</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4"/>
              </w:rPr>
              <w:t>Nov-2011</w:t>
            </w:r>
          </w:p>
        </w:tc>
        <w:tc>
          <w:tcPr>
            <w:tcW w:w="450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6"/>
              </w:rPr>
              <w:t>Crude oil and condensate gathering and transportation</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620" w:type="dxa"/>
            <w:vAlign w:val="bottom"/>
            <w:gridSpan w:val="2"/>
          </w:tcPr>
          <w:p>
            <w:pPr>
              <w:jc w:val="right"/>
              <w:ind w:right="222"/>
              <w:spacing w:after="0" w:line="20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rPr>
              <w:t>assets in South Texas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vMerge w:val="restart"/>
          </w:tcPr>
          <w:p>
            <w:pPr>
              <w:jc w:val="right"/>
              <w:ind w:right="82"/>
              <w:spacing w:after="0" w:line="392" w:lineRule="exact"/>
              <w:rPr>
                <w:sz w:val="20"/>
                <w:szCs w:val="20"/>
                <w:color w:val="auto"/>
              </w:rPr>
            </w:pPr>
            <w:r>
              <w:rPr>
                <w:rFonts w:ascii="Arial" w:cs="Arial" w:eastAsia="Arial" w:hAnsi="Arial"/>
                <w:sz w:val="36"/>
                <w:szCs w:val="36"/>
                <w:color w:val="auto"/>
                <w:w w:val="84"/>
                <w:vertAlign w:val="subscript"/>
              </w:rPr>
              <w:t>765</w:t>
            </w:r>
            <w:r>
              <w:rPr>
                <w:rFonts w:ascii="Arial" w:cs="Arial" w:eastAsia="Arial" w:hAnsi="Arial"/>
                <w:sz w:val="12"/>
                <w:szCs w:val="12"/>
                <w:color w:val="auto"/>
                <w:w w:val="84"/>
              </w:rPr>
              <w:t>(6)</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line="162" w:lineRule="exact"/>
              <w:rPr>
                <w:sz w:val="20"/>
                <w:szCs w:val="20"/>
                <w:color w:val="auto"/>
              </w:rPr>
            </w:pPr>
            <w:r>
              <w:rPr>
                <w:rFonts w:ascii="Arial" w:cs="Arial" w:eastAsia="Arial" w:hAnsi="Arial"/>
                <w:sz w:val="18"/>
                <w:szCs w:val="18"/>
                <w:color w:val="auto"/>
              </w:rPr>
              <w:t>SG Resources Mississippi, LLC</w:t>
            </w:r>
          </w:p>
        </w:tc>
        <w:tc>
          <w:tcPr>
            <w:tcW w:w="1140" w:type="dxa"/>
            <w:vAlign w:val="bottom"/>
          </w:tcPr>
          <w:p>
            <w:pPr>
              <w:jc w:val="center"/>
              <w:spacing w:after="0" w:line="162" w:lineRule="exact"/>
              <w:rPr>
                <w:sz w:val="20"/>
                <w:szCs w:val="20"/>
                <w:color w:val="auto"/>
              </w:rPr>
            </w:pPr>
            <w:r>
              <w:rPr>
                <w:rFonts w:ascii="Arial" w:cs="Arial" w:eastAsia="Arial" w:hAnsi="Arial"/>
                <w:sz w:val="18"/>
                <w:szCs w:val="18"/>
                <w:color w:val="auto"/>
                <w:w w:val="90"/>
              </w:rPr>
              <w:t>Feb-2011</w:t>
            </w:r>
          </w:p>
        </w:tc>
        <w:tc>
          <w:tcPr>
            <w:tcW w:w="4500" w:type="dxa"/>
            <w:vAlign w:val="bottom"/>
            <w:gridSpan w:val="2"/>
          </w:tcPr>
          <w:p>
            <w:pPr>
              <w:ind w:left="280"/>
              <w:spacing w:after="0" w:line="162" w:lineRule="exact"/>
              <w:rPr>
                <w:sz w:val="20"/>
                <w:szCs w:val="20"/>
                <w:color w:val="auto"/>
              </w:rPr>
            </w:pPr>
            <w:r>
              <w:rPr>
                <w:rFonts w:ascii="Arial" w:cs="Arial" w:eastAsia="Arial" w:hAnsi="Arial"/>
                <w:sz w:val="18"/>
                <w:szCs w:val="18"/>
                <w:color w:val="auto"/>
                <w:w w:val="91"/>
              </w:rPr>
              <w:t>Southern Pines Energy Center natural gas storage facility</w:t>
            </w:r>
          </w:p>
        </w:tc>
        <w:tc>
          <w:tcPr>
            <w:tcW w:w="4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740" w:type="dxa"/>
            <w:vAlign w:val="bottom"/>
            <w:gridSpan w:val="2"/>
          </w:tcPr>
          <w:p>
            <w:pPr>
              <w:spacing w:after="0"/>
              <w:rPr>
                <w:sz w:val="20"/>
                <w:szCs w:val="20"/>
                <w:color w:val="auto"/>
              </w:rPr>
            </w:pPr>
            <w:r>
              <w:rPr>
                <w:rFonts w:ascii="Arial" w:cs="Arial" w:eastAsia="Arial" w:hAnsi="Arial"/>
                <w:sz w:val="18"/>
                <w:szCs w:val="18"/>
                <w:color w:val="auto"/>
              </w:rPr>
              <w:t>Nexen Holdings U.S.A. Inc. Gathering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Dec-2010</w:t>
            </w: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w w:val="92"/>
              </w:rPr>
              <w:t>Crude oil gathering business and transportation assets in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2"/>
                <w:szCs w:val="22"/>
                <w:color w:val="auto"/>
              </w:rPr>
            </w:pPr>
          </w:p>
        </w:tc>
        <w:tc>
          <w:tcPr>
            <w:tcW w:w="620" w:type="dxa"/>
            <w:vAlign w:val="bottom"/>
            <w:gridSpan w:val="2"/>
          </w:tcPr>
          <w:p>
            <w:pPr>
              <w:jc w:val="right"/>
              <w:ind w:right="82"/>
              <w:spacing w:after="0" w:line="256" w:lineRule="exact"/>
              <w:rPr>
                <w:sz w:val="20"/>
                <w:szCs w:val="20"/>
                <w:color w:val="auto"/>
              </w:rPr>
            </w:pPr>
            <w:r>
              <w:rPr>
                <w:rFonts w:ascii="Arial" w:cs="Arial" w:eastAsia="Arial" w:hAnsi="Arial"/>
                <w:sz w:val="18"/>
                <w:szCs w:val="18"/>
                <w:color w:val="auto"/>
                <w:w w:val="94"/>
              </w:rPr>
              <w:t>229</w:t>
            </w:r>
            <w:r>
              <w:rPr>
                <w:rFonts w:ascii="Arial" w:cs="Arial" w:eastAsia="Arial" w:hAnsi="Arial"/>
                <w:sz w:val="23"/>
                <w:szCs w:val="23"/>
                <w:color w:val="auto"/>
                <w:w w:val="94"/>
                <w:vertAlign w:val="superscript"/>
              </w:rPr>
              <w:t>(7)</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and Transportation Assets</w:t>
            </w:r>
          </w:p>
        </w:tc>
        <w:tc>
          <w:tcPr>
            <w:tcW w:w="11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Arial" w:cs="Arial" w:eastAsia="Arial" w:hAnsi="Arial"/>
                <w:sz w:val="18"/>
                <w:szCs w:val="18"/>
                <w:color w:val="auto"/>
              </w:rPr>
              <w:t>North Dakota and Montana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54" w:lineRule="auto"/>
        <w:tabs>
          <w:tab w:leader="none" w:pos="64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PAA’s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PAA issued approximately 14.7 million of its common units with a value of approximately $760 million.</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248"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Approximate purchase price of $1.075 billion, net of working capital acquired. PAA accounts for its 50% interest in BridgeTex under the equity method of accounting.</w:t>
      </w:r>
    </w:p>
    <w:p>
      <w:pPr>
        <w:spacing w:after="0" w:line="170"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both transactions with Western.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200"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Consistent with its business strategy, PAA is continuously engaged in the evaluation of potential acquisitions, joint ventures and capital projects. As a part of these efforts, PAA often engages in discussions with potential sellers or other parties regarding the possible purchase of or investment in assets and operations that are strategic and complementary to PAA’s existing operations. In addition, in the past PAA has evaluated and pursued, and intends in the future to evaluate and pursue, the acquisition of or investment in other energy-related assets that have characteristics and provide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These acquisition and investment efforts often involve assets which, if acquired or constructed, could have a material effect on PAA’s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From time to time, PAA may also sell assets that it regards as non-core or that it believes might be a better fit with the business and/or assets of a third-party buyer.</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divestiture or investment efforts will be successful. Although PAA expects the acquisitions and investments it makes to be accretive in the long term, PAA can provide no assurance that its expectations will ultimately be realized. See Item 1A. “Risk Factors—Risks Related to PAA’s Business—If PAA does not make acquisitions or if it makes acquisitions that fail to perform as anticipated, its future growth may be limited” and “—Acquisitions involve risks that may adversely affect PAA’s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PAA’s extensive asset base and its relationships with customers provide it with opportunities for organic growth through the construction of</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additional assets that are complementary to, and expand or extend, its existing asset base. PAA believes that the diversity and balance of its expansion capital</w:t>
      </w:r>
    </w:p>
    <w:p>
      <w:pPr>
        <w:sectPr>
          <w:pgSz w:w="11900" w:h="16838" w:orient="portrait"/>
          <w:cols w:equalWidth="0" w:num="1">
            <w:col w:w="11420"/>
          </w:cols>
          <w:pgMar w:left="240" w:top="125" w:right="239" w:bottom="0" w:gutter="0" w:footer="0" w:header="0"/>
          <w:type w:val="continuous"/>
        </w:sectPr>
      </w:pPr>
    </w:p>
    <w:bookmarkStart w:id="8" w:name="page9"/>
    <w:bookmarkEnd w:id="8"/>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project portfolio (i.e., relatively large number of projects that are small to medium sized and spread across multiple geographic regions) reduces its overall exposure to cost overruns, timing delays and other adverse market developments with respect to a particular project or region. PAA’s 2016 expansion capital plan is representative of the diversity and balance of its overall project portfolio. The following expansion capital projects are included in PAA’s 2016 capital plan as of February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2016 Plan</w:t>
            </w:r>
          </w:p>
        </w:tc>
        <w:tc>
          <w:tcPr>
            <w:tcW w:w="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Basin/Region</w:t>
            </w:r>
          </w:p>
        </w:tc>
        <w:tc>
          <w:tcPr>
            <w:tcW w:w="300" w:type="dxa"/>
            <w:vAlign w:val="bottom"/>
          </w:tcPr>
          <w:p>
            <w:pPr>
              <w:spacing w:after="0"/>
              <w:rPr>
                <w:sz w:val="12"/>
                <w:szCs w:val="12"/>
                <w:color w:val="auto"/>
              </w:rPr>
            </w:pPr>
          </w:p>
        </w:tc>
        <w:tc>
          <w:tcPr>
            <w:tcW w:w="18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Project</w:t>
            </w:r>
          </w:p>
        </w:tc>
        <w:tc>
          <w:tcPr>
            <w:tcW w:w="300" w:type="dxa"/>
            <w:vAlign w:val="bottom"/>
          </w:tcPr>
          <w:p>
            <w:pPr>
              <w:spacing w:after="0"/>
              <w:rPr>
                <w:sz w:val="12"/>
                <w:szCs w:val="12"/>
                <w:color w:val="auto"/>
              </w:rPr>
            </w:pPr>
          </w:p>
        </w:tc>
        <w:tc>
          <w:tcPr>
            <w:tcW w:w="14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42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In-Service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3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 Basin Area</w:t>
            </w: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2"/>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Multiple projects to increase and expand PAA’s</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Pipeline Projects</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pipeline infrastructure in the Delaware Basin</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Installation of two separate valves and pump stations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to add 80,000 Bbls/d of additional capacity (increases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pipeline capacity to 330,000 Bbls/d)</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rPr>
              <w:t>Eagle Ford</w:t>
            </w:r>
          </w:p>
        </w:tc>
        <w:tc>
          <w:tcPr>
            <w:tcW w:w="30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Eagle Ford JV Project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44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50% interest in new, 1.2 million barrel terminal in</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Corpus Christi, TX capable of loading ocean going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vessels at a rate of 20,000 barrels per hour</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Central / Mid-</w:t>
            </w:r>
          </w:p>
        </w:tc>
        <w:tc>
          <w:tcPr>
            <w:tcW w:w="212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Diamond Pipeline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260</w:t>
            </w:r>
          </w:p>
        </w:tc>
        <w:tc>
          <w:tcPr>
            <w:tcW w:w="44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50% interest in 440 miles of new crude oil pipeline;</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Continent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200,000 Bbls/d capacity from Cushing, OK to Valero’s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refinery in Memphis, TN</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Red River Pipeline</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Approximately 400 miles of new crude oil pipeline;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(Cushing to Longview)</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150,000 Bbls/d capacity from Cushing, OK to</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Longview, TX</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Cushing Terminal</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Expansions</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 of 1.6 million barrels of storage capacity</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Caddo Pipeline</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interest in 80 miles of new 12-inch crude oil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 80,000 Bbls/d capacity between Longview,</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TX and Shreveport, LA</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rPr>
              <w:t>Rocky Mountain</w:t>
            </w:r>
          </w:p>
        </w:tc>
        <w:tc>
          <w:tcPr>
            <w:tcW w:w="30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Saddlehorn Pipeline</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40% of Saddlehorn’s 190,000 Bbls/d of capacity in the</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600 miles of new 20-inch crude oil undivided joint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interest pipeline from the DJ Basin to Cushing, OK</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jc w:val="right"/>
              <w:ind w:right="3774"/>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2016 Plan</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Basin/Region</w:t>
            </w:r>
          </w:p>
        </w:tc>
        <w:tc>
          <w:tcPr>
            <w:tcW w:w="300" w:type="dxa"/>
            <w:vAlign w:val="bottom"/>
          </w:tcPr>
          <w:p>
            <w:pPr>
              <w:spacing w:after="0"/>
              <w:rPr>
                <w:sz w:val="12"/>
                <w:szCs w:val="12"/>
                <w:color w:val="auto"/>
              </w:rPr>
            </w:pPr>
          </w:p>
        </w:tc>
        <w:tc>
          <w:tcPr>
            <w:tcW w:w="18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Project</w:t>
            </w:r>
          </w:p>
        </w:tc>
        <w:tc>
          <w:tcPr>
            <w:tcW w:w="300" w:type="dxa"/>
            <w:vAlign w:val="bottom"/>
          </w:tcPr>
          <w:p>
            <w:pPr>
              <w:spacing w:after="0"/>
              <w:rPr>
                <w:sz w:val="12"/>
                <w:szCs w:val="12"/>
                <w:color w:val="auto"/>
              </w:rPr>
            </w:pPr>
          </w:p>
        </w:tc>
        <w:tc>
          <w:tcPr>
            <w:tcW w:w="14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42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In-Service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Gulf Coast</w:t>
            </w:r>
          </w:p>
        </w:tc>
        <w:tc>
          <w:tcPr>
            <w:tcW w:w="3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 James Terminal</w:t>
            </w: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Addition of 1.5 million barrels of storage capacity with</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Expansions</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connectivity to the rail and dock facilities</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rPr>
              <w:t>Canada</w:t>
            </w:r>
          </w:p>
        </w:tc>
        <w:tc>
          <w:tcPr>
            <w:tcW w:w="212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Fort Saskatchewan</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190</w:t>
            </w:r>
          </w:p>
        </w:tc>
        <w:tc>
          <w:tcPr>
            <w:tcW w:w="44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Multi-phase project, Phase I of which includes</w:t>
            </w: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Various,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Facility Projects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w w:val="98"/>
              </w:rPr>
              <w:t>(i) development of two new high rate delivery caverns,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throughout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(ii) conversion of service of two existing caverns,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and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(iii) the addition of 2.4 million barrels of brine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capacity and (iv) development of a truck loading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facility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Phase II includes (i) expanding inlet fractionation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capacity by 20,000 Bbls/d, (ii) development of two</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new ethane caverns and a utility cavern, (iii) the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addition of 2.7 million barrels of brine capacity and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(iv) development of a propane rail loading facility</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Projects</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-2745740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-2745740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5000" w:hanging="954"/>
        <w:spacing w:after="0"/>
        <w:tabs>
          <w:tab w:leader="none" w:pos="5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1,500</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660" w:right="60" w:hanging="652"/>
        <w:spacing w:after="0" w:line="234"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-718820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-701675</wp:posOffset>
            </wp:positionV>
            <wp:extent cx="857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7.6 million barrels per day while global liquids consumption increased 8.1 million barrels per day. However, in 2014, global production growth outpaced global consumption growth by 1.1 million barrels per day, with non-OPEC accounting for 104% of the production growth. In 2015, the markets remained oversupplied due to the continuation of the 2014 imbalance. Supply growth in 2015 outpaced demand growth by another 1.0 million barrels per day, resulting in an imbalance of 1.9 million barrels per day. The table below depicts historical OPEC and Non-OPEC liquids production and global liquids consumption and is derived from the EIA Short-Term Energy Outlook, January 2016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Annual Liquids Production </w:t>
            </w:r>
            <w:r>
              <w:rPr>
                <w:rFonts w:ascii="Arial" w:cs="Arial" w:eastAsia="Arial" w:hAnsi="Arial"/>
                <w:sz w:val="17"/>
                <w:szCs w:val="17"/>
                <w:b w:val="1"/>
                <w:bCs w:val="1"/>
                <w:color w:val="auto"/>
                <w:vertAlign w:val="superscript"/>
              </w:rPr>
              <w:t>(1)</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from 2004</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from 2013</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from 2014</w:t>
            </w:r>
          </w:p>
        </w:tc>
      </w:tr>
      <w:tr>
        <w:trPr>
          <w:trHeight w:val="142"/>
        </w:trPr>
        <w:tc>
          <w:tcPr>
            <w:tcW w:w="3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2004</w:t>
            </w:r>
          </w:p>
        </w:tc>
        <w:tc>
          <w:tcPr>
            <w:tcW w:w="12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3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125" w:right="19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Production (Supply)</w:t>
            </w:r>
          </w:p>
        </w:tc>
        <w:tc>
          <w:tcPr>
            <w:tcW w:w="19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OPEC</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Non-OPEC</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7"/>
              </w:rPr>
              <w:t>2.4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87"/>
              </w:rPr>
              <w:t>2.3</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Consumption (Demand)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020" w:type="dxa"/>
            <w:vAlign w:val="bottom"/>
          </w:tcPr>
          <w:p>
            <w:pPr>
              <w:jc w:val="center"/>
              <w:ind w:left="710"/>
              <w:spacing w:after="0"/>
              <w:rPr>
                <w:sz w:val="20"/>
                <w:szCs w:val="20"/>
                <w:color w:val="auto"/>
              </w:rPr>
            </w:pPr>
            <w:r>
              <w:rPr>
                <w:rFonts w:ascii="Arial" w:cs="Arial" w:eastAsia="Arial" w:hAnsi="Arial"/>
                <w:sz w:val="18"/>
                <w:szCs w:val="18"/>
                <w:color w:val="auto"/>
                <w:w w:val="87"/>
              </w:rPr>
              <w:t>1.2</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Global Supply / Demand Balance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20" w:type="dxa"/>
            <w:vAlign w:val="bottom"/>
          </w:tcPr>
          <w:p>
            <w:pPr>
              <w:jc w:val="center"/>
              <w:ind w:left="71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Amounts are derived from the EIA’s Short-Term Energy Outlook.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surge in liquids production without a commensurate increase in demand has led to a near-to-medium-term supply imbalance, which has resulted in a reduction to benchmark petroleum prices. Producers, in turn, are scaling back capital programs, which will ultimately reduce supply. This is expected to lead to underinvestment in long lead time projects and stimulate petroleum demand growth, which ultimately should lead to an environment where prices will recover to a level to support future production growth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From 2011 through 2014,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Bakken Shale in North Dakota. As a result, North American crude oil production increased 3.6 million barrels per day, or 32%, between 2011 and 2014, with the increases coming primarily from Canada, the Eagle Ford Shale, the Permian Basin and the Bakken Shale. Production increases in all of these regions strained existing transportation, terminalling and downstream infrastructure. This opportunity for new crude oil infrastructure attracted significant investment in midstream oil assets, resulting in excess midstream capacity in the Permian, Eagle Ford, Williston, Midcontinent and Denver Julesburg basins.</w:t>
      </w:r>
    </w:p>
    <w:p>
      <w:pPr>
        <w:spacing w:after="0" w:line="16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However, in the latter half of 2014 crude oil prices fell approximately 50%, and then approximately another 30% during 2015. The reduction in prices precipitated a significant slowdown in drilling activity and plans as producers right-sized their capital budgets to the significantly reduced levels of cash flow resulting from lower prices, a process that is continuing into 2016. The combination of the slowdown of growth in U.S. crude oil production caused by declining prices and the significant commitments for new infrastructure created an environment in which margins have compressed and differentials are less than transportation costs in some cases.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Since reaching a multi-year low in 2009, U.S. net refinery inputs of crude oil have increased to 16.2 million barrels per day in 2015. From 2009 through 2014, refiners increased throughputs to take advantage of discounted domestic production, which led to lower use of imported crude oil by U.S. refineries. This decline in imports was a meaningful change in a multi-year trend where foreign imports of crude oil tripled over an approximately 23-year period from 1985-2007. In 2015, U.S. refinery inputs reached historically high levels fueled by price driven demand growth and exports. U.S. petroleum consumption increased to 19.5 million barrels per day for the twelve month period ended October 2015, the highest levels since 2008. The table below shows the overall domestic petroleum consumption projected through 2017 and is derived from the EIA Short-Term Energy Outlook, January 2016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Actual</w:t>
            </w:r>
          </w:p>
        </w:tc>
        <w:tc>
          <w:tcPr>
            <w:tcW w:w="280" w:type="dxa"/>
            <w:vAlign w:val="bottom"/>
          </w:tcPr>
          <w:p>
            <w:pPr>
              <w:spacing w:after="0"/>
              <w:rPr>
                <w:sz w:val="14"/>
                <w:szCs w:val="14"/>
                <w:color w:val="auto"/>
              </w:rPr>
            </w:pPr>
          </w:p>
        </w:tc>
        <w:tc>
          <w:tcPr>
            <w:tcW w:w="200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Projected</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1108"/>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80" w:type="dxa"/>
            <w:vAlign w:val="bottom"/>
            <w:gridSpan w:val="2"/>
          </w:tcPr>
          <w:p>
            <w:pPr>
              <w:jc w:val="center"/>
              <w:ind w:right="288"/>
              <w:spacing w:after="0" w:line="142" w:lineRule="exact"/>
              <w:rPr>
                <w:sz w:val="20"/>
                <w:szCs w:val="20"/>
                <w:color w:val="auto"/>
              </w:rPr>
            </w:pPr>
            <w:r>
              <w:rPr>
                <w:rFonts w:ascii="Arial" w:cs="Arial" w:eastAsia="Arial" w:hAnsi="Arial"/>
                <w:sz w:val="14"/>
                <w:szCs w:val="14"/>
                <w:b w:val="1"/>
                <w:bCs w:val="1"/>
                <w:color w:val="auto"/>
                <w:w w:val="94"/>
              </w:rPr>
              <w:t>(In millions of barrels per day)</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70"/>
        </w:trPr>
        <w:tc>
          <w:tcPr>
            <w:tcW w:w="66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0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Domestic Crude Oil Production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Imports - Crude Oil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(Supply Adjustment/Stock Change)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Product Imports / (Exports)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from Renewable Sources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0"/>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Domestic Petroleum Consumption</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Crude Oil Exports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At the end of 2015, the U.S. Congress agreed to lift the 40-year ban on exporting U.S. crude oil, providing domestic oil producers the ability to sell into the international market. The immediate impact will most likely not be felt in 2016 as refineries have increased their processing of U.S. crude oil while domestic production output is expected to decline.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20" w:hanging="324"/>
        <w:spacing w:after="0" w:line="286"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80" w:hanging="324"/>
        <w:spacing w:after="0" w:line="286"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80%)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NGL products from refineries represent approximately 17%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3% of total supply). NGL (primarily propane and butane) is also exported from certain regions of the United States.</w:t>
      </w:r>
    </w:p>
    <w:p>
      <w:pPr>
        <w:spacing w:after="0" w:line="17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ectPr>
          <w:pgSz w:w="11900" w:h="16838" w:orient="portrait"/>
          <w:cols w:equalWidth="0" w:num="1">
            <w:col w:w="11420"/>
          </w:cols>
          <w:pgMar w:left="240" w:top="140"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5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6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the creation of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a low price environment may stunt production growth,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168"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weather related demand; and</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1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360"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(iii) increased availability of storage capacity and (iv) lower basis differentials in certain regions due to expansion and improved connectivity of natural gas transportation infrastructure.</w:t>
      </w:r>
    </w:p>
    <w:p>
      <w:pPr>
        <w:spacing w:after="0" w:line="177"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4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Projected seasonal spreads for the next few years reflect a directionally similar picture to the challenging market conditions we have experienced during most of the past few years. Continuation of these unfavorable market conditions will adversely impact our hub services activities as well as the rates our customers are willing to pay for firm storage services upon expirations of existing storage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GAAP, we consolidate AAP and PAA and its subsidiaries. We currently have no separate operating activities apart from those conducted by PAA. As such, our segment analysis, presentation and discussion is the same as that of PAA, which conducts its operations through three segments— Transportation, Facilities and Supply and Logistics. Accordingly, any references to “we,”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below highlights our more significant assets (including certain assets under construction or development) as of December 31, 2015:</w:t>
      </w:r>
    </w:p>
    <w:p>
      <w:pPr>
        <w:sectPr>
          <w:pgSz w:w="11900" w:h="16838" w:orient="portrait"/>
          <w:cols w:equalWidth="0" w:num="1">
            <w:col w:w="11420"/>
          </w:cols>
          <w:pgMar w:left="240" w:top="368" w:right="239" w:bottom="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6562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656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1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BridgeTex, Eagle Ford, White Cliffs, Frontier and Butte pipeline systems as well as Settoon Towing, in which we own interests ranging from 22% to 50%. Additionally, we own interests in entities that are currently constructing and developing pipeline systems, including Caddo, Diamond and Saddlehorn. We account for these investments under the equity method of accounting.</w:t>
      </w:r>
    </w:p>
    <w:p>
      <w:pPr>
        <w:spacing w:after="0" w:line="7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2015, we employed a variety of owned or, to a much lesser extent, leased long-term physical assets throughout the United States and Canada in this segment, including approximately:</w:t>
      </w:r>
    </w:p>
    <w:p>
      <w:pPr>
        <w:spacing w:after="0" w:line="49"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18,100 miles of active crude oil and NGL pipelines and gathering systems;</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 million barrels of active, above-ground tank capacity used primarily to facilitate pipeline throughput;</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830 trailers (primarily in Canada); and</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142 transport and storage barges and 64 transport tugs through our interest in Settoon Towing.</w:t>
      </w:r>
    </w:p>
    <w:p>
      <w:pPr>
        <w:spacing w:after="0" w:line="10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2015, grouped by geographic location: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17"/>
                <w:szCs w:val="17"/>
                <w:b w:val="1"/>
                <w:bCs w:val="1"/>
                <w:color w:val="auto"/>
                <w:vertAlign w:val="superscript"/>
              </w:rPr>
              <w:t>(1)</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Miles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2015 Average Net</w:t>
            </w:r>
          </w:p>
        </w:tc>
        <w:tc>
          <w:tcPr>
            <w:tcW w:w="0" w:type="dxa"/>
            <w:vAlign w:val="bottom"/>
          </w:tcPr>
          <w:p>
            <w:pPr>
              <w:spacing w:after="0"/>
              <w:rPr>
                <w:sz w:val="1"/>
                <w:szCs w:val="1"/>
                <w:color w:val="auto"/>
              </w:rPr>
            </w:pPr>
          </w:p>
        </w:tc>
      </w:tr>
      <w:tr>
        <w:trPr>
          <w:trHeight w:val="171"/>
        </w:trPr>
        <w:tc>
          <w:tcPr>
            <w:tcW w:w="83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line="172" w:lineRule="exact"/>
              <w:rPr>
                <w:sz w:val="20"/>
                <w:szCs w:val="20"/>
                <w:color w:val="auto"/>
              </w:rPr>
            </w:pPr>
            <w:r>
              <w:rPr>
                <w:rFonts w:ascii="Arial" w:cs="Arial" w:eastAsia="Arial" w:hAnsi="Arial"/>
                <w:sz w:val="14"/>
                <w:szCs w:val="14"/>
                <w:b w:val="1"/>
                <w:bCs w:val="1"/>
                <w:color w:val="auto"/>
                <w:w w:val="90"/>
              </w:rPr>
              <w:t xml:space="preserve">Barrels per Day </w:t>
            </w:r>
            <w:r>
              <w:rPr>
                <w:rFonts w:ascii="Arial" w:cs="Arial" w:eastAsia="Arial" w:hAnsi="Arial"/>
                <w:sz w:val="17"/>
                <w:szCs w:val="17"/>
                <w:b w:val="1"/>
                <w:bCs w:val="1"/>
                <w:color w:val="auto"/>
                <w:w w:val="90"/>
                <w:vertAlign w:val="superscript"/>
              </w:rPr>
              <w:t>(2)</w:t>
            </w:r>
          </w:p>
        </w:tc>
        <w:tc>
          <w:tcPr>
            <w:tcW w:w="0" w:type="dxa"/>
            <w:vAlign w:val="bottom"/>
          </w:tcPr>
          <w:p>
            <w:pPr>
              <w:spacing w:after="0"/>
              <w:rPr>
                <w:sz w:val="1"/>
                <w:szCs w:val="1"/>
                <w:color w:val="auto"/>
              </w:rPr>
            </w:pPr>
          </w:p>
        </w:tc>
      </w:tr>
      <w:tr>
        <w:trPr>
          <w:trHeight w:val="142"/>
        </w:trPr>
        <w:tc>
          <w:tcPr>
            <w:tcW w:w="8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80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United States Crude Oil Pipelines</w:t>
            </w:r>
          </w:p>
        </w:tc>
        <w:tc>
          <w:tcPr>
            <w:tcW w:w="39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780" w:type="dxa"/>
            <w:vAlign w:val="bottom"/>
            <w:tcBorders>
              <w:top w:val="single" w:sz="8" w:color="CCEEFF"/>
            </w:tcBorders>
          </w:tcPr>
          <w:p>
            <w:pPr>
              <w:spacing w:after="0"/>
              <w:rPr>
                <w:sz w:val="8"/>
                <w:szCs w:val="8"/>
                <w:color w:val="auto"/>
              </w:rPr>
            </w:pPr>
          </w:p>
        </w:tc>
        <w:tc>
          <w:tcPr>
            <w:tcW w:w="3940" w:type="dxa"/>
            <w:vAlign w:val="bottom"/>
            <w:tcBorders>
              <w:top w:val="single" w:sz="8" w:color="CCEEFF"/>
            </w:tcBorders>
          </w:tcPr>
          <w:p>
            <w:pPr>
              <w:spacing w:after="0"/>
              <w:rPr>
                <w:sz w:val="8"/>
                <w:szCs w:val="8"/>
                <w:color w:val="auto"/>
              </w:rPr>
            </w:pPr>
          </w:p>
        </w:tc>
        <w:tc>
          <w:tcPr>
            <w:tcW w:w="13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3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Permian Basin</w:t>
            </w:r>
          </w:p>
        </w:tc>
        <w:tc>
          <w:tcPr>
            <w:tcW w:w="3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Basin / Mesa / Sunrise</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696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3"/>
                <w:szCs w:val="23"/>
                <w:color w:val="auto"/>
                <w:vertAlign w:val="superscript"/>
              </w:rPr>
              <w:t>(3) (4)</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Cactus</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298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ind w:left="520"/>
              <w:spacing w:after="0"/>
              <w:rPr>
                <w:sz w:val="20"/>
                <w:szCs w:val="20"/>
                <w:color w:val="auto"/>
              </w:rPr>
            </w:pPr>
            <w:r>
              <w:rPr>
                <w:rFonts w:ascii="Arial" w:cs="Arial" w:eastAsia="Arial" w:hAnsi="Arial"/>
                <w:sz w:val="18"/>
                <w:szCs w:val="18"/>
                <w:b w:val="1"/>
                <w:bCs w:val="1"/>
                <w:color w:val="auto"/>
              </w:rPr>
              <w:t>Permian Basin Subtotal</w:t>
            </w:r>
          </w:p>
        </w:tc>
        <w:tc>
          <w:tcPr>
            <w:tcW w:w="39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b w:val="1"/>
                <w:bCs w:val="1"/>
                <w:color w:val="auto"/>
              </w:rPr>
              <w:t>South Texas/Eagle Ford</w:t>
            </w:r>
          </w:p>
        </w:tc>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(4)</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ind w:left="520"/>
              <w:spacing w:after="0"/>
              <w:rPr>
                <w:sz w:val="20"/>
                <w:szCs w:val="20"/>
                <w:color w:val="auto"/>
              </w:rPr>
            </w:pPr>
            <w:r>
              <w:rPr>
                <w:rFonts w:ascii="Arial" w:cs="Arial" w:eastAsia="Arial" w:hAnsi="Arial"/>
                <w:sz w:val="18"/>
                <w:szCs w:val="18"/>
                <w:b w:val="1"/>
                <w:bCs w:val="1"/>
                <w:color w:val="auto"/>
              </w:rPr>
              <w:t>South Texas/Eagle Ford Subtotal</w:t>
            </w:r>
          </w:p>
        </w:tc>
        <w:tc>
          <w:tcPr>
            <w:tcW w:w="39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b w:val="1"/>
                <w:bCs w:val="1"/>
                <w:color w:val="auto"/>
              </w:rPr>
              <w:t>Western</w:t>
            </w:r>
          </w:p>
        </w:tc>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All American </w:t>
            </w:r>
            <w:r>
              <w:rPr>
                <w:rFonts w:ascii="Arial" w:cs="Arial" w:eastAsia="Arial" w:hAnsi="Arial"/>
                <w:sz w:val="23"/>
                <w:szCs w:val="23"/>
                <w:color w:val="auto"/>
                <w:vertAlign w:val="superscript"/>
              </w:rPr>
              <w:t>(5)</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Line 63 / Line 2000</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314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ind w:left="520"/>
              <w:spacing w:after="0"/>
              <w:rPr>
                <w:sz w:val="20"/>
                <w:szCs w:val="20"/>
                <w:color w:val="auto"/>
              </w:rPr>
            </w:pPr>
            <w:r>
              <w:rPr>
                <w:rFonts w:ascii="Arial" w:cs="Arial" w:eastAsia="Arial" w:hAnsi="Arial"/>
                <w:sz w:val="18"/>
                <w:szCs w:val="18"/>
                <w:b w:val="1"/>
                <w:bCs w:val="1"/>
                <w:color w:val="auto"/>
              </w:rPr>
              <w:t>Western Subtotal</w:t>
            </w:r>
          </w:p>
        </w:tc>
        <w:tc>
          <w:tcPr>
            <w:tcW w:w="39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39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b w:val="1"/>
                <w:bCs w:val="1"/>
                <w:color w:val="auto"/>
              </w:rPr>
              <w:t>Rocky Mountain</w:t>
            </w:r>
          </w:p>
        </w:tc>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(4)</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(4)</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969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 (4)</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1,296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Rocky Mountain Subtotal</w:t>
            </w:r>
          </w:p>
        </w:tc>
        <w:tc>
          <w:tcPr>
            <w:tcW w:w="39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Gulf Coast</w:t>
            </w:r>
          </w:p>
        </w:tc>
        <w:tc>
          <w:tcPr>
            <w:tcW w:w="3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631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Pascagoula</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868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Gulf Coast Subtotal</w:t>
            </w:r>
          </w:p>
        </w:tc>
        <w:tc>
          <w:tcPr>
            <w:tcW w:w="39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Central</w:t>
            </w:r>
          </w:p>
        </w:tc>
        <w:tc>
          <w:tcPr>
            <w:tcW w:w="3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Mid-Continent Area Systems</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2,419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b w:val="1"/>
                <w:bCs w:val="1"/>
                <w:color w:val="auto"/>
              </w:rPr>
              <w:t>Central Subtotal</w:t>
            </w:r>
          </w:p>
        </w:tc>
        <w:tc>
          <w:tcPr>
            <w:tcW w:w="394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United States Total</w:t>
            </w:r>
          </w:p>
        </w:tc>
        <w:tc>
          <w:tcPr>
            <w:tcW w:w="394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13,864</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Canada</w:t>
            </w:r>
          </w:p>
        </w:tc>
        <w:tc>
          <w:tcPr>
            <w:tcW w:w="39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340"/>
              <w:spacing w:after="0"/>
              <w:rPr>
                <w:sz w:val="20"/>
                <w:szCs w:val="20"/>
                <w:color w:val="auto"/>
              </w:rPr>
            </w:pPr>
            <w:r>
              <w:rPr>
                <w:rFonts w:ascii="Arial" w:cs="Arial" w:eastAsia="Arial" w:hAnsi="Arial"/>
                <w:sz w:val="18"/>
                <w:szCs w:val="18"/>
                <w:color w:val="auto"/>
              </w:rPr>
              <w:t>Crude Oil Pipelines</w:t>
            </w:r>
          </w:p>
        </w:tc>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Manito</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520"/>
              <w:spacing w:after="0"/>
              <w:rPr>
                <w:sz w:val="20"/>
                <w:szCs w:val="20"/>
                <w:color w:val="auto"/>
              </w:rPr>
            </w:pPr>
            <w:r>
              <w:rPr>
                <w:rFonts w:ascii="Arial" w:cs="Arial" w:eastAsia="Arial" w:hAnsi="Arial"/>
                <w:sz w:val="18"/>
                <w:szCs w:val="18"/>
                <w:color w:val="auto"/>
              </w:rPr>
              <w:t>Rainbow</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827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Rangeland</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520"/>
              <w:spacing w:after="0"/>
              <w:rPr>
                <w:sz w:val="20"/>
                <w:szCs w:val="20"/>
                <w:color w:val="auto"/>
              </w:rPr>
            </w:pPr>
            <w:r>
              <w:rPr>
                <w:rFonts w:ascii="Arial" w:cs="Arial" w:eastAsia="Arial" w:hAnsi="Arial"/>
                <w:sz w:val="18"/>
                <w:szCs w:val="18"/>
                <w:color w:val="auto"/>
              </w:rPr>
              <w:t>South Saskatchewan</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346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b w:val="1"/>
                <w:bCs w:val="1"/>
                <w:color w:val="auto"/>
              </w:rPr>
              <w:t>Crude Oil Pipelines Subtotal</w:t>
            </w:r>
          </w:p>
        </w:tc>
        <w:tc>
          <w:tcPr>
            <w:tcW w:w="39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NGL Pipelines</w:t>
            </w:r>
          </w:p>
        </w:tc>
        <w:tc>
          <w:tcPr>
            <w:tcW w:w="3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540"/>
              <w:spacing w:after="0"/>
              <w:rPr>
                <w:sz w:val="20"/>
                <w:szCs w:val="20"/>
                <w:color w:val="auto"/>
              </w:rPr>
            </w:pPr>
            <w:r>
              <w:rPr>
                <w:rFonts w:ascii="Arial" w:cs="Arial" w:eastAsia="Arial" w:hAnsi="Arial"/>
                <w:sz w:val="18"/>
                <w:szCs w:val="18"/>
                <w:color w:val="auto"/>
              </w:rPr>
              <w:t>Co-Ed</w:t>
            </w:r>
          </w:p>
        </w:tc>
        <w:tc>
          <w:tcPr>
            <w:tcW w:w="5580" w:type="dxa"/>
            <w:vAlign w:val="bottom"/>
            <w:gridSpan w:val="3"/>
          </w:tcPr>
          <w:p>
            <w:pPr>
              <w:jc w:val="right"/>
              <w:ind w:right="280"/>
              <w:spacing w:after="0"/>
              <w:rPr>
                <w:sz w:val="20"/>
                <w:szCs w:val="20"/>
                <w:color w:val="auto"/>
              </w:rPr>
            </w:pPr>
            <w:r>
              <w:rPr>
                <w:rFonts w:ascii="Arial" w:cs="Arial" w:eastAsia="Arial" w:hAnsi="Arial"/>
                <w:sz w:val="18"/>
                <w:szCs w:val="18"/>
                <w:color w:val="auto"/>
              </w:rPr>
              <w:t>633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NGL Pipelines Subtotal</w:t>
            </w:r>
          </w:p>
        </w:tc>
        <w:tc>
          <w:tcPr>
            <w:tcW w:w="394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rPr>
              <w:t>Canada Total</w:t>
            </w:r>
          </w:p>
        </w:tc>
        <w:tc>
          <w:tcPr>
            <w:tcW w:w="394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4,280</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5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18,144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410"/>
              <w:spacing w:after="0"/>
              <w:rPr>
                <w:sz w:val="20"/>
                <w:szCs w:val="20"/>
                <w:color w:val="auto"/>
              </w:rPr>
            </w:pPr>
            <w:r>
              <w:rPr>
                <w:rFonts w:ascii="Arial" w:cs="Arial" w:eastAsia="Arial" w:hAnsi="Arial"/>
                <w:sz w:val="18"/>
                <w:szCs w:val="18"/>
                <w:color w:val="auto"/>
              </w:rPr>
              <w:t>19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Ownership percentage varies on each pipeline and gathering system ranging from approximately 20% to 100%.</w:t>
      </w:r>
    </w:p>
    <w:p>
      <w:pPr>
        <w:spacing w:after="0" w:line="225" w:lineRule="exact"/>
        <w:rPr>
          <w:sz w:val="20"/>
          <w:szCs w:val="20"/>
          <w:color w:val="auto"/>
        </w:rPr>
      </w:pPr>
    </w:p>
    <w:p>
      <w:pPr>
        <w:ind w:left="20" w:right="420" w:hanging="11"/>
        <w:spacing w:after="0" w:line="264"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might be included multiple times as volumes move through our integrated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Pipelines operated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Includes total mileage and volumes (attributable to our interest) from pipelines owned by unconsolidated entities.</w:t>
      </w:r>
    </w:p>
    <w:p>
      <w:pPr>
        <w:spacing w:after="0" w:line="225"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Except for the segment of the All American Pipeline between Pentland and Emidio, the pipeline has been shut down since May 19, 2015, following the Line 901 incident.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States Pipelines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Permian Basin</w:t>
      </w:r>
    </w:p>
    <w:p>
      <w:pPr>
        <w:spacing w:after="0" w:line="200" w:lineRule="exact"/>
        <w:rPr>
          <w:sz w:val="20"/>
          <w:szCs w:val="20"/>
          <w:color w:val="auto"/>
        </w:rPr>
      </w:pPr>
    </w:p>
    <w:p>
      <w:pPr>
        <w:sectPr>
          <w:pgSz w:w="11900" w:h="16838" w:orient="portrait"/>
          <w:cols w:equalWidth="0" w:num="2">
            <w:col w:w="140" w:space="500"/>
            <w:col w:w="10820"/>
          </w:cols>
          <w:pgMar w:left="240" w:top="108" w:right="199" w:bottom="0" w:gutter="0" w:footer="0" w:header="0"/>
          <w:type w:val="continuous"/>
        </w:sectPr>
      </w:pPr>
    </w:p>
    <w:p>
      <w:pPr>
        <w:spacing w:after="0" w:line="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Basin Pipeline. </w:t>
      </w:r>
      <w:r>
        <w:rPr>
          <w:rFonts w:ascii="Arial" w:cs="Arial" w:eastAsia="Arial" w:hAnsi="Arial"/>
          <w:sz w:val="16"/>
          <w:szCs w:val="16"/>
          <w:color w:val="auto"/>
        </w:rPr>
        <w:t>We own an 87% undivided joint interest in and are the operator of Basin Pipeline. Basin Pipeline is a primary route for transporting</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from the Permian Basin (in west Texas and southern New Mexico) to Cushing, Oklahoma, for further delivery to Mid-Continent and Midwest</w:t>
      </w:r>
    </w:p>
    <w:p>
      <w:pPr>
        <w:sectPr>
          <w:pgSz w:w="11900" w:h="16838" w:orient="portrait"/>
          <w:cols w:equalWidth="0" w:num="1">
            <w:col w:w="11460"/>
          </w:cols>
          <w:pgMar w:left="240" w:top="108" w:right="199" w:bottom="0" w:gutter="0" w:footer="0" w:header="0"/>
          <w:type w:val="continuous"/>
        </w:sectPr>
      </w:pPr>
    </w:p>
    <w:bookmarkStart w:id="14" w:name="page15"/>
    <w:bookmarkEnd w:id="14"/>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refining centers. Basin Pipeline also serves as the initial movement for transporting crude oil from the Permian Basin to the Gulf Coast through connections to other carriers at Colorado City, Texas and Wichita Falls, Texas.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Basin Pipeline is an approximate 530-mile mainline, telescoping crude oil pipeline with a capacity ranging from approximately 240,000 barrels per day to 450,000 barrels per day (approximately 208,800 barrels per day to 392,000 barrels per day attributable to our interest), depending on the segment. The pipeline also includes approximately 6 million barrels of storage tankage.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2015, we placed into service a 24-inch pipeline loop of Basin Pipeline from Wink to Midland. In addition, we placed into service Phase I of the new Wink South terminal which will handle crude oil from the Delaware Basin and New Mexico, and expect that Phase II of the project will be in service in the second half of 2016. The completion of these projects along with reactivation of a 20-inch pipeline from Wink to Midland during the first half of 2016 will provide 550,000 barrels per day of capacity from Wink to Midland.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to a refinery at</w:t>
      </w:r>
      <w:r>
        <w:rPr>
          <w:rFonts w:ascii="Arial" w:cs="Arial" w:eastAsia="Arial" w:hAnsi="Arial"/>
          <w:sz w:val="18"/>
          <w:szCs w:val="18"/>
          <w:i w:val="1"/>
          <w:iCs w:val="1"/>
          <w:color w:val="auto"/>
        </w:rPr>
        <w:t xml:space="preserve"> </w:t>
      </w:r>
      <w:r>
        <w:rPr>
          <w:rFonts w:ascii="Arial" w:cs="Arial" w:eastAsia="Arial" w:hAnsi="Arial"/>
          <w:sz w:val="18"/>
          <w:szCs w:val="18"/>
          <w:color w:val="auto"/>
        </w:rPr>
        <w:t>Big Spring, Texas and to connecting carriers at Colorado City. Mesa Pipeline is an 80-mile mainline with capacity of up to 400,000 barrels per day (approximately 252,000 barrels per day attributable to our interest).</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which extends from Midland to connecting carriers at Colorado City. The 84-mile</w:t>
      </w:r>
      <w:r>
        <w:rPr>
          <w:rFonts w:ascii="Arial" w:cs="Arial" w:eastAsia="Arial" w:hAnsi="Arial"/>
          <w:sz w:val="18"/>
          <w:szCs w:val="18"/>
          <w:i w:val="1"/>
          <w:iCs w:val="1"/>
          <w:color w:val="auto"/>
        </w:rPr>
        <w:t xml:space="preserve"> </w:t>
      </w:r>
      <w:r>
        <w:rPr>
          <w:rFonts w:ascii="Arial" w:cs="Arial" w:eastAsia="Arial" w:hAnsi="Arial"/>
          <w:sz w:val="18"/>
          <w:szCs w:val="18"/>
          <w:color w:val="auto"/>
        </w:rPr>
        <w:t>Sunrise Pipeline was placed in service in December 2014, with a capacity of 250,000 barrels per day.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BridgeTex Pipeline</w:t>
      </w:r>
      <w:r>
        <w:rPr>
          <w:rFonts w:ascii="Arial" w:cs="Arial" w:eastAsia="Arial" w:hAnsi="Arial"/>
          <w:sz w:val="18"/>
          <w:szCs w:val="18"/>
          <w:color w:val="auto"/>
        </w:rPr>
        <w:t>. We own a 50% interest in BridgeTex, which is the entity that owns the BridgeTex Pipeline, a 20-inch crude oil pipeline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300,000 barrels per day that extends from Colorado City to East Houston. At Colorado City, the BridgeTex Pipeline is connected to our Basin and Sunrise pipelines. Magellan Midstream Partners, L.P. (“MMP”) owns the remaining 50% interest and serves as the operator of the BridgeTex Pipeline. BridgeTex has entered into a long-term capacity lease agreement with MMP whereby its shippers will have access to capacity on MMP’s pipeline from Houston to Texas City.</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Cactus Pipeline. </w:t>
      </w:r>
      <w:r>
        <w:rPr>
          <w:rFonts w:ascii="Arial" w:cs="Arial" w:eastAsia="Arial" w:hAnsi="Arial"/>
          <w:sz w:val="18"/>
          <w:szCs w:val="18"/>
          <w:color w:val="auto"/>
        </w:rPr>
        <w:t>We own and operate the Cactus Pipeline, a 298-mile crude oil pipeline extending from McCamey to Gardendale, Texas. The Cactus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provides 250,000 barrels per day of takeaway capacity from the Permian Basin, and will be expanded to approximately 330,000 barrels per day when additional pumping equipment is added in 2016.</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Permian Basin Area Systems. </w:t>
      </w:r>
      <w:r>
        <w:rPr>
          <w:rFonts w:ascii="Arial" w:cs="Arial" w:eastAsia="Arial" w:hAnsi="Arial"/>
          <w:sz w:val="17"/>
          <w:szCs w:val="17"/>
          <w:color w:val="auto"/>
        </w:rPr>
        <w:t>We operate wholly owned systems of 2,787 miles that aggregate receipts from wellhead gathering lines and bulk truck</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locations into a combination of 4- to 16-inch diameter trunk lines for transportation and delivery into the Basin Pipeline at Jal, Wink and Midland as well as our terminal facilities in Midland. During 2015, we completed construction of several projects, including the Triple Crown gathering system, the Avalon, Texas 12-inch extension to the Triple Crown gathering system, the 20-inch loop of our pipeline from Blacktip to Wink, the 16-inch Wolfbone Ranch pipeline from south Reeves County, Texas to Wink and several gathering projects in Texas’s Upton and Reagan counties.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Eagle Ford Area Systems. </w:t>
      </w:r>
      <w:r>
        <w:rPr>
          <w:rFonts w:ascii="Arial" w:cs="Arial" w:eastAsia="Arial" w:hAnsi="Arial"/>
          <w:sz w:val="18"/>
          <w:szCs w:val="18"/>
          <w:color w:val="auto"/>
        </w:rPr>
        <w:t>We own a 100% interest in and are the operator of several gathering systems that feed into our Gardendale Station, and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own a 50% interest in Eagle Ford Pipeline, which is the entity that owns the Eagle Ford joint venture pipeline. We serve as operator of the Eagle Ford joint venture pipeline, and our joint venture partner is a subsidiary of Enterprise Products Partners, L.P. (“Enterprise”). Combined, these Eagle Ford Area Systems consist of 670 miles of pipeline that service production in the Eagle Ford shale play of South Texas and include approximately 5 million barrels of operational storage capacity across the system (including the capacity added in 2015, as discussed below). The systems serve the Three Rivers and Corpus Christi, Texas refineries and other markets via marine terminal facilities at Corpus Christi, as well as the Houston market via Enterprise’s connection at Lyssy in Wilson County, Texas.</w:t>
      </w:r>
    </w:p>
    <w:p>
      <w:pPr>
        <w:spacing w:after="0" w:line="18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2015, several projects to expand and extend the Eagle Ford joint venture pipeline were completed. Such projects included (i) completion of a connection to our Cactus Pipeline, (ii) completion of a 20-inch pipeline loop of the entire pipeline, as well as expanded pumping capabilities at Three Rivers and (iii) construction of an additional 3 million barrels of operational storage capacity across the system. Combined, these projects increased capacity of the Eagle Ford joint venture pipeline to approximately 600,000 barrels per day. In addition, Eagle Ford Pipeline completed construction of a new condensate gathering system with a capacity of up to 100,000 barrels per day that extends from our station at Three Rivers into Karnes County and Live Oak County.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i w:val="1"/>
          <w:iCs w:val="1"/>
          <w:color w:val="auto"/>
        </w:rPr>
        <w:t xml:space="preserve">All American Pipeline. </w:t>
      </w:r>
      <w:r>
        <w:rPr>
          <w:rFonts w:ascii="Arial" w:cs="Arial" w:eastAsia="Arial" w:hAnsi="Arial"/>
          <w:sz w:val="17"/>
          <w:szCs w:val="17"/>
          <w:color w:val="auto"/>
        </w:rPr>
        <w:t>We own and operate the All American Pipeline, which receives crude oil from offshore oil producers at Las Flores,</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and at Gaviota, California. The pipeline terminates at our Emidio Station. Between Gaviota and our Emidio Station, the All American Pipeline interconnects with our San Joaquin Valley Gathering System, Line 2000 and Line 63, as well as other third party intrastate pipelines.</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May 2015, we experienced a crude oil release from our Las Flores to Gaviota Pipeline (Line 901) in Santa Barbara County, California. The segment of the pipeline upstream of our Pentland station has been shut down since this incident. See Note 16 to our Consolidated Financial Statements for additional information regarding this incident.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Line 63. </w:t>
      </w:r>
      <w:r>
        <w:rPr>
          <w:rFonts w:ascii="Arial" w:cs="Arial" w:eastAsia="Arial" w:hAnsi="Arial"/>
          <w:sz w:val="16"/>
          <w:szCs w:val="16"/>
          <w:color w:val="auto"/>
        </w:rPr>
        <w:t>We own and operate the Line 63 pipeline that transports crude oil produced in the San Joaquin Valley and California OCS to refineries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facilities in the Los Angeles Basin and in Bakersfield, California. The pipeline is also connected to our crude oil rail terminal at Bakersfield. The Line 63 pipeline consists of a 107-mile trunk pipeline, originating at our Kelley Pump Station in Kern County, California and terminating at our West Hynes Station in Long Beach, California. The trunk pipeline has a capacity of approximately 60,000 barrels per day. The pipeline includes 33 miles of distribution pipelines in the Los Angeles Basin, with a throughput capacity of approximately 20,000 barrels per day, and approximately 117 miles of gathering pipelines</w:t>
      </w:r>
    </w:p>
    <w:p>
      <w:pPr>
        <w:sectPr>
          <w:pgSz w:w="11900" w:h="16941" w:orient="portrait"/>
          <w:cols w:equalWidth="0" w:num="1">
            <w:col w:w="11420"/>
          </w:cols>
          <w:pgMar w:left="240" w:top="125" w:right="239" w:bottom="0" w:gutter="0" w:footer="0" w:header="0"/>
        </w:sectPr>
      </w:pPr>
    </w:p>
    <w:bookmarkStart w:id="15" w:name="page16"/>
    <w:bookmarkEnd w:id="15"/>
    <w:p>
      <w:pPr>
        <w:spacing w:after="0" w:line="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San Joaquin Valley, with an average throughput capacity of approximately 35,000 barrels per day. We also have approximately 1 million barrels of storage capacity on this pipeline.</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We have commenced a project to place this idle segment in service, which we expect to complete in 2016.</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Line 2000. </w:t>
      </w:r>
      <w:r>
        <w:rPr>
          <w:rFonts w:ascii="Arial" w:cs="Arial" w:eastAsia="Arial" w:hAnsi="Arial"/>
          <w:sz w:val="17"/>
          <w:szCs w:val="17"/>
          <w:color w:val="auto"/>
        </w:rPr>
        <w:t>We own and operate the Line 2000 crude oil pipeline that originates at our Emidio Pump Station (part of the All American Pipeline)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transports crude oil produced in the San Joaquin Valley and California OCS to refineries and terminal facilities in the Los Angeles Basin. Line 2000 is an approximately 130-mile, 20-inch trunk pipeline with a throughput capacity of approximately 130,000 barrels per day.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Butte, which is the entity that owns the Butte Pipeline, a 16-inch crude oil pipeline system extending from Baker, Montana to Guernsey, Wyoming.</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Salt Lake City Area Systems. </w:t>
      </w:r>
      <w:r>
        <w:rPr>
          <w:rFonts w:ascii="Arial" w:cs="Arial" w:eastAsia="Arial" w:hAnsi="Arial"/>
          <w:sz w:val="18"/>
          <w:szCs w:val="18"/>
          <w:color w:val="auto"/>
        </w:rPr>
        <w:t>We operate the Salt Lake City and Wahsatch pipelines, in which we own interests ranging between 75% and 100%,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own a 50% interest in Frontier, which is the entity that owns the Frontier Pipeline. These pipelines transport crude oil produced in the U.S. Rocky Mountain region and Canada to refiners in Salt Lake City, Utah and to other pipelines at Ft. Laramie, Wyoming.</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pipelines include approximately 970 miles and approximately one million barrels of storage capacity. These pipelines have a maximum throughput capacity of (i) approximately 20,500 barrels per day from Wamsutter, Wyoming to Ft. Laramie, (ii) approximately 47,000 barrels per day from Wamsutter to Wahsatch, Utah, (iii) approximately 95,000 barrels per day from Wahsatch to Salt Lake City and (iv) approximately 75,000 barrels per day from Casper to Ranch Station, Utah.</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White Cliffs, the entity that owns the White Cliffs Pipeline, which consists of two</w:t>
      </w:r>
      <w:r>
        <w:rPr>
          <w:rFonts w:ascii="Arial" w:cs="Arial" w:eastAsia="Arial" w:hAnsi="Arial"/>
          <w:sz w:val="18"/>
          <w:szCs w:val="18"/>
          <w:i w:val="1"/>
          <w:iCs w:val="1"/>
          <w:color w:val="auto"/>
        </w:rPr>
        <w:t xml:space="preserve"> </w:t>
      </w:r>
      <w:r>
        <w:rPr>
          <w:rFonts w:ascii="Arial" w:cs="Arial" w:eastAsia="Arial" w:hAnsi="Arial"/>
          <w:sz w:val="18"/>
          <w:szCs w:val="18"/>
          <w:color w:val="auto"/>
        </w:rPr>
        <w:t>527-mile, 12-inch, crude oil pipelines that move crude out of the DJ Basin to the Cushing, Oklahoma market. Rose Rock Midstream, L.P. serves as the operator of the pipeline, which originates in Platteville, Colorado and terminates in Cushing. In late 2015, the addition of two pump stations increased capacity on the pipeline to approximately 215,000 barrels per day.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Cowboy Pipeline</w:t>
      </w:r>
      <w:r>
        <w:rPr>
          <w:rFonts w:ascii="Arial" w:cs="Arial" w:eastAsia="Arial" w:hAnsi="Arial"/>
          <w:sz w:val="18"/>
          <w:szCs w:val="18"/>
          <w:color w:val="auto"/>
        </w:rPr>
        <w:t>. We recently constructed the Cowboy Pipeline, a 12-inch, 27-mile pipeline that provides 75,000 barrels per day of light sweet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capacity from Cheyenne, Wyoming to our rail loading facility near Carr, Colorado and will be connected to the Saddlehorn Pipeline when it is placed in service. The Cowboy Pipeline includes a new terminal at Cheyenne with approximately 600,000 barrels of storage tank capacity. The Cowboy Pipeline will enable us to source crude oil from our and third party pipeline systems that feed the Guernsey market, through connection to our Cheyenne Pipeline, and deliver to Cushing through connection to the Saddlehorn Pipeline.</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which is currently developing the Saddlehorn Pipeline, a 20-inch pipeline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extend from various receipt points in the Niobrara and DJ Basin to Cushing. The Saddlehorn Pipeline is a joint venture in which Saddlehorn owns an undivided 62.5% interest in the pipeline; Grand Mesa Pipeline, LLC owns the remaining 37.5% interest. Saddlehorn will own 190,000 barrels per day of the capacity in Saddlehorn Pipeline and will have one million barrels of storage capacity at both Platteville and Cushing. The Platteville-to-Cushing segment of the pipeline is expected to be operational in mid-2016 and the Platteville-to-Carr segment is anticipated to be operational by the end of 2016. Saddlehorn has the option to expand the capacity of the pipeline at its sole discretion and cost and would own all of the incremental capacity from any expansion. MMP serves as construction manager and operator of the pipeline.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Capline Pipeline. </w:t>
      </w:r>
      <w:r>
        <w:rPr>
          <w:rFonts w:ascii="Arial" w:cs="Arial" w:eastAsia="Arial" w:hAnsi="Arial"/>
          <w:sz w:val="18"/>
          <w:szCs w:val="18"/>
          <w:color w:val="auto"/>
        </w:rPr>
        <w:t>Capline Pipeline, in which we own an aggregate undivided joint interest of approximately 54%, is a 631-mile, 40-inch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originating in St. James, Louisiana, and terminating in Patoka, Illinois. Marathon Pipeline LLC serves as the operator of the pipeline. Capline has direct connections to a significant amount of crude oil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w:t>
      </w:r>
    </w:p>
    <w:p>
      <w:pPr>
        <w:spacing w:after="0" w:line="193" w:lineRule="exact"/>
        <w:rPr>
          <w:sz w:val="20"/>
          <w:szCs w:val="20"/>
          <w:color w:val="auto"/>
        </w:rPr>
      </w:pPr>
    </w:p>
    <w:p>
      <w:pPr>
        <w:jc w:val="both"/>
        <w:ind w:right="160" w:firstLine="702"/>
        <w:spacing w:after="0" w:line="264"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originates at our Ten Mile facility in Alabama</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extends to a refinery on the Gulf Coast. Additionally, we have approximately 2 million barrels of storage capacity at our Ten Mile facility that supports the operational needs of the pipeline.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Western and Central Oklahoma, Southwest Kansas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Eastern Texas Panhandle. These systems consist of approximately 2,420 miles of pipeline with transportation and delivery into and out of our terminal facilities at Cushing, Oklahoma. In addition, in early 2015 we completed construction of a new receipt facility on the Basin Pipeline in southern Oklahoma to aggregate South Central Oklahoma Oil Province (SCOOP) production.</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Diamond Pipeline</w:t>
      </w:r>
      <w:r>
        <w:rPr>
          <w:rFonts w:ascii="Arial" w:cs="Arial" w:eastAsia="Arial" w:hAnsi="Arial"/>
          <w:sz w:val="18"/>
          <w:szCs w:val="18"/>
          <w:color w:val="auto"/>
        </w:rPr>
        <w:t>. We own a 50% interest in Diamond, which is currently developing the Diamond Pipeline, a 20-inch, 440-mile pipeline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200,000 barrels per day of capacity from our Cushing terminal to Valero’s refinery in Memphis, Tennessee. The Diamond Pipeline project is underpinned by a long-term shipper agreement with Valero and a related contract for storage and terminalling services at our Cushing terminal. In December 2015, Valero exercised its option to become a partner in Diamond and owns the remaining 50% interest. We will serve as operator of the Diamond Pipeline, which is expected to be completed in 2017.</w:t>
      </w:r>
    </w:p>
    <w:p>
      <w:pPr>
        <w:sectPr>
          <w:pgSz w:w="11900" w:h="16843" w:orient="portrait"/>
          <w:cols w:equalWidth="0" w:num="1">
            <w:col w:w="11420"/>
          </w:cols>
          <w:pgMar w:left="240" w:top="125" w:right="239" w:bottom="0" w:gutter="0" w:footer="0" w:header="0"/>
        </w:sectPr>
      </w:pPr>
    </w:p>
    <w:bookmarkStart w:id="16" w:name="page17"/>
    <w:bookmarkEnd w:id="16"/>
    <w:p>
      <w:pPr>
        <w:ind w:right="60" w:firstLine="648"/>
        <w:spacing w:after="0" w:line="264"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We are currently developing and constructing the Red River Pipeline, which will be a 16-inch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with an initial takeaway capacity of 150,000 barrels per day extending from Cushing to Longview. The Red River Pipeline is supported by long-term shipper commitments and is expected to be completed in late 2016.</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Caddo Pipeline</w:t>
      </w:r>
      <w:r>
        <w:rPr>
          <w:rFonts w:ascii="Arial" w:cs="Arial" w:eastAsia="Arial" w:hAnsi="Arial"/>
          <w:sz w:val="17"/>
          <w:szCs w:val="17"/>
          <w:color w:val="auto"/>
        </w:rPr>
        <w:t>. We own a 50% interest in Caddo, which is constructing the Caddo Pipeline. The Caddo Pipeline is an 80-mile, 12-inch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with the capacity to move up to 80,000 barrels per day from our terminal in Longview, Texas to supply refineries in the Shreveport, Louisiana area, as well as to an El Dorado, Arkansas refinery through a connection to Delek Logistics Partners, LP’s (“Delek”) pipeline. Delek owns the remaining 50% interest in Caddo. We will serve as operator of the Caddo Pipeline, which is expected to be completed in late 2016.</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Manito Pipeline. </w:t>
      </w:r>
      <w:r>
        <w:rPr>
          <w:rFonts w:ascii="Arial" w:cs="Arial" w:eastAsia="Arial" w:hAnsi="Arial"/>
          <w:sz w:val="17"/>
          <w:szCs w:val="17"/>
          <w:color w:val="auto"/>
        </w:rPr>
        <w:t>We own a 100% interest in the Manito heavy oil system. This 556-mile system is comprised of the Manito Pipeline, the North</w:t>
      </w:r>
      <w:r>
        <w:rPr>
          <w:rFonts w:ascii="Arial" w:cs="Arial" w:eastAsia="Arial" w:hAnsi="Arial"/>
          <w:sz w:val="17"/>
          <w:szCs w:val="17"/>
          <w:i w:val="1"/>
          <w:iCs w:val="1"/>
          <w:color w:val="auto"/>
        </w:rPr>
        <w:t xml:space="preserve"> </w:t>
      </w:r>
      <w:r>
        <w:rPr>
          <w:rFonts w:ascii="Arial" w:cs="Arial" w:eastAsia="Arial" w:hAnsi="Arial"/>
          <w:sz w:val="17"/>
          <w:szCs w:val="17"/>
          <w:color w:val="auto"/>
        </w:rPr>
        <w:t>Saskatchewan (“North Sask”) pipeline and the Bodo/Cactus Lake pipeline. Each system consists of a blended crude oil line and a parallel diluent line that delivers condensate to upstream blending locations. The North Sask pipeline is 84 miles in length and originates near Turtleford, Saskatchewan and terminates in Dulwich, Saskatchewan. The Manito Pipeline includes 339 miles of 10-inch blend pipeline. The mainline segment originates at Dulwich and terminates at Kerrobert, Saskatchewan. The Bodo/Cactus Lake pipeline is a 133 mile long, 10-inch blend pipeline that originates in Bodo, Alberta and also terminates at our Kerrobert storage facility. The Kerrobert storage and terminalling facility is connected to the Enbridge pipeline system and can both receive and deliver heavy crude oil from and to the Enbridge pipeline system.</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(i)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with capacity of approximately 185,000 barrels per day of batched light sweet and heavy sour oil capacity, that extends from the Norman Wells Pipeline connection in Zama, Alberta to Edmonton, Alberta and has 159 miles of associated gathering pipelines and (ii) a 188-mile, 10-inch pipeline to transport diluent north from Edmonton to our Nipisi truck terminal in Northern Alberta.</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late 2015, our Indigo pipeline project, which would have connected to our Rainbow system, was canceled as a result of the committed shipper’s decision to cancel development of its thermal in situ project located in Alberta, Canada. We have been reimbursed for our costs incurred on this project.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i w:val="1"/>
          <w:iCs w:val="1"/>
          <w:color w:val="auto"/>
        </w:rPr>
        <w:t xml:space="preserve">Rangeland System. </w:t>
      </w:r>
      <w:r>
        <w:rPr>
          <w:rFonts w:ascii="Arial" w:cs="Arial" w:eastAsia="Arial" w:hAnsi="Arial"/>
          <w:sz w:val="18"/>
          <w:szCs w:val="18"/>
          <w:color w:val="auto"/>
        </w:rPr>
        <w:t>We own a 100% interest in the Rangeland system. The Rangeland system consists of a 670 mile, 8-inch to 16-inch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and approximately 500 miles of 3-inch to 8-inch gathering pipelines. The Rangeland system transports NGL mix, butane, condensate, light sweet crude oil and light sour crude oil either north to Edmonton or south to the U.S./Canadian border near Cutbank, Montana, where it connects to our Western Corridor system.</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South Saskatchewan System</w:t>
      </w:r>
      <w:r>
        <w:rPr>
          <w:rFonts w:ascii="Arial" w:cs="Arial" w:eastAsia="Arial" w:hAnsi="Arial"/>
          <w:sz w:val="18"/>
          <w:szCs w:val="18"/>
          <w:color w:val="auto"/>
        </w:rPr>
        <w:t>. We own a 100% interest in the South Saskatchewan system. This system consists of a 160 mile, 16-inch mainline from</w:t>
      </w:r>
      <w:r>
        <w:rPr>
          <w:rFonts w:ascii="Arial" w:cs="Arial" w:eastAsia="Arial" w:hAnsi="Arial"/>
          <w:sz w:val="18"/>
          <w:szCs w:val="18"/>
          <w:i w:val="1"/>
          <w:iCs w:val="1"/>
          <w:color w:val="auto"/>
        </w:rPr>
        <w:t xml:space="preserve"> </w:t>
      </w:r>
      <w:r>
        <w:rPr>
          <w:rFonts w:ascii="Arial" w:cs="Arial" w:eastAsia="Arial" w:hAnsi="Arial"/>
          <w:sz w:val="18"/>
          <w:szCs w:val="18"/>
          <w:color w:val="auto"/>
        </w:rPr>
        <w:t>Cantuar to Regina, Saskatchewan and 186 miles of 4-inch to 12-inch gathering pipelines from the Rapdan area to Cantuar. The South Saskatchewan system has capacity to transport approximately 68,000 barrels per day of heavy crude oil from gathering areas in southern Saskatchewan to Enbridge’s mainline at Regina.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and operate the Co-Ed NGL Pipeline system, which consists of approximately 630 miles of 3-inch to 10-inch</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This pipeline system gathers NGL from approximately 35 field gas processing plants located in Alberta, including all of the NGL produced at the Cochrane Straddle Plant. The Co-Ed NGL Pipeline system has throughput capacity of approximately 72,000 barrels per day to our NGL facilities at Fort Saskatchewan.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 and processing arrangements.</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2015,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approximately 80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25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31 Bcf of owned base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natural gas processing plants located throughout Canada and the Gulf Coast area of the United States;</w:t>
      </w:r>
    </w:p>
    <w:p>
      <w:pPr>
        <w:sectPr>
          <w:pgSz w:w="11900" w:h="16838" w:orient="portrait"/>
          <w:cols w:equalWidth="0" w:num="1">
            <w:col w:w="11420"/>
          </w:cols>
          <w:pgMar w:left="240" w:top="341" w:right="239" w:bottom="0" w:gutter="0" w:footer="0" w:header="0"/>
        </w:sectPr>
      </w:pPr>
    </w:p>
    <w:bookmarkStart w:id="17" w:name="page18"/>
    <w:bookmarkEnd w:id="17"/>
    <w:p>
      <w:pPr>
        <w:ind w:left="980" w:right="20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net processing capacity of approximately 166,300 barrels per day, and an isomerization and fractionation facility in California with an aggregate processing capacity of approximately 15,000 barrels per day;</w:t>
      </w:r>
    </w:p>
    <w:p>
      <w:pPr>
        <w:spacing w:after="0" w:line="181"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 crude oil and NGL rail terminals located throughout the United States and Canada. See “Rail Facilities” below for an overview of various terminals and “Supply and Logistics” regarding our use of railcars;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six major marine facilities in the United States with an aggregate load capacity of 107,000 barrels per hour, including vapor recovery rates, and an aggregate unload capacity of 182,000 barrels per hour;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1,100 miles of active pipelines that support our facilities assets, consisting primarily of NGL and natural gas pipelines.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tabular presentation of our active Facilities segment storage and service assets in the United States and Canada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grouped by product and service type, with capacity and volume as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Cushing</w:t>
            </w:r>
          </w:p>
        </w:tc>
        <w:tc>
          <w:tcPr>
            <w:tcW w:w="1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LA Basin</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Martinez and Richmond</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Mobile and Ten Mile</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Patoka</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St. James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Bumstead</w:t>
            </w:r>
          </w:p>
        </w:tc>
        <w:tc>
          <w:tcPr>
            <w:tcW w:w="1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Fort Saskatchewan</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Sarnia Area</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Tirzah</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Salt-caverns and Depleted Reservoir</w:t>
            </w:r>
          </w:p>
        </w:tc>
        <w:tc>
          <w:tcPr>
            <w:tcW w:w="1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Total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17"/>
                <w:szCs w:val="17"/>
                <w:b w:val="1"/>
                <w:bCs w:val="1"/>
                <w:color w:val="auto"/>
                <w:vertAlign w:val="superscript"/>
              </w:rPr>
              <w:t>(3)</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Ownership Interest</w:t>
            </w:r>
          </w:p>
        </w:tc>
        <w:tc>
          <w:tcPr>
            <w:tcW w:w="28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 xml:space="preserve">Inlet Volume </w:t>
            </w:r>
            <w:r>
              <w:rPr>
                <w:rFonts w:ascii="Arial" w:cs="Arial" w:eastAsia="Arial" w:hAnsi="Arial"/>
                <w:sz w:val="17"/>
                <w:szCs w:val="17"/>
                <w:b w:val="1"/>
                <w:bCs w:val="1"/>
                <w:color w:val="auto"/>
                <w:w w:val="91"/>
                <w:vertAlign w:val="superscript"/>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17"/>
                <w:szCs w:val="17"/>
                <w:b w:val="1"/>
                <w:bCs w:val="1"/>
                <w:color w:val="auto"/>
                <w:w w:val="91"/>
                <w:vertAlign w:val="superscript"/>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United States Gulf Coast Area</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Canada</w:t>
            </w:r>
          </w:p>
        </w:tc>
        <w:tc>
          <w:tcPr>
            <w:tcW w:w="3940" w:type="dxa"/>
            <w:vAlign w:val="bottom"/>
            <w:gridSpan w:val="4"/>
          </w:tcPr>
          <w:p>
            <w:pPr>
              <w:jc w:val="right"/>
              <w:ind w:right="140"/>
              <w:spacing w:after="0"/>
              <w:rPr>
                <w:sz w:val="20"/>
                <w:szCs w:val="20"/>
                <w:color w:val="auto"/>
              </w:rPr>
            </w:pPr>
            <w:r>
              <w:rPr>
                <w:rFonts w:ascii="Arial" w:cs="Arial" w:eastAsia="Arial" w:hAnsi="Arial"/>
                <w:sz w:val="18"/>
                <w:szCs w:val="18"/>
                <w:color w:val="auto"/>
              </w:rPr>
              <w:t>36-100%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Gardendale</w:t>
            </w:r>
          </w:p>
        </w:tc>
        <w:tc>
          <w:tcPr>
            <w:tcW w:w="1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Ownership Interest</w:t>
            </w:r>
          </w:p>
        </w:tc>
        <w:tc>
          <w:tcPr>
            <w:tcW w:w="280" w:type="dxa"/>
            <w:vAlign w:val="bottom"/>
            <w:vMerge w:val="restart"/>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 xml:space="preserve">Spec Product </w:t>
            </w:r>
            <w:r>
              <w:rPr>
                <w:rFonts w:ascii="Arial" w:cs="Arial" w:eastAsia="Arial" w:hAnsi="Arial"/>
                <w:sz w:val="17"/>
                <w:szCs w:val="17"/>
                <w:b w:val="1"/>
                <w:bCs w:val="1"/>
                <w:color w:val="auto"/>
                <w:w w:val="87"/>
                <w:vertAlign w:val="superscript"/>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Fort Saskatchewan</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Sarnia</w:t>
            </w:r>
          </w:p>
        </w:tc>
        <w:tc>
          <w:tcPr>
            <w:tcW w:w="3940" w:type="dxa"/>
            <w:vAlign w:val="bottom"/>
            <w:gridSpan w:val="4"/>
          </w:tcPr>
          <w:p>
            <w:pPr>
              <w:jc w:val="right"/>
              <w:ind w:right="140"/>
              <w:spacing w:after="0"/>
              <w:rPr>
                <w:sz w:val="20"/>
                <w:szCs w:val="20"/>
                <w:color w:val="auto"/>
              </w:rPr>
            </w:pPr>
            <w:r>
              <w:rPr>
                <w:rFonts w:ascii="Arial" w:cs="Arial" w:eastAsia="Arial" w:hAnsi="Arial"/>
                <w:sz w:val="18"/>
                <w:szCs w:val="18"/>
                <w:color w:val="auto"/>
              </w:rPr>
              <w:t>62-84%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60,345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Shafter</w:t>
            </w:r>
          </w:p>
        </w:tc>
        <w:tc>
          <w:tcPr>
            <w:tcW w:w="3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940" w:type="dxa"/>
            <w:vAlign w:val="bottom"/>
            <w:gridSpan w:val="4"/>
          </w:tcPr>
          <w:p>
            <w:pPr>
              <w:jc w:val="right"/>
              <w:ind w:right="140"/>
              <w:spacing w:after="0"/>
              <w:rPr>
                <w:sz w:val="20"/>
                <w:szCs w:val="20"/>
                <w:color w:val="auto"/>
              </w:rPr>
            </w:pPr>
            <w:r>
              <w:rPr>
                <w:rFonts w:ascii="Arial" w:cs="Arial" w:eastAsia="Arial" w:hAnsi="Arial"/>
                <w:sz w:val="18"/>
                <w:szCs w:val="18"/>
                <w:color w:val="auto"/>
              </w:rPr>
              <w:t>82-100%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Ownership Interest</w:t>
            </w:r>
          </w:p>
        </w:tc>
        <w:tc>
          <w:tcPr>
            <w:tcW w:w="28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 xml:space="preserve">Capacity </w:t>
            </w:r>
            <w:r>
              <w:rPr>
                <w:rFonts w:ascii="Arial" w:cs="Arial" w:eastAsia="Arial" w:hAnsi="Arial"/>
                <w:sz w:val="17"/>
                <w:szCs w:val="17"/>
                <w:b w:val="1"/>
                <w:bCs w:val="1"/>
                <w:color w:val="auto"/>
                <w:w w:val="89"/>
                <w:vertAlign w:val="superscript"/>
              </w:rPr>
              <w:t>(5)</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 xml:space="preserve">Capacity </w:t>
            </w:r>
            <w:r>
              <w:rPr>
                <w:rFonts w:ascii="Arial" w:cs="Arial" w:eastAsia="Arial" w:hAnsi="Arial"/>
                <w:sz w:val="17"/>
                <w:szCs w:val="17"/>
                <w:b w:val="1"/>
                <w:bCs w:val="1"/>
                <w:color w:val="auto"/>
                <w:w w:val="86"/>
                <w:vertAlign w:val="superscript"/>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Crude Oil Rail Facilities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63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Rack Spots</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100" w:type="dxa"/>
            <w:vAlign w:val="bottom"/>
            <w:tcBorders>
              <w:bottom w:val="single" w:sz="8" w:color="CCEEFF"/>
            </w:tcBorders>
          </w:tcPr>
          <w:p>
            <w:pPr>
              <w:spacing w:after="0"/>
              <w:rPr>
                <w:sz w:val="14"/>
                <w:szCs w:val="14"/>
                <w:color w:val="auto"/>
              </w:rPr>
            </w:pPr>
          </w:p>
        </w:tc>
      </w:tr>
      <w:tr>
        <w:trPr>
          <w:trHeight w:val="210"/>
        </w:trPr>
        <w:tc>
          <w:tcPr>
            <w:tcW w:w="6300" w:type="dxa"/>
            <w:vAlign w:val="bottom"/>
            <w:shd w:val="clear" w:color="auto" w:fill="CCEEFF"/>
          </w:tcPr>
          <w:p>
            <w:pPr>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b w:val="1"/>
                <w:bCs w:val="1"/>
                <w:color w:val="auto"/>
                <w:vertAlign w:val="superscript"/>
              </w:rPr>
              <w:t>(6)</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4" w:right="239" w:bottom="16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1 million barrels of capacity for which we hold lease options (all of which have been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Capacity transported will vary according to specification of product moved.</w:t>
      </w:r>
    </w:p>
    <w:p>
      <w:pPr>
        <w:spacing w:after="0" w:line="225" w:lineRule="exact"/>
        <w:rPr>
          <w:sz w:val="20"/>
          <w:szCs w:val="20"/>
          <w:color w:val="auto"/>
        </w:rPr>
      </w:pPr>
    </w:p>
    <w:p>
      <w:pPr>
        <w:ind w:left="20" w:right="40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00" w:lineRule="exact"/>
        <w:rPr>
          <w:sz w:val="20"/>
          <w:szCs w:val="20"/>
          <w:color w:val="auto"/>
        </w:rPr>
      </w:pPr>
    </w:p>
    <w:p>
      <w:pPr>
        <w:sectPr>
          <w:pgSz w:w="11900" w:h="16838" w:orient="portrait"/>
          <w:cols w:equalWidth="0" w:num="2">
            <w:col w:w="140" w:space="500"/>
            <w:col w:w="10780"/>
          </w:cols>
          <w:pgMar w:left="240" w:top="104" w:right="239" w:bottom="169" w:gutter="0" w:footer="0" w:header="0"/>
          <w:type w:val="continuous"/>
        </w:sectPr>
      </w:pPr>
    </w:p>
    <w:p>
      <w:pPr>
        <w:spacing w:after="0" w:line="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Since 1999, we have completed multiple expansions that have increased the capacity of the Cushing Terminal to a total of 21 million barrels. In 2015, we added approximately 1.4 million barrels of storage and we expect to add approximately 1.6 million barrels of storage capacity during 2016.</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and black oil service). Our San Francisco area terminals have</w:t>
      </w:r>
    </w:p>
    <w:p>
      <w:pPr>
        <w:ind w:right="160"/>
        <w:spacing w:after="0" w:line="323" w:lineRule="auto"/>
        <w:rPr>
          <w:sz w:val="20"/>
          <w:szCs w:val="20"/>
          <w:color w:val="auto"/>
        </w:rPr>
      </w:pPr>
      <w:r>
        <w:rPr>
          <w:rFonts w:ascii="Arial" w:cs="Arial" w:eastAsia="Arial" w:hAnsi="Arial"/>
          <w:sz w:val="16"/>
          <w:szCs w:val="16"/>
          <w:color w:val="auto"/>
        </w:rPr>
        <w:t>5 million barrels of combined storage capacity and are connected to area refineries through a network of owned and third-party pipelines that carry crude oil and refined products to and from area refineries. These terminals have dock facilities and our Richmond terminal is also able to receive product by rail.</w:t>
      </w:r>
    </w:p>
    <w:p>
      <w:pPr>
        <w:spacing w:after="0" w:line="139"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i w:val="1"/>
          <w:iCs w:val="1"/>
          <w:color w:val="auto"/>
        </w:rPr>
        <w:t xml:space="preserve">Mobile and Ten Mile Terminal. </w:t>
      </w:r>
      <w:r>
        <w:rPr>
          <w:rFonts w:ascii="Arial" w:cs="Arial" w:eastAsia="Arial" w:hAnsi="Arial"/>
          <w:sz w:val="18"/>
          <w:szCs w:val="18"/>
          <w:color w:val="auto"/>
        </w:rPr>
        <w:t>We have a marine terminal in Mobile, Alabama (the “Mobile Terminal”) that has current useable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2 million barrels. Approximately 4 million barrels of additional storage capacity is available at our nearby Ten Mile Facility, which is connected to our Mobile Terminal via a 36-inch pipeline. Of this capacity, approximately 3 million barrels supports our Facilities segment operations, with the remaining storage supporting our Transportation segment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Pipeline at our station in Liberty, Mississippi. Our Ten Mile Facility is connected to our Pascagoula Pipeline.</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6 million barrels of storage capacity and includes an associated manifold and header system at the Patoka</w:t>
      </w:r>
      <w:r>
        <w:rPr>
          <w:rFonts w:ascii="Arial" w:cs="Arial" w:eastAsia="Arial" w:hAnsi="Arial"/>
          <w:sz w:val="16"/>
          <w:szCs w:val="16"/>
          <w:i w:val="1"/>
          <w:iCs w:val="1"/>
          <w:color w:val="auto"/>
        </w:rPr>
        <w:t xml:space="preserve"> </w:t>
      </w:r>
      <w:r>
        <w:rPr>
          <w:rFonts w:ascii="Arial" w:cs="Arial" w:eastAsia="Arial" w:hAnsi="Arial"/>
          <w:sz w:val="16"/>
          <w:szCs w:val="16"/>
          <w:color w:val="auto"/>
        </w:rPr>
        <w:t>Interchange located in southern Illinois. Our terminal has access to all major pipelines and terminals at the Patoka Interchange. Patoka is a growing regional hub with access to domestic and foreign crude oil for certain volumes moving north on the Capline Pipeline as well as Canadian barrels moving south.</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We have 11 million barrels of crude oil storage capacity at the St. James crude oil interchange in Louisiana, which is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load, tankers and barges and is also connected to our rail unloading facility. See “Rail Facilities” below for further discussion. In 2015, we added approximately 1 million barrels of storage capacity to the St. James terminal, and we expect to add approximately 1.5 million barrels of capacity in 2016.</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our Yorktown facility located in Virginia,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 million barrels of 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ectPr>
          <w:pgSz w:w="11900" w:h="16838" w:orient="portrait"/>
          <w:cols w:equalWidth="0" w:num="1">
            <w:col w:w="11420"/>
          </w:cols>
          <w:pgMar w:left="240" w:top="104" w:right="239" w:bottom="169" w:gutter="0" w:footer="0" w:header="0"/>
          <w:type w:val="continuous"/>
        </w:sectPr>
      </w:pPr>
    </w:p>
    <w:bookmarkStart w:id="19" w:name="page20"/>
    <w:bookmarkEnd w:id="19"/>
    <w:p>
      <w:pPr>
        <w:spacing w:after="0" w:line="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18"/>
          <w:szCs w:val="18"/>
          <w:color w:val="auto"/>
        </w:rPr>
        <w:t>We own a 50% interest in Eagle Ford Terminals, which is currently developing a terminal in Corpus Christi, Texas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loading ocean going vessels at a rate of 20,000 barrels per hour. Initial storage capacity of the terminal will be 1.2 million barrels. The facility will have access to production from both the Eagle Ford and the Permian Basin through the Eagle Ford joint venture pipeline and is expected to be placed in service in 2018. Enterprise owns the remaining 50% interest in Eagle Ford Terminals.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4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track and six truck racks.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22 storage caverns with approximately 5 million barrels in useable storage capacity.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2013, we began upgrading our Fort Saskatchewan storage capacity as part of a multi-phase expansion. The first phase of the expansion will add two new NGL storage caverns each with a capacity of 350,000 barrels and will convert approximately 2.4 million barrels of existing NGL mix storage capacity to propane and condensate storage supported by the addition of approximately 2.4 million barrels of new brine pond capacity. Additionally, as part of the first phase of the project, we expanded our propane truck loading capabilities and added new butane truck loading, which came in service in early 2015. The second phase of the project will see the development of two new ethane caverns totaling 1.6 million barrels of capacity which are supported by long-term commitments from third parties.</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facility consists of (i) our Sarnia facility, (ii) our Windsor storage terminal and (iii) our St. Clair terminal. The Sarnia</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a large NGL fractionation, storage and shipping facility located on a 380–acre plant site in the Sarnia Chemical Valley. There are 36 multi-product railcar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4 million barrels of useable storage capacity. In 2012, we initiated a brine disposal program that will facilitate the removal of excess brine via truck from our Sarnia facility. The project increased useable NGL storage capacity at the facility by 1 million barrels in 2015, and is expected to increase capacity by as much as 3 million barrels when completed.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terminal assets include 16 multi-product rail tank car loading spots and a propane truck loading rack. In 2014, we initiated a brine disposal program that will facilitate the removal of excess brine via pipeline from our Windsor storage terminal. The project is expected to increase useable NGL storage capacity at the facility by approximately 1 million barrels.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five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63-mile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2015,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have 22 direct interconnects with third party interstate pipelines, industrial facilities and gas fired power plants, serving markets in the Gulf Coast, Midwest, Mid-Atlantic, Northeast, and Southeast regions of the United States and the Southeastern portion of Canada.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and/or operate four straddle plants and two field gas processing plants located in Western Canada with an aggregate net natural gas processing capacity of approximately 5.4 Bcf per day and long-term liquid supply contracts relating to a third-party owned straddle plant with gross processing capacity of approximately 2.5 Bcf per day. We also own and operate four natural gas processing plants located in Louisiana and Alabama with an aggregate natural gas processing capacity of approximately 0.6 Bcf per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NGL mix for delivery to the Sarnia facility via the Enbridge pipeline.</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fractionation feedstock is supplied via the Fort Saskatchewan Pipeline System which connects to the Co-Ed NGL Pipeline System. Through ownership in the Keyera Fort Saskatchewan fractionation plant, we have additional fractionation capacity, net to our share of 6,300 barrels per day.</w:t>
      </w:r>
    </w:p>
    <w:p>
      <w:pPr>
        <w:sectPr>
          <w:pgSz w:w="11900" w:h="16908" w:orient="portrait"/>
          <w:cols w:equalWidth="0" w:num="1">
            <w:col w:w="11420"/>
          </w:cols>
          <w:pgMar w:left="240" w:top="125" w:right="239" w:bottom="0" w:gutter="0" w:footer="0" w:header="0"/>
        </w:sectPr>
      </w:pPr>
    </w:p>
    <w:bookmarkStart w:id="20" w:name="page21"/>
    <w:bookmarkEnd w:id="20"/>
    <w:p>
      <w:pPr>
        <w:ind w:right="100" w:firstLine="648"/>
        <w:spacing w:after="0" w:line="259" w:lineRule="auto"/>
        <w:rPr>
          <w:sz w:val="20"/>
          <w:szCs w:val="20"/>
          <w:color w:val="auto"/>
        </w:rPr>
      </w:pPr>
      <w:r>
        <w:rPr>
          <w:rFonts w:ascii="Arial" w:cs="Arial" w:eastAsia="Arial" w:hAnsi="Arial"/>
          <w:sz w:val="18"/>
          <w:szCs w:val="18"/>
          <w:color w:val="auto"/>
        </w:rPr>
        <w:t>We recently approved a project to expand our fractionation capacity to provide producers with additional fractionation infrastructure necessary to develop the significant liquids-rich natural gas reserves in western Canada. Upon our target completion date in mid-2017, this expansion will increase capacity to produce a combination of spec NGL products and NGL mix by 20,000 barrels per day. This project is supported by long-term commitments from third parties.</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2015, we commissioned an approximate 40-mile NGL pipeline system capable of delivering up to 10,000 barrels per day from California Resources Corporation’s Elk Hills Gas plant to our Shafter facility, increased our storage capacity by 30,000 barrels and added 10,000 barrels per day of rail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and is adjacent to our Gardendale terminal and rail facility. We completed an expansion of the facility in the second half of 2015, bringing the total processing capacity of the facility to 120,000 barrels per day. The facility has useable storage capacity of 160,000 barrels. In 2015, we also placed in service a ten mile pipeline that connects to a third party pipeline delivering NGL to Mont Belvieu. Throughput at the Gardendale processing facility is supplied by long-term commitments from producers.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own seven active crude oil and condensate rail loading terminals, six of which service production in the Niobrara, Eagle Ford, Permian Basin and Bakken shale formations and have a combined loading capacity of approximately 322,000 barrels per day. These facilities are located in Carr, Colorado; Tampa, Colorado; Gardendale, Texas; McCamey, Texas; Manitou, North Dakota; and Van Hook, North Dakota. Our rail terminal in Western Canada near Kerrobert, Saskatchewan was placed in service in the fourth quarter of 2015, with an initial capacity of approximately 60,000 barrels per day.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own three active crude oil rail unloading terminals that have a combined unloading capacity of approximately 350,000 barrels per day. Our terminal at St. James, Louisiana is connected to our rail unloading facility that has an unload capacity of 140,000 barrels of sweet crude oil per day. In late 2015, we commissioned a project to enhance our St. James rail facility with capability to receive heavy crude oil. Our Yorktown, Virginia rail facility receives unit trains and has an unload capacity of approximately 140,000 barrels per day, and our Bakersfield, California rail facility receives unit trains and has permitted capacity to unload 70,000 barrels per day.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own 21 operational NGL rail facilities strategically located near NGL storage, pipelines, gas production or propane distribution centers throughout the United States and Canada. Our NGL rail facilities currently have 258 railcar rack spots and 1,128 railcar storage spots and we have the ability to switch our own railcars at six of these terminals.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approved a number of expansion projects at our Fort Saskatchewan facility, including a 60 car per day propane rail loading facility, which we plan to place in service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ectPr>
          <w:pgSz w:w="11900" w:h="16838" w:orient="portrait"/>
          <w:cols w:equalWidth="0" w:num="1">
            <w:col w:w="11420"/>
          </w:cols>
          <w:pgMar w:left="240" w:top="341" w:right="239" w:bottom="0" w:gutter="0" w:footer="0" w:header="0"/>
        </w:sectPr>
      </w:pPr>
    </w:p>
    <w:bookmarkStart w:id="21" w:name="page22"/>
    <w:bookmarkEnd w:id="21"/>
    <w:p>
      <w:pPr>
        <w:ind w:left="980" w:right="24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 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See “— Impact of Commodity Price Volatility and Dynamic Market Conditions on Our Business Model” below for further discussion.</w:t>
      </w:r>
    </w:p>
    <w:p>
      <w:pPr>
        <w:spacing w:after="0" w:line="16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2015,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990 trucks and 1,100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10,100 crude oil and NGL railcars.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connection with its operations, our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Volumes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(MBbls/d)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57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NGL sales</w:t>
            </w:r>
          </w:p>
        </w:tc>
        <w:tc>
          <w:tcPr>
            <w:tcW w:w="722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7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8"/>
                <w:szCs w:val="18"/>
                <w:color w:val="auto"/>
              </w:rPr>
              <w:t>Supply and Logistics activities total</w:t>
            </w:r>
          </w:p>
        </w:tc>
        <w:tc>
          <w:tcPr>
            <w:tcW w:w="57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740" w:type="dxa"/>
            <w:vAlign w:val="bottom"/>
            <w:vMerge w:val="restart"/>
          </w:tcPr>
          <w:p>
            <w:pPr>
              <w:jc w:val="right"/>
              <w:ind w:right="4050"/>
              <w:spacing w:after="0"/>
              <w:rPr>
                <w:sz w:val="20"/>
                <w:szCs w:val="20"/>
                <w:color w:val="auto"/>
              </w:rPr>
            </w:pPr>
            <w:r>
              <w:rPr>
                <w:rFonts w:ascii="Arial" w:cs="Arial" w:eastAsia="Arial" w:hAnsi="Arial"/>
                <w:sz w:val="18"/>
                <w:szCs w:val="18"/>
                <w:color w:val="auto"/>
              </w:rPr>
              <w:t>30</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Borders>
              <w:bottom w:val="single" w:sz="8" w:color="808080"/>
            </w:tcBorders>
          </w:tcPr>
          <w:p>
            <w:pPr>
              <w:spacing w:after="0"/>
              <w:rPr>
                <w:sz w:val="11"/>
                <w:szCs w:val="11"/>
                <w:color w:val="auto"/>
              </w:rPr>
            </w:pPr>
          </w:p>
        </w:tc>
        <w:tc>
          <w:tcPr>
            <w:tcW w:w="57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Crude Oil and NGL Purchases. </w:t>
      </w:r>
      <w:r>
        <w:rPr>
          <w:rFonts w:ascii="Arial" w:cs="Arial" w:eastAsia="Arial" w:hAnsi="Arial"/>
          <w:sz w:val="16"/>
          <w:szCs w:val="16"/>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the crude oil to market. In addition, from time to time, we purchase foreign crude oil. Under these contracts we may purchase crude oil upon delivery in the United States or we may purchase crude oil in foreign locations and transport it on third-party tankers. From time to time, we enter into various types of purchase and exchange transactions including fixed price purchase contracts, collars, financial swaps and crude oil and NGL-related futures contracts as hedging devices.</w:t>
      </w:r>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pipeline terminal locations, rail facilities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 Our crude oil sales contracts generally range in term from thirty-day evergreen to five years, with the majority ranging from thirty days to one year and a limited number of contracts extending up to seven years. We sell NGL primarily to propane and refined product retailers, petrochemical companies and refiners, and limited volumes to other marketers. A majority of our NGL contracts generally range in term from a thirty-day evergreen to one year. With the</w:t>
      </w:r>
    </w:p>
    <w:p>
      <w:pPr>
        <w:sectPr>
          <w:pgSz w:w="11900" w:h="16838" w:orient="portrait"/>
          <w:cols w:equalWidth="0" w:num="1">
            <w:col w:w="11460"/>
          </w:cols>
          <w:pgMar w:left="240" w:top="125" w:right="199" w:bottom="0" w:gutter="0" w:footer="0" w:header="0"/>
        </w:sectPr>
      </w:pPr>
    </w:p>
    <w:bookmarkStart w:id="22" w:name="page23"/>
    <w:bookmarkEnd w:id="22"/>
    <w:p>
      <w:pPr>
        <w:spacing w:after="0" w:line="273" w:lineRule="auto"/>
        <w:rPr>
          <w:sz w:val="20"/>
          <w:szCs w:val="20"/>
          <w:color w:val="auto"/>
        </w:rPr>
      </w:pPr>
      <w:r>
        <w:rPr>
          <w:rFonts w:ascii="Arial" w:cs="Arial" w:eastAsia="Arial" w:hAnsi="Arial"/>
          <w:sz w:val="17"/>
          <w:szCs w:val="17"/>
          <w:color w:val="auto"/>
        </w:rPr>
        <w:t>move to longer term (greater than one year) NGL supply contracts, longer term NGL sale contracts are also becoming more commonplace, usually with flexible pricing mechanisms to ensure the sale remains market-based for both the buyer and seller.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 price delivery contracts, collars, financial swaps and crude oil and NGL-related futures contracts as hedging devices.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natural gas merchant storage activities, we incur certain storage-related costs. These costs consist of fees incurred to secure third-party pipeline capacity and natural gas storage and transaction costs associated with managing injection and deliverability capacity at our facilities. Costs associated with our third-party pipeline capacity are subject to variation as the terms of these agreements typically contain certain fees which fluctuate based on actual volumes shipped in addition to monthly reservation fees.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(“WTI”) crude oil benchmark prices have ranged from a low of approximately $10 per barrel during 1986 to a high of over $147 per barrel during 2008. During 2015, West Texas Intermediate crude oil prices traded within a range of approximately $35 to $61 per barrel. There is also volatility within the propane and butane markets as seen through the North American benchmark price located at Mont Belvieu, Texas. Specifically, propane prices have ranged from a low of approximately 39% of the WTI benchmark price for crude oil in 2015 to a high of approximately 81% of the WTI benchmark price for crude oil in 2000. Butane has seen a price range from a low of approximately 52% of the WTI benchmark price for crude oil in 2015 to a high of approximately 93% of the WTI benchmark price for crude oil in 2000.</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gross profit from these activities have little correlation to absolute commodity prices. Relative contribution levels will vary from quarter-to-quarter due to seasonal and other similar factors, but our fee-based Transportation and Facilities segments should comprise approximately 70% to 80% of our aggregate base level segment profit.</w:t>
      </w:r>
    </w:p>
    <w:p>
      <w:pPr>
        <w:sectPr>
          <w:pgSz w:w="11900" w:h="16838" w:orient="portrait"/>
          <w:cols w:equalWidth="0" w:num="1">
            <w:col w:w="11420"/>
          </w:cols>
          <w:pgMar w:left="240" w:top="125" w:right="239" w:bottom="63" w:gutter="0" w:footer="0" w:header="0"/>
        </w:sectPr>
      </w:pPr>
    </w:p>
    <w:bookmarkStart w:id="23" w:name="page24"/>
    <w:bookmarkEnd w:id="23"/>
    <w:p>
      <w:pPr>
        <w:ind w:right="240"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In recent periods,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 party pipelines who have committed to ship more production than they have and are purchasing barrels in the market for shipment on the applicable third party pipeline in satisfaction of their transportation commitments, often doing so at a loss because the loss on sale of the purchased crude oil will be less than the amount of the take-or-pay obligation on the pipeline. This type of activity has put downward pressure on volumes and margins across our three business segments. While recent market conditions have been challenging, we believe the complementary, balanced nature of our business activities and diversification of our asset base among varying regions and demand-driven and supply-driven markets provides us with the opportunity to generate a base level of cash flow in a variety of market scenarios.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providing the opportunity to generate a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combination of fee-based cash flow from our Transportation and Facilities segments, complemented by a number of diverse, flexible and counter-balanced sources of cash flow within our Supply and Logistics segment is intended to provide us with the opportunity to generate a base level of cash flow and provide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During certain transitional periods, such as this extended period of lower crude oil prices, the ability to generate above base line performance is challenging, and taking into account the over-capacity of midstream assets that currently exists in most crude oil producing regions, generating even baseline level performance will be challenging. See “Global Petroleum Market Overview” above for additional discussion regarding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ectPr>
          <w:pgSz w:w="11900" w:h="16838" w:orient="portrait"/>
          <w:cols w:equalWidth="0" w:num="1">
            <w:col w:w="11420"/>
          </w:cols>
          <w:pgMar w:left="240" w:top="125" w:right="239" w:bottom="0" w:gutter="0" w:footer="0" w:header="0"/>
        </w:sectPr>
      </w:pPr>
    </w:p>
    <w:bookmarkStart w:id="24" w:name="page25"/>
    <w:bookmarkEnd w:id="24"/>
    <w:p>
      <w:pPr>
        <w:ind w:right="160" w:firstLine="648"/>
        <w:spacing w:after="0" w:line="271" w:lineRule="auto"/>
        <w:rPr>
          <w:sz w:val="20"/>
          <w:szCs w:val="20"/>
          <w:color w:val="auto"/>
        </w:rPr>
      </w:pPr>
      <w:r>
        <w:rPr>
          <w:rFonts w:ascii="Arial" w:cs="Arial" w:eastAsia="Arial" w:hAnsi="Arial"/>
          <w:sz w:val="17"/>
          <w:szCs w:val="17"/>
          <w:color w:val="auto"/>
        </w:rPr>
        <w:t>Marathon Petroleum Corporation and its subsidiaries accounted for approximately 17%, 17% and 15% of our revenues for the years ended December 31, 2015, 2014 and 2013, respectively. ExxonMobil Corporation and its subsidiaries accounted for approximately 13%, 15% and 13% of our revenues for the years ended December 31, 2015, 2014 and 2013, respectively. Phillips 66 and its subsidiaries accounted for approximately 11% of our revenues for the year ended December 31, 2013. No other customers accounted for 10% or more of our revenues during any of the three years ended December 31, 2015, 2014 and 2013.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13 to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We believe that high capital requirements, environmental considerations and the difficulty in acquiring rights-of-way and related permits, together with the fact that many of the producing basins in the United States and Canada currently have excess take-away capacity (whether by pipeline or rail), make it unlikely that new competing pipeline systems comparable in size and scope to our pipeline systems (and excluding those already publicly announced to be under development or construction) will be built in the foreseeable future. 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the current environment, such competition for marginal or incremental volumes has been exacerbated in some areas by shippers on third party pipelines who have committed to ship more production than they have and are purchasing barrels in the market and shipping them on the applicable third party pipeline in satisfaction of their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In all material respects, we believe that we are in substantial compliance with the various laws, rules and regulations that apply to our assets, operations and business activities; however, we can provide no assurances in that regard. See “Risk Factors—Risks Related to PAA’s Business—PAA’s operations are also subject to laws and regulations relating to protection of the environment and wildlife, operational safety, climate change and related matters that may expose it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In 2010 we settled by means of separate Consent Decrees, two Department of Justice (“DOJ”)/Environmental Protection 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w:t>
      </w:r>
    </w:p>
    <w:p>
      <w:pPr>
        <w:sectPr>
          <w:pgSz w:w="11900" w:h="16838" w:orient="portrait"/>
          <w:cols w:equalWidth="0" w:num="1">
            <w:col w:w="11400"/>
          </w:cols>
          <w:pgMar w:left="240" w:top="125" w:right="259" w:bottom="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both the cost to comply with applicable laws and regulations and any claims made by third parties. The following is a summary of some of the environmental, health and safety laws and regulations to which our operations are subject.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 Integrity Management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$107 million in 2015, $107 million in 2014 and $57 million in 2013. Based on currently available information, our preliminary estimate for 2016 is that we will incur approximately $65 million in capital expenditures and approximately $37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for such activities were approximately $33 million in 2015, $21 million in 2014 and $22 million in 2013, and our preliminary estimate for 2016 is that we will incur approximately $30 million of such costs.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2012, the “Pipeline Safety, Regulatory Certainty, and Job Creation Act of 2011” (the “2011 Act”) became effective. Under the 2011 Act, maximum civil penalties for certain violations have been increased from $100,000 to $200,000 per violation per day, and from a total cap of $1 million to $2 million. In addition, the 2011 Act reauthorized the federal pipeline safety programs of PHMSA through September 30, 2015, and directs the Secretary of Transportation to undertake a number of reviews, studies and reports, some of which may result in additional natural gas and hazardous liquids pipeline safety rulemaking. A number of the provisions of the 2011 Act have the potential to cause owners and operators of pipeline facilities to incur significant capital expenditures and/or operating costs.</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Senate Committee on Commerce, Science &amp; Transportation passed the “Securing America’s Future Energy: Protecting Infrastructure of Pipelines and Enhancing Safety Act” (“SAFE PIPES Act”) on December 9, 2015. This bill would (i) reauthorize PHMSA through fiscal year 2019, (ii) require reports to Congress on the status of rulemaking efforts in the areas of integrity management, leak detection and accident and incident notification and,</w:t>
      </w:r>
    </w:p>
    <w:p>
      <w:pPr>
        <w:ind w:right="58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PHMSA to initiate new rulemaking for underground natural gas storage facilities and (iv) require PHMSA to define the Great Lakes as an ecological resource under 49 CFR 195.6 (b). The committee has sent the bill to the Senate for further consideration.</w:t>
      </w:r>
    </w:p>
    <w:p>
      <w:pPr>
        <w:spacing w:after="0" w:line="18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October 2015, PHMSA published a Notice of Proposed Rulemaking (“NPRM”) in the Federal Register proposing to make changes to the hazardous liquid pipeline safety regulations. PHMSA is proposing to make the following changes to the regulations:</w:t>
      </w:r>
    </w:p>
    <w:p>
      <w:pPr>
        <w:spacing w:after="0" w:line="170" w:lineRule="exact"/>
        <w:rPr>
          <w:sz w:val="20"/>
          <w:szCs w:val="20"/>
          <w:color w:val="auto"/>
        </w:rPr>
      </w:pPr>
    </w:p>
    <w:p>
      <w:pPr>
        <w:ind w:left="1300" w:hanging="27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 reporting requirements to all hazardous liquid gravity and gathering lines;</w:t>
      </w:r>
    </w:p>
    <w:p>
      <w:pPr>
        <w:spacing w:after="0" w:line="23" w:lineRule="exact"/>
        <w:rPr>
          <w:rFonts w:ascii="Arial" w:cs="Arial" w:eastAsia="Arial" w:hAnsi="Arial"/>
          <w:sz w:val="18"/>
          <w:szCs w:val="18"/>
          <w:color w:val="auto"/>
        </w:rPr>
      </w:pPr>
    </w:p>
    <w:p>
      <w:pPr>
        <w:ind w:left="1300" w:hanging="27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inspections of pipelines in areas affected by extreme weather, natural disasters, and other similar events;</w:t>
      </w:r>
    </w:p>
    <w:p>
      <w:pPr>
        <w:spacing w:after="0" w:line="9" w:lineRule="exact"/>
        <w:rPr>
          <w:rFonts w:ascii="Arial" w:cs="Arial" w:eastAsia="Arial" w:hAnsi="Arial"/>
          <w:sz w:val="18"/>
          <w:szCs w:val="18"/>
          <w:color w:val="auto"/>
        </w:rPr>
      </w:pPr>
    </w:p>
    <w:p>
      <w:pPr>
        <w:ind w:left="1300" w:hanging="27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leak detection systems on hazardous liquid pipelines in all locations;</w:t>
      </w:r>
    </w:p>
    <w:p>
      <w:pPr>
        <w:spacing w:after="0" w:line="9" w:lineRule="exact"/>
        <w:rPr>
          <w:rFonts w:ascii="Arial" w:cs="Arial" w:eastAsia="Arial" w:hAnsi="Arial"/>
          <w:sz w:val="18"/>
          <w:szCs w:val="18"/>
          <w:color w:val="auto"/>
        </w:rPr>
      </w:pPr>
    </w:p>
    <w:p>
      <w:pPr>
        <w:ind w:left="1300" w:hanging="27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Modify the provisions for making pipeline repairs;</w:t>
      </w:r>
    </w:p>
    <w:p>
      <w:pPr>
        <w:spacing w:after="0" w:line="9" w:lineRule="exact"/>
        <w:rPr>
          <w:rFonts w:ascii="Arial" w:cs="Arial" w:eastAsia="Arial" w:hAnsi="Arial"/>
          <w:sz w:val="18"/>
          <w:szCs w:val="18"/>
          <w:color w:val="auto"/>
        </w:rPr>
      </w:pPr>
    </w:p>
    <w:p>
      <w:pPr>
        <w:ind w:left="1340" w:right="80" w:hanging="318"/>
        <w:spacing w:after="0" w:line="250" w:lineRule="auto"/>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all pipelines subject to the Integrity Management requirements be capable of accommodating inline inspection tools within 20 years; and,</w:t>
      </w:r>
    </w:p>
    <w:p>
      <w:pPr>
        <w:ind w:left="1300" w:hanging="27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Clarifications to improve certainty and compliance to certain existing regulations.</w:t>
      </w:r>
    </w:p>
    <w:p>
      <w:pPr>
        <w:spacing w:after="0" w:line="211" w:lineRule="exact"/>
        <w:rPr>
          <w:sz w:val="20"/>
          <w:szCs w:val="20"/>
          <w:color w:val="auto"/>
        </w:rPr>
      </w:pPr>
    </w:p>
    <w:p>
      <w:pPr>
        <w:ind w:right="180" w:firstLine="654"/>
        <w:spacing w:after="0" w:line="276" w:lineRule="auto"/>
        <w:rPr>
          <w:sz w:val="20"/>
          <w:szCs w:val="20"/>
          <w:color w:val="auto"/>
        </w:rPr>
      </w:pPr>
      <w:r>
        <w:rPr>
          <w:rFonts w:ascii="Arial" w:cs="Arial" w:eastAsia="Arial" w:hAnsi="Arial"/>
          <w:sz w:val="17"/>
          <w:szCs w:val="17"/>
          <w:color w:val="auto"/>
        </w:rPr>
        <w:t>A number of the provisions of this NPRM have the potential to cause owners and operators of pipeline facilities to incur significant capital expenditures and/or operating costs. It is not known when, or in what form, this proposed rulemaking will become final. More recently, in February 2016, PHMSA issued an advisory bulletin for natural gas storage facility operators in response to the leak at a third-party gas storage facility in Southern California. PHMSA indicated when it issued the advisory bulletin that additional regulations related to safety standards for natural gas storage facilities are likely forthcoming. At this time, we cannot predict the impact of any future regulatory actions in this area.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interstate pipelines. In practice, states vary in their authority and capacity to address pipeline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California Governor approved the following three bills on October 8, 2015 related to pipeline safety:</w:t>
      </w:r>
    </w:p>
    <w:p>
      <w:pPr>
        <w:spacing w:after="0" w:line="225" w:lineRule="exact"/>
        <w:rPr>
          <w:sz w:val="20"/>
          <w:szCs w:val="20"/>
          <w:color w:val="auto"/>
        </w:rPr>
      </w:pPr>
    </w:p>
    <w:p>
      <w:pPr>
        <w:ind w:left="1300" w:right="80" w:hanging="320"/>
        <w:spacing w:after="0" w:line="27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Oil Spill Response Bill allows volunteer cleanup crews to be paid as contractors, requires oil skimmers to be placed along the coastline at all times, and prohibits the use of dispersants until EPA issues rules on dispersant safety.</w:t>
      </w:r>
    </w:p>
    <w:p>
      <w:pPr>
        <w:sectPr>
          <w:pgSz w:w="11900" w:h="16838" w:orient="portrait"/>
          <w:cols w:equalWidth="0" w:num="1">
            <w:col w:w="11400"/>
          </w:cols>
          <w:pgMar w:left="240" w:top="125" w:right="259" w:bottom="0" w:gutter="0" w:footer="0" w:header="0"/>
        </w:sectPr>
      </w:pPr>
    </w:p>
    <w:bookmarkStart w:id="26" w:name="page27"/>
    <w:bookmarkEnd w:id="26"/>
    <w:p>
      <w:pPr>
        <w:jc w:val="both"/>
        <w:ind w:left="1300" w:right="520" w:hanging="320"/>
        <w:spacing w:after="0" w:line="256" w:lineRule="auto"/>
        <w:tabs>
          <w:tab w:leader="none" w:pos="1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Pipeline Safety: Inspections Bill mandates annual pipeline inspections commencing January 1, 2017, with the State Fire Marshal responsible for annually inspecting all intrastate pipelines and operators of intrastate pipelines under the jurisdiction of the State Fire Marshal.</w:t>
      </w:r>
    </w:p>
    <w:p>
      <w:pPr>
        <w:ind w:left="1300" w:right="620" w:hanging="320"/>
        <w:spacing w:after="0" w:line="261" w:lineRule="auto"/>
        <w:tabs>
          <w:tab w:leader="none" w:pos="1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Oil Spill Response: Environmentally and Ecologically Sensitive Areas Bill requires automatic shut-offs for pipelines located in environmentally sensitive areas.</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Efforts are now underway to draft regulations in order to adopt the provisions of the bills by early 2017. We cannot currently predict the impact and costs of these new laws, and any associated regulations, on our operations.</w:t>
      </w:r>
    </w:p>
    <w:p>
      <w:pPr>
        <w:spacing w:after="0" w:line="170"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$33 million, $32 million and $26 million in 2015, 2014 and 2013, respectively. For 2016, we have budgeted approximately $34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Canada, the NEB and provincial agencies such as the Alberta Energy Regulator (“AER”) and the Saskatchewan Ministry of Economy regulate the safety and integrity management of pipelines and storage tanks used for hydrocarbon transmission. We have incurred and will continue to incur costs related to such regulatory requirements.</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June 2015, the Pipeline Safety Act, SC 2015, c. 21 received royal assent. Upon coming into force in June 2016, it will amend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Canada will be the first country to introduce absolute liability, irrespective of fault, for all costs and damages resulting from an uncontrolled release of oil, gas or other commodity from a major pipeline (i.e. with transport capacity over 250,000 barrels per day), or otherwise as prescribed by regulation for pipelines with lower capacity, up to $1 billion. In instances involving fault or negligence, liability will continue to be unlimited. Additionally, operators will be required to maintain the financial resources necessary to meet the applicable absolute liability obligations imposed under the Act. Finally, the Act imposes more stringent requirements with respect to abandoned pipelines, including an obligation to maintain adequate funds to pay for abandonment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required activities, our Canadian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$66 million, $66 million and $90 million in 2015, 2014 and 2013, respectively. Our preliminary estimate for 2016 is approximately $66 million.</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will be subject to more rigorous and costly disposal requirements, resulting in additional capital expenditures or operating expenses.</w:t>
      </w:r>
    </w:p>
    <w:p>
      <w:pPr>
        <w:sectPr>
          <w:pgSz w:w="11900" w:h="16838" w:orient="portrait"/>
          <w:cols w:equalWidth="0" w:num="1">
            <w:col w:w="11380"/>
          </w:cols>
          <w:pgMar w:left="240" w:top="125" w:right="27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United States operations are subject to the United States Clean Air Act (“Clean Air Act”), comparable state laws and associated state and federal regulations. In October 2015, the U.S. EPA promulgated a revised ambient standard for ozone. While full implementation of the standard may take a number of years, the revised standard could make air permit for sources of volatile organic compounds (such as crude oil tank farms) more difficult to obtain in some areas.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Canadian operations are subject to federal and provincial air emission regulations. New Canadian standards for air quality and industrial air emissions were implemented in May 2013. The new standards provide more stringent objectives for outdoor air quality, including a long term (annual) target for fine particulate matter. Under these laws, permits may be required before construction can commence on a new or modified source of potentially significant air emissions, and operating permits may be required for sources already constructed.</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a result of the changing requirements in both Canada and the United States such as those mentioned above,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the reporting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our facilities and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EPA has also promulgated regulations establishing Title V and Prevention of Significant Deterioration permitting requirements for certain large sources of GHGs. Fewer than ten of our existing facilities are potential major sources of GHG subject to these permitting requirements. We may be required to install “best available control technology” or (“BACT”) to limit emissions of GHGs from any new or significantly modified facilities that we may seek to construct in the future if they emit quantities of GHGs that trigger the requirements of these regulations. For facilities such as ours, BACT will normally take the form of enhanced energy efficiency measures rather than post-combustion GHG capture requirements. We do not anticipate that the imposition of enhanced energy efficiency requirements will have a material adverse effect on the cost of our operations.</w:t>
      </w:r>
    </w:p>
    <w:p>
      <w:pPr>
        <w:sectPr>
          <w:pgSz w:w="11900" w:h="16838" w:orient="portrait"/>
          <w:cols w:equalWidth="0" w:num="1">
            <w:col w:w="11400"/>
          </w:cols>
          <w:pgMar w:left="240" w:top="125" w:right="259" w:bottom="0" w:gutter="0" w:footer="0" w:header="0"/>
        </w:sectPr>
      </w:pPr>
    </w:p>
    <w:bookmarkStart w:id="28" w:name="page29"/>
    <w:bookmarkEnd w:id="28"/>
    <w:p>
      <w:pPr>
        <w:ind w:right="80" w:firstLine="648"/>
        <w:spacing w:after="0" w:line="264" w:lineRule="auto"/>
        <w:rPr>
          <w:sz w:val="20"/>
          <w:szCs w:val="20"/>
          <w:color w:val="auto"/>
        </w:rPr>
      </w:pPr>
      <w:r>
        <w:rPr>
          <w:rFonts w:ascii="Arial" w:cs="Arial" w:eastAsia="Arial" w:hAnsi="Arial"/>
          <w:sz w:val="18"/>
          <w:szCs w:val="18"/>
          <w:color w:val="auto"/>
        </w:rPr>
        <w:t>In 2015, the EPA proposed regulations that, if adopted in 2016 as proposed, would require significant reductions in fugitive methane emissions from certain upstream and midstream oil and gas facilities. We do not expect the cost of complying with these rules to have a material effect on the cost of our operations.</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because it is a significant combustion source. As a result, compliance instruments for GHG emissions were purchased in 2015.</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January 1, 2015, the AB32 regulations for the first time cover finished fuel providers and importers. California finished fuels providers (refiners and importers) will be required to purchase GHG emission credits for finished fuel sold in or imported into California. The rules implementing the AB32 program were finalized in December 2011. The compliance requirements of the GHG cap-and-trade program through 2020 are being phased in. The California Air Resources Board is currently developing a scoping plan for AB32 compliance obligations after the year 2020. We will be reporting associated GHG emissions for finished fuels imported and exported across California borders and will be subject to the cap and trade program in 2016.</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Executive Order B-30-15 was signed by California’s Governor in mid-year 2015. This Executive Order will require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 This may increase the number of PAA facilities subject to this program.</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In December 2015, the Paris Agreement was signed at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annual Conference of Parties to the United Nations Framework Convention on Climate Change (“UNFCCC”). The Paris Agreement, upon ratification, will require signatory parties to develop and implement carbon emission reduction policies with a goal of limiting the rise in average global temperatures to 2°C or less. This Agreement is likely to become a significant driver for future potential GHG reduction programs in the United States and Canada.</w:t>
      </w:r>
    </w:p>
    <w:p>
      <w:pPr>
        <w:spacing w:after="0" w:line="202" w:lineRule="exact"/>
        <w:rPr>
          <w:sz w:val="20"/>
          <w:szCs w:val="20"/>
          <w:color w:val="auto"/>
        </w:rPr>
      </w:pPr>
    </w:p>
    <w:p>
      <w:pPr>
        <w:jc w:val="both"/>
        <w:ind w:right="240" w:firstLine="648"/>
        <w:spacing w:after="0" w:line="271"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Federal Regulation. </w:t>
      </w:r>
      <w:r>
        <w:rPr>
          <w:rFonts w:ascii="Arial" w:cs="Arial" w:eastAsia="Arial" w:hAnsi="Arial"/>
          <w:sz w:val="18"/>
          <w:szCs w:val="18"/>
          <w:color w:val="auto"/>
        </w:rPr>
        <w:t>Along with 194 other countries, Canada is a signatory to the UNFCCC, and the previously ratified “Kyoto Protocol”,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many nations, including Canada, agreed to limit emissions of GHGs. In December 2011, Canada formally withdrew from the Kyoto Protocol and replaced it with the “Durban Platform” committing it to develop a legally binding agreement to reduce GHG emissions, the terms of which are yet to be defined, but are to become effective in 2020.</w:t>
      </w:r>
    </w:p>
    <w:p>
      <w:pPr>
        <w:spacing w:after="0" w:line="187" w:lineRule="exact"/>
        <w:rPr>
          <w:sz w:val="20"/>
          <w:szCs w:val="20"/>
          <w:color w:val="auto"/>
        </w:rPr>
      </w:pPr>
    </w:p>
    <w:p>
      <w:pPr>
        <w:ind w:right="260" w:firstLine="693"/>
        <w:spacing w:after="0" w:line="259" w:lineRule="auto"/>
        <w:rPr>
          <w:sz w:val="20"/>
          <w:szCs w:val="20"/>
          <w:color w:val="auto"/>
        </w:rPr>
      </w:pPr>
      <w:r>
        <w:rPr>
          <w:rFonts w:ascii="Arial" w:cs="Arial" w:eastAsia="Arial" w:hAnsi="Arial"/>
          <w:sz w:val="18"/>
          <w:szCs w:val="18"/>
          <w:color w:val="auto"/>
        </w:rPr>
        <w:t>Since 2004, companies emitting more than 100 thousand tons per year (“kt/y”) of CO</w:t>
      </w:r>
      <w:r>
        <w:rPr>
          <w:rFonts w:ascii="Arial" w:cs="Arial" w:eastAsia="Arial" w:hAnsi="Arial"/>
          <w:sz w:val="11"/>
          <w:szCs w:val="11"/>
          <w:color w:val="auto"/>
        </w:rPr>
        <w:t>2</w:t>
      </w:r>
      <w:r>
        <w:rPr>
          <w:rFonts w:ascii="Arial" w:cs="Arial" w:eastAsia="Arial" w:hAnsi="Arial"/>
          <w:sz w:val="18"/>
          <w:szCs w:val="18"/>
          <w:color w:val="auto"/>
        </w:rPr>
        <w:t xml:space="preserve"> equivalent (“CO</w:t>
      </w:r>
      <w:r>
        <w:rPr>
          <w:rFonts w:ascii="Arial" w:cs="Arial" w:eastAsia="Arial" w:hAnsi="Arial"/>
          <w:sz w:val="11"/>
          <w:szCs w:val="11"/>
          <w:color w:val="auto"/>
        </w:rPr>
        <w:t>2</w:t>
      </w:r>
      <w:r>
        <w:rPr>
          <w:rFonts w:ascii="Arial" w:cs="Arial" w:eastAsia="Arial" w:hAnsi="Arial"/>
          <w:sz w:val="18"/>
          <w:szCs w:val="18"/>
          <w:color w:val="auto"/>
        </w:rPr>
        <w:t>e”) were required to report their GHG emissions under the Greenhouse Gas Emissions Reporting Program. In 2010, this reporting threshold was reduced to 50 kt/y. Two PMC facilities meet this reporting threshold. In May 2015, the federal government announced plans to reduce its GHG emissions by 30% below 2005 levels by 2030, and formally submitted the plan to the UNFCCC.</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Provincial Regulation. </w:t>
      </w:r>
      <w:r>
        <w:rPr>
          <w:rFonts w:ascii="Arial" w:cs="Arial" w:eastAsia="Arial" w:hAnsi="Arial"/>
          <w:sz w:val="17"/>
          <w:szCs w:val="17"/>
          <w:color w:val="auto"/>
        </w:rPr>
        <w:t>In 2014, Alberta introduced the Climate Change and Emissions Management Act, which provides a framework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GHG emissions by reducing specified gas emissions, relative to gross domestic product, to an amount that is equal to or less than 50% of 1990 levels by December 31, 2020. The accompanying regulations include the Specified Gas Emitters Regulation (the “SGER”), which imposes GHG emissions limits, the Specified Gas Reporting Regulation (the “SGRR”), which imposes GHG emissions reporting requirements, and the Administrative Penalty Regulation which sets out the penalty for non-compliance with the Climate Change and Emissions Management Act.</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SGER expires on December 31, 2017, to ensure it is reviewed for ongoing relevancy and necessity. The regulation applies to facilities in Alberta that have produced 100,000 or more tonnes of GHG emissions per year, and requires reductions in GHG emissions intensity (</w:t>
      </w:r>
      <w:r>
        <w:rPr>
          <w:rFonts w:ascii="Arial" w:cs="Arial" w:eastAsia="Arial" w:hAnsi="Arial"/>
          <w:sz w:val="16"/>
          <w:szCs w:val="16"/>
          <w:i w:val="1"/>
          <w:iCs w:val="1"/>
          <w:color w:val="auto"/>
        </w:rPr>
        <w:t>i.e.</w:t>
      </w:r>
      <w:r>
        <w:rPr>
          <w:rFonts w:ascii="Arial" w:cs="Arial" w:eastAsia="Arial" w:hAnsi="Arial"/>
          <w:sz w:val="16"/>
          <w:szCs w:val="16"/>
          <w:color w:val="auto"/>
        </w:rPr>
        <w:t>, the quantity of GHG emissions per unit of production) from emissions intensity baselines. The SGER establishes these emissions intensity baselines. Since the regulation came into effect, PMC has one facility (Fort Saskatchewan Storage and Fractionation Facility) which currently does not meet the reduction obligation. As such, PMC has been required to submit compliance credits which have been completed by submitting payment to the Climate Change Emissions Management Fund (the “CCEMC”). On June 25, 2015, the Alberta Government announced an amendment to the SGER, which stipulates that the maximum emissions intensity reduction requirement for all facilities will be increased to 15% after January 1, 2016, and then to 20% after January 1, 2017.</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the SGER, regulated facilities have four ways to comply with the annual emissions intensity reduction requirements: (1) improve emissions intensity at their facilities; (2) purchase Alberta-based offset credits; (3) purchase or use Emission Performance Credits (credits generated by other facilities that have reduced emissions below SGER specifications); or (4) purchase technology offset credits by contributing to Government of Alberta administered CCEMC. Payments into the CCEMC will increase to $20 per tonne of CO</w:t>
      </w:r>
      <w:r>
        <w:rPr>
          <w:rFonts w:ascii="Arial" w:cs="Arial" w:eastAsia="Arial" w:hAnsi="Arial"/>
          <w:sz w:val="11"/>
          <w:szCs w:val="11"/>
          <w:color w:val="auto"/>
        </w:rPr>
        <w:t>2</w:t>
      </w:r>
      <w:r>
        <w:rPr>
          <w:rFonts w:ascii="Arial" w:cs="Arial" w:eastAsia="Arial" w:hAnsi="Arial"/>
          <w:sz w:val="17"/>
          <w:szCs w:val="17"/>
          <w:color w:val="auto"/>
        </w:rPr>
        <w:t xml:space="preserve"> over a facility’s budget in 2016 and $30 per tonne in 2017, which will increase our operating costs in respect of the Fort Saskatchewan Storage and Fractionation Facility.</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In 2015, Alberta’s newly elected Government announced the </w:t>
      </w:r>
      <w:r>
        <w:rPr>
          <w:rFonts w:ascii="Arial" w:cs="Arial" w:eastAsia="Arial" w:hAnsi="Arial"/>
          <w:sz w:val="18"/>
          <w:szCs w:val="18"/>
          <w:i w:val="1"/>
          <w:iCs w:val="1"/>
          <w:color w:val="auto"/>
        </w:rPr>
        <w:t>Specified Gas Emitters Amendment Regulation</w:t>
      </w:r>
      <w:r>
        <w:rPr>
          <w:rFonts w:ascii="Arial" w:cs="Arial" w:eastAsia="Arial" w:hAnsi="Arial"/>
          <w:sz w:val="18"/>
          <w:szCs w:val="18"/>
          <w:color w:val="auto"/>
        </w:rPr>
        <w:t xml:space="preserve">, which introduced a fifth way for regulated facilities to meet their net emissions intensity limit—the cogeneration compliance adjustment (“CCA”) for the year—which is to be defined in the as of yet unpublished </w:t>
      </w:r>
      <w:r>
        <w:rPr>
          <w:rFonts w:ascii="Arial" w:cs="Arial" w:eastAsia="Arial" w:hAnsi="Arial"/>
          <w:sz w:val="18"/>
          <w:szCs w:val="18"/>
          <w:i w:val="1"/>
          <w:iCs w:val="1"/>
          <w:color w:val="auto"/>
        </w:rPr>
        <w:t>Standard for Completing Greenhouse Gas Compliance Reports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9" w:name="page30"/>
    <w:bookmarkEnd w:id="29"/>
    <w:p>
      <w:pPr>
        <w:ind w:right="20" w:firstLine="648"/>
        <w:spacing w:after="0" w:line="293" w:lineRule="auto"/>
        <w:rPr>
          <w:sz w:val="20"/>
          <w:szCs w:val="20"/>
          <w:color w:val="auto"/>
        </w:rPr>
      </w:pPr>
      <w:r>
        <w:rPr>
          <w:rFonts w:ascii="Arial" w:cs="Arial" w:eastAsia="Arial" w:hAnsi="Arial"/>
          <w:sz w:val="16"/>
          <w:szCs w:val="16"/>
          <w:color w:val="auto"/>
        </w:rPr>
        <w:t>Following the SGER amendments, the Government of Alberta appointed the Climate Change Advisory Panel to review current climate change policies and consult with public, industry, environmental and First Nations groups on climate change strategies. On November 26, 2015, the Government of Alberta released both the panel’s Climate Leadership Report to Minister (the “Report”) and its Climate Leadership Plan (the “Plan”). The Plan highlights four key strategies to address climate change: (1) completing the phase out of coal-fired sources of electricity by 2030, with cleaner, renewable energy sources in coal’s place; (2) replacing the current emissions intensity carbon pricing program with an emissions performance standard; (3) capping oil sands emissions to 100 megatonnes per year with a carbon price for oil sands facilities; and (4) reducing methane emissions by 45% by 2025.</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Government of Alberta is still developing the details of how the Plan will be implemented, but the Report states that carbon pricing will be central to the new strategy. The Report proposes a Carbon Competitiveness Regulation (“CCR”) to replace the SGER, under which the carbon price would reach $30 per tonne by 2018. The CCR would also include elements of cap-and-trade and carbon tax regimes with distinctions between large industrial emissions (facilities emitting greater than 100,000 tonnes of GHG annually) and end-use emissions (those from transportation and heating fuels). The Report also states that the 100 megatonne limit on oil sands facilities will be subject to exceptions for cogeneration and new upgrading capacity.</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SGRR introduces the Specified Gas Reporting Standard (the “Standard”), a document published by Alberta Environment and Parks, which sets out the minimum emission levels before facility reporting requirements begin. Under the current version of the Standard, the threshold level for submission of a specified gas report is the release of 50,000 tonnes of GHG in a calendar year. Regulated facilities must also report emissions of industrial air pollutants and comply with obligations imposed under permits. Alberta’s 2008 climate change plan set a goal of 14% absolute reduction in GHG emissions below 2005 levels in the province by 2050. Whether or not the impending climate change plan from the new Government of Alberta will align with this goal remains to be seen.</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Saskatchewan, The Management and Reduction of Greenhouse Gases Act (“MRGGA”) received royal assent on May 20, 2010; however, currently, there does not appear to be political will to progress the MRGGA.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16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 affected by releases when they occur.</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The NWP is supported by strong statutory and regulatory history and was originally approved by Congress in 1977. From time to time, environmental groups have challenged the NWP; however, to date, federal courts have upheld the validity of the NWP under the CWA.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 from the Corps. In addition, the EPA published a final rule in May 2015 that attempted to clarify federal jurisdiction under the CWA over waters of the United States, but a number of legal challenges to this rule are pending, and implementation of the rule has been stayed nationwide. To the extent the rule expands the scope of the CWA’s jurisdiction, we could face increased costs and delays with respect to obtaining permits for dredge and fill activities in wetland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could materially and negatively affect the viability of such projects.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ectPr>
          <w:pgSz w:w="11900" w:h="16838" w:orient="portrait"/>
          <w:cols w:equalWidth="0" w:num="1">
            <w:col w:w="11400"/>
          </w:cols>
          <w:pgMar w:left="240" w:top="125" w:right="259" w:bottom="0" w:gutter="0" w:footer="0" w:header="0"/>
        </w:sectPr>
      </w:pPr>
    </w:p>
    <w:bookmarkStart w:id="30" w:name="page31"/>
    <w:bookmarkEnd w:id="30"/>
    <w:p>
      <w:pPr>
        <w:spacing w:after="0" w:line="3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Regulation of OCS Pipelines. </w:t>
      </w:r>
      <w:r>
        <w:rPr>
          <w:rFonts w:ascii="Arial" w:cs="Arial" w:eastAsia="Arial" w:hAnsi="Arial"/>
          <w:sz w:val="18"/>
          <w:szCs w:val="18"/>
          <w:color w:val="auto"/>
        </w:rPr>
        <w:t>The Outer Continental Shelf Lands Act requires that all pipelines operating on or across the OCS provide open access,</w:t>
      </w:r>
      <w:r>
        <w:rPr>
          <w:rFonts w:ascii="Arial" w:cs="Arial" w:eastAsia="Arial" w:hAnsi="Arial"/>
          <w:sz w:val="18"/>
          <w:szCs w:val="18"/>
          <w:i w:val="1"/>
          <w:iCs w:val="1"/>
          <w:color w:val="auto"/>
        </w:rPr>
        <w:t xml:space="preserve"> </w:t>
      </w:r>
      <w:r>
        <w:rPr>
          <w:rFonts w:ascii="Arial" w:cs="Arial" w:eastAsia="Arial" w:hAnsi="Arial"/>
          <w:sz w:val="18"/>
          <w:szCs w:val="18"/>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i w:val="1"/>
          <w:iCs w:val="1"/>
          <w:color w:val="auto"/>
        </w:rPr>
        <w:t xml:space="preserve">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In December 2015, the FERC established an index level of the producer price index for finished goods plus 1.23% for the five-year period commencing July 1, 2016.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Occupational Safety and Health Administration, as well as other federal and state regulatory agencies and Canadian regulatory agencies for operations in Canada.</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w:t>
      </w:r>
    </w:p>
    <w:p>
      <w:pPr>
        <w:sectPr>
          <w:pgSz w:w="11900" w:h="16877" w:orient="portrait"/>
          <w:cols w:equalWidth="0" w:num="1">
            <w:col w:w="11420"/>
          </w:cols>
          <w:pgMar w:left="240" w:top="125" w:right="239" w:bottom="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6"/>
          <w:szCs w:val="16"/>
          <w:color w:val="auto"/>
        </w:rPr>
        <w:t>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The rule also includes new operational requirements such as speed restrictions. On December 3, 2015, Congress passed the Fixing America’s Transportation (“FAST”) Act which was subsequently signed by the President on December 7, 2015. This legislation clarified the parameters around the timeline and requirements for railcars hauling crude oil in the United States.</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certain vapor pressure limits.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 than a de minimis volume of natural gas report annual numbers and volumes of relevant transactions to the FERC. Our natural gas storage facilities and related marketing entities are subject to these annual reporting requirements.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w:t>
      </w:r>
    </w:p>
    <w:p>
      <w:pPr>
        <w:sectPr>
          <w:pgSz w:w="11900" w:h="16838" w:orient="portrait"/>
          <w:cols w:equalWidth="0" w:num="1">
            <w:col w:w="11340"/>
          </w:cols>
          <w:pgMar w:left="240" w:top="125" w:right="319" w:bottom="0" w:gutter="0" w:footer="0" w:header="0"/>
        </w:sectPr>
      </w:pPr>
    </w:p>
    <w:bookmarkStart w:id="32" w:name="page33"/>
    <w:bookmarkEnd w:id="32"/>
    <w:p>
      <w:pPr>
        <w:ind w:right="400"/>
        <w:spacing w:after="0" w:line="308" w:lineRule="auto"/>
        <w:rPr>
          <w:sz w:val="20"/>
          <w:szCs w:val="20"/>
          <w:color w:val="auto"/>
        </w:rPr>
      </w:pPr>
      <w:r>
        <w:rPr>
          <w:rFonts w:ascii="Arial" w:cs="Arial" w:eastAsia="Arial" w:hAnsi="Arial"/>
          <w:sz w:val="17"/>
          <w:szCs w:val="17"/>
          <w:color w:val="auto"/>
        </w:rPr>
        <w:t>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4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PAA assets increasing over 35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280" w:firstLine="648"/>
        <w:spacing w:after="0" w:line="327" w:lineRule="auto"/>
        <w:rPr>
          <w:sz w:val="20"/>
          <w:szCs w:val="20"/>
          <w:color w:val="auto"/>
        </w:rPr>
      </w:pPr>
      <w:r>
        <w:rPr>
          <w:rFonts w:ascii="Arial" w:cs="Arial" w:eastAsia="Arial" w:hAnsi="Arial"/>
          <w:sz w:val="15"/>
          <w:szCs w:val="15"/>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right="60" w:firstLine="8"/>
        <w:spacing w:after="0" w:line="290"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Except for challenges that we do not regard as material relative to our overall operations,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that provide for one or more of: periodic payments, term periods, renewal rights, revocation by the licensor or grantor and possible relocation obligations.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Through GP LLC or its affiliates, we employed approximately 5,400 employees at December 31, 2015. None of these employees were subject to a collective bargaining agreement, except for nine employees covered by an agreement scheduled for renegotiation in September 2016 and another nine employees covered by a separate agreement scheduled for renegotiation in September 2018. Also, a first collective agreement is being negotiated for 66 employees who recently unionized in Canada. We consider employee relations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tax considerations,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ectPr>
          <w:pgSz w:w="11900" w:h="16838" w:orient="portrait"/>
          <w:cols w:equalWidth="0" w:num="1">
            <w:col w:w="11420"/>
          </w:cols>
          <w:pgMar w:left="240" w:top="125"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47"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would be subject to U.S. federal income tax at a maximum tax rate of 20% on such dividends provided certain holding period requirements are met.</w:t>
      </w:r>
    </w:p>
    <w:p>
      <w:pPr>
        <w:spacing w:after="0" w:line="16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Both AAP and PAA have made elections permitted by Section 754 of the Code. As a result, our initial acquisition of interests in AAP resulted in basis adjustments with respect to our interest in the assets of AAP (and indirectly in PAA). Such adjustments resulted in depreciation and amortization deductions that we anticipate will offset a substantial portion of our taxable income for an extended period of time. In addition, future exchanges of retained interests in AAP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do not expect to have any earnings and profits for an extended period of time, which we estimate will include, at a minimum, each of the periods ending December 31,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w:t>
      </w:r>
    </w:p>
    <w:p>
      <w:pPr>
        <w:spacing w:after="0" w:line="17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ectPr>
          <w:pgSz w:w="11900" w:h="16838" w:orient="portrait"/>
          <w:cols w:equalWidth="0" w:num="1">
            <w:col w:w="11420"/>
          </w:cols>
          <w:pgMar w:left="240" w:top="125" w:right="239" w:bottom="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“USRPHCs” (as defined below)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W-8BEN (or other appropriate form) certifying qualification for the reduced rate.</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w:t>
      </w:r>
    </w:p>
    <w:p>
      <w:pPr>
        <w:ind w:right="100"/>
        <w:spacing w:after="0" w:line="292" w:lineRule="auto"/>
        <w:rPr>
          <w:sz w:val="20"/>
          <w:szCs w:val="20"/>
          <w:color w:val="auto"/>
        </w:rPr>
      </w:pPr>
      <w:r>
        <w:rPr>
          <w:rFonts w:ascii="Arial" w:cs="Arial" w:eastAsia="Arial" w:hAnsi="Arial"/>
          <w:sz w:val="16"/>
          <w:szCs w:val="16"/>
          <w:color w:val="auto"/>
        </w:rPr>
        <w:t>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disposition of our Class A shares unless:</w:t>
      </w:r>
    </w:p>
    <w:p>
      <w:pPr>
        <w:spacing w:after="0" w:line="170" w:lineRule="exact"/>
        <w:rPr>
          <w:sz w:val="20"/>
          <w:szCs w:val="20"/>
          <w:color w:val="auto"/>
        </w:rPr>
      </w:pPr>
    </w:p>
    <w:p>
      <w:pPr>
        <w:ind w:left="980" w:right="60" w:hanging="324"/>
        <w:spacing w:after="0" w:line="27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tax treaty, is attributable to a permanent establishment maintained by the non-U.S. holder in the United States); or</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Class A shares constitute a U.S. real property interest by reason of our status as a United States real property holding corporation, or USRPHC, for U.S. federal income tax purposes.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tax treaty) on the amount of such gain (which may be offset by U.S. source capital losses).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720"/>
        <w:spacing w:after="0" w:line="289"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 Federal Estate Tax</w:t>
      </w:r>
    </w:p>
    <w:p>
      <w:pPr>
        <w:sectPr>
          <w:pgSz w:w="11900" w:h="16838" w:orient="portrait"/>
          <w:cols w:equalWidth="0" w:num="1">
            <w:col w:w="11400"/>
          </w:cols>
          <w:pgMar w:left="240" w:top="125" w:right="259" w:bottom="36" w:gutter="0" w:footer="0" w:header="0"/>
        </w:sectPr>
      </w:pPr>
    </w:p>
    <w:bookmarkStart w:id="35" w:name="page36"/>
    <w:bookmarkEnd w:id="35"/>
    <w:p>
      <w:pPr>
        <w:spacing w:after="0" w:line="2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spacing w:after="0" w:line="14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Payments of dividends to a non-U.S. holder generally will not be subject to backup withholding if the non-U.S. holder establishes an exemption by properly certifying its non-U.S. status on an IRS Form W-8BEN or another appropriate version of IRS Form W-8, provided that the withholding agent does not have actual knowledge, or reason to know, that the beneficial owner is a U.S. person that is not an exempt recipient.</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Affecting Class A Shares Held Through Foreign Accounts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Legislation enacted in 2010 imposes a 30% withholding tax on any dividends on our Class A shares and on the gross proceeds from a disposition of our Class A shares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 Tax on Unearned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holders that are individuals, trusts or estates will be subject to an additional 3.8% Medicare tax on unearned income, which generally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dividends received and gain recognized with respect to our Class A shares. For individual U.S. holders, the additional Medicare tax applies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lesser of (i) “net investment income,” or (ii) the excess of “modified adjusted gross income” over $200,000 ($250,000 if married and filing jointly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$125,000 if married and filing separately). “Net investment income” generally equals a holder’s gross investment income reduced by the deductions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allocable to such income. Investment income generally includes passive income such as interest, dividends, annuities, royalties, rents and capital gains.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Holders are urged to consult their own tax advisors regarding the application of this additional Medicare tax to their particular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ir.paagp.com</w:t>
      </w:r>
      <w:r>
        <w:rPr>
          <w:rFonts w:ascii="Arial" w:cs="Arial" w:eastAsia="Arial" w:hAnsi="Arial"/>
          <w:sz w:val="17"/>
          <w:szCs w:val="17"/>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source of our earnings and cash flow currently consist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w:t>
      </w:r>
    </w:p>
    <w:p>
      <w:pPr>
        <w:sectPr>
          <w:pgSz w:w="11900" w:h="16867" w:orient="portrait"/>
          <w:cols w:equalWidth="0" w:num="1">
            <w:col w:w="11400"/>
          </w:cols>
          <w:pgMar w:left="240" w:top="125" w:right="259" w:bottom="0" w:gutter="0" w:footer="0" w:header="0"/>
        </w:sectPr>
      </w:pPr>
    </w:p>
    <w:bookmarkStart w:id="36" w:name="page37"/>
    <w:bookmarkEnd w:id="36"/>
    <w:p>
      <w:pPr>
        <w:ind w:right="200"/>
        <w:spacing w:after="0" w:line="259" w:lineRule="auto"/>
        <w:rPr>
          <w:sz w:val="20"/>
          <w:szCs w:val="20"/>
          <w:color w:val="auto"/>
        </w:rPr>
      </w:pPr>
      <w:r>
        <w:rPr>
          <w:rFonts w:ascii="Arial" w:cs="Arial" w:eastAsia="Arial" w:hAnsi="Arial"/>
          <w:sz w:val="18"/>
          <w:szCs w:val="18"/>
          <w:color w:val="auto"/>
        </w:rPr>
        <w:t>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170" w:lineRule="exact"/>
        <w:rPr>
          <w:sz w:val="20"/>
          <w:szCs w:val="20"/>
          <w:color w:val="auto"/>
        </w:rPr>
      </w:pPr>
    </w:p>
    <w:p>
      <w:pPr>
        <w:ind w:left="980" w:right="14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AAP’s payment of costs and expenses associated with our operations, and the operations of GP LLC, including expenses we incur as a result of being a public company, to the extent they are not subject to reimbursement by PAA;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and principal payments on any indebtedness incurred by AAP or us;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distributions contained in AAP’s and PAA’s respective credit facilities and any future debt agreements entered into by AAP, PAA or us;</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reserves necessary for us to pay a ratable amount to AAP as necessary to permit AAP to make required capital contributions to PAA to maintain AAP’s indirect 2% general partner interest in PAA, as required by the partnership agreement of PAA upon the issuance of additional partnership interests by PAA;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324"/>
        <w:spacing w:after="0" w:line="342" w:lineRule="auto"/>
        <w:tabs>
          <w:tab w:leader="none" w:pos="9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IDRs AAP is entitled to receive may be limited or modified without the consent of our shareholders, which may reduce cash distributions to our Class A shareholders.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At December 31, 2015, we owned an approximate 38% limited partner interest in AAP, which owns all of PAA’s IDRs, which entitle AAP to receive increasing percentages (up to a maximum of 48%, to the extent not modified) of any cash distributed by PAA in excess of $0.225 per PAA common unit in any quarter. The vast majority of the cash flow we receive from AAP is derived from its ownership of these IDRs.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PAA, like other publicly traded partnerships, will generally only undertake an acquisition or expansion capital project if, after giving effect to related costs and expenses, the transaction would be expected to be accretive, meaning it would increase cash distributions per unit in future periods. Because AAP currently participates in the IDRs at all levels, including the highest sharing level of 48%, to the extent not modified, it is harder for an acquisition or capital project to show accretion for the common unitholders of PAA than if the IDRs received less incremental cash flow. We therefore expect that AAP may determine, in certain cases, to propose a reduction to the IDRs to facilitate a particular acquisition or expansion capital project. Any such reduction of IDRs will reduce the amount of cash that would have otherwise been distributed by AAP to us, which will in turn reduce the cash distributions we would otherwise be able to pay to our Class A shareholders. Our shareholders will not be able to vote on, or otherwise prohibit our general partner from taking, similar actions in the future and our general partner may elect to modify the IDRs without considering the interests of the holders of the Class A shares. In addition, there can be no guarantee that the expected benefits of any IDR modification will be realized.</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reduction in PAA’s distributions below certain levels will lead to a disproportionately greater reduction in the amount of cash distributions to which AAP is currently entitled.</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AAP’s ownership of PAA’s IDRs entitle it to receive increasing percentages, ranging from 13% up to 48%, to the extent not modified, of all cash distributed by PAA in excess of $0.225 per PAA common unit per quarter. A decrease in the amount of distributions paid by PAA to less than $0.3375 per PAA common unit per quarter would reduce AAP’s percentage of incremental cash distributions in excess of $0.225 per PAA common unit per quarter from 48% to as low as 13%. As a result, any such reduction in quarterly cash distributions from PAA would have the effect of disproportionately reducing the amount of distributions that AAP receives from PAA in respect of the IDRs as compared to cash distributions PAA makes with respect to its 2% general partner interest and common units.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direct and indirect partnership interests in PAA, our growth will initially be completely dependent upon PAA. The amount of distributions received by AAP is based on PAA’s per unit distribution paid on each PAA common unit and the number of PAA common units outstanding.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rate of growth may be reduced to the extent we purchase equity interests from PAA, which will reduce the relative percentage of the cash we receive from the IDRs.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business strategy includes, where appropriate, supporting the growth of PAA by making loans, purchasing equity interests or providing other forms of financial support to PAA to provide funding for the acquisition of a business or asset or for an internal growth project. To the extent we purchase equity interests from PAA that are not entitled to distributions or do not receive distributions at the same rates as the IDRs, the rate of our distribution growth may be reduced, at least in the short term, as less of our cash distributions will come from our ownership of IDRs, with respect to which distributions increase at a faster rate than PAA’s common units and any similar equity interests PAA may issue in the future.</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Restrictions in AAP’s and PAA’s respective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AAP’s and PAA’s respective credit facilities contain various operating and financial restrictions and covenants. AAP’s and PAA’s respective ability to comply with these restrictions and covenants may be affected by events beyond their control, including prevailing economic, financial and industry conditions. If AAP or PAA is unable to comply with these restrictions and covenants, any indebtedness under these credit facilities may become immediately due and payable and AAP’s and PAA’s respective lenders’ commitment to make further loans under these credit facilities may terminate. AAP or PAA might not have, or be able to obtain, sufficient funds to make these accelerated payments. In addition, AAP’s credit facility limits our ability to pay distributions to our Class A shareholders during an event of default or if an event of default would result from the distribution.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more information regarding AAP’s and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Substantially all of AAP’s assets, including the IDRs and its indirect 2% general partner interest in PAA, are pledged under AAP’s credit facility.</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Substantially all of AAP’s assets, including the IDRs and its indirect 2% general partner interest in PAA, are pledged as security under AAP’s credit facility. AAP’s credit facility contains customary and other events of default. Upon an event of default, the lenders under AAP’s credit facility could foreclose on AAP’s assets, including the IDRs and its indirect 2% general partner interest in PAA, which are the only assets from which our cash flows are derived. This would have a material adverse effect on our business, financial condition and results of operations.</w:t>
      </w:r>
    </w:p>
    <w:p>
      <w:pPr>
        <w:spacing w:after="0" w:line="187"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Our shareholders do not elect or have the power to remove our general partner and until certain conditions are met will not vote in the election of our general partner’s directors. The Class B shareholders own a sufficient number of shares to allow them to prevent the removal of our general partner.</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shareholders have only limited voting rights on matters affecting our business and, therefore, limited ability to influence management’s decisions regarding our business. The board of directors of our general partner, including our independent directors, have been designated and elected by the Legacy Owners or their designees. Our shareholders do not currently have the ability to elect our general partner or the members of the board of directors of our general partner. However, when the overall direct and indirect economic interest of the Legacy Owners and their permitted transferees in AAP falls below 40% (calculated as described below), subject to certain time and other limitations, which we refer to as a “trigger date,” our shareholders will have the right to elect certain of our general partner’s directors.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However, as a result of our resulting governance arrangements, including a staggered board of directors, limitations on director nomination rights and the 20% voting limitation in our partnership agreement, it will be difficult for one or more of our shareholders to gain control of our general partner’s board of directors. Moreover, a period of up to three years, in certain circumstances, may lapse between the occurrence of a trigger date and the first meeting of shareholders called to elect members of our board of directors.</w:t>
      </w:r>
    </w:p>
    <w:p>
      <w:pPr>
        <w:spacing w:after="0" w:line="180"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 xml:space="preserve">In addition,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outstanding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shares (including both Class A and Class B shares). At December 31, 2015, the Legacy Owners owned approximately 62% of our outstanding shares. This ownership level enables the Legacy Owners to prevent our general partner’s removal.</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70"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193"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ectPr>
          <w:pgSz w:w="11900" w:h="16838" w:orient="portrait"/>
          <w:cols w:equalWidth="0" w:num="1">
            <w:col w:w="11400"/>
          </w:cols>
          <w:pgMar w:left="240" w:top="517" w:right="259" w:bottom="0" w:gutter="0" w:footer="0" w:header="0"/>
        </w:sectPr>
      </w:pPr>
    </w:p>
    <w:bookmarkStart w:id="38" w:name="page39"/>
    <w:bookmarkEnd w:id="38"/>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its IDRs and we would lose the ability to manage and control PAA.</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could elect to receive cash in exchange for its 2% general partner interest and the IDRs (if then owned by AAP). If PAA GP withdraws in circumstances other than those described in the preceding sentence and a successor general partner is elected in accordance with PAA’s partnership agreement, the successor general partner will have the option to purchase the 2% general partner interest and the IDRs (if then owned by AAP) for their fair market value. If PAA GP or the successor general partner do not exercise their options, PAA GP’s interests would be converted into common units based on an independent valuation. In each case, PAA GP would also lose its ability to manage PAA.</w:t>
      </w:r>
    </w:p>
    <w:p>
      <w:pPr>
        <w:spacing w:after="0" w:line="18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187"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ectPr>
          <w:pgSz w:w="11900" w:h="16838" w:orient="portrait"/>
          <w:cols w:equalWidth="0" w:num="1">
            <w:col w:w="11380"/>
          </w:cols>
          <w:pgMar w:left="240" w:top="341" w:right="279" w:bottom="0" w:gutter="0" w:footer="0" w:header="0"/>
        </w:sectPr>
      </w:pPr>
    </w:p>
    <w:bookmarkStart w:id="39" w:name="page40"/>
    <w:bookmarkEnd w:id="39"/>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majority of the combined voting power of our Class A and Class B shares.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At December 31, 2015, the Legacy Owners held approximately 62% of the combined voting power of our Class A and Class B shares. The Legacy Owners are entitled to act separately in their own respective interests with respect to their partnership interests in us, and collectively they currently have the ability to (i) determine the outcome of all matters requiring shareholder approval, including certain mergers and other material transactions and (ii) cause or prevent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deferred tax asset of approximately $1.8 billion, that is being amortized, was recorded on our books as a result of certain of the transactions that took place in connection with our 2013 initial public offering, our November 2014 secondary offering and exchanges by Legacy Owners of AAP units and Class B shares into Class A shares. GAAP requires that a valuation allowance must be established for deferred tax assets when it is more likely than not that they will not be realized. We believe that the deferred tax asset we recorded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60"/>
          </w:cols>
          <w:pgMar w:left="240" w:top="341" w:right="299" w:bottom="0" w:gutter="0" w:footer="0" w:header="0"/>
        </w:sectPr>
      </w:pPr>
    </w:p>
    <w:bookmarkStart w:id="40" w:name="page41"/>
    <w:bookmarkEnd w:id="40"/>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170" w:lineRule="exact"/>
        <w:rPr>
          <w:sz w:val="20"/>
          <w:szCs w:val="20"/>
          <w:color w:val="auto"/>
        </w:rPr>
      </w:pPr>
    </w:p>
    <w:p>
      <w:pPr>
        <w:ind w:left="980" w:right="160" w:hanging="324"/>
        <w:spacing w:after="0" w:line="297" w:lineRule="auto"/>
        <w:tabs>
          <w:tab w:leader="none" w:pos="9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158" w:lineRule="exact"/>
        <w:rPr>
          <w:rFonts w:ascii="Arial" w:cs="Arial" w:eastAsia="Arial" w:hAnsi="Arial"/>
          <w:sz w:val="16"/>
          <w:szCs w:val="16"/>
          <w:color w:val="auto"/>
        </w:rPr>
      </w:pPr>
    </w:p>
    <w:p>
      <w:pPr>
        <w:ind w:left="980" w:right="20" w:hanging="324"/>
        <w:spacing w:after="0" w:line="264"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80" w:hanging="324"/>
        <w:spacing w:after="0" w:line="286" w:lineRule="auto"/>
        <w:tabs>
          <w:tab w:leader="none" w:pos="9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165" w:lineRule="exact"/>
        <w:rPr>
          <w:rFonts w:ascii="Arial" w:cs="Arial" w:eastAsia="Arial" w:hAnsi="Arial"/>
          <w:sz w:val="17"/>
          <w:szCs w:val="17"/>
          <w:color w:val="auto"/>
        </w:rPr>
      </w:pPr>
    </w:p>
    <w:p>
      <w:pPr>
        <w:ind w:left="1300" w:right="220" w:hanging="320"/>
        <w:spacing w:after="0" w:line="277" w:lineRule="auto"/>
        <w:tabs>
          <w:tab w:leader="none" w:pos="12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170" w:lineRule="exact"/>
        <w:rPr>
          <w:rFonts w:ascii="Arial" w:cs="Arial" w:eastAsia="Arial" w:hAnsi="Arial"/>
          <w:sz w:val="18"/>
          <w:szCs w:val="18"/>
          <w:color w:val="auto"/>
        </w:rPr>
      </w:pPr>
    </w:p>
    <w:p>
      <w:pPr>
        <w:ind w:left="1300" w:right="280" w:hanging="320"/>
        <w:spacing w:after="0" w:line="277" w:lineRule="auto"/>
        <w:tabs>
          <w:tab w:leader="none" w:pos="12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approved by majority vote of our Class A shares and Class B shares (excluding shares owned by our general partner and its affiliates, but including shares owned by the Legacy Owners) voting together as a single class;</w:t>
      </w:r>
    </w:p>
    <w:p>
      <w:pPr>
        <w:spacing w:after="0" w:line="170" w:lineRule="exact"/>
        <w:rPr>
          <w:rFonts w:ascii="Arial" w:cs="Arial" w:eastAsia="Arial" w:hAnsi="Arial"/>
          <w:sz w:val="18"/>
          <w:szCs w:val="18"/>
          <w:color w:val="auto"/>
        </w:rPr>
      </w:pPr>
    </w:p>
    <w:p>
      <w:pPr>
        <w:ind w:left="1300" w:right="600" w:hanging="320"/>
        <w:spacing w:after="0" w:line="277" w:lineRule="auto"/>
        <w:tabs>
          <w:tab w:leader="none" w:pos="12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170" w:lineRule="exact"/>
        <w:rPr>
          <w:rFonts w:ascii="Arial" w:cs="Arial" w:eastAsia="Arial" w:hAnsi="Arial"/>
          <w:sz w:val="18"/>
          <w:szCs w:val="18"/>
          <w:color w:val="auto"/>
        </w:rPr>
      </w:pPr>
    </w:p>
    <w:p>
      <w:pPr>
        <w:jc w:val="both"/>
        <w:ind w:left="1300" w:right="100" w:hanging="320"/>
        <w:spacing w:after="0" w:line="264" w:lineRule="auto"/>
        <w:tabs>
          <w:tab w:leader="none" w:pos="12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181" w:lineRule="exact"/>
        <w:rPr>
          <w:rFonts w:ascii="Arial" w:cs="Arial" w:eastAsia="Arial" w:hAnsi="Arial"/>
          <w:sz w:val="18"/>
          <w:szCs w:val="18"/>
          <w:color w:val="auto"/>
        </w:rPr>
      </w:pPr>
    </w:p>
    <w:p>
      <w:pPr>
        <w:ind w:left="980" w:hanging="324"/>
        <w:spacing w:after="0" w:line="302" w:lineRule="auto"/>
        <w:tabs>
          <w:tab w:leader="none" w:pos="9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w:t>
      </w:r>
    </w:p>
    <w:p>
      <w:pPr>
        <w:sectPr>
          <w:pgSz w:w="11900" w:h="16877" w:orient="portrait"/>
          <w:cols w:equalWidth="0" w:num="1">
            <w:col w:w="11420"/>
          </w:cols>
          <w:pgMar w:left="240" w:top="125" w:right="239" w:bottom="0" w:gutter="0" w:footer="0" w:header="0"/>
        </w:sectPr>
      </w:pPr>
    </w:p>
    <w:bookmarkStart w:id="41" w:name="page42"/>
    <w:bookmarkEnd w:id="41"/>
    <w:p>
      <w:pPr>
        <w:spacing w:after="0" w:line="12"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limited partner or our partnership challenging any such action or inaction of, or determination made by, our general partner, the person bringing or prosecuting such proceeding shall have the burden of overcoming such presumption; and</w:t>
      </w:r>
    </w:p>
    <w:p>
      <w:pPr>
        <w:spacing w:after="0" w:line="170" w:lineRule="exact"/>
        <w:rPr>
          <w:sz w:val="20"/>
          <w:szCs w:val="20"/>
          <w:color w:val="auto"/>
        </w:rPr>
      </w:pPr>
    </w:p>
    <w:p>
      <w:pPr>
        <w:ind w:left="980" w:right="20" w:hanging="324"/>
        <w:spacing w:after="0" w:line="259"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At December 31, 2015, the Legacy Owners owned approximately 62% of our outstanding shares and approximately 62%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conflicts of interest could arise in the future between us, on the one hand, and the Legacy Owners, on the other hand, concerning among other things, a decision whether to modify or limit the IDRs in the future or potential competitive business activities or business opportunities. These conflicts of interest may not be resolved in our favor.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2015, the Legacy Owners owned approximately 62%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181" w:lineRule="exact"/>
        <w:rPr>
          <w:sz w:val="20"/>
          <w:szCs w:val="20"/>
          <w:color w:val="auto"/>
        </w:rPr>
      </w:pPr>
    </w:p>
    <w:p>
      <w:pPr>
        <w:ind w:left="980" w:right="60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PAA may not be able to secure,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23" w:lineRule="exact"/>
        <w:rPr>
          <w:rFonts w:ascii="Arial" w:cs="Arial" w:eastAsia="Arial" w:hAnsi="Arial"/>
          <w:sz w:val="16"/>
          <w:szCs w:val="16"/>
          <w:color w:val="auto"/>
        </w:rPr>
      </w:pPr>
    </w:p>
    <w:p>
      <w:pPr>
        <w:ind w:left="980" w:right="40" w:hanging="324"/>
        <w:spacing w:after="0" w:line="286" w:lineRule="auto"/>
        <w:tabs>
          <w:tab w:leader="none" w:pos="9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248" w:lineRule="exact"/>
        <w:rPr>
          <w:rFonts w:ascii="Arial" w:cs="Arial" w:eastAsia="Arial" w:hAnsi="Arial"/>
          <w:sz w:val="16"/>
          <w:szCs w:val="16"/>
          <w:color w:val="auto"/>
        </w:rPr>
      </w:pPr>
    </w:p>
    <w:p>
      <w:pPr>
        <w:ind w:left="980" w:right="120" w:hanging="324"/>
        <w:spacing w:after="0" w:line="264"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PAA budgeted and the time it takes to complete construction of these projects and place them into commercial service could be significantly longer than planned; and</w:t>
      </w:r>
    </w:p>
    <w:p>
      <w:pPr>
        <w:sectPr>
          <w:pgSz w:w="11900" w:h="16850" w:orient="portrait"/>
          <w:cols w:equalWidth="0" w:num="1">
            <w:col w:w="11400"/>
          </w:cols>
          <w:pgMar w:left="240" w:top="125" w:right="259" w:bottom="0" w:gutter="0" w:footer="0" w:header="0"/>
        </w:sectPr>
      </w:pPr>
    </w:p>
    <w:bookmarkStart w:id="42" w:name="page43"/>
    <w:bookmarkEnd w:id="42"/>
    <w:p>
      <w:pPr>
        <w:spacing w:after="0" w:line="94"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4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PAA’s profitability depends on the volume of crude oil, refined product, natural gas and NGL shipped, processed, purchased, stored, fractionated and/or gathered at or through the use of its facilities, which can be negatively impacted by a variety of factors outside of its control.</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PAA’s profitability could be materially impacted by a decline in the volume of crude oil, natural gas, refined product and NGL transported, gathered, stored or processed at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refined product or NGL handled by PAA’s facilities and other energy logistics assets.</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latter half of 2014 and continuing throughout 2015, benchmark crude oil prices declined significantly; as a result, many of the companies that produce oil and gas reduced capital expenditures for 2015 and announced further reductions for 2016. Such reduced expenditure levels, coupled with high decline rates for many horizontal wells in the shale resource plays, is beginning to lead to production declines in the Lower 48 United States (excluding Gulf of Mexico production). Other factors that could adversely impact production include reduced capital market access, increased capital raising costs for producers or adverse governmental or regulatory action. In turn, such developments could lead to reduced throughput on PAA’s pipelines and at PAA’s other facilities, which, depending on the level of production declines, could have a material adverse effect on PAA’s business.</w:t>
      </w:r>
    </w:p>
    <w:p>
      <w:pPr>
        <w:spacing w:after="0" w:line="16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PAA’s control, can negatively affect its operating results.</w:t>
      </w:r>
    </w:p>
    <w:p>
      <w:pPr>
        <w:spacing w:after="0" w:line="24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results of operations are influenced by the overall forward market for crude oil, and certain market structures or the absence of pricing volatility may adversely impact its results.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w:t>
      </w:r>
    </w:p>
    <w:p>
      <w:pPr>
        <w:sectPr>
          <w:pgSz w:w="11900" w:h="16932" w:orient="portrait"/>
          <w:cols w:equalWidth="0" w:num="1">
            <w:col w:w="11400"/>
          </w:cols>
          <w:pgMar w:left="240" w:top="341" w:right="259" w:bottom="0" w:gutter="0" w:footer="0" w:header="0"/>
        </w:sectPr>
      </w:pPr>
    </w:p>
    <w:bookmarkStart w:id="43" w:name="page44"/>
    <w:bookmarkEnd w:id="43"/>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agreements, these transition periods may have either an adverse or beneficial effect on its aggregate segment profit. A prolonged transition from a backwardated market to a contango market, or vice versa (essentially a market that is neither in pronounced backwardation nor contango), represents the least beneficial environment for PAA’s Supply and Logistics segment.</w:t>
      </w:r>
    </w:p>
    <w:p>
      <w:pPr>
        <w:spacing w:after="0" w:line="19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A natural disaster, catastrophe, terrorist attack, process safety failure or other event, including pipeline or facility accidents and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PAA’s operations involve risks of personal injury, property damage and environmental damage, which could curtail its operations and otherwise materially adversely affect its cash flow. Virtually all of PAA’s operations are exposed to potential natural disasters, including hurricanes, tornadoes, storms, floods and/or earthquakes.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18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If one or more of PAA’s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PAA may not be able to compete effectively in its transportation, facilities and supply and logistics activities, and PAA’s business is subject to various risks associated with the risk general capacity overbuild of midstream energy infrastructure in some of the areas where it operates.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expansion capital projects, acquisitions and joint venture activities. Some of PAA’s competitors have capital resources many times greater than PAA’s and control greater supplies of crude oil, natural gas or NGL.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68" w:lineRule="auto"/>
        <w:tabs>
          <w:tab w:leader="none" w:pos="2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 overbuilt, resulting in an excess of midstream energy infrastructure capacity. In addition, as an established participant in some markets, PAA also faces competition from aggressive new entrants to the market that are willing to provide services at a discount in order to establish relationships and gain a foothold in the market. Current expectations for oil and gas development in many of the areas where PAA operates are not as robust as they were during the last few years. This adversely impacts both PAA’s existing assets and growth projects in such areas. PAA also faces competition for incremental volumes from shippers on third party pipelines who overcommitted relative to their actual production and are now purchasing barrels on the open market and shipping them on such third party pipelines in order to satisfy their minimum commitment levels. This puts downward pressure on PAA’s throughput and margins and, together with other adverse competitive effects, could have a significant adverse impact on PAA’s financial position, cash flows and ability to pay or increase distributions to its partners.</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industrial companies,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4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 user markets.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w:t>
      </w:r>
    </w:p>
    <w:p>
      <w:pPr>
        <w:sectPr>
          <w:pgSz w:w="11900" w:h="16908" w:orient="portrait"/>
          <w:cols w:equalWidth="0" w:num="1">
            <w:col w:w="11420"/>
          </w:cols>
          <w:pgMar w:left="240" w:top="125" w:right="239" w:bottom="0" w:gutter="0" w:footer="0" w:header="0"/>
        </w:sectPr>
      </w:pPr>
    </w:p>
    <w:bookmarkStart w:id="44" w:name="page45"/>
    <w:bookmarkEnd w:id="44"/>
    <w:p>
      <w:pPr>
        <w:ind w:right="60"/>
        <w:spacing w:after="0" w:line="293" w:lineRule="auto"/>
        <w:rPr>
          <w:sz w:val="20"/>
          <w:szCs w:val="20"/>
          <w:color w:val="auto"/>
        </w:rPr>
      </w:pPr>
      <w:r>
        <w:rPr>
          <w:rFonts w:ascii="Arial" w:cs="Arial" w:eastAsia="Arial" w:hAnsi="Arial"/>
          <w:sz w:val="16"/>
          <w:szCs w:val="16"/>
          <w:color w:val="auto"/>
        </w:rPr>
        <w:t>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In the latter half of 2015, the depth and availability of conventional public equity and debt markets contracted while the costs of accessing such markets rose significantly.</w:t>
      </w:r>
    </w:p>
    <w:p>
      <w:pPr>
        <w:spacing w:after="0" w:line="16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ability to purchase crude oil, NGL and natural gas supplies or to capitalize on market opportunities.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Moody’s Investors Service. A downgrade below PAA’s current ratings levels by either of such rating agencies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exposed to the credit risk of its customers in the ordinary course of its business activities.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Risks of nonpayment and nonperformance by customers are a significant consideration in PAA’s business And are of increased concern in the current low commodity price environment.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partners.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does not make acquisitions or if it makes acquisitions that fail to perform as anticipated, its future growth may be limited.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PAA’s ability to grow its distributions depends in part on its ability to make acquisitions that result in an increase in operating surplus per unit. If PAA is unable to make such accretive acquisitions either because PAA is (i) unable to identify attractive acquisition candidates or negotiate acceptable purchase contracts with the sellers, (ii) unable to raise financing for such acquisitions on economically acceptable terms or (iii) outbid by competitors, PAA’s future growth will be limited. As a result, PAA may not be able to grow as quickly as it has historically.</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193" w:lineRule="exact"/>
        <w:rPr>
          <w:sz w:val="20"/>
          <w:szCs w:val="20"/>
          <w:color w:val="auto"/>
        </w:rPr>
      </w:pPr>
    </w:p>
    <w:p>
      <w:pPr>
        <w:jc w:val="center"/>
        <w:ind w:right="6440"/>
        <w:spacing w:after="0"/>
        <w:rPr>
          <w:sz w:val="20"/>
          <w:szCs w:val="20"/>
          <w:color w:val="auto"/>
        </w:rPr>
      </w:pPr>
      <w:r>
        <w:rPr>
          <w:rFonts w:ascii="Arial" w:cs="Arial" w:eastAsia="Arial" w:hAnsi="Arial"/>
          <w:sz w:val="15"/>
          <w:szCs w:val="15"/>
          <w:b w:val="1"/>
          <w:bCs w:val="1"/>
          <w:i w:val="1"/>
          <w:iCs w:val="1"/>
          <w:color w:val="auto"/>
        </w:rPr>
        <w:t>Acquisitions involve risks that may adversely affect PAA’s business.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ectPr>
          <w:pgSz w:w="11900" w:h="16838" w:orient="portrait"/>
          <w:cols w:equalWidth="0" w:num="1">
            <w:col w:w="11420"/>
          </w:cols>
          <w:pgMar w:left="240" w:top="125" w:right="239" w:bottom="0" w:gutter="0" w:footer="0" w:header="0"/>
        </w:sectPr>
      </w:pPr>
    </w:p>
    <w:bookmarkStart w:id="45" w:name="page46"/>
    <w:bookmarkEnd w:id="45"/>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400" w:hanging="324"/>
        <w:spacing w:after="0" w:line="264"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indemnified, or the indemnity is not from a credit-worthy party, including liabilities arising from the operation of the acquired businesses or assets prior to PAA’s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including cap and trade programs, could require PAA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Any such change or interpretation adverse to PAA could have a material adverse effect on its operations, revenues, expenses and profitability.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historically has observed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ectPr>
          <w:pgSz w:w="11900" w:h="16838" w:orient="portrait"/>
          <w:cols w:equalWidth="0" w:num="1">
            <w:col w:w="11420"/>
          </w:cols>
          <w:pgMar w:left="240" w:top="341" w:right="239" w:bottom="0" w:gutter="0" w:footer="0" w:header="0"/>
        </w:sectPr>
      </w:pPr>
    </w:p>
    <w:bookmarkStart w:id="46" w:name="page47"/>
    <w:bookmarkEnd w:id="46"/>
    <w:p>
      <w:pPr>
        <w:ind w:right="80" w:firstLine="648"/>
        <w:spacing w:after="0" w:line="257"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it believes go beyond regulatory mandates. See Items 1 and 2 “Business and Properties—Regulation.”</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For 2016 and beyond, PAA will continue to focus on pipeline integrity management as a primary operational emphasis. In that regard, PAA has implemented programs intended to maintain the integrity of its assets, with a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Item 3 “Legal Proceedings—Environmental—General.”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partners.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PAA’s U.S. interstate common carrier liquids pipelines are subject to regulation by the FERC under the ICA. The ICA requires that tariff rates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PAA’s U.S. interstate common carrier liquids pipelines subject to FERC regulation under the ICA, shippers may protest its pipeline tariff filings, file complaints against its existing rates, or the FERC can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 regulated proprietary pipelines. If it found PAA’s rates or terms of service to be contrary to statutory requirements, it could impose conditions it considers appropriate. A provincial authority could declare a pipeline to be a common carrier pipeline, and require PAA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change its rates, provide access to other shippers, or otherwise alter its terms of service. Any reduction in PAA’s tariff rates would result in lower revenue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cross border activities subject it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PAA’s sales of crude oil, natural gas, NGL and other energy commodities, and related transportation and hedging activities, expose it to potential regulatory risks.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sales of oil, natural gas, NGL or other energy commodities, and any related transportation and/or hedging activities that it undertakes, PAA is required to observe the market-related regulations enforced by these agencies, which hold substantial enforcement authority. PAA’s sales may also be subject to certain reporting and other requirements. Additionally, to the extent that PAA enters into transportation contracts with natural gas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partners.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PAA,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ectPr>
          <w:pgSz w:w="11900" w:h="16838" w:orient="portrait"/>
          <w:cols w:equalWidth="0" w:num="1">
            <w:col w:w="11400"/>
          </w:cols>
          <w:pgMar w:left="240" w:top="125" w:right="259" w:bottom="0" w:gutter="0" w:footer="0" w:header="0"/>
        </w:sectPr>
      </w:pPr>
    </w:p>
    <w:bookmarkStart w:id="47" w:name="page48"/>
    <w:bookmarkEnd w:id="47"/>
    <w:p>
      <w:pPr>
        <w:jc w:val="both"/>
        <w:ind w:right="10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a requirement to post additional cash margin or collateral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 Frank Act and related rules. The costs of such compliance may be passed on to customers such as PAA, thus decreasing the benefits to PAA of hedging transactions or reducing its profitability. In addition, implementation of the Dodd 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78"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PAA’s financial results could be adversely affected if a consequence of the Dodd Frank Act and implementing regulations is lower commodity prices.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PAA’s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 Frank Act and regulations implementing the Dodd Frank Act, PAA’s results of operations may become more volatile and its cash flows may be less predictable. Any of these consequences could have a material adverse effect on PAA, its financial condition and its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3 to 5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2015, the principal amount of PAA’s consolidated debt outstanding was approximately $11.5 billion, consisting of approximately $10.5 billion principal amount of long-term debt (including senior notes and long-term commercial paper borrowings) and approximately $1.0 billion of short-term borrowings. As of December 31, 2015, PAA had approximately $2.3 billion of liquidity available, including cash and cash equivalents and available borrowing capacity under its senior unsecured revolving credit facility, its senior secured hedged inventory facility and its senior unsecured 364-day credit facility, subject to continued covenant compliance. Lower adjusted EBITDA could increase PAA’s leverage ratios and effectively reduce its ability to incur additional indebtedness.</w:t>
      </w:r>
    </w:p>
    <w:p>
      <w:pPr>
        <w:sectPr>
          <w:pgSz w:w="11900" w:h="16839" w:orient="portrait"/>
          <w:cols w:equalWidth="0" w:num="1">
            <w:col w:w="11420"/>
          </w:cols>
          <w:pgMar w:left="240" w:top="125" w:right="239" w:bottom="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225" w:lineRule="exact"/>
        <w:rPr>
          <w:sz w:val="20"/>
          <w:szCs w:val="20"/>
          <w:color w:val="auto"/>
        </w:rPr>
      </w:pPr>
    </w:p>
    <w:p>
      <w:pPr>
        <w:ind w:left="980" w:right="200" w:hanging="324"/>
        <w:spacing w:after="0" w:line="277"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facility treats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PAA Commercial Paper Program and Indentures.”</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As of December 31, 2015, PAA had approximately $11.5 billion in principal amount of consolidated debt, of which approximately $9.8 billion was at fixed interest rates and approximately $1.7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At December 31, 2015, PAA had approximately $13.5 billion of net property and equipment, $2.4 billion of goodwill, $2.0 billion of investments accounted for under the equity method of accounting and $0.3 billion of net intangible assets capitalized on its balance sheet. </w:t>
      </w:r>
      <w:r>
        <w:rPr>
          <w:rFonts w:ascii="Arial" w:cs="Arial" w:eastAsia="Arial" w:hAnsi="Arial"/>
          <w:sz w:val="17"/>
          <w:szCs w:val="17"/>
          <w:color w:val="auto"/>
        </w:rPr>
        <w:t>GAAP requires an assessment</w:t>
      </w:r>
      <w:r>
        <w:rPr>
          <w:rFonts w:ascii="Arial" w:cs="Arial" w:eastAsia="Arial" w:hAnsi="Arial"/>
          <w:sz w:val="18"/>
          <w:szCs w:val="18"/>
          <w:color w:val="auto"/>
        </w:rPr>
        <w:t xml:space="preserve"> </w:t>
      </w:r>
      <w:r>
        <w:rPr>
          <w:rFonts w:ascii="Arial" w:cs="Arial" w:eastAsia="Arial" w:hAnsi="Arial"/>
          <w:sz w:val="17"/>
          <w:szCs w:val="17"/>
          <w:color w:val="auto"/>
        </w:rPr>
        <w:t>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PAA was to determine that any of its property and equipment, goodwill,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ectPr>
          <w:pgSz w:w="11900" w:h="16838" w:orient="portrait"/>
          <w:cols w:equalWidth="0" w:num="1">
            <w:col w:w="11420"/>
          </w:cols>
          <w:pgMar w:left="240" w:top="341" w:right="239" w:bottom="32" w:gutter="0" w:footer="0" w:header="0"/>
        </w:sectPr>
      </w:pPr>
    </w:p>
    <w:bookmarkStart w:id="49" w:name="page50"/>
    <w:bookmarkEnd w:id="49"/>
    <w:p>
      <w:pPr>
        <w:ind w:right="12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use of third-party assets for certain of its operations.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of PAA’s business activities require the use of third-party assets over which it may have little or no control. For example, a portion of PAA’s storage and distribution business conducted in the Los Angeles basin receives waterborne crude oil through dock facilities operated by a third party in the Port of Long Beach. If at any time PAA’s access to this dock was denied, and if access to an alternative dock could not be arranged, the volume of crude oil that it presently receives from its customers in the Los Angeles basin may be reduced, which could result in a reduction of PAA’s Facilities segment revenue and cash flow.</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PAA’s leased railcars, could significantly reduce its profitability due to fixed costs incurred to obtain the right to use such assets.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third party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For example, in connection with PAA’s rail operations, it leases substantially all of its railcars, typically pursuant to multi-year leases that obligate PAA to pay the applicable lease rate without regard to utilization. If business conditions are such that a portion of PAA’s rail fleet is not utilized for any period of time due to reduced demand for the services they provide, PAA will still be obligated to pay the applicable fixed lease rate for such railcars. In addition, during the period of time that PAA is not utilizing such railcars, it will incur incremental costs associated with the cost of storing such railcars and will continue to incur costs for maintenance and upkeep. Non-utilization of its leased railcars and other similar assets in connection with PAA’s business could have a significant negative impact on PAA’s profitability and cash flows.</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188" w:lineRule="exact"/>
        <w:rPr>
          <w:sz w:val="20"/>
          <w:szCs w:val="20"/>
          <w:color w:val="auto"/>
        </w:rPr>
      </w:pPr>
    </w:p>
    <w:p>
      <w:pPr>
        <w:ind w:left="1220" w:right="100" w:hanging="564"/>
        <w:spacing w:after="0" w:line="277" w:lineRule="auto"/>
        <w:tabs>
          <w:tab w:leader="none" w:pos="11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expected, whether due to malfunction of equipment or facilities or realization of other operational risks;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20" w:right="360" w:hanging="564"/>
        <w:spacing w:after="0" w:line="277" w:lineRule="auto"/>
        <w:tabs>
          <w:tab w:leader="none" w:pos="11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170" w:lineRule="exact"/>
        <w:rPr>
          <w:rFonts w:ascii="Arial" w:cs="Arial" w:eastAsia="Arial" w:hAnsi="Arial"/>
          <w:sz w:val="18"/>
          <w:szCs w:val="18"/>
          <w:color w:val="auto"/>
        </w:rPr>
      </w:pPr>
    </w:p>
    <w:p>
      <w:pPr>
        <w:ind w:left="1220" w:right="40" w:hanging="564"/>
        <w:spacing w:after="0" w:line="270" w:lineRule="auto"/>
        <w:tabs>
          <w:tab w:leader="none" w:pos="11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 (ii)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181" w:lineRule="exact"/>
        <w:rPr>
          <w:rFonts w:ascii="Arial" w:cs="Arial" w:eastAsia="Arial" w:hAnsi="Arial"/>
          <w:sz w:val="17"/>
          <w:szCs w:val="17"/>
          <w:color w:val="auto"/>
        </w:rPr>
      </w:pPr>
    </w:p>
    <w:p>
      <w:pPr>
        <w:ind w:left="1220" w:right="340" w:hanging="564"/>
        <w:spacing w:after="0" w:line="277" w:lineRule="auto"/>
        <w:tabs>
          <w:tab w:leader="none" w:pos="11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PAA’s general partner may be substantial and will reduce PAA’s cash available for distribution to its partners.</w:t>
      </w:r>
    </w:p>
    <w:p>
      <w:pPr>
        <w:spacing w:after="0" w:line="237"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Prior to making any distribution to its partners, PAA will reimburse PAA GP and its affiliates, including officers and directors, for all expenses incurred on PAA’s behalf (other than expenses related to the AAP Management Units). The reimbursement of expenses and the payment of fees could adversely affect PAA’s ability to make distributions to its partners. PAA GP has sole discretion to determine the amount of these expenses. In addition, PAA GP and its affiliates may provide PAA with services for which PAA will be charged reasonable fees as determined by its general partner.</w:t>
      </w:r>
    </w:p>
    <w:p>
      <w:pPr>
        <w:sectPr>
          <w:pgSz w:w="11900" w:h="16838" w:orient="portrait"/>
          <w:cols w:equalWidth="0" w:num="1">
            <w:col w:w="11420"/>
          </w:cols>
          <w:pgMar w:left="240" w:top="125" w:right="239" w:bottom="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distributions are not guaranteed and may fluctuate with PAA’s performance and the establishment of financial reserves.</w:t>
      </w:r>
    </w:p>
    <w:p>
      <w:pPr>
        <w:sectPr>
          <w:pgSz w:w="11900" w:h="16838" w:orient="portrait"/>
          <w:cols w:equalWidth="0" w:num="1">
            <w:col w:w="11420"/>
          </w:cols>
          <w:pgMar w:left="240" w:top="125" w:right="239" w:bottom="0" w:gutter="0" w:footer="0" w:header="0"/>
          <w:type w:val="continuous"/>
        </w:sectPr>
      </w:pPr>
    </w:p>
    <w:bookmarkStart w:id="50" w:name="page51"/>
    <w:bookmarkEnd w:id="50"/>
    <w:p>
      <w:pPr>
        <w:spacing w:after="0" w:line="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Because distributions on PAA’s partnership interests are dependent on the amount of cash it generates, distributions to PAA’s common unitholders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6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PAA’s Series A Preferred Units (the “PAA preferred units”), issued in January 2016, rank senior to all of PAA’s other classes or series of equity securities with respect to distribution rights and rights upon liquidation. These preferences could adversely affect the market price for PAA’s common units, or could make it more difficult for PAA to sell common units in the future.</w:t>
      </w:r>
    </w:p>
    <w:p>
      <w:pPr>
        <w:spacing w:after="0" w:line="18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Distributions on the PAA preferred units accrue and are cumulative, at the rate of 8% per annum on the original issue price and are convertible into PAA common units by the holders of such units or by PAA in certain circumstances. PAA’s obligation to pay distributions on its preferred units, or on the common units issued following the conversion of such preferred units, could impact its liquidity and reduce the amount of cash flow available for working capital, capital expenditures, growth opportunities, acquisitions, and other general partnership purposes. PAA’s obligations to the holders of preferred units could also limit its ability to obtain additional financing or increase our borrowing costs, which could have an adverse effect on PAA’s financial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At December 31, 2015, we owned an approximate 38% limited partner interest in AAP, which indirectly owns PAA’s 2% general partner interest, and directly owns all of PAA’s IDRs.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The IRS issued proposed regulations on which activities give rise to qualifying income within the meaning of Section 7704 on May 5, 2015, but are not yet final. However, finalized regulations could modify the amount of PAA’s gross income that PAA is able to treat as qualifying income for the purposes of the qualifying income requirement.</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Despite the fact that PAA is a limited partnership under Delaware law and, unlike us, has not elected to be treated as a corporation for federal income tax purposes, it is possible, under certain circumstances, for PAA to be treated as a corporation for federal income tax purposes. Although we do not believe, based on its current operations, that PAA will be so treated, a change in PAA’s business could cause it to be treated as a corporation for federal income tax purposes or otherwise subject it to federal income taxation as an entity.</w:t>
      </w:r>
    </w:p>
    <w:p>
      <w:pPr>
        <w:spacing w:after="0" w:line="187"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Current law may change, causing PAA to be treated as a corporation for federal income tax purposes or otherwise subjecting PAA to additional entity-level taxation. In addition, several states are evaluating ways to subject partnerships to entity-level taxation through the imposition of state income, franchise and other forms of taxation. For example, PAA is subject to entity-level tax on the portion of its income apportioned to Texas in the prior year. Imposition of any similar taxes on PAA in additional states will reduce its cash available for distribution to its partners.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PAA were treated as a corporation for federal income tax purposes, it would pay federal income tax on its taxable income at the corporate tax rate, which is currently a maximum of 35%,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downward by a percentage that is based on the applicable entity-level tax rate, including both federal and state tax burdens. Although it is impossible to make an accurate assessment of the impact without the specific details of any such new law or modification, in such event, it is likely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such as PAA could be subject to potential legislative, judicial or administrative changes and differing interpretations, possibly on a retroactive basis.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Legislative changes to the IRS audit rules, starting with partnership tax years beginning after 2017, will allow the IRS to assess and collect tax on audit adjustments at the partnership level as opposed to the partner level unless the partnership makes an election or exercises certain alternatives. Changes</w:t>
      </w:r>
    </w:p>
    <w:p>
      <w:pPr>
        <w:sectPr>
          <w:pgSz w:w="11900" w:h="16908" w:orient="portrait"/>
          <w:cols w:equalWidth="0" w:num="1">
            <w:col w:w="11420"/>
          </w:cols>
          <w:pgMar w:left="240" w:top="341"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were also made to limit partner representation in the event of an audit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Bipartisan Budget Act of 2015 (H.R. 1315) (“Act”), effective for partnership tax years beginning after December 31, 2017, repeals the partnership audit rules of the Tax Equity and Fiscal Responsibility Act of 1982 (“TEFRA”) and replaces the TEFRA provisions with new provisions that allow for the IRS to assess and collect taxes associated with audit adjustments, referred to as an “imputed underpayment”, at the partnership entity level rather than the partner level in the year the partnership adjustment is made, the “adjustment year”, as opposed to the year the adjustment relates, the “reviewed year”. The imputed underpayment is calculated using the highest tax rate in effect for the reviewed year. The implications of an imputed underpayment are that current partners could be liable for a liability of former partners. If an audit adjustment did result in a material imputed underpayment the partnership would need to determine whether to pay the imputed underpayment or to avail itself of one of three alternative provisions under the Act that can shift the partnership level tax liability back onto the prior tax year partners. The first alternative, an opt-out election, is not available to PAA as a publicly traded partnership because PAA does not meet the criteria of 100 or fewer partners. The second alternative would require the partnership to submit audit adjustment information to the affected partners and to the IRS as well as ensure amended return compliance by our partners within 270 days after receipt of the proposed audit adjustment. From an administrative standpoint, considering the number of PAA’s partners, as a publicly traded partnership, the second alternative is not a viable option to PAA. The third alternative is an election by PAA that would require the partnership, not later than 45 days after the date of the notice of final partnership adjustment, to furnish to each affected partner and to the IRS a statement of each partner’s share of any adjustment to income, gain, loss, deduction, or credit. Under this alternative, reviewed year partners calculate their share of additional tax due and pay the additional amount with their respective current year individual tax returns. An election under this provision, however, because the reviewed year is older increases the applicable imputed underpayment interest rate by two percentage points. If PAA was required to pay taxes, penalties and interest as the result of audit adjustments, cash available for distribution to their unitholders may be substantially reduced. In addition, because payment would be due for the taxable year in which the audit is completed, unitholders during that taxable year would bear the expense of the adjustment even if they were not unitholders during the audited taxable year.</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Also for partnership tax years beginning after 2017, the Act eliminated rights that certain individual partners might previously have had in the audit process by now restricting it to a single “partnership representative”</w:t>
      </w:r>
    </w:p>
    <w:p>
      <w:pPr>
        <w:spacing w:after="0" w:line="170"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present U.S. federal income tax treatment of publicly traded partnerships, including PAA,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PAA relies for its treatment as a partnership for U.S. federal income tax purposes.</w:t>
      </w:r>
    </w:p>
    <w:p>
      <w:pPr>
        <w:spacing w:after="0" w:line="16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PAA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our indirect investment in PAA.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2015 and we do not expect to have any earnings and profits for an extended period of time, which we estimate will include, at a minimum, each of the periods ending December 31, 2016 and 2017.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Please read “Summary of Tax Considerations—Gain on Disposition of Class A Shares” for a further discussion of the foregoing.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ectPr>
          <w:pgSz w:w="11900" w:h="16838" w:orient="portrait"/>
          <w:cols w:equalWidth="0" w:num="1">
            <w:col w:w="11420"/>
          </w:cols>
          <w:pgMar w:left="240" w:top="125" w:right="239" w:bottom="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b w:val="1"/>
          <w:bCs w:val="1"/>
          <w:i w:val="1"/>
          <w:iCs w:val="1"/>
          <w:color w:val="auto"/>
        </w:rPr>
        <w:t>The IRS Forms 1099-DIV that our shareholders receive from their brokers may over-report dividend income with respect to our shares for U.S. federal income tax purposes, and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w:t>
      </w:r>
    </w:p>
    <w:p>
      <w:pPr>
        <w:spacing w:after="0" w:line="188"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Please read “Summary of Tax Considerations—Consequences to Non-U.S. Holders.”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ectPr>
          <w:pgSz w:w="11900" w:h="16838" w:orient="portrait"/>
          <w:cols w:equalWidth="0" w:num="1">
            <w:col w:w="11400"/>
          </w:cols>
          <w:pgMar w:left="240" w:top="125" w:right="259" w:bottom="32" w:gutter="0" w:footer="0" w:header="0"/>
        </w:sectPr>
      </w:pPr>
    </w:p>
    <w:bookmarkStart w:id="53" w:name="page54"/>
    <w:bookmarkEnd w:id="53"/>
    <w:p>
      <w:pPr>
        <w:spacing w:after="0" w:line="1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2015, our estimated undiscounted reserve for environmental liabilities (including liabilities related to the Line 901 incident, as discussed further below) totaled $185 million, of which $81 million was classified as short-term and $104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Consolidated Balance Sheets. At December 31, 2015 and 2014, we had recorded receivables totaling $161 million and $8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w:t>
      </w:r>
    </w:p>
    <w:p>
      <w:pPr>
        <w:sectPr>
          <w:pgSz w:w="11900" w:h="16851" w:orient="portrait"/>
          <w:cols w:equalWidth="0" w:num="1">
            <w:col w:w="11420"/>
          </w:cols>
          <w:pgMar w:left="240" w:top="125" w:right="239" w:bottom="0" w:gutter="0" w:footer="0" w:header="0"/>
        </w:sectPr>
      </w:pPr>
    </w:p>
    <w:bookmarkStart w:id="54" w:name="page55"/>
    <w:bookmarkEnd w:id="54"/>
    <w:p>
      <w:pPr>
        <w:ind w:right="180"/>
        <w:spacing w:after="0" w:line="297" w:lineRule="auto"/>
        <w:rPr>
          <w:sz w:val="20"/>
          <w:szCs w:val="20"/>
          <w:color w:val="auto"/>
        </w:rPr>
      </w:pPr>
      <w:r>
        <w:rPr>
          <w:rFonts w:ascii="Arial" w:cs="Arial" w:eastAsia="Arial" w:hAnsi="Arial"/>
          <w:sz w:val="16"/>
          <w:szCs w:val="16"/>
          <w:color w:val="auto"/>
        </w:rPr>
        <w:t>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 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pacing w:after="0" w:line="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9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8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three unitholder derivative lawsuits have been filed by certain purported investors in PAA against PAA,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0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2015,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Consolidated Statement of Operations. As of December 31, 2015, we had a remaining undiscounted gross liability of $116 million related to this event, the majority of which is presented as a current liability in “Accounts payable and accrued liabilities” on our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2015, we had collected, subject to customary reservations, $31 million out of the approximate $186 million of release costs that we believe are probable of recovery from insurance carriers, net of deductibles. We recovered an additional $69 million of proceeds from insurance carriers in January 2016. As of December 31, 2015, we have recognized a receivable of approximately $155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Consolidated Balance Sheets with the offset reducing “Field operating costs” on our Consolidated Statement of Operations.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ectPr>
          <w:pgSz w:w="11900" w:h="16838" w:orient="portrait"/>
          <w:cols w:equalWidth="0" w:num="1">
            <w:col w:w="11420"/>
          </w:cols>
          <w:pgMar w:left="240" w:top="125" w:right="239" w:bottom="0" w:gutter="0" w:footer="0" w:header="0"/>
        </w:sectPr>
      </w:pPr>
    </w:p>
    <w:bookmarkStart w:id="55" w:name="page56"/>
    <w:bookmarkEnd w:id="55"/>
    <w:p>
      <w:pPr>
        <w:spacing w:after="0" w:line="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plantiff. We estimate that the aggregate total costs associated with this release will be less than $10 million.</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 of Probable Violation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In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December 31, 2015, we spent $9 million in connection with clean-up and remediation activities.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Bay Springs Pipeline Release. </w:t>
      </w:r>
      <w:r>
        <w:rPr>
          <w:rFonts w:ascii="Arial" w:cs="Arial" w:eastAsia="Arial" w:hAnsi="Arial"/>
          <w:sz w:val="18"/>
          <w:szCs w:val="18"/>
          <w:color w:val="auto"/>
        </w:rPr>
        <w:t>In February 2013, we experienced a crude oil release of approximately 120 barrels on a portion of one of our pipelines</w:t>
      </w:r>
      <w:r>
        <w:rPr>
          <w:rFonts w:ascii="Arial" w:cs="Arial" w:eastAsia="Arial" w:hAnsi="Arial"/>
          <w:sz w:val="18"/>
          <w:szCs w:val="18"/>
          <w:i w:val="1"/>
          <w:iCs w:val="1"/>
          <w:color w:val="auto"/>
        </w:rPr>
        <w:t xml:space="preserve"> </w:t>
      </w:r>
      <w:r>
        <w:rPr>
          <w:rFonts w:ascii="Arial" w:cs="Arial" w:eastAsia="Arial" w:hAnsi="Arial"/>
          <w:sz w:val="18"/>
          <w:szCs w:val="18"/>
          <w:color w:val="auto"/>
        </w:rPr>
        <w:t>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w:t>
      </w:r>
    </w:p>
    <w:p>
      <w:pPr>
        <w:sectPr>
          <w:pgSz w:w="11900" w:h="16908" w:orient="portrait"/>
          <w:cols w:equalWidth="0" w:num="1">
            <w:col w:w="11400"/>
          </w:cols>
          <w:pgMar w:left="240" w:top="341" w:right="259" w:bottom="0" w:gutter="0" w:footer="0" w:header="0"/>
        </w:sectPr>
      </w:pPr>
    </w:p>
    <w:bookmarkStart w:id="56" w:name="page57"/>
    <w:bookmarkEnd w:id="56"/>
    <w:p>
      <w:pPr>
        <w:ind w:right="560"/>
        <w:spacing w:after="0" w:line="277" w:lineRule="auto"/>
        <w:rPr>
          <w:sz w:val="20"/>
          <w:szCs w:val="20"/>
          <w:color w:val="auto"/>
        </w:rPr>
      </w:pPr>
      <w:r>
        <w:rPr>
          <w:rFonts w:ascii="Arial" w:cs="Arial" w:eastAsia="Arial" w:hAnsi="Arial"/>
          <w:sz w:val="18"/>
          <w:szCs w:val="18"/>
          <w:color w:val="auto"/>
        </w:rPr>
        <w:t>coverage generally available in the industry, in certain circumstances our insurance policies provide limited coverage for losses or liabilities relating to gradual pollution, with broader coverage for sudden and accidental occurrences.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Class A shares are listed and traded on the New York Stock Exchange (“NYSE”) under the symbol “PAGP.” As of February 12, 2016, the closing market price for our Class A shares was $6.04 per share and there were approximately 29,000 record holders and beneficial owners (held in street name). As of February 12, 2016, there were 244,203,443 Class A shares outstanding.</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Class A shares and the cash distributions declared per Class A share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Class A share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Price Range</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2"/>
                <w:szCs w:val="12"/>
                <w:color w:val="auto"/>
              </w:rPr>
            </w:pPr>
          </w:p>
        </w:tc>
        <w:tc>
          <w:tcPr>
            <w:tcW w:w="8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 xml:space="preserve">Distributions </w:t>
            </w:r>
            <w:r>
              <w:rPr>
                <w:rFonts w:ascii="Arial" w:cs="Arial" w:eastAsia="Arial" w:hAnsi="Arial"/>
                <w:sz w:val="16"/>
                <w:szCs w:val="16"/>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19.49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32.58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27" w:lineRule="auto"/>
        <w:tabs>
          <w:tab w:leader="none" w:pos="648"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202"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Our Class B shares are not listed or traded on any stock exchange.</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Class A shares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ectPr>
          <w:pgSz w:w="11900" w:h="16838" w:orient="portrait"/>
          <w:cols w:equalWidth="0" w:num="1">
            <w:col w:w="11420"/>
          </w:cols>
          <w:pgMar w:left="240" w:top="125" w:right="239" w:bottom="0" w:gutter="0" w:footer="0" w:header="0"/>
        </w:sectPr>
      </w:pPr>
    </w:p>
    <w:bookmarkStart w:id="57" w:name="page58"/>
    <w:bookmarkEnd w:id="57"/>
    <w:p>
      <w:pPr>
        <w:ind w:right="4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Shareholder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71" w:lineRule="exact"/>
        <w:rPr>
          <w:sz w:val="20"/>
          <w:szCs w:val="20"/>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December 31, 2015, our only cash-generating assets consisted of our indirect partnership interests in PAA through our approximate 38% limited partner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PAA Commercial Paper Program and Indentures.”</w:t>
      </w:r>
    </w:p>
    <w:p>
      <w:pPr>
        <w:spacing w:after="0" w:line="17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January 2016, PAA completed the private placement of approximately 61.0 million Series A Convertible Preferred Units representing limited partner interests in PAA (the “PAA preferred units”). The PAA preferred units rank senior to all classes or series of equity securities in PAA with respect to distribution rights. AAP will be entitled to participate in distributions on the PAA preferred units equal to its 2% general partner interest in PAA.</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Although not required to do so, in response to past requests by PAA management in connection with PAA’s acquisition activities, AAP has, from time to time, agreed to reduce the amounts due to it as incentive distributions.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During 2015, 2014 and 2013, AAP’s incentive distributions were reduced by approximately $22 million, $23 million and $15 million, respectively. These reductions were agreed to in connection with the BP NGL Acquisition and the PNG Merger. In addition, AAP has agreed to reduce the amount of its incentive distribution by $5.0 million per quarter in 2016 and $3.75 million per quarter thereafter. See Note 1 to our Consolidated Financial Statements for further discussion of the PNG Merger. In connection with PAA’s January 2016 private placement of preferred units, AAP agreed to further modify its IDRs such that when the PAA preferred units convert into PAA common units, the IDRs associated with the resulting PAA common units will only participate in distribution growth above an annualized PAA distribution level of $2.80 per converted PAA common unit. See Note 10 to our Consolidated Financial Statements for further discussion of PAA’s preferred unit issuance.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2015, certain Legacy Owners or their permitted transferees exercised the Exchange Right, which resulted in the issuance of 2,074,022 Class A shares. The issuance of Class A shares in connection with the exercise of the Exchange Rights was exempt from the registration requirements of the Securities Act of 1933, as amended, pursuant to Section 4(2)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did not repurchase any of our Class A shares during the fourth quarter of 2015, and we do not have any announced or existing plans to repurchase any of our Class A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PAGP’s IPO) through December 31, 2013, plus results for Plains All American GP LLC (“GP LLC”), the predecessor entity to PAGP, prior to October 21, 2013.</w:t>
      </w:r>
    </w:p>
    <w:p>
      <w:pPr>
        <w:sectPr>
          <w:pgSz w:w="11900" w:h="16838" w:orient="portrait"/>
          <w:cols w:equalWidth="0" w:num="1">
            <w:col w:w="11400"/>
          </w:cols>
          <w:pgMar w:left="240" w:top="125" w:right="259" w:bottom="0" w:gutter="0" w:footer="0" w:header="0"/>
        </w:sectPr>
      </w:pPr>
    </w:p>
    <w:bookmarkStart w:id="58" w:name="page59"/>
    <w:bookmarkEnd w:id="58"/>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selected historical statements of operations and cash flow data for the years ended December 31, 2015, 2014, 2013, 2012 and 2011 and balance sheet data as of December 31, 2015, 2014, 2013 and 2012 is derived from the audited financial statements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PAGP (and GP LLC as discussed above) included elsewhere in this document. The selected balance sheet data as of December 31, 2011 is derived from the unaudited financial statements of GP LLC that are not included elsewhere in this document.</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selected financial data should be read in conjunction with the Consolidated Financial Statements, including the notes thereto, and Item 7. “Management’s Discussion and Analysis of Financial Condition and Results of Operations.”</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Amounts for 2011 through 2014 have been retroactively restated to reflect the impact of our adoption of revised debt issuance costs guidance issued by the Financial Accounting Standards Board (“FASB”). See Note 2 to our Consolidated Financial Statements for additional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31"/>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7"/>
          </w:tcPr>
          <w:p>
            <w:pPr>
              <w:jc w:val="center"/>
              <w:ind w:left="376"/>
              <w:spacing w:after="0" w:line="142" w:lineRule="exact"/>
              <w:rPr>
                <w:sz w:val="20"/>
                <w:szCs w:val="20"/>
                <w:color w:val="auto"/>
              </w:rPr>
            </w:pPr>
            <w:r>
              <w:rPr>
                <w:rFonts w:ascii="Arial" w:cs="Arial" w:eastAsia="Arial" w:hAnsi="Arial"/>
                <w:sz w:val="14"/>
                <w:szCs w:val="14"/>
                <w:b w:val="1"/>
                <w:bCs w:val="1"/>
                <w:color w:val="auto"/>
                <w:w w:val="93"/>
              </w:rPr>
              <w:t>(in millions, except per unit data)</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23,152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43,464</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42,249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37,797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1,791</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1,328</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1,374</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PAGP</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70</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unit data:</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Basic net income per Class A share </w:t>
            </w:r>
            <w:r>
              <w:rPr>
                <w:rFonts w:ascii="Arial" w:cs="Arial" w:eastAsia="Arial" w:hAnsi="Arial"/>
                <w:sz w:val="23"/>
                <w:szCs w:val="23"/>
                <w:color w:val="auto"/>
                <w:vertAlign w:val="superscript"/>
              </w:rPr>
              <w:t>(1)</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0.48</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3"/>
                <w:szCs w:val="23"/>
                <w:color w:val="auto"/>
                <w:vertAlign w:val="superscript"/>
              </w:rPr>
              <w:t>(1)</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0.47</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23"/>
                <w:szCs w:val="23"/>
                <w:color w:val="auto"/>
                <w:vertAlign w:val="superscript"/>
              </w:rPr>
              <w:t>(2)</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12,292</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24,142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23,923</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21,411</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19,219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9,238</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11,931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10,525</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8,301</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 / Members’ equity:</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Partners’ capital / Members’ equity (excluding</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Noncontrolling interests)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1,762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1,657</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7,724</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Partners’ capital / Members’ equity</w:t>
            </w: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5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1,988</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(3,296)</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1,672</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capital</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1,099</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Expansion capital</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2,026</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224</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(3) (4)</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4"/>
          </w:tcPr>
          <w:p>
            <w:pPr>
              <w:spacing w:after="0" w:line="201" w:lineRule="exact"/>
              <w:rPr>
                <w:sz w:val="20"/>
                <w:szCs w:val="20"/>
                <w:color w:val="auto"/>
              </w:rPr>
            </w:pPr>
            <w:r>
              <w:rPr>
                <w:rFonts w:ascii="Arial" w:cs="Arial" w:eastAsia="Arial" w:hAnsi="Arial"/>
                <w:sz w:val="18"/>
                <w:szCs w:val="18"/>
                <w:color w:val="auto"/>
                <w:w w:val="93"/>
              </w:rPr>
              <w:t>Transportation segment (average daily volumes in thousands of</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barrels per day):</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4,340</w:t>
            </w:r>
          </w:p>
        </w:tc>
        <w:tc>
          <w:tcPr>
            <w:tcW w:w="1460" w:type="dxa"/>
            <w:vAlign w:val="bottom"/>
            <w:gridSpan w:val="5"/>
            <w:shd w:val="clear" w:color="auto" w:fill="CCEEFF"/>
          </w:tcPr>
          <w:p>
            <w:pPr>
              <w:jc w:val="right"/>
              <w:ind w:right="219"/>
              <w:spacing w:after="0"/>
              <w:rPr>
                <w:sz w:val="20"/>
                <w:szCs w:val="20"/>
                <w:color w:val="auto"/>
              </w:rPr>
            </w:pPr>
            <w:r>
              <w:rPr>
                <w:rFonts w:ascii="Arial" w:cs="Arial" w:eastAsia="Arial" w:hAnsi="Arial"/>
                <w:sz w:val="18"/>
                <w:szCs w:val="18"/>
                <w:color w:val="auto"/>
              </w:rPr>
              <w:t>3,952</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3,595</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Trucking</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113</w:t>
            </w:r>
          </w:p>
        </w:tc>
        <w:tc>
          <w:tcPr>
            <w:tcW w:w="1460" w:type="dxa"/>
            <w:vAlign w:val="bottom"/>
            <w:gridSpan w:val="5"/>
          </w:tcPr>
          <w:p>
            <w:pPr>
              <w:jc w:val="right"/>
              <w:ind w:right="219"/>
              <w:spacing w:after="0"/>
              <w:rPr>
                <w:sz w:val="20"/>
                <w:szCs w:val="20"/>
                <w:color w:val="auto"/>
              </w:rPr>
            </w:pPr>
            <w:r>
              <w:rPr>
                <w:rFonts w:ascii="Arial" w:cs="Arial" w:eastAsia="Arial" w:hAnsi="Arial"/>
                <w:sz w:val="18"/>
                <w:szCs w:val="18"/>
                <w:color w:val="auto"/>
              </w:rPr>
              <w:t>127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Transportation segment total volumes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3"/>
              </w:rPr>
              <w:t>Crude oil, refined products and NGL terminalling and storage</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vMerge w:val="restart"/>
          </w:tcPr>
          <w:p>
            <w:pPr>
              <w:jc w:val="right"/>
              <w:ind w:right="219"/>
              <w:spacing w:after="0"/>
              <w:rPr>
                <w:sz w:val="20"/>
                <w:szCs w:val="20"/>
                <w:color w:val="auto"/>
              </w:rPr>
            </w:pPr>
            <w:r>
              <w:rPr>
                <w:rFonts w:ascii="Arial" w:cs="Arial" w:eastAsia="Arial" w:hAnsi="Arial"/>
                <w:sz w:val="18"/>
                <w:szCs w:val="18"/>
                <w:color w:val="auto"/>
                <w:w w:val="99"/>
              </w:rPr>
              <w:t>95</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7"/>
                <w:szCs w:val="17"/>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(average monthly capacity in millions of barrels)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gridSpan w:val="4"/>
            <w:vMerge w:val="restart"/>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Rail load / unload volumes (average volumes in thousands of</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4"/>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210</w:t>
            </w:r>
          </w:p>
        </w:tc>
        <w:tc>
          <w:tcPr>
            <w:tcW w:w="12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spacing w:after="0"/>
              <w:rPr>
                <w:sz w:val="13"/>
                <w:szCs w:val="13"/>
                <w:color w:val="auto"/>
              </w:rPr>
            </w:pPr>
          </w:p>
        </w:tc>
        <w:tc>
          <w:tcPr>
            <w:tcW w:w="1300" w:type="dxa"/>
            <w:vAlign w:val="bottom"/>
            <w:gridSpan w:val="4"/>
            <w:vMerge w:val="restart"/>
            <w:shd w:val="clear" w:color="auto" w:fill="CCEEFF"/>
          </w:tcPr>
          <w:p>
            <w:pPr>
              <w:jc w:val="right"/>
              <w:ind w:right="219"/>
              <w:spacing w:after="0"/>
              <w:rPr>
                <w:sz w:val="20"/>
                <w:szCs w:val="20"/>
                <w:color w:val="auto"/>
              </w:rPr>
            </w:pPr>
            <w:r>
              <w:rPr>
                <w:rFonts w:ascii="Arial" w:cs="Arial" w:eastAsia="Arial" w:hAnsi="Arial"/>
                <w:sz w:val="18"/>
                <w:szCs w:val="18"/>
                <w:color w:val="auto"/>
              </w:rPr>
              <w:t>231</w:t>
            </w:r>
          </w:p>
        </w:tc>
        <w:tc>
          <w:tcPr>
            <w:tcW w:w="11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3"/>
                <w:szCs w:val="13"/>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barrels per day)</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gridSpan w:val="4"/>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bottom w:val="single" w:sz="8" w:color="CCEEFF"/>
            </w:tcBorders>
            <w:gridSpan w:val="2"/>
            <w:vMerge w:val="restart"/>
          </w:tcPr>
          <w:p>
            <w:pPr>
              <w:ind w:left="180"/>
              <w:spacing w:after="0" w:line="195" w:lineRule="exact"/>
              <w:rPr>
                <w:sz w:val="20"/>
                <w:szCs w:val="20"/>
                <w:color w:val="auto"/>
              </w:rPr>
            </w:pPr>
            <w:r>
              <w:rPr>
                <w:rFonts w:ascii="Arial" w:cs="Arial" w:eastAsia="Arial" w:hAnsi="Arial"/>
                <w:sz w:val="18"/>
                <w:szCs w:val="18"/>
                <w:color w:val="auto"/>
                <w:w w:val="91"/>
              </w:rPr>
              <w:t>Natural gas storage (average monthly working capacity in</w:t>
            </w: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restart"/>
          </w:tcPr>
          <w:p>
            <w:pPr>
              <w:jc w:val="right"/>
              <w:ind w:right="219"/>
              <w:spacing w:after="0"/>
              <w:rPr>
                <w:sz w:val="20"/>
                <w:szCs w:val="20"/>
                <w:color w:val="auto"/>
              </w:rPr>
            </w:pPr>
            <w:r>
              <w:rPr>
                <w:rFonts w:ascii="Arial" w:cs="Arial" w:eastAsia="Arial" w:hAnsi="Arial"/>
                <w:sz w:val="18"/>
                <w:szCs w:val="18"/>
                <w:color w:val="auto"/>
                <w:w w:val="99"/>
              </w:rPr>
              <w:t>97</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3"/>
                <w:szCs w:val="13"/>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billions of cubic feet)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gridSpan w:val="4"/>
            <w:vMerge w:val="restart"/>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NGL fractionation (average volumes in thousands of barrels</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4"/>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103</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219"/>
              <w:spacing w:after="0"/>
              <w:rPr>
                <w:sz w:val="20"/>
                <w:szCs w:val="20"/>
                <w:color w:val="auto"/>
              </w:rPr>
            </w:pPr>
            <w:r>
              <w:rPr>
                <w:rFonts w:ascii="Arial" w:cs="Arial" w:eastAsia="Arial" w:hAnsi="Arial"/>
                <w:sz w:val="18"/>
                <w:szCs w:val="18"/>
                <w:color w:val="auto"/>
                <w:w w:val="99"/>
              </w:rPr>
              <w:t>96</w:t>
            </w:r>
          </w:p>
        </w:tc>
        <w:tc>
          <w:tcPr>
            <w:tcW w:w="11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3"/>
                <w:szCs w:val="13"/>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 day)</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bottom w:val="single" w:sz="8" w:color="CCEEFF"/>
            </w:tcBorders>
            <w:gridSpan w:val="4"/>
            <w:vMerge w:val="restart"/>
          </w:tcPr>
          <w:p>
            <w:pPr>
              <w:ind w:left="360"/>
              <w:spacing w:after="0" w:line="195" w:lineRule="exact"/>
              <w:rPr>
                <w:sz w:val="20"/>
                <w:szCs w:val="20"/>
                <w:color w:val="auto"/>
              </w:rPr>
            </w:pPr>
            <w:r>
              <w:rPr>
                <w:rFonts w:ascii="Arial" w:cs="Arial" w:eastAsia="Arial" w:hAnsi="Arial"/>
                <w:sz w:val="18"/>
                <w:szCs w:val="18"/>
                <w:color w:val="auto"/>
                <w:w w:val="92"/>
              </w:rPr>
              <w:t>Facilities segment total volumes (average monthly volumes</w:t>
            </w: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86"/>
              </w:rPr>
              <w:t>126</w:t>
            </w:r>
          </w:p>
        </w:tc>
        <w:tc>
          <w:tcPr>
            <w:tcW w:w="1460" w:type="dxa"/>
            <w:vAlign w:val="bottom"/>
            <w:gridSpan w:val="5"/>
            <w:vMerge w:val="restart"/>
          </w:tcPr>
          <w:p>
            <w:pPr>
              <w:jc w:val="right"/>
              <w:ind w:right="219"/>
              <w:spacing w:after="0"/>
              <w:rPr>
                <w:sz w:val="20"/>
                <w:szCs w:val="20"/>
                <w:color w:val="auto"/>
              </w:rPr>
            </w:pPr>
            <w:r>
              <w:rPr>
                <w:rFonts w:ascii="Arial" w:cs="Arial" w:eastAsia="Arial" w:hAnsi="Arial"/>
                <w:sz w:val="18"/>
                <w:szCs w:val="18"/>
                <w:color w:val="auto"/>
              </w:rPr>
              <w:t>121</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3"/>
                <w:szCs w:val="13"/>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gridSpan w:val="2"/>
          </w:tcPr>
          <w:p>
            <w:pPr>
              <w:ind w:left="540"/>
              <w:spacing w:after="0"/>
              <w:rPr>
                <w:sz w:val="20"/>
                <w:szCs w:val="20"/>
                <w:color w:val="auto"/>
              </w:rPr>
            </w:pPr>
            <w:r>
              <w:rPr>
                <w:rFonts w:ascii="Arial" w:cs="Arial" w:eastAsia="Arial" w:hAnsi="Arial"/>
                <w:sz w:val="18"/>
                <w:szCs w:val="18"/>
                <w:color w:val="auto"/>
              </w:rPr>
              <w:t>in millions of barrels)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gridSpan w:val="3"/>
            <w:vMerge w:val="continue"/>
          </w:tcPr>
          <w:p>
            <w:pPr>
              <w:spacing w:after="0"/>
              <w:rPr>
                <w:sz w:val="22"/>
                <w:szCs w:val="22"/>
                <w:color w:val="auto"/>
              </w:rPr>
            </w:pPr>
          </w:p>
        </w:tc>
        <w:tc>
          <w:tcPr>
            <w:tcW w:w="1460" w:type="dxa"/>
            <w:vAlign w:val="bottom"/>
            <w:gridSpan w:val="5"/>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-3373120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-3373120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9" w:name="page60"/>
    <w:bookmarkEnd w:id="5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Supply and Logistics segment (average daily volumes in</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thousands of barrels per day):</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r>
      <w:tr>
        <w:trPr>
          <w:trHeight w:val="210"/>
        </w:trPr>
        <w:tc>
          <w:tcPr>
            <w:tcW w:w="5040" w:type="dxa"/>
            <w:vAlign w:val="bottom"/>
          </w:tcPr>
          <w:p>
            <w:pPr>
              <w:ind w:left="380"/>
              <w:spacing w:after="0"/>
              <w:rPr>
                <w:sz w:val="20"/>
                <w:szCs w:val="20"/>
                <w:color w:val="auto"/>
              </w:rPr>
            </w:pPr>
            <w:r>
              <w:rPr>
                <w:rFonts w:ascii="Arial" w:cs="Arial" w:eastAsia="Arial" w:hAnsi="Arial"/>
                <w:sz w:val="18"/>
                <w:szCs w:val="18"/>
                <w:color w:val="auto"/>
              </w:rPr>
              <w:t>Supply and Logistics segment total volumes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left="20" w:right="460" w:hanging="11"/>
        <w:spacing w:after="0" w:line="342" w:lineRule="auto"/>
        <w:rPr>
          <w:sz w:val="20"/>
          <w:szCs w:val="20"/>
          <w:color w:val="auto"/>
        </w:rPr>
      </w:pPr>
      <w:r>
        <w:rPr>
          <w:rFonts w:ascii="Arial" w:cs="Arial" w:eastAsia="Arial" w:hAnsi="Arial"/>
          <w:sz w:val="16"/>
          <w:szCs w:val="16"/>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during the year presented.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248" w:lineRule="exact"/>
        <w:rPr>
          <w:sz w:val="20"/>
          <w:szCs w:val="20"/>
          <w:color w:val="auto"/>
        </w:rPr>
      </w:pPr>
    </w:p>
    <w:p>
      <w:pPr>
        <w:ind w:left="20" w:hanging="7"/>
        <w:spacing w:after="0" w:line="257" w:lineRule="auto"/>
        <w:rPr>
          <w:sz w:val="20"/>
          <w:szCs w:val="20"/>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18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1" w:orient="portrait"/>
          <w:cols w:equalWidth="0" w:num="2">
            <w:col w:w="160" w:space="48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For ease of reference, we refer to the historical results of Plains All American GP LLC (“GP LLC”) prior to our IPO as being “our” historical financial results. Unless the context otherwise requires, references to “we,” “us,” “our,” and “PAGP” are intended to mean the business and operations of PAGP and its consolidated subsidiaries since October 21, 2013. When used in the historical context (i.e. prior to October 21, 2013), these terms are intended to mean the business and operations of GP LLC and its consolidated subsidiaries.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of December 31, 2015, we owned an approximate 38% limited partner interest in AAP, and the remaining limited partner interests in AAP were held by the owners of AAP immediately prior to our IPO (the “Legacy Owners”).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w:t>
      </w:r>
    </w:p>
    <w:p>
      <w:pPr>
        <w:spacing w:after="0" w:line="16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Through a series of transactions prior to our IPO with our general partner and the owners of GP LLC, a Delaware limited liability company formed on May 2, 2001 that manages the business and affairs of PAA and AAP, GP LLC’s general partner interest in AAP became a non-economic interest, and we became the owner of a 100% managing member interest in GP LLC. Since we are the managing member of and control GP LLC, which in turn effectively controls PAA, we reflect our ownership in PAA, as well as its subsidiaries, on a consolidated basis in accordance with generally accepted accounting principles. Accordingly, our financial results are combined with those of GP LLC and PAA as well as with their subsidiaries. As such, our results of operations as discussed below do not differ materially from the results of operations of PAA.</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ectPr>
          <w:pgSz w:w="11900" w:h="16851" w:orient="portrait"/>
          <w:cols w:equalWidth="0" w:num="1">
            <w:col w:w="11420"/>
          </w:cols>
          <w:pgMar w:left="240" w:top="125" w:right="239" w:bottom="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51" w:orient="portrait"/>
          <w:cols w:equalWidth="0" w:num="1">
            <w:col w:w="11420"/>
          </w:cols>
          <w:pgMar w:left="240" w:top="125" w:right="239" w:bottom="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80" w:firstLine="612"/>
        <w:spacing w:after="0" w:line="272" w:lineRule="auto"/>
        <w:rPr>
          <w:sz w:val="20"/>
          <w:szCs w:val="20"/>
          <w:color w:val="auto"/>
        </w:rPr>
      </w:pPr>
      <w:r>
        <w:rPr>
          <w:rFonts w:ascii="Arial" w:cs="Arial" w:eastAsia="Arial" w:hAnsi="Arial"/>
          <w:sz w:val="17"/>
          <w:szCs w:val="17"/>
          <w:color w:val="auto"/>
        </w:rPr>
        <w:t xml:space="preserve">Primarily as a result of advances in drilling and completion techniques and their application to a number of large-scale shale and resource plays, which occurred contemporaneously with attractive petroleum prices, during the approximately three year period through the end of 2014, U.S. crude oil and liquids production in the lower 48 states increased rapidly.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2014 (albeit to a lesser degree than previous years), these market conditions had a positive impact on our profitability as our business strategy and asset base positioned us to capitalize on opportunities created by the volatile environment. </w:t>
      </w:r>
      <w:r>
        <w:rPr>
          <w:rFonts w:ascii="Arial" w:cs="Arial" w:eastAsia="Arial" w:hAnsi="Arial"/>
          <w:sz w:val="16"/>
          <w:szCs w:val="16"/>
          <w:color w:val="auto"/>
        </w:rPr>
        <w:t>However, the combination during such period of surging North American liquids production, relatively flat liquids production for the rest of the</w:t>
      </w:r>
      <w:r>
        <w:rPr>
          <w:rFonts w:ascii="Arial" w:cs="Arial" w:eastAsia="Arial" w:hAnsi="Arial"/>
          <w:sz w:val="17"/>
          <w:szCs w:val="17"/>
          <w:color w:val="auto"/>
        </w:rPr>
        <w:t xml:space="preserve"> </w:t>
      </w:r>
      <w:r>
        <w:rPr>
          <w:rFonts w:ascii="Arial" w:cs="Arial" w:eastAsia="Arial" w:hAnsi="Arial"/>
          <w:sz w:val="16"/>
          <w:szCs w:val="16"/>
          <w:color w:val="auto"/>
        </w:rPr>
        <w:t>world and relatively modest growth in global liquids demand led to a supply imbalance, which in turn led to a significant and rapid reduction in petroleum prices during the second half of 2014 and throughout 2015.</w:t>
      </w:r>
    </w:p>
    <w:p>
      <w:pPr>
        <w:spacing w:after="0" w:line="180" w:lineRule="exact"/>
        <w:rPr>
          <w:sz w:val="20"/>
          <w:szCs w:val="20"/>
          <w:color w:val="auto"/>
        </w:rPr>
      </w:pPr>
    </w:p>
    <w:p>
      <w:pPr>
        <w:ind w:left="40" w:right="100" w:firstLine="612"/>
        <w:spacing w:after="0" w:line="290" w:lineRule="auto"/>
        <w:rPr>
          <w:sz w:val="20"/>
          <w:szCs w:val="20"/>
          <w:color w:val="auto"/>
        </w:rPr>
      </w:pPr>
      <w:r>
        <w:rPr>
          <w:rFonts w:ascii="Arial" w:cs="Arial" w:eastAsia="Arial" w:hAnsi="Arial"/>
          <w:sz w:val="16"/>
          <w:szCs w:val="16"/>
          <w:color w:val="auto"/>
        </w:rPr>
        <w:t>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the rate of growth of North American crude oil production slowed significantly and began to decrease in some areas as producers have taken rigs out of service and deferred completions at an increased rate. The slowdown in North American production coupled with increases in infrastructure led to a compression of basis differentials in a number of locations. This transitioning crude oil market created a challenging environment for our business model and asset base in 2015. We recognized net income of $809 million in 2015 as compared to net income of $1.328 billion recognized in 2014. The year-over-year decrease was driven by:</w:t>
      </w:r>
    </w:p>
    <w:p>
      <w:pPr>
        <w:spacing w:after="0" w:line="166" w:lineRule="exact"/>
        <w:rPr>
          <w:sz w:val="20"/>
          <w:szCs w:val="20"/>
          <w:color w:val="auto"/>
        </w:rPr>
      </w:pPr>
    </w:p>
    <w:p>
      <w:pPr>
        <w:ind w:left="980" w:right="120" w:hanging="324"/>
        <w:spacing w:after="0" w:line="264"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operating results, primarily from our Supply and Logistics segment, as increased competition and compressed differentials from the market conditions discussed above drove lower unit margins in this part of our business. See further discussion of our segment operating results in the “—Results of Operations—Analysis of Operating Segments” section below;</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and lost revenue associated with the Line 901 incident; and</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associated with our growing asset base and related financing activities; partially offset by</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income tax expense resulting from the deferred income tax impact associated with fluctuations in the derivative mark-to-market valuation in our Canadian operations.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executed a $2.2 billion capital program during 2015. We expect the majority of the capital invested will contribute to growth in our fee-based Transportation and Facilities segments in future years. To fund the 2015 capital expansion activities, PAA executed multiple financings, including raising an aggregate of approximately $2.1 billion of long-term debt and equity capital. In addition, we paid approximately $1.7 billion of cash distributions to our Class A shareholders and noncontrolling interests during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2015, 2014 and 2013 that have impacted our results of operations. The following table summarizes our expenditures for acquisition capital, expansion capital and maintenance capital for the periods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3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(3)</w:t>
            </w:r>
          </w:p>
        </w:tc>
        <w:tc>
          <w:tcPr>
            <w:tcW w:w="3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3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40" w:type="dxa"/>
            <w:vAlign w:val="bottom"/>
            <w:vMerge w:val="restart"/>
          </w:tcPr>
          <w:p>
            <w:pPr>
              <w:jc w:val="right"/>
              <w:ind w:right="1430"/>
              <w:spacing w:after="0"/>
              <w:rPr>
                <w:sz w:val="20"/>
                <w:szCs w:val="20"/>
                <w:color w:val="auto"/>
              </w:rPr>
            </w:pPr>
            <w:r>
              <w:rPr>
                <w:rFonts w:ascii="Arial" w:cs="Arial" w:eastAsia="Arial" w:hAnsi="Arial"/>
                <w:sz w:val="18"/>
                <w:szCs w:val="18"/>
                <w:color w:val="auto"/>
              </w:rPr>
              <w:t>85</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60" w:hanging="652"/>
        <w:spacing w:after="0" w:line="234"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202" w:lineRule="exact"/>
        <w:rPr>
          <w:rFonts w:ascii="Arial" w:cs="Arial" w:eastAsia="Arial" w:hAnsi="Arial"/>
          <w:sz w:val="23"/>
          <w:szCs w:val="23"/>
          <w:color w:val="auto"/>
          <w:vertAlign w:val="superscript"/>
        </w:rPr>
      </w:pPr>
    </w:p>
    <w:p>
      <w:pPr>
        <w:ind w:left="660" w:right="120" w:hanging="652"/>
        <w:spacing w:after="0" w:line="249" w:lineRule="auto"/>
        <w:tabs>
          <w:tab w:leader="none" w:pos="648" w:val="left"/>
        </w:tabs>
        <w:numPr>
          <w:ilvl w:val="0"/>
          <w:numId w:val="56"/>
        </w:numPr>
        <w:rPr>
          <w:rFonts w:ascii="Arial" w:cs="Arial" w:eastAsia="Arial" w:hAnsi="Arial"/>
          <w:sz w:val="22"/>
          <w:szCs w:val="22"/>
          <w:color w:val="auto"/>
          <w:vertAlign w:val="superscript"/>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 to our Consolidated Financial Statements for further discussion of the PNG Merger.</w:t>
      </w:r>
    </w:p>
    <w:p>
      <w:pPr>
        <w:spacing w:after="0" w:line="196" w:lineRule="exact"/>
        <w:rPr>
          <w:rFonts w:ascii="Arial" w:cs="Arial" w:eastAsia="Arial" w:hAnsi="Arial"/>
          <w:sz w:val="22"/>
          <w:szCs w:val="22"/>
          <w:color w:val="auto"/>
          <w:vertAlign w:val="superscript"/>
        </w:rPr>
      </w:pPr>
    </w:p>
    <w:p>
      <w:pPr>
        <w:ind w:left="660" w:right="320" w:hanging="652"/>
        <w:spacing w:after="0" w:line="234"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Acquisitions are financed using a combination of equity and debt, including borrowings under the PAA commercial paper program or credit facilities and the issuance of PAA senior notes. Businesses acquired impact our results of operations commencing on the closing date of each acquisition. Our</w:t>
      </w:r>
    </w:p>
    <w:p>
      <w:pPr>
        <w:sectPr>
          <w:pgSz w:w="11900" w:h="16838" w:orient="portrait"/>
          <w:cols w:equalWidth="0" w:num="1">
            <w:col w:w="11460"/>
          </w:cols>
          <w:pgMar w:left="240" w:top="517" w:right="199" w:bottom="0" w:gutter="0" w:footer="0" w:header="0"/>
        </w:sectPr>
      </w:pPr>
    </w:p>
    <w:bookmarkStart w:id="61" w:name="page62"/>
    <w:bookmarkEnd w:id="61"/>
    <w:p>
      <w:pPr>
        <w:ind w:right="320"/>
        <w:spacing w:after="0" w:line="277" w:lineRule="auto"/>
        <w:rPr>
          <w:sz w:val="20"/>
          <w:szCs w:val="20"/>
          <w:color w:val="auto"/>
        </w:rPr>
      </w:pPr>
      <w:r>
        <w:rPr>
          <w:rFonts w:ascii="Arial" w:cs="Arial" w:eastAsia="Arial" w:hAnsi="Arial"/>
          <w:sz w:val="18"/>
          <w:szCs w:val="18"/>
          <w:color w:val="auto"/>
        </w:rPr>
        <w:t>acquisition and capital expansion activities are discussed further in “—Liquidity and Capital Resources.” Information regarding acquisitions completed in 2015, 2014 and 2013 is set forth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Effective</w:t>
            </w: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Acquisition</w:t>
            </w:r>
          </w:p>
        </w:tc>
        <w:tc>
          <w:tcPr>
            <w:tcW w:w="29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2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and Facilities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11/14/2014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Various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96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2013 Total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09/01/2013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5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We account for our 50% interest in BridgeTex under the equity method of accounting. See Note 7 to our Consolidated Financial Statements for further discussion of our equity method investments.</w:t>
      </w:r>
    </w:p>
    <w:p>
      <w:pPr>
        <w:spacing w:after="0" w:line="170" w:lineRule="exact"/>
        <w:rPr>
          <w:sz w:val="20"/>
          <w:szCs w:val="20"/>
          <w:color w:val="auto"/>
        </w:rPr>
      </w:pPr>
    </w:p>
    <w:p>
      <w:pPr>
        <w:ind w:left="20"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 to our Consolidated Financial Statements for further discussion of the PNG Merger.</w:t>
      </w:r>
    </w:p>
    <w:p>
      <w:pPr>
        <w:spacing w:after="0" w:line="16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59"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2015 projects primarily included the construction and expansion of pipeline systems and storage and terminal facilities. The following table summarizes our 2015, 2014 and 2013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Projects</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Red River Pipeline (Cushing to Longview)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Saddlehorn Pipeline </w:t>
            </w:r>
            <w:r>
              <w:rPr>
                <w:rFonts w:ascii="Arial" w:cs="Arial" w:eastAsia="Arial" w:hAnsi="Arial"/>
                <w:sz w:val="23"/>
                <w:szCs w:val="23"/>
                <w:color w:val="auto"/>
                <w:vertAlign w:val="superscript"/>
              </w:rPr>
              <w:t>(1) (3)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Cowboy Pipeline (Cheyenne to Carr)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Area Projects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St. James Terminal Expansions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3"/>
                <w:szCs w:val="23"/>
                <w:color w:val="auto"/>
                <w:vertAlign w:val="superscript"/>
              </w:rPr>
              <w:t>(1) (4)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Pascagoula Pipeline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r>
      <w:tr>
        <w:trPr>
          <w:trHeight w:val="210"/>
        </w:trPr>
        <w:tc>
          <w:tcPr>
            <w:tcW w:w="704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59"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2016. See “—Liquidity and Capital Resources—Acquisitions, Capital Expenditures and Distributions Paid to Our Class A Shareholders and Noncontrolling Interests—2016 Capital Projects.”</w:t>
      </w:r>
    </w:p>
    <w:p>
      <w:pPr>
        <w:spacing w:after="0" w:line="170" w:lineRule="exact"/>
        <w:rPr>
          <w:sz w:val="20"/>
          <w:szCs w:val="20"/>
          <w:color w:val="auto"/>
        </w:rPr>
      </w:pPr>
    </w:p>
    <w:p>
      <w:pPr>
        <w:ind w:left="20" w:right="600" w:hanging="11"/>
        <w:spacing w:after="0" w:line="277" w:lineRule="auto"/>
        <w:rPr>
          <w:sz w:val="20"/>
          <w:szCs w:val="20"/>
          <w:color w:val="auto"/>
        </w:rPr>
      </w:pPr>
      <w:r>
        <w:rPr>
          <w:rFonts w:ascii="Arial" w:cs="Arial" w:eastAsia="Arial" w:hAnsi="Arial"/>
          <w:sz w:val="18"/>
          <w:szCs w:val="18"/>
          <w:color w:val="auto"/>
        </w:rPr>
        <w:t>Includes railcar purchases, as well as rail projects near St. James, LA; Tampa, CO; Bakersfield, CA; Carr, CO; Manitou, ND; Van Hook, ND; Yorktown, VA; and Kerrobert, Canada rail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40% investment interest in Saddlehorn.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50% investment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00" w:lineRule="exact"/>
        <w:rPr>
          <w:sz w:val="20"/>
          <w:szCs w:val="20"/>
          <w:color w:val="auto"/>
        </w:rPr>
      </w:pPr>
    </w:p>
    <w:p>
      <w:pPr>
        <w:sectPr>
          <w:pgSz w:w="11900" w:h="16838" w:orient="portrait"/>
          <w:cols w:equalWidth="0" w:num="2">
            <w:col w:w="140" w:space="500"/>
            <w:col w:w="10780"/>
          </w:cols>
          <w:pgMar w:left="240" w:top="125" w:right="239" w:bottom="59" w:gutter="0" w:footer="0" w:header="0"/>
          <w:type w:val="continuous"/>
        </w:sectPr>
      </w:pPr>
    </w:p>
    <w:p>
      <w:pPr>
        <w:spacing w:after="0" w:line="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overall increase in our expansion capital expenditures over the periods presented was primarily driven by our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A majority of the expansion capital spent in the years presented was invested in our fee-based Transportation and Facilities segments.</w:t>
      </w:r>
    </w:p>
    <w:p>
      <w:pPr>
        <w:spacing w:after="0" w:line="17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currently expect to spend approximately $1.5 billion for expansion capital in 2016. See “—Liquidity and Capital Resources—Acquisitions, Capital Expenditures and Distributions Paid to Our Class A Shareholders and Noncontrolling Interests—2016 Capital Projects” and “—Outlook”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ectPr>
          <w:pgSz w:w="11900" w:h="16838" w:orient="portrait"/>
          <w:cols w:equalWidth="0" w:num="1">
            <w:col w:w="11420"/>
          </w:cols>
          <w:pgMar w:left="240" w:top="125" w:right="239" w:bottom="59" w:gutter="0" w:footer="0" w:header="0"/>
          <w:type w:val="continuous"/>
        </w:sectPr>
      </w:pPr>
    </w:p>
    <w:bookmarkStart w:id="62" w:name="page63"/>
    <w:bookmarkEnd w:id="62"/>
    <w:p>
      <w:pPr>
        <w:spacing w:after="0" w:line="9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adopted various accounting policies to prepare our consolidated financial statements in accordance with GAAP. These critical accounting policies are discussed in Note 2 to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believe that the assumptions, judgments and estimates involved in the accounting for our (i) purchase and sales accruals, (ii) estimated fair value of assets and liabilities acquired and identification of associated goodwill and intangible assets, (iii) fair value of derivatives, (iv) accruals and contingent liabilities, (v) equity-indexed compensation plan accruals, (vi) property and equipment, depreciation expense and asset retirement obligations,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purchases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due to the 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2015, we estimate that approximately 2% of annual revenues and purchases and related costs were recorded using sales and purchase estimates. Accordingly, a hypothetical variance of 10% from both of these estimates, either up or down in tandem, would impact annual revenues, purchases and related costs, operating income and net income by less than 1%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7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FASB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acquisitions of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Further, significant negative variances in the assumptions and estimates utilized in our forecasts, such as a continued decline in petroleum commodity prices or a sustained multi-year low petroleum commodity price environment that results in lower volumes and cash flows or further increases in our weighted average cost of capital assumption, could result in reporting unit carrying values in excess of fair values. See Note 6 to our Consolidated Financial Statements for a further discussion of goodwill.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11 to our Consolidated Financial Statements for a discussion regarding our derivatives and risk management activities.</w:t>
      </w:r>
    </w:p>
    <w:p>
      <w:pPr>
        <w:spacing w:after="0" w:line="18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w:t>
      </w:r>
    </w:p>
    <w:p>
      <w:pPr>
        <w:sectPr>
          <w:pgSz w:w="11900" w:h="16934" w:orient="portrait"/>
          <w:cols w:equalWidth="0" w:num="1">
            <w:col w:w="11420"/>
          </w:cols>
          <w:pgMar w:left="240" w:top="125" w:right="239" w:bottom="0" w:gutter="0" w:footer="0" w:header="0"/>
        </w:sectPr>
      </w:pPr>
    </w:p>
    <w:bookmarkStart w:id="63" w:name="page64"/>
    <w:bookmarkEnd w:id="63"/>
    <w:p>
      <w:pPr>
        <w:ind w:right="120"/>
        <w:spacing w:after="0" w:line="273" w:lineRule="auto"/>
        <w:rPr>
          <w:sz w:val="20"/>
          <w:szCs w:val="20"/>
          <w:color w:val="auto"/>
        </w:rPr>
      </w:pPr>
      <w:r>
        <w:rPr>
          <w:rFonts w:ascii="Arial" w:cs="Arial" w:eastAsia="Arial" w:hAnsi="Arial"/>
          <w:sz w:val="17"/>
          <w:szCs w:val="17"/>
          <w:color w:val="auto"/>
        </w:rPr>
        <w:t>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equity-indexed compensation awards. We cannot provide assurance that the actual fair value of our equity-indexed compensation awards will not vary significantly from estimated amounts.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recognized equity-indexed compensation expense of $27 million, $99 million and $116 million in 2015, 2014 and 2013, respectively, related to awards granted under our various equity-indexed compensation plans. A hypothetical variance of 5% in our aggregate estimate for the equity-indexed compensation expense would have an impact on net income of less than 1%. See Note 15 to our Consolidated Financial Statements for a discussion regarding our equity-indexed compensation plans.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Depreciation Expense and Asset Retirement Obligations. </w:t>
      </w:r>
      <w:r>
        <w:rPr>
          <w:rFonts w:ascii="Arial" w:cs="Arial" w:eastAsia="Arial" w:hAnsi="Arial"/>
          <w:sz w:val="18"/>
          <w:szCs w:val="18"/>
          <w:color w:val="auto"/>
        </w:rPr>
        <w:t>We compute depreciation using the straight-line method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did not recognize any material impairment of long-lived assets during the three years ending December 31, 2015. See Note 5 to our Consolidated Financial Statements for further discussion regarding impairments.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2015, 2014 and 2013)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NGL and natural gas and is valued at the lower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2015, 2014 and 2013, we recorded charges of $117 million, $289 million and $7 million, respectively, related to the valuation adjustment of our crude oil, NGL and natural gas inventory due to declines in prices. See Note 4 to our Consolidated Financial Statements for further discussion regarding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See Note 2 to our Consolidated Financial Statements for information regarding the effect of recent accounting pronouncements on our consolidated financial statements, including the impact of our adoption of revised debt issuance costs guidance on prior period financial statements.</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0" w:gutter="0" w:footer="0" w:header="0"/>
          <w:type w:val="continuous"/>
        </w:sectPr>
      </w:pPr>
    </w:p>
    <w:bookmarkStart w:id="64" w:name="page65"/>
    <w:bookmarkEnd w:id="6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vMerge w:val="restart"/>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4"/>
              </w:rPr>
              <w:t>Favorable/(Unfavorable) Variance</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268"/>
              <w:spacing w:after="0" w:line="142" w:lineRule="exact"/>
              <w:rPr>
                <w:sz w:val="20"/>
                <w:szCs w:val="20"/>
                <w:color w:val="auto"/>
              </w:rPr>
            </w:pPr>
            <w:r>
              <w:rPr>
                <w:rFonts w:ascii="Arial" w:cs="Arial" w:eastAsia="Arial" w:hAnsi="Arial"/>
                <w:sz w:val="14"/>
                <w:szCs w:val="14"/>
                <w:b w:val="1"/>
                <w:bCs w:val="1"/>
                <w:color w:val="auto"/>
              </w:rPr>
              <w:t>2015-2014</w:t>
            </w:r>
          </w:p>
        </w:tc>
        <w:tc>
          <w:tcPr>
            <w:tcW w:w="3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(401)</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tcPr>
          <w:p>
            <w:pPr>
              <w:ind w:left="180"/>
              <w:spacing w:after="0"/>
              <w:rPr>
                <w:sz w:val="20"/>
                <w:szCs w:val="20"/>
                <w:color w:val="auto"/>
              </w:rPr>
            </w:pPr>
            <w:r>
              <w:rPr>
                <w:rFonts w:ascii="Arial" w:cs="Arial" w:eastAsia="Arial" w:hAnsi="Arial"/>
                <w:sz w:val="18"/>
                <w:szCs w:val="18"/>
                <w:color w:val="auto"/>
              </w:rPr>
              <w:t>Total segment profit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2,167</w:t>
            </w:r>
          </w:p>
        </w:tc>
        <w:tc>
          <w:tcPr>
            <w:tcW w:w="20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(414)</w:t>
            </w:r>
          </w:p>
        </w:tc>
        <w:tc>
          <w:tcPr>
            <w:tcW w:w="2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Unallocated general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(250)%</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(519)</w:t>
            </w:r>
          </w:p>
        </w:tc>
        <w:tc>
          <w:tcPr>
            <w:tcW w:w="2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5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Net income attributable to PAGP</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right w:val="single" w:sz="8" w:color="auto"/>
            </w:tcBorders>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line="216" w:lineRule="exact"/>
              <w:rPr>
                <w:sz w:val="20"/>
                <w:szCs w:val="20"/>
                <w:color w:val="auto"/>
              </w:rPr>
            </w:pPr>
            <w:r>
              <w:rPr>
                <w:rFonts w:ascii="Arial" w:cs="Arial" w:eastAsia="Arial" w:hAnsi="Arial"/>
                <w:sz w:val="18"/>
                <w:szCs w:val="18"/>
                <w:color w:val="auto"/>
                <w:w w:val="99"/>
              </w:rPr>
              <w:t xml:space="preserve">Basic net income per Class A share </w:t>
            </w:r>
            <w:r>
              <w:rPr>
                <w:rFonts w:ascii="Arial" w:cs="Arial" w:eastAsia="Arial" w:hAnsi="Arial"/>
                <w:sz w:val="23"/>
                <w:szCs w:val="23"/>
                <w:color w:val="auto"/>
                <w:w w:val="99"/>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18"/>
                <w:szCs w:val="18"/>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5"/>
              </w:rPr>
              <w:t xml:space="preserve">Diluted net income per Class A share </w:t>
            </w:r>
            <w:r>
              <w:rPr>
                <w:rFonts w:ascii="Arial" w:cs="Arial" w:eastAsia="Arial" w:hAnsi="Arial"/>
                <w:sz w:val="23"/>
                <w:szCs w:val="23"/>
                <w:color w:val="auto"/>
                <w:w w:val="95"/>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6"/>
              </w:rPr>
              <w:t>Basic weighted average Class A shares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20"/>
                <w:szCs w:val="20"/>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Class A</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shares outstanding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(428)</w:t>
            </w:r>
          </w:p>
        </w:tc>
        <w:tc>
          <w:tcPr>
            <w:tcW w:w="5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hanging="652"/>
        <w:spacing w:after="0" w:line="234" w:lineRule="auto"/>
        <w:tabs>
          <w:tab w:leader="none" w:pos="648"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For the 2013 period, basic and diluted net income per Class A share were calculated based on net income attributable to PAGP for the period following the closing of our initial public offering on October 21, 2013 and basic weighted average Class A shares outstanding weighted for the same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for a definition of segment profit (including an explanation of why this is a performance measure) and a reconciliation of segment profit to net income attributable to PAGP.</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each month.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720" w:type="dxa"/>
            <w:vAlign w:val="bottom"/>
          </w:tcPr>
          <w:p>
            <w:pPr>
              <w:spacing w:after="0"/>
              <w:rPr>
                <w:sz w:val="14"/>
                <w:szCs w:val="14"/>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2015-2014</w:t>
            </w:r>
          </w:p>
        </w:tc>
        <w:tc>
          <w:tcPr>
            <w:tcW w:w="30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13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90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9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17"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1,439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1,447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20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9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Equity-indexed compensation expense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operations</w:t>
            </w:r>
          </w:p>
        </w:tc>
        <w:tc>
          <w:tcPr>
            <w:tcW w:w="2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9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Equity-indexed compensation expense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general and administrative</w:t>
            </w:r>
          </w:p>
        </w:tc>
        <w:tc>
          <w:tcPr>
            <w:tcW w:w="2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9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gridSpan w:val="2"/>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144</w:t>
            </w:r>
          </w:p>
        </w:tc>
        <w:tc>
          <w:tcPr>
            <w:tcW w:w="24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165</w:t>
            </w:r>
          </w:p>
        </w:tc>
        <w:tc>
          <w:tcPr>
            <w:tcW w:w="24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123</w:t>
            </w:r>
          </w:p>
        </w:tc>
        <w:tc>
          <w:tcPr>
            <w:tcW w:w="200" w:type="dxa"/>
            <w:vAlign w:val="bottom"/>
            <w:tcBorders>
              <w:right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(0.06</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2300" w:type="dxa"/>
            <w:vAlign w:val="bottom"/>
            <w:gridSpan w:val="8"/>
            <w:vMerge w:val="restart"/>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6"/>
              </w:rPr>
              <w:t>Favorable/(Unfavorable) Variance</w:t>
            </w:r>
          </w:p>
        </w:tc>
        <w:tc>
          <w:tcPr>
            <w:tcW w:w="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8"/>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6"/>
                <w:szCs w:val="16"/>
                <w:b w:val="1"/>
                <w:bCs w:val="1"/>
                <w:color w:val="auto"/>
                <w:vertAlign w:val="superscript"/>
              </w:rPr>
              <w:t>(4)</w:t>
            </w:r>
          </w:p>
        </w:tc>
        <w:tc>
          <w:tcPr>
            <w:tcW w:w="22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Volumes</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2"/>
              </w:rPr>
              <w:t>Volumes</w:t>
            </w:r>
          </w:p>
        </w:tc>
        <w:tc>
          <w:tcPr>
            <w:tcW w:w="62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 volumes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60"/>
              <w:spacing w:after="0"/>
              <w:rPr>
                <w:sz w:val="20"/>
                <w:szCs w:val="20"/>
                <w:color w:val="auto"/>
              </w:rPr>
            </w:pPr>
            <w:r>
              <w:rPr>
                <w:rFonts w:ascii="Arial" w:cs="Arial" w:eastAsia="Arial" w:hAnsi="Arial"/>
                <w:sz w:val="18"/>
                <w:szCs w:val="18"/>
                <w:color w:val="auto"/>
              </w:rPr>
              <w:t>Central</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ind w:left="180"/>
              <w:spacing w:after="0"/>
              <w:rPr>
                <w:sz w:val="20"/>
                <w:szCs w:val="20"/>
                <w:color w:val="auto"/>
              </w:rPr>
            </w:pPr>
            <w:r>
              <w:rPr>
                <w:rFonts w:ascii="Arial" w:cs="Arial" w:eastAsia="Arial" w:hAnsi="Arial"/>
                <w:sz w:val="18"/>
                <w:szCs w:val="18"/>
                <w:color w:val="auto"/>
              </w:rPr>
              <w:t>Crude oil pipelines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4,147</w:t>
            </w:r>
          </w:p>
        </w:tc>
        <w:tc>
          <w:tcPr>
            <w:tcW w:w="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3,766</w:t>
            </w:r>
          </w:p>
        </w:tc>
        <w:tc>
          <w:tcPr>
            <w:tcW w:w="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3,277</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Refined products pipelines</w:t>
            </w:r>
          </w:p>
        </w:tc>
        <w:tc>
          <w:tcPr>
            <w:tcW w:w="22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3"/>
          </w:tcPr>
          <w:p>
            <w:pPr>
              <w:jc w:val="right"/>
              <w:ind w:right="365"/>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Trucking volumes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6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460"/>
            <w:col w:w="1082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daily volumes are calculated as the total volumes (attributable to our interest) for the year divided by the number of days in the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Area systems include volumes (attributable to our interest) from pipelines owned by unconsolidated entities.</w:t>
      </w:r>
    </w:p>
    <w:p>
      <w:pPr>
        <w:spacing w:after="0" w:line="200" w:lineRule="exact"/>
        <w:rPr>
          <w:sz w:val="20"/>
          <w:szCs w:val="20"/>
          <w:color w:val="auto"/>
        </w:rPr>
      </w:pPr>
    </w:p>
    <w:p>
      <w:pPr>
        <w:sectPr>
          <w:pgSz w:w="11900" w:h="16838" w:orient="portrait"/>
          <w:cols w:equalWidth="0" w:num="2">
            <w:col w:w="140" w:space="460"/>
            <w:col w:w="10820"/>
          </w:cols>
          <w:pgMar w:left="240" w:top="140" w:right="239" w:bottom="0" w:gutter="0" w:footer="0" w:header="0"/>
          <w:type w:val="continuous"/>
        </w:sectPr>
      </w:pPr>
    </w:p>
    <w:p>
      <w:pPr>
        <w:spacing w:after="0" w:line="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Net Operating Revenues, Equity Earnings and Volumes. </w:t>
      </w:r>
      <w:r>
        <w:rPr>
          <w:rFonts w:ascii="Arial" w:cs="Arial" w:eastAsia="Arial" w:hAnsi="Arial"/>
          <w:sz w:val="18"/>
          <w:szCs w:val="18"/>
          <w:color w:val="auto"/>
        </w:rPr>
        <w:t>As noted in the table above, our total Transportation segment revenues, net of trucking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year ended December 31, 2015 compared to the year ended December 31, 2014, but increased for the year ended December 31, 2014 compared to the year ended December 31, 2013. Equity earnings in unconsolidated entities and average daily volumes increased year-over-year for each of the comparative periods presented. The following table presents the net revenue and equity earnings variances by type of revenue, product and region for the comparative periods presented:</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Favorable/(Unfavorable) Variance</w:t>
            </w: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w w:val="93"/>
              </w:rPr>
              <w:t>2015 - 2014</w:t>
            </w:r>
          </w:p>
        </w:tc>
        <w:tc>
          <w:tcPr>
            <w:tcW w:w="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w w:val="93"/>
              </w:rPr>
              <w:t>2014 - 2013</w:t>
            </w:r>
          </w:p>
        </w:tc>
        <w:tc>
          <w:tcPr>
            <w:tcW w:w="0" w:type="dxa"/>
            <w:vAlign w:val="bottom"/>
          </w:tcPr>
          <w:p>
            <w:pPr>
              <w:spacing w:after="0"/>
              <w:rPr>
                <w:sz w:val="1"/>
                <w:szCs w:val="1"/>
                <w:color w:val="auto"/>
              </w:rPr>
            </w:pPr>
          </w:p>
        </w:tc>
      </w:tr>
      <w:tr>
        <w:trPr>
          <w:trHeight w:val="157"/>
        </w:trPr>
        <w:tc>
          <w:tcPr>
            <w:tcW w:w="4140" w:type="dxa"/>
            <w:vAlign w:val="bottom"/>
            <w:vMerge w:val="continue"/>
          </w:tcPr>
          <w:p>
            <w:pPr>
              <w:spacing w:after="0"/>
              <w:rPr>
                <w:sz w:val="13"/>
                <w:szCs w:val="13"/>
                <w:color w:val="auto"/>
              </w:rPr>
            </w:pPr>
          </w:p>
        </w:tc>
        <w:tc>
          <w:tcPr>
            <w:tcW w:w="1140" w:type="dxa"/>
            <w:vAlign w:val="bottom"/>
          </w:tcPr>
          <w:p>
            <w:pPr>
              <w:ind w:left="280"/>
              <w:spacing w:after="0" w:line="157" w:lineRule="exact"/>
              <w:rPr>
                <w:sz w:val="20"/>
                <w:szCs w:val="20"/>
                <w:color w:val="auto"/>
              </w:rPr>
            </w:pPr>
            <w:r>
              <w:rPr>
                <w:rFonts w:ascii="Arial" w:cs="Arial" w:eastAsia="Arial" w:hAnsi="Arial"/>
                <w:sz w:val="14"/>
                <w:szCs w:val="14"/>
                <w:b w:val="1"/>
                <w:bCs w:val="1"/>
                <w:color w:val="auto"/>
                <w:w w:val="90"/>
              </w:rPr>
              <w:t>Net Revenues</w:t>
            </w:r>
          </w:p>
        </w:tc>
        <w:tc>
          <w:tcPr>
            <w:tcW w:w="1900" w:type="dxa"/>
            <w:vAlign w:val="bottom"/>
          </w:tcPr>
          <w:p>
            <w:pPr>
              <w:ind w:left="720"/>
              <w:spacing w:after="0" w:line="157" w:lineRule="exact"/>
              <w:rPr>
                <w:sz w:val="20"/>
                <w:szCs w:val="20"/>
                <w:color w:val="auto"/>
              </w:rPr>
            </w:pPr>
            <w:r>
              <w:rPr>
                <w:rFonts w:ascii="Arial" w:cs="Arial" w:eastAsia="Arial" w:hAnsi="Arial"/>
                <w:sz w:val="14"/>
                <w:szCs w:val="14"/>
                <w:b w:val="1"/>
                <w:bCs w:val="1"/>
                <w:color w:val="auto"/>
              </w:rPr>
              <w:t>Equity Earnings</w:t>
            </w:r>
          </w:p>
        </w:tc>
        <w:tc>
          <w:tcPr>
            <w:tcW w:w="320" w:type="dxa"/>
            <w:vAlign w:val="bottom"/>
          </w:tcPr>
          <w:p>
            <w:pPr>
              <w:spacing w:after="0"/>
              <w:rPr>
                <w:sz w:val="13"/>
                <w:szCs w:val="13"/>
                <w:color w:val="auto"/>
              </w:rPr>
            </w:pPr>
          </w:p>
        </w:tc>
        <w:tc>
          <w:tcPr>
            <w:tcW w:w="1120" w:type="dxa"/>
            <w:vAlign w:val="bottom"/>
          </w:tcPr>
          <w:p>
            <w:pPr>
              <w:ind w:left="260"/>
              <w:spacing w:after="0" w:line="157" w:lineRule="exact"/>
              <w:rPr>
                <w:sz w:val="20"/>
                <w:szCs w:val="20"/>
                <w:color w:val="auto"/>
              </w:rPr>
            </w:pPr>
            <w:r>
              <w:rPr>
                <w:rFonts w:ascii="Arial" w:cs="Arial" w:eastAsia="Arial" w:hAnsi="Arial"/>
                <w:sz w:val="14"/>
                <w:szCs w:val="14"/>
                <w:b w:val="1"/>
                <w:bCs w:val="1"/>
                <w:color w:val="auto"/>
                <w:w w:val="90"/>
              </w:rPr>
              <w:t>Net Revenues</w:t>
            </w:r>
          </w:p>
        </w:tc>
        <w:tc>
          <w:tcPr>
            <w:tcW w:w="1860" w:type="dxa"/>
            <w:vAlign w:val="bottom"/>
          </w:tcPr>
          <w:p>
            <w:pPr>
              <w:ind w:left="680"/>
              <w:spacing w:after="0" w:line="157" w:lineRule="exact"/>
              <w:rPr>
                <w:sz w:val="20"/>
                <w:szCs w:val="20"/>
                <w:color w:val="auto"/>
              </w:rPr>
            </w:pPr>
            <w:r>
              <w:rPr>
                <w:rFonts w:ascii="Arial" w:cs="Arial" w:eastAsia="Arial" w:hAnsi="Arial"/>
                <w:sz w:val="14"/>
                <w:szCs w:val="14"/>
                <w:b w:val="1"/>
                <w:bCs w:val="1"/>
                <w:color w:val="auto"/>
              </w:rPr>
              <w:t>Equity 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732270" cy="2419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270" cy="24193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Tariff activities:</w:t>
      </w:r>
    </w:p>
    <w:p>
      <w:pPr>
        <w:sectPr>
          <w:pgSz w:w="11900" w:h="16838" w:orient="portrait"/>
          <w:cols w:equalWidth="0" w:num="1">
            <w:col w:w="11420"/>
          </w:cols>
          <w:pgMar w:left="240" w:top="140" w:right="239" w:bottom="0" w:gutter="0" w:footer="0" w:header="0"/>
          <w:type w:val="continuous"/>
        </w:sectPr>
      </w:pPr>
    </w:p>
    <w:bookmarkStart w:id="66" w:name="page67"/>
    <w:bookmarkEnd w:id="66"/>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Permian Basin region</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7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Texas / Eagle Ford region</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Western region</w:t>
            </w: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pipelines</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Other (including pipeline loss allowance revenue)</w:t>
            </w: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18"/>
                <w:szCs w:val="18"/>
                <w:color w:val="auto"/>
              </w:rPr>
            </w:pP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Tariff activities total</w:t>
            </w: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Trucking</w:t>
            </w: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hanging="288"/>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Tariff activities —</w:t>
      </w:r>
    </w:p>
    <w:p>
      <w:pPr>
        <w:spacing w:after="0" w:line="225" w:lineRule="exact"/>
        <w:rPr>
          <w:rFonts w:ascii="Arial" w:cs="Arial" w:eastAsia="Arial" w:hAnsi="Arial"/>
          <w:sz w:val="18"/>
          <w:szCs w:val="18"/>
          <w:color w:val="auto"/>
        </w:rPr>
      </w:pPr>
    </w:p>
    <w:p>
      <w:pPr>
        <w:ind w:left="1300" w:right="20" w:hanging="320"/>
        <w:spacing w:after="0" w:line="264" w:lineRule="auto"/>
        <w:tabs>
          <w:tab w:leader="none" w:pos="1264"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for 2015 over 2014 was primarily driven by results from (i) our Cactus pipeline,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service in April 2015, and (ii) higher volumes related to increased production, primarily associated with the expansion of our pipeline system in the Delaware Basin.</w:t>
      </w:r>
    </w:p>
    <w:p>
      <w:pPr>
        <w:spacing w:after="0" w:line="181"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Revenues increased for 2014 over 2013 primarily due to (i) higher volumes related to increased production and new pipeline connections and (ii) higher pumpover movements at our Basin pipeline terminal.</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increase in equity earnings for each of the comparative periods presented was driven by earnings from our interest in BridgeTex, which we acquired in November 2014.</w:t>
      </w:r>
    </w:p>
    <w:p>
      <w:pPr>
        <w:spacing w:after="0" w:line="170" w:lineRule="exact"/>
        <w:rPr>
          <w:sz w:val="20"/>
          <w:szCs w:val="20"/>
          <w:color w:val="auto"/>
        </w:rPr>
      </w:pPr>
    </w:p>
    <w:p>
      <w:pPr>
        <w:ind w:left="1300" w:right="540" w:hanging="320"/>
        <w:spacing w:after="0" w:line="277" w:lineRule="auto"/>
        <w:tabs>
          <w:tab w:leader="none" w:pos="126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increased for each of the comparative periods due to higher volumes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the extension of our gathering system.</w:t>
      </w:r>
    </w:p>
    <w:p>
      <w:pPr>
        <w:spacing w:after="0" w:line="170" w:lineRule="exact"/>
        <w:rPr>
          <w:sz w:val="20"/>
          <w:szCs w:val="20"/>
          <w:color w:val="auto"/>
        </w:rPr>
      </w:pPr>
    </w:p>
    <w:p>
      <w:pPr>
        <w:ind w:left="1300" w:right="60"/>
        <w:spacing w:after="0" w:line="264" w:lineRule="auto"/>
        <w:rPr>
          <w:sz w:val="20"/>
          <w:szCs w:val="20"/>
          <w:color w:val="auto"/>
        </w:rPr>
      </w:pPr>
      <w:r>
        <w:rPr>
          <w:rFonts w:ascii="Arial" w:cs="Arial" w:eastAsia="Arial" w:hAnsi="Arial"/>
          <w:sz w:val="18"/>
          <w:szCs w:val="18"/>
          <w:color w:val="auto"/>
        </w:rPr>
        <w:t>Equity earnings increased for each of the comparative periods presented due to higher earnings from our interest in Eagle Ford Pipeline LLC, primarily driven by higher throughput on the Eagle Ford pipeline system. The higher throughput in 2015 compared to 2014 was due to a combination of (i) the connection to our Cactus pipeline in April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60"/>
        <w:spacing w:after="0" w:line="342" w:lineRule="auto"/>
        <w:rPr>
          <w:sz w:val="20"/>
          <w:szCs w:val="20"/>
          <w:color w:val="auto"/>
        </w:rPr>
      </w:pPr>
      <w:r>
        <w:rPr>
          <w:rFonts w:ascii="Arial" w:cs="Arial" w:eastAsia="Arial" w:hAnsi="Arial"/>
          <w:sz w:val="16"/>
          <w:szCs w:val="16"/>
          <w:color w:val="auto"/>
        </w:rPr>
        <w:t>2015, (ii) the completion of an expansion of the pipeline system in August 2015 and (iii) increased crude oil production in the Eagle Ford region. The higher throughput for 2014 compared to 2013 was primarily due to increased crude oil production in the Eagle Ford region.</w:t>
      </w:r>
    </w:p>
    <w:p>
      <w:pPr>
        <w:spacing w:after="0" w:line="124" w:lineRule="exact"/>
        <w:rPr>
          <w:sz w:val="20"/>
          <w:szCs w:val="20"/>
          <w:color w:val="auto"/>
        </w:rPr>
      </w:pPr>
    </w:p>
    <w:p>
      <w:pPr>
        <w:ind w:left="1300" w:right="180" w:hanging="320"/>
        <w:spacing w:after="0" w:line="264" w:lineRule="auto"/>
        <w:tabs>
          <w:tab w:leader="none" w:pos="126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Revenues and volumes decreased for 2015 as compared to 2014 primarily due to pipeline downtime on our All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associated with the Line 901 incident that occurred in the second quarter of 2015. See Note 16 to our Consolidated Financial Statements for additional information regarding this incident.</w:t>
      </w:r>
    </w:p>
    <w:p>
      <w:pPr>
        <w:spacing w:after="0" w:line="181" w:lineRule="exact"/>
        <w:rPr>
          <w:rFonts w:ascii="Arial" w:cs="Arial" w:eastAsia="Arial" w:hAnsi="Arial"/>
          <w:sz w:val="18"/>
          <w:szCs w:val="18"/>
          <w:color w:val="auto"/>
        </w:rPr>
      </w:pPr>
    </w:p>
    <w:p>
      <w:pPr>
        <w:ind w:left="1300" w:right="120" w:hanging="320"/>
        <w:spacing w:after="0" w:line="277" w:lineRule="auto"/>
        <w:tabs>
          <w:tab w:leader="none" w:pos="126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Canada. </w:t>
      </w:r>
      <w:r>
        <w:rPr>
          <w:rFonts w:ascii="Arial" w:cs="Arial" w:eastAsia="Arial" w:hAnsi="Arial"/>
          <w:sz w:val="18"/>
          <w:szCs w:val="18"/>
          <w:color w:val="auto"/>
        </w:rPr>
        <w:t>Revenues decreased for 2015 as compared to 2014 due to unfavorable foreign exchange impacts of $38 million, which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 revenue increases from higher tariff rates on certain of our pipelines and related system assets.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Revenues increased for 2014 over 2013 primarily due to (i) rate increases on certain of our pipelines and related system assets,</w:t>
      </w:r>
    </w:p>
    <w:p>
      <w:pPr>
        <w:spacing w:after="0" w:line="35" w:lineRule="exact"/>
        <w:rPr>
          <w:sz w:val="20"/>
          <w:szCs w:val="20"/>
          <w:color w:val="auto"/>
        </w:rPr>
      </w:pPr>
    </w:p>
    <w:p>
      <w:pPr>
        <w:ind w:left="1300" w:right="20"/>
        <w:spacing w:after="0" w:line="271" w:lineRule="auto"/>
        <w:rPr>
          <w:sz w:val="20"/>
          <w:szCs w:val="20"/>
          <w:color w:val="auto"/>
        </w:rPr>
      </w:pPr>
      <w:r>
        <w:rPr>
          <w:rFonts w:ascii="Arial" w:cs="Arial" w:eastAsia="Arial" w:hAnsi="Arial"/>
          <w:sz w:val="17"/>
          <w:szCs w:val="17"/>
          <w:color w:val="auto"/>
        </w:rPr>
        <w:t>(ii) additional revenues from a reclassification of certain storage facilities from our Facilities segment to our Transportation segment during the second quarter of 2014, (iii) higher revenues from our Rangeland and South Saskatchewan pipelines, as they were shut down in the second and third quarters of 2013 due to high river flow rates and flooding in the surrounding area and (iv) incremental volumes and revenues from our Wascana pipeline, which was reactivated during the second quarter of 2014 and was connected to our Bakken North pipeline system. Such increases were partially offset by unfavorable foreign exchange impacts of $16 million.</w:t>
      </w:r>
    </w:p>
    <w:p>
      <w:pPr>
        <w:spacing w:after="0" w:line="178" w:lineRule="exact"/>
        <w:rPr>
          <w:sz w:val="20"/>
          <w:szCs w:val="20"/>
          <w:color w:val="auto"/>
        </w:rPr>
      </w:pPr>
    </w:p>
    <w:p>
      <w:pPr>
        <w:ind w:left="1300" w:right="260" w:hanging="320"/>
        <w:spacing w:after="0" w:line="277" w:lineRule="auto"/>
        <w:tabs>
          <w:tab w:leader="none" w:pos="1264"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NGL pipelines. </w:t>
      </w:r>
      <w:r>
        <w:rPr>
          <w:rFonts w:ascii="Arial" w:cs="Arial" w:eastAsia="Arial" w:hAnsi="Arial"/>
          <w:sz w:val="18"/>
          <w:szCs w:val="18"/>
          <w:color w:val="auto"/>
        </w:rPr>
        <w:t>Revenues and volumes from our NGL pipelines were relatively consistent for 2015 compared to 2014, as higher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tariff rate increases was substantially offset by unfavorable foreign exchange impacts of $12 million.</w:t>
      </w:r>
    </w:p>
    <w:p>
      <w:pPr>
        <w:spacing w:after="0" w:line="170" w:lineRule="exact"/>
        <w:rPr>
          <w:sz w:val="20"/>
          <w:szCs w:val="20"/>
          <w:color w:val="auto"/>
        </w:rPr>
      </w:pPr>
    </w:p>
    <w:p>
      <w:pPr>
        <w:ind w:left="1300" w:right="20"/>
        <w:spacing w:after="0" w:line="276" w:lineRule="auto"/>
        <w:rPr>
          <w:sz w:val="20"/>
          <w:szCs w:val="20"/>
          <w:color w:val="auto"/>
        </w:rPr>
      </w:pPr>
      <w:r>
        <w:rPr>
          <w:rFonts w:ascii="Arial" w:cs="Arial" w:eastAsia="Arial" w:hAnsi="Arial"/>
          <w:sz w:val="17"/>
          <w:szCs w:val="17"/>
          <w:color w:val="auto"/>
        </w:rPr>
        <w:t>Revenues and volumes from our NGL pipelines decreased for 2014 as compared to 2013 primarily due to (i) the discontinuation of a capacity lease arrangement in the fourth quarter of 2013, (ii) the impact of netting joint venture related volumes to our share on a pipeline during 2014, which did not affect revenues and (iii) estimated unfavorable foreign exchange impacts of $7 million. Such unfavorable impacts were partially offset by higher revenues from our Co-Ed pipeline due to tariff rate increases and the shutdown of the pipeline in the second and third quarters of 2013 due to high river flow rates and flooding in the surrounding area.</w:t>
      </w:r>
    </w:p>
    <w:p>
      <w:pPr>
        <w:spacing w:after="0" w:line="173" w:lineRule="exact"/>
        <w:rPr>
          <w:sz w:val="20"/>
          <w:szCs w:val="20"/>
          <w:color w:val="auto"/>
        </w:rPr>
      </w:pPr>
    </w:p>
    <w:p>
      <w:pPr>
        <w:ind w:left="1260" w:hanging="280"/>
        <w:spacing w:after="0"/>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Refined products pipelines. </w:t>
      </w:r>
      <w:r>
        <w:rPr>
          <w:rFonts w:ascii="Arial" w:cs="Arial" w:eastAsia="Arial" w:hAnsi="Arial"/>
          <w:sz w:val="18"/>
          <w:szCs w:val="18"/>
          <w:color w:val="auto"/>
        </w:rPr>
        <w:t>We sold our refined products pipeline systems and related assets in 2013.</w:t>
      </w:r>
    </w:p>
    <w:p>
      <w:pPr>
        <w:spacing w:after="0" w:line="225" w:lineRule="exact"/>
        <w:rPr>
          <w:rFonts w:ascii="Arial" w:cs="Arial" w:eastAsia="Arial" w:hAnsi="Arial"/>
          <w:sz w:val="18"/>
          <w:szCs w:val="18"/>
          <w:color w:val="auto"/>
        </w:rPr>
      </w:pPr>
    </w:p>
    <w:p>
      <w:pPr>
        <w:ind w:left="1300" w:right="100" w:hanging="320"/>
        <w:spacing w:after="0" w:line="312" w:lineRule="auto"/>
        <w:tabs>
          <w:tab w:leader="none" w:pos="1264"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variances for the comparative periods presented were primarily related to pipeline loss allowance revenue. Loss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decreased by $62 million for 2015 compared to 2014 primarily due to a lower average realized price per barrel, partially offset by higher volumes. Loss allowance revenue increased by $46 million for 2014 over 2013 and was primarily driven by higher volumes.</w:t>
      </w:r>
    </w:p>
    <w:p>
      <w:pPr>
        <w:spacing w:after="0" w:line="146" w:lineRule="exact"/>
        <w:rPr>
          <w:rFonts w:ascii="Arial" w:cs="Arial" w:eastAsia="Arial" w:hAnsi="Arial"/>
          <w:sz w:val="16"/>
          <w:szCs w:val="16"/>
          <w:color w:val="auto"/>
        </w:rPr>
      </w:pPr>
    </w:p>
    <w:p>
      <w:pPr>
        <w:ind w:left="660" w:right="80" w:hanging="328"/>
        <w:spacing w:after="0" w:line="277" w:lineRule="auto"/>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Trucking — Net revenues from our trucking operations decreased for 2015 as compared to 2014 due to unfavorable foreign exchange impacts of $8 million and lower producer volumes.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the year ended December 31, 2014 was primarily due to estimated costs of $83 million recognized during 2015 associated with the Line 901 incident, net of amounts we believe are probable of recovery from insurance. See Note 16 to our Consolidated Financial Statements for additional information regarding this incident. The increase in field operating costs was also driven by (i) higher salary and related expenses and property tax expense primarily associated with new assets placed in service in 2015 and (ii) higher maintenance and repairs cost, partially offset by favorable foreign exchange impacts of $22 million.</w:t>
      </w:r>
    </w:p>
    <w:p>
      <w:pPr>
        <w:sectPr>
          <w:pgSz w:w="11900" w:h="16920" w:orient="portrait"/>
          <w:cols w:equalWidth="0" w:num="1">
            <w:col w:w="11360"/>
          </w:cols>
          <w:pgMar w:left="240" w:top="140" w:right="299" w:bottom="0" w:gutter="0" w:footer="0" w:header="0"/>
        </w:sectPr>
      </w:pPr>
    </w:p>
    <w:bookmarkStart w:id="67" w:name="page68"/>
    <w:bookmarkEnd w:id="67"/>
    <w:p>
      <w:pPr>
        <w:ind w:right="240" w:firstLine="648"/>
        <w:spacing w:after="0" w:line="291" w:lineRule="auto"/>
        <w:rPr>
          <w:sz w:val="20"/>
          <w:szCs w:val="20"/>
          <w:color w:val="auto"/>
        </w:rPr>
      </w:pPr>
      <w:r>
        <w:rPr>
          <w:rFonts w:ascii="Arial" w:cs="Arial" w:eastAsia="Arial" w:hAnsi="Arial"/>
          <w:sz w:val="16"/>
          <w:szCs w:val="16"/>
          <w:color w:val="auto"/>
        </w:rPr>
        <w:t>Field operating costs (excluding equity-indexed compensation expense) increased during the year ended December 31, 2014 compared to the year ended December 31, 2013 primarily due to (i) a change in classification of $14 million of certain costs from general and administrative expenses,</w:t>
      </w:r>
    </w:p>
    <w:p>
      <w:pPr>
        <w:ind w:right="260" w:firstLine="8"/>
        <w:spacing w:after="0" w:line="255"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asset integrity spending, (iii) higher property tax expense due to capital expansion and (iv) higher utility costs associated with increased throughput volumes. Such increases were partially offset by a reduction in environmental remediation costs and an $11 million favorable foreign exchange impact.</w:t>
      </w:r>
    </w:p>
    <w:p>
      <w:pPr>
        <w:spacing w:after="0" w:line="1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(excluding equity-indexed compensation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over the year ended December 31, 2014 was primarily due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increased salaries, benefits and other costs associated with the growth in the segment, partially offset by a $4 million favorable foreign exchange impact.</w:t>
      </w:r>
    </w:p>
    <w:p>
      <w:pPr>
        <w:spacing w:after="0" w:line="248"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General and administrative expenses (excluding equity-indexed compensation expenses) decreased during the year ended December 31, 2014 compared to the year ended December 31, 2013 due to a change in classification of $14 million of certain costs to field operating costs and a $5 million favorable impact of foreign exchange.</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Equity-Indexed Compensation Expense. </w:t>
      </w:r>
      <w:r>
        <w:rPr>
          <w:rFonts w:ascii="Arial" w:cs="Arial" w:eastAsia="Arial" w:hAnsi="Arial"/>
          <w:sz w:val="16"/>
          <w:szCs w:val="16"/>
          <w:color w:val="auto"/>
        </w:rPr>
        <w:t>A majority of our equity-indexed compensation awards (including the AAP Management Units)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2015, a PAA distribution level of $2.90 per common unit was deemed probable of occurring in the reasonably foreseeable future (and was initially determined to be probable in the fourth quarter of 2014). Furthermore, a change in PAA unit price impacts the fair value of our liability-classified awards. See Note 15 to our Consolidated Financial Statements for additional information regarding our equity-indexed compensation plans.</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a consolidated basis, equity-indexed compensation expense decreased by $72 million for the year ended December 31, 2015 compared to the year ended December 31, 2014, primarily due to the impact of the decrease in PAA unit price during the year ended December 31, 2015 compared to the impact of the decrease in PAA unit price during the year ended December 31, 2014. On a consolidated basis, equity-indexed compensation expense decreased by $17 million for the year ended December 31, 2014 compared to the year ended December 31, 2013 primarily due to the impact of the decrease in PAA unit price during the year ended December 31, 2014 compared to the impact of the increase in PAA unit price during the year ended December 31, 2013.</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 maintenance capital in 2015 compared to 2014 was primarily due to a reclassification of certain maintenance capital costs from our Facilities segment during the 2014 period. In addition, the decrease in maintenance capital was impacted by the depreciation of CAD relative to USD.</w:t>
      </w:r>
    </w:p>
    <w:p>
      <w:pPr>
        <w:spacing w:after="0" w:line="18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increase in maintenance capital in 2014 compared to 2013 was primarily due to pipeline replacement projects and increased investments in pipeline integrity and a reclassification of certain maintenance capital costs from our Facilities segment during the 2014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220" w:type="dxa"/>
            <w:vAlign w:val="bottom"/>
          </w:tcPr>
          <w:p>
            <w:pPr>
              <w:spacing w:after="0"/>
              <w:rPr>
                <w:sz w:val="14"/>
                <w:szCs w:val="14"/>
                <w:color w:val="auto"/>
              </w:rPr>
            </w:pPr>
          </w:p>
        </w:tc>
        <w:tc>
          <w:tcPr>
            <w:tcW w:w="2320" w:type="dxa"/>
            <w:vAlign w:val="bottom"/>
            <w:gridSpan w:val="7"/>
            <w:vMerge w:val="restart"/>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7"/>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65"/>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related storage costs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65"/>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44"/>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0"/>
                <w:szCs w:val="20"/>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 (4)</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gridSpan w:val="2"/>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40" w:type="dxa"/>
            <w:vAlign w:val="bottom"/>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0" w:type="dxa"/>
            <w:vAlign w:val="bottom"/>
            <w:tcBorders>
              <w:right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(0.02</w:t>
            </w:r>
          </w:p>
        </w:tc>
        <w:tc>
          <w:tcPr>
            <w:tcW w:w="22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Favorable/(Unfavorable)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6350</wp:posOffset>
            </wp:positionV>
            <wp:extent cx="2769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7"/>
                <w:szCs w:val="17"/>
                <w:b w:val="1"/>
                <w:bCs w:val="1"/>
                <w:color w:val="auto"/>
                <w:vertAlign w:val="superscript"/>
              </w:rPr>
              <w:t>(5)</w:t>
            </w:r>
          </w:p>
        </w:tc>
        <w:tc>
          <w:tcPr>
            <w:tcW w:w="2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Year Ended 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9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Volumes</w:t>
            </w:r>
          </w:p>
        </w:tc>
        <w:tc>
          <w:tcPr>
            <w:tcW w:w="3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1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volumes in thousands of barrels per</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210</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day)</w:t>
            </w:r>
          </w:p>
        </w:tc>
        <w:tc>
          <w:tcPr>
            <w:tcW w:w="116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w:t>
            </w: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right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working capacity in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11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gridSpan w:val="2"/>
            <w:vMerge w:val="continue"/>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103</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 thousands of barrels per day)</w:t>
            </w:r>
          </w:p>
        </w:tc>
        <w:tc>
          <w:tcPr>
            <w:tcW w:w="11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volumes</w:t>
            </w: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right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monthly volumes in millions</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3"/>
                <w:szCs w:val="23"/>
                <w:color w:val="auto"/>
                <w:vertAlign w:val="superscript"/>
              </w:rPr>
              <w:t>(6)</w:t>
            </w:r>
          </w:p>
        </w:tc>
        <w:tc>
          <w:tcPr>
            <w:tcW w:w="116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our Supply and Logistics segment.</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18"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18" w:right="23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225" w:lineRule="exact"/>
        <w:rPr>
          <w:sz w:val="20"/>
          <w:szCs w:val="20"/>
          <w:color w:val="auto"/>
        </w:rPr>
      </w:pPr>
    </w:p>
    <w:p>
      <w:pPr>
        <w:ind w:left="20" w:hanging="11"/>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mcf of natural gas to crude Btu equivalent ratio and further divided by 1,000 to convert to monthly volumes in millions; and (iv) NGL fractionation volumes multiplied by the number of days in the year and divided by the number of months in the year.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40" w:space="500"/>
            <w:col w:w="10780"/>
          </w:cols>
          <w:pgMar w:left="240" w:top="118" w:right="239" w:bottom="0" w:gutter="0" w:footer="0" w:header="0"/>
          <w:type w:val="continuous"/>
        </w:sectPr>
      </w:pPr>
    </w:p>
    <w:p>
      <w:pPr>
        <w:spacing w:after="0" w:line="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net of related costs, decreased by $46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2015 compared to the year ended December 31, 2014, but increased by $7 million for the year ended December 31, 2014 over the comparable 2013 period. Total volumes increased for each of the comparative periods presented. Variances in net revenues and average monthly volumes between the comparative periods are discussed below:</w:t>
      </w:r>
    </w:p>
    <w:p>
      <w:pPr>
        <w:spacing w:after="0" w:line="187" w:lineRule="exact"/>
        <w:rPr>
          <w:sz w:val="20"/>
          <w:szCs w:val="20"/>
          <w:color w:val="auto"/>
        </w:rPr>
      </w:pPr>
    </w:p>
    <w:p>
      <w:pPr>
        <w:jc w:val="both"/>
        <w:ind w:left="660" w:right="80" w:hanging="328"/>
        <w:spacing w:after="0" w:line="264" w:lineRule="auto"/>
        <w:tabs>
          <w:tab w:leader="none" w:pos="6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Rail Terminals — For the year ended December 31, 2015, revenues decreased by $26 million compared to the year ended December 31, 2014 due to lower volumes and lower rail fees related to the movement of certain volumes of Bakken crude oil, partially offset by revenues from our Bakersfield rail terminal that came online in the fourth quarter of 2014.</w:t>
      </w:r>
    </w:p>
    <w:p>
      <w:pPr>
        <w:spacing w:after="0" w:line="181"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For the year ended December 31, 2014, revenues increased by $3 million over the year ended December 31, 2013 due to new rail terminals that came on line in the fourth quarter of 2013 and in 2014, substantially offset by the unfavorable impact of rail delays and lower volumes at certain of our existing rail terminals during 2014 and weather-related issues at certain of our terminals during the first quarter of 2014.</w:t>
      </w:r>
    </w:p>
    <w:p>
      <w:pPr>
        <w:spacing w:after="0" w:line="166" w:lineRule="exact"/>
        <w:rPr>
          <w:sz w:val="20"/>
          <w:szCs w:val="20"/>
          <w:color w:val="auto"/>
        </w:rPr>
      </w:pPr>
    </w:p>
    <w:p>
      <w:pPr>
        <w:ind w:left="660" w:right="440" w:hanging="328"/>
        <w:spacing w:after="0" w:line="291" w:lineRule="auto"/>
        <w:tabs>
          <w:tab w:leader="none" w:pos="6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Natural Gas Storage Operations — Net revenues decreased by $12 million for the year ended December 31, 2015 compared to the year ended December 31, 2014 and by $43 million for the year ended December 31, 2014 compared to the year ended December 31, 2013 primarily due to</w:t>
      </w:r>
    </w:p>
    <w:p>
      <w:pPr>
        <w:ind w:left="660" w:right="200"/>
        <w:spacing w:after="0" w:line="255" w:lineRule="auto"/>
        <w:rPr>
          <w:rFonts w:ascii="Arial" w:cs="Arial" w:eastAsia="Arial" w:hAnsi="Arial"/>
          <w:sz w:val="16"/>
          <w:szCs w:val="16"/>
          <w:color w:val="auto"/>
        </w:rPr>
      </w:pPr>
      <w:r>
        <w:rPr>
          <w:rFonts w:ascii="Arial" w:cs="Arial" w:eastAsia="Arial" w:hAnsi="Arial"/>
          <w:sz w:val="18"/>
          <w:szCs w:val="18"/>
          <w:color w:val="auto"/>
        </w:rPr>
        <w:t>(i) declines in market rates for natural gas storage, which resulted in lower rates on new contracts replacing expiring contracts and (ii) reduced hub services opportunities. The 2014 period was further unfavorably impacted by costs incurred to manage deliverability requirements in conjunction with the extended period of severe cold weather experienced during the first quarter of 2014.</w:t>
      </w:r>
    </w:p>
    <w:p>
      <w:pPr>
        <w:spacing w:after="0" w:line="190" w:lineRule="exact"/>
        <w:rPr>
          <w:rFonts w:ascii="Arial" w:cs="Arial" w:eastAsia="Arial" w:hAnsi="Arial"/>
          <w:sz w:val="16"/>
          <w:szCs w:val="16"/>
          <w:color w:val="auto"/>
        </w:rPr>
      </w:pPr>
    </w:p>
    <w:p>
      <w:pPr>
        <w:ind w:left="660" w:right="220" w:hanging="328"/>
        <w:spacing w:after="0" w:line="277" w:lineRule="auto"/>
        <w:tabs>
          <w:tab w:leader="none" w:pos="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Gulf Coast Gas Processing — Revenues decreased by $13 million for the year ended December 31, 2015 compared to 2014 primarily due to lower volumes and decreased margins driven by lower commodity prices.</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NGL Storage, NGL Fractionation and Canadian Gas Processing — Revenues decreased by $7 million for the year ended December 31, 2015 compared to the year ended December 31, 2014. This decrease was primarily due to estimated unfavorable foreign exchange impacts of $41 million, which offset revenue increases from higher facility fees for the 2015 period. These impacts were largely offset in our Supply and Logistics segment results.</w:t>
      </w:r>
    </w:p>
    <w:p>
      <w:pPr>
        <w:spacing w:after="0" w:line="187"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Revenues from our NGL storage, NGL fractionation and Canadian gas processing activities increased by $31 million for the year ended December 31, 2014 over the year ended December 31, 2013 largely driven by higher facility fee revenues due to rate increases at certain of our storage and fractionation facilities, partially offset by lower physical processing gains. Such increases were partially offset by estimated unfavorable foreign exchange impacts of $18 million. These impacts were largely offset in our Supply and Logistics segment results.</w:t>
      </w:r>
    </w:p>
    <w:p>
      <w:pPr>
        <w:sectPr>
          <w:pgSz w:w="11900" w:h="16838" w:orient="portrait"/>
          <w:cols w:equalWidth="0" w:num="1">
            <w:col w:w="11420"/>
          </w:cols>
          <w:pgMar w:left="240" w:top="118" w:right="239" w:bottom="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308" w:lineRule="auto"/>
        <w:tabs>
          <w:tab w:leader="none" w:pos="624" w:val="left"/>
        </w:tabs>
        <w:numPr>
          <w:ilvl w:val="0"/>
          <w:numId w:val="67"/>
        </w:numPr>
        <w:rPr>
          <w:rFonts w:ascii="Arial" w:cs="Arial" w:eastAsia="Arial" w:hAnsi="Arial"/>
          <w:sz w:val="17"/>
          <w:szCs w:val="17"/>
          <w:color w:val="auto"/>
        </w:rPr>
      </w:pPr>
      <w:r>
        <w:rPr>
          <w:rFonts w:ascii="Arial" w:cs="Arial" w:eastAsia="Arial" w:hAnsi="Arial"/>
          <w:sz w:val="17"/>
          <w:szCs w:val="17"/>
          <w:color w:val="auto"/>
        </w:rPr>
        <w:t>Crude Oil Storage — For the year ended December 31, 2015, revenues increased by $9 million over the year ended December 31, 2014 primarily due to capacity expansions of approximately 1 million barrels and higher marine access activity at our St. James terminal.</w:t>
      </w:r>
    </w:p>
    <w:p>
      <w:pPr>
        <w:spacing w:after="0" w:line="14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For the year ended December 31, 2014, crude oil storage revenues increased by $8 million over the year ended December 31, 2013 primarily due to increased throughput at our Cushing, Yorktown and Mobile/Ten Mile terminals and a 1.2 million barrel capacity expansion at our St. James terminal, partially offset by lower revenues from certain storage facilities in California and the East Coast due to underutilization resulting from decreased demand, as well decreased revenues of $12 million due to the reclassification of certain of our Canadian storage facilities to our Transportation segment during the second quarter of 2014.</w:t>
      </w:r>
    </w:p>
    <w:p>
      <w:pPr>
        <w:spacing w:after="0" w:line="188" w:lineRule="exact"/>
        <w:rPr>
          <w:sz w:val="20"/>
          <w:szCs w:val="20"/>
          <w:color w:val="auto"/>
        </w:rPr>
      </w:pPr>
    </w:p>
    <w:p>
      <w:pPr>
        <w:ind w:left="660" w:right="320" w:hanging="328"/>
        <w:spacing w:after="0" w:line="264" w:lineRule="auto"/>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Condensate Processing — Revenues increased by $8 million for the year ended December 31, 2014 compared to 2013 due to the benefit from the start-up and subsequent expansion of our Gardendale condensate processing facility. Revenues were relatively consistent for the year ended December 31, 2015 compared to the year ended December 31, 2014.</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year ended December 31, 2014 was primarily due to (i) decreased maintenance and repairs cost, (ii) lower gas and power costs largely associated with our NGL fractionation and Canadian gas processing activities and (iii) favorable foreign exchange impacts of $19 million. Such decreases were partially offset by an increase in expenses associated with new assets placed in service.</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Field operating costs (excluding equity-indexed compensation expenses) increased during the year ended December 31, 2014 compared to the year ended December 31, 2013 due to (i) an increase in costs for rail activities, primarily due to new rail terminals that came online in the fourth quarter of 2013 and in 2014 as discussed above, (ii) a change in classification of $8 million of certain costs from general and administrative expenses, (iii) an increase in brine disposal costs associated with our NGL storage caverns, (iv) higher gas and power costs and (v) increased costs associated with the cancellation of certain capital projects. The effect of these increases was reduced by a $9 million favorable impact of foreign exchange.</w:t>
      </w:r>
    </w:p>
    <w:p>
      <w:pPr>
        <w:spacing w:after="0" w:line="17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(excluding equity-indexed compensation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compared to the year ended December 31, 2014 was primarily due to increased salaries and benefits, partially offset by a $3 million favorable foreign exchange impact.</w:t>
      </w:r>
    </w:p>
    <w:p>
      <w:pPr>
        <w:spacing w:after="0" w:line="18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General and administrative expenses (excluding equity-indexed compensation expenses) decreased during the year ended December 31, 2014 compared to the year ended December 31, 2013. These results reflect the net impact of a decrease due to a change in classification of $8 million of certain costs to field operating costs during the 2014 period, partially offset by increased expenses resulting from overall growth in the segment.</w:t>
      </w:r>
    </w:p>
    <w:p>
      <w:pPr>
        <w:spacing w:after="0" w:line="14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increase in maintenance capital in 2015 over 2014 was primarily due to various tank and facility projects and timing of</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replacements, as well as the impact from a change in classification of certain maintenance capital costs to our Transportation segment in the 2014 period. The increase in maintenance capital in 2014 from 2013 is primarily due to the timing of maintenance projects for tanks and other facility assets, partially offset by a change in classification of certain maintenance capital costs to our Transportation segment in the 2014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 (2)</w:t>
            </w:r>
          </w:p>
        </w:tc>
        <w:tc>
          <w:tcPr>
            <w:tcW w:w="220" w:type="dxa"/>
            <w:vAlign w:val="bottom"/>
          </w:tcPr>
          <w:p>
            <w:pPr>
              <w:spacing w:after="0"/>
              <w:rPr>
                <w:sz w:val="14"/>
                <w:szCs w:val="14"/>
                <w:color w:val="auto"/>
              </w:rPr>
            </w:pPr>
          </w:p>
        </w:tc>
        <w:tc>
          <w:tcPr>
            <w:tcW w:w="2320" w:type="dxa"/>
            <w:vAlign w:val="bottom"/>
            <w:gridSpan w:val="6"/>
            <w:vMerge w:val="restart"/>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7"/>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2015-2014</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(21,018)</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(40,752)</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(39,315)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19,734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 (5)</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gridSpan w:val="2"/>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tcBorders>
              <w:right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2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30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520" w:type="dxa"/>
            <w:vAlign w:val="bottom"/>
            <w:gridSpan w:val="5"/>
            <w:vMerge w:val="restart"/>
          </w:tcPr>
          <w:p>
            <w:pPr>
              <w:ind w:left="820"/>
              <w:spacing w:after="0"/>
              <w:rPr>
                <w:sz w:val="20"/>
                <w:szCs w:val="20"/>
                <w:color w:val="auto"/>
              </w:rPr>
            </w:pPr>
            <w:r>
              <w:rPr>
                <w:rFonts w:ascii="Arial" w:cs="Arial" w:eastAsia="Arial" w:hAnsi="Arial"/>
                <w:sz w:val="14"/>
                <w:szCs w:val="14"/>
                <w:b w:val="1"/>
                <w:bCs w:val="1"/>
                <w:color w:val="auto"/>
                <w:w w:val="97"/>
              </w:rPr>
              <w:t>Year Ended December 31,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Favorable (Unfavorable) Variance</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520" w:type="dxa"/>
            <w:vAlign w:val="bottom"/>
            <w:tcBorders>
              <w:bottom w:val="single" w:sz="8" w:color="auto"/>
            </w:tcBorders>
            <w:gridSpan w:val="5"/>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w w:val="92"/>
              </w:rPr>
              <w:t>2015-2014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90"/>
              </w:rPr>
              <w:t>Volume</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Volume</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15</w:t>
            </w:r>
          </w:p>
        </w:tc>
        <w:tc>
          <w:tcPr>
            <w:tcW w:w="5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200"/>
              <w:spacing w:after="0" w:line="201" w:lineRule="exact"/>
              <w:rPr>
                <w:sz w:val="20"/>
                <w:szCs w:val="20"/>
                <w:color w:val="auto"/>
              </w:rPr>
            </w:pPr>
            <w:r>
              <w:rPr>
                <w:rFonts w:ascii="Arial" w:cs="Arial" w:eastAsia="Arial" w:hAnsi="Arial"/>
                <w:sz w:val="18"/>
                <w:szCs w:val="18"/>
                <w:color w:val="auto"/>
              </w:rPr>
              <w:t>Supply and Logistics segment total</w:t>
            </w: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gridSpan w:val="2"/>
            <w:vMerge w:val="continue"/>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1,168</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w w:val="99"/>
              </w:rPr>
              <w:t>11</w:t>
            </w:r>
          </w:p>
        </w:tc>
        <w:tc>
          <w:tcPr>
            <w:tcW w:w="56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3200" w:type="dxa"/>
            <w:vAlign w:val="bottom"/>
            <w:gridSpan w:val="2"/>
          </w:tcPr>
          <w:p>
            <w:pPr>
              <w:ind w:left="380"/>
              <w:spacing w:after="0"/>
              <w:rPr>
                <w:sz w:val="20"/>
                <w:szCs w:val="20"/>
                <w:color w:val="auto"/>
              </w:rPr>
            </w:pPr>
            <w:r>
              <w:rPr>
                <w:rFonts w:ascii="Arial" w:cs="Arial" w:eastAsia="Arial" w:hAnsi="Arial"/>
                <w:sz w:val="18"/>
                <w:szCs w:val="18"/>
                <w:color w:val="auto"/>
              </w:rPr>
              <w:t>volumes</w:t>
            </w:r>
          </w:p>
        </w:tc>
        <w:tc>
          <w:tcPr>
            <w:tcW w:w="11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Prior to January 1, 2014, natural gas sales and costs attributable to the activities performed by our natural gas storage commercial optimization group were reported in our Facilities segment.</w:t>
      </w:r>
    </w:p>
    <w:p>
      <w:pPr>
        <w:spacing w:after="0" w:line="170"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$6 million, $12 million and $30 million for the years ended December 31, 2015, 2014 and 2013, respectively.</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18"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range of the NYMEX West Texas Intermediate benchmark price of crude oil during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NYMEX WTI</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auto"/>
              </w:rPr>
              <w:t>During the Year Ended December 31,</w:t>
            </w: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Crude Oil Price</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2014</w:t>
            </w:r>
          </w:p>
        </w:tc>
        <w:tc>
          <w:tcPr>
            <w:tcW w:w="10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4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year ended December 31, 2015 compared to the year ended December 31, 2014 due to lower crude oil and NGL prices during the 2015 period. The increase of the absolute amount of our revenues and purchases for the year ended December 31, 2014 over the year ended December 31, 2013 primarily resulted from higher crude oil volumes in the 2014 period, partially offset by lower crude oil prices relative to 2013, particularly in the fourth quarter.</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by $471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as compared to the 2014 period, of which $389 million related to the mark-to-market impact of certain derivatives (see discussion and table below) and long-term inventory costing adjustments (see discussion below). For the 2014 period, segment revenues, net of purchases and related costs, increased by $17 million over the comparable 2013 period. The following summarizes the more significant items impacting the comparative periods:</w:t>
      </w:r>
    </w:p>
    <w:p>
      <w:pPr>
        <w:spacing w:after="0" w:line="188" w:lineRule="exact"/>
        <w:rPr>
          <w:sz w:val="20"/>
          <w:szCs w:val="20"/>
          <w:color w:val="auto"/>
        </w:rPr>
      </w:pPr>
    </w:p>
    <w:p>
      <w:pPr>
        <w:ind w:left="660" w:hanging="328"/>
        <w:spacing w:after="0" w:line="297" w:lineRule="auto"/>
        <w:tabs>
          <w:tab w:leader="none" w:pos="6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Crude Oil Operations — Net revenues from our crude oil supply and logistics activities decreased for the year ended December 31, 2015 as compared to the year ended December 31, 2014 primarily due to (i) the compression of certain differentials during the 2015 period, which resulted in fewer opportunities to capture above-baseline margins as compared to 2014 and (ii) increased competition, largely due to overbuilt infrastructure in certain areas that has negatively impacted our lease gathering unit margins and volumes, most notably during the second half of 2015. However, such unfavorable results were partially offset by revenues from opportunities created by the contango market structure during 2015.</w:t>
      </w:r>
    </w:p>
    <w:p>
      <w:pPr>
        <w:spacing w:after="0" w:line="158"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Net revenues from our crude oil supply and logistics activities increased slightly for 2014 as compared to 2013 primarily due to favorable impacts from the widening of certain differentials, most notably in the second and third quarters of 2014, that allowed for more opportunities to capture above-baseline margins as compared to 2013.</w:t>
      </w:r>
    </w:p>
    <w:p>
      <w:pPr>
        <w:spacing w:after="0" w:line="181" w:lineRule="exact"/>
        <w:rPr>
          <w:sz w:val="20"/>
          <w:szCs w:val="20"/>
          <w:color w:val="auto"/>
        </w:rPr>
      </w:pPr>
    </w:p>
    <w:p>
      <w:pPr>
        <w:ind w:left="660" w:right="300" w:hanging="328"/>
        <w:spacing w:after="0" w:line="264" w:lineRule="auto"/>
        <w:tabs>
          <w:tab w:leader="none" w:pos="6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increased for the year ended December 31, 2015 compared to the year ended December 31, 2014. The increase was primarily driven by higher margins due to the lower cost of inventory carried over from 2014 year end and higher sales volumes.</w:t>
      </w:r>
    </w:p>
    <w:p>
      <w:pPr>
        <w:spacing w:after="0" w:line="181"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Net revenues from our NGL marketing operations decreased for the year ended December 31, 2014 as compared to the year ended December 31, 2013. This decrease was driven by higher NGL purchases and related costs in the 2014 periods, primarily due to a higher weighted average inventory cost and increased facility fees. Additionally, NGL margins were further impacted by less favorable market conditions, most notably during (i) the second quarter of 2014, as market pricing was stronger in the comparable 2013 period due to heating requirements during a winter season that</w:t>
      </w:r>
    </w:p>
    <w:p>
      <w:pPr>
        <w:sectPr>
          <w:pgSz w:w="11900" w:h="16838" w:orient="portrait"/>
          <w:cols w:equalWidth="0" w:num="1">
            <w:col w:w="11420"/>
          </w:cols>
          <w:pgMar w:left="240" w:top="118" w:right="239" w:bottom="0" w:gutter="0" w:footer="0" w:header="0"/>
          <w:type w:val="continuous"/>
        </w:sectPr>
      </w:pPr>
    </w:p>
    <w:bookmarkStart w:id="71" w:name="page72"/>
    <w:bookmarkEnd w:id="71"/>
    <w:p>
      <w:pPr>
        <w:ind w:left="660" w:right="440"/>
        <w:spacing w:after="0" w:line="277" w:lineRule="auto"/>
        <w:rPr>
          <w:sz w:val="20"/>
          <w:szCs w:val="20"/>
          <w:color w:val="auto"/>
        </w:rPr>
      </w:pPr>
      <w:r>
        <w:rPr>
          <w:rFonts w:ascii="Arial" w:cs="Arial" w:eastAsia="Arial" w:hAnsi="Arial"/>
          <w:sz w:val="18"/>
          <w:szCs w:val="18"/>
          <w:color w:val="auto"/>
        </w:rPr>
        <w:t>extended into the second quarter and greater petrochemical demand for propane and (ii) the fourth quarter of 2014, due to less demand for crop drying as compared to the 2013 period.</w:t>
      </w:r>
    </w:p>
    <w:p>
      <w:pPr>
        <w:spacing w:after="0" w:line="170" w:lineRule="exact"/>
        <w:rPr>
          <w:sz w:val="20"/>
          <w:szCs w:val="20"/>
          <w:color w:val="auto"/>
        </w:rPr>
      </w:pPr>
    </w:p>
    <w:p>
      <w:pPr>
        <w:ind w:left="660" w:right="200" w:hanging="328"/>
        <w:spacing w:after="0" w:line="264" w:lineRule="auto"/>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experienced. We did not incur similar costs during 2015 or 2013.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80" w:hanging="328"/>
        <w:spacing w:after="0" w:line="277" w:lineRule="auto"/>
        <w:tabs>
          <w:tab w:leader="none" w:pos="6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2015-2014</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8"/>
              </w:rPr>
              <w:t>2014-2013</w:t>
            </w:r>
          </w:p>
        </w:tc>
        <w:tc>
          <w:tcPr>
            <w:tcW w:w="120" w:type="dxa"/>
            <w:vAlign w:val="bottom"/>
            <w:tcBorders>
              <w:bottom w:val="single" w:sz="8" w:color="CCEEFF"/>
            </w:tcBorders>
          </w:tcPr>
          <w:p>
            <w:pPr>
              <w:spacing w:after="0"/>
              <w:rPr>
                <w:sz w:val="12"/>
                <w:szCs w:val="12"/>
                <w:color w:val="auto"/>
              </w:rPr>
            </w:pPr>
          </w:p>
        </w:tc>
      </w:tr>
      <w:tr>
        <w:trPr>
          <w:trHeight w:val="182"/>
        </w:trPr>
        <w:tc>
          <w:tcPr>
            <w:tcW w:w="3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Gains/(losses) from certain</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activities, net of inventory</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40" w:hanging="644"/>
        <w:spacing w:after="0" w:line="273" w:lineRule="auto"/>
        <w:tabs>
          <w:tab w:leader="none" w:pos="1287" w:val="left"/>
        </w:tabs>
        <w:numPr>
          <w:ilvl w:val="1"/>
          <w:numId w:val="73"/>
        </w:numPr>
        <w:rPr>
          <w:rFonts w:ascii="Arial" w:cs="Arial" w:eastAsia="Arial" w:hAnsi="Arial"/>
          <w:sz w:val="21"/>
          <w:szCs w:val="21"/>
          <w:color w:val="auto"/>
          <w:vertAlign w:val="superscript"/>
        </w:rPr>
      </w:pP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11 to our Consolidated Financial Statements for a comprehensive discussion regarding our derivatives and risk management activities.</w:t>
      </w:r>
    </w:p>
    <w:p>
      <w:pPr>
        <w:spacing w:after="0" w:line="177" w:lineRule="exact"/>
        <w:rPr>
          <w:rFonts w:ascii="Arial" w:cs="Arial" w:eastAsia="Arial" w:hAnsi="Arial"/>
          <w:sz w:val="21"/>
          <w:szCs w:val="21"/>
          <w:color w:val="auto"/>
          <w:vertAlign w:val="superscript"/>
        </w:rPr>
      </w:pPr>
    </w:p>
    <w:p>
      <w:pPr>
        <w:ind w:left="660" w:right="80" w:hanging="328"/>
        <w:spacing w:after="0" w:line="255" w:lineRule="auto"/>
        <w:tabs>
          <w:tab w:leader="none" w:pos="6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Long-Term Inventory Costing Adjustments — Our operating results are impacted by changes in the weighted average cost of our crude oil and NGL inventory pools that result from price movements during the periods. Such costing adjustments resulted in unfavorable impacts of $99 million and $85 million for the years ended December 31, 2015 and 2014, respectively, due to price decreases during each year.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3" w:lineRule="exact"/>
        <w:rPr>
          <w:rFonts w:ascii="Arial" w:cs="Arial" w:eastAsia="Arial" w:hAnsi="Arial"/>
          <w:sz w:val="18"/>
          <w:szCs w:val="18"/>
          <w:color w:val="auto"/>
        </w:rPr>
      </w:pPr>
    </w:p>
    <w:p>
      <w:pPr>
        <w:ind w:left="660" w:right="120" w:hanging="328"/>
        <w:spacing w:after="0" w:line="264" w:lineRule="auto"/>
        <w:tabs>
          <w:tab w:leader="none" w:pos="6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Exchange Impacts — Our results are impacted by fluctuations in the value of CAD to USD, resulting in foreign exchange gains and losses on U.S. denominated net assets within our Canadian operations. The impact of such gains and losses resulted in a favorable variance of $38 million for 2015 compared to 2014 and an unfavorable variance of $16 million for 2014 to 2013.</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Furthermore, the depreciation of CAD relative to USD resulted in lower net USD costs of approximately $41 million for 2015 compared to 2014 and by $15 million for 2014 compared to 2013. Such costs are primarily associated with intercompany facility fees and are largely offset in our Facilities segment results.</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the year ended December 31, 2014 was primarily due to the decreased use of third party trucking services as pipeline expansion projects were placed into service.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increase in field operating costs (excluding equity-indexed compensation expenses) for the year ended December 31, 2014 over the year ended December 31, 2013 was primarily due to an increase in trucking costs associated with higher lease gathering volumes.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in 2014 compared to 2013 was primarily due to reduced spending on trucking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Depreciation and amortization expense increased during the 2015 period over the comparable 2014 period primarily due to various capital expansion projects completed during 2015, partially offset by favorable impacts from the depreciation of CAD relative to USD.</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Depreciation and amortization expense increased during the 2014 period over the comparable 2013 period primarily due to various recently completed capital expansion projects, as well as an acceleration of depreciation on certain pipeline assets to reflect a change in their estimated useful lives. These increases were partially offset by a reduction in amortization expense due to declining-balance amortization used for certain of our intangible assets acquired in recent years.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25" w:lineRule="exact"/>
        <w:rPr>
          <w:sz w:val="20"/>
          <w:szCs w:val="20"/>
          <w:color w:val="auto"/>
        </w:rPr>
      </w:pPr>
    </w:p>
    <w:p>
      <w:pPr>
        <w:ind w:left="940" w:hanging="284"/>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ectPr>
          <w:pgSz w:w="11900" w:h="16838" w:orient="portrait"/>
          <w:cols w:equalWidth="0" w:num="1">
            <w:col w:w="11400"/>
          </w:cols>
          <w:pgMar w:left="240" w:top="125" w:right="259" w:bottom="0" w:gutter="0" w:footer="0" w:header="0"/>
        </w:sectPr>
      </w:pPr>
    </w:p>
    <w:bookmarkStart w:id="72" w:name="page73"/>
    <w:bookmarkEnd w:id="72"/>
    <w:p>
      <w:pPr>
        <w:ind w:left="940" w:hanging="284"/>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capitalized on capital projects and included in purchases and related costs.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2015 and 2014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Average</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16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LIBOR</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1"/>
              </w:rPr>
              <w:t xml:space="preserve">Interest Rate </w:t>
            </w:r>
            <w:r>
              <w:rPr>
                <w:rFonts w:ascii="Arial" w:cs="Arial" w:eastAsia="Arial" w:hAnsi="Arial"/>
                <w:sz w:val="17"/>
                <w:szCs w:val="17"/>
                <w:b w:val="1"/>
                <w:bCs w:val="1"/>
                <w:color w:val="auto"/>
                <w:w w:val="91"/>
                <w:vertAlign w:val="superscript"/>
              </w:rPr>
              <w:t>(1)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Interest expense for the year ended December 31, 2013</w:t>
            </w:r>
          </w:p>
        </w:tc>
        <w:tc>
          <w:tcPr>
            <w:tcW w:w="58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319</w:t>
            </w:r>
          </w:p>
        </w:tc>
        <w:tc>
          <w:tcPr>
            <w:tcW w:w="16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0.2%</w:t>
            </w:r>
          </w:p>
        </w:tc>
        <w:tc>
          <w:tcPr>
            <w:tcW w:w="1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ind w:left="40"/>
              <w:spacing w:after="0" w:line="236" w:lineRule="exact"/>
              <w:rPr>
                <w:sz w:val="20"/>
                <w:szCs w:val="20"/>
                <w:color w:val="auto"/>
              </w:rPr>
            </w:pPr>
            <w:r>
              <w:rPr>
                <w:rFonts w:ascii="Arial" w:cs="Arial" w:eastAsia="Arial" w:hAnsi="Arial"/>
                <w:sz w:val="18"/>
                <w:szCs w:val="18"/>
                <w:color w:val="auto"/>
              </w:rPr>
              <w:t xml:space="preserve">Impact of issuance of PAA senior notes </w:t>
            </w:r>
            <w:r>
              <w:rPr>
                <w:rFonts w:ascii="Arial" w:cs="Arial" w:eastAsia="Arial" w:hAnsi="Arial"/>
                <w:sz w:val="23"/>
                <w:szCs w:val="23"/>
                <w:color w:val="auto"/>
                <w:vertAlign w:val="superscript"/>
              </w:rPr>
              <w:t>(2) (5)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62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(3)</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 xml:space="preserve">Impact of retirement of PAA senior notes </w:t>
            </w:r>
            <w:r>
              <w:rPr>
                <w:rFonts w:ascii="Arial" w:cs="Arial" w:eastAsia="Arial" w:hAnsi="Arial"/>
                <w:sz w:val="23"/>
                <w:szCs w:val="23"/>
                <w:color w:val="auto"/>
                <w:vertAlign w:val="superscript"/>
              </w:rPr>
              <w:t>(4)</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capitalized interest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2014</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20" w:type="dxa"/>
            <w:vAlign w:val="bottom"/>
            <w:gridSpan w:val="2"/>
            <w:vMerge w:val="restart"/>
          </w:tcPr>
          <w:p>
            <w:pPr>
              <w:ind w:left="40"/>
              <w:spacing w:after="0" w:line="236" w:lineRule="exact"/>
              <w:rPr>
                <w:sz w:val="20"/>
                <w:szCs w:val="20"/>
                <w:color w:val="auto"/>
              </w:rPr>
            </w:pPr>
            <w:r>
              <w:rPr>
                <w:rFonts w:ascii="Arial" w:cs="Arial" w:eastAsia="Arial" w:hAnsi="Arial"/>
                <w:sz w:val="18"/>
                <w:szCs w:val="18"/>
                <w:color w:val="auto"/>
              </w:rPr>
              <w:t xml:space="preserve">Impact of issuance of PAA senior notes </w:t>
            </w:r>
            <w:r>
              <w:rPr>
                <w:rFonts w:ascii="Arial" w:cs="Arial" w:eastAsia="Arial" w:hAnsi="Arial"/>
                <w:sz w:val="23"/>
                <w:szCs w:val="23"/>
                <w:color w:val="auto"/>
                <w:vertAlign w:val="superscript"/>
              </w:rPr>
              <w:t>(5) (6)</w:t>
            </w: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62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(3)</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 xml:space="preserve">Impact of retirement of PAA senior notes </w:t>
            </w:r>
            <w:r>
              <w:rPr>
                <w:rFonts w:ascii="Arial" w:cs="Arial" w:eastAsia="Arial" w:hAnsi="Arial"/>
                <w:sz w:val="23"/>
                <w:szCs w:val="23"/>
                <w:color w:val="auto"/>
                <w:vertAlign w:val="superscript"/>
              </w:rPr>
              <w:t>(7)</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capitalized interest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2015</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6220" w:type="dxa"/>
            <w:vAlign w:val="bottom"/>
            <w:gridSpan w:val="2"/>
          </w:tcPr>
          <w:p>
            <w:pPr>
              <w:ind w:left="480"/>
              <w:spacing w:after="0"/>
              <w:rPr>
                <w:sz w:val="20"/>
                <w:szCs w:val="20"/>
                <w:color w:val="auto"/>
              </w:rPr>
            </w:pPr>
            <w:r>
              <w:rPr>
                <w:rFonts w:ascii="Arial" w:cs="Arial" w:eastAsia="Arial" w:hAnsi="Arial"/>
                <w:sz w:val="18"/>
                <w:szCs w:val="18"/>
                <w:color w:val="auto"/>
              </w:rPr>
              <w:t>Excludes commitment and other fees.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August 2013, PAA completed the issuance of $700 million of 3.85% senior notes due 2023.</w:t>
      </w:r>
    </w:p>
    <w:p>
      <w:pPr>
        <w:spacing w:after="0" w:line="225" w:lineRule="exact"/>
        <w:rPr>
          <w:sz w:val="20"/>
          <w:szCs w:val="20"/>
          <w:color w:val="auto"/>
        </w:rPr>
      </w:pPr>
    </w:p>
    <w:p>
      <w:pPr>
        <w:ind w:left="20" w:right="240" w:hanging="11"/>
        <w:spacing w:after="0" w:line="264" w:lineRule="auto"/>
        <w:rPr>
          <w:sz w:val="20"/>
          <w:szCs w:val="20"/>
          <w:color w:val="auto"/>
        </w:rPr>
      </w:pPr>
      <w:r>
        <w:rPr>
          <w:rFonts w:ascii="Arial" w:cs="Arial" w:eastAsia="Arial" w:hAnsi="Arial"/>
          <w:sz w:val="18"/>
          <w:szCs w:val="18"/>
          <w:color w:val="auto"/>
        </w:rPr>
        <w:t>Interest costs attributable to borrowings for hedged inventory purchases are included in purchases and related costs in our Supply and Logistics segment profit as we consider interest on these borrowings a direct cost to storing the inventory. These costs were $6 million, $12 million and $30 million for the years ended December 31, 2015, 2014 and 2013, respectively.</w:t>
      </w:r>
    </w:p>
    <w:p>
      <w:pPr>
        <w:spacing w:after="0" w:line="181"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December 2013, PAA’s $250 million, 5.63% senior notes matured.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April 2014, PAA completed the issuance of $700 million of 4.70% senior notes due 2044; in September 2014, PAA completed the issuance of</w:t>
      </w:r>
    </w:p>
    <w:p>
      <w:pPr>
        <w:spacing w:after="0" w:line="46" w:lineRule="exact"/>
        <w:rPr>
          <w:sz w:val="20"/>
          <w:szCs w:val="20"/>
          <w:color w:val="auto"/>
        </w:rPr>
      </w:pPr>
    </w:p>
    <w:p>
      <w:pPr>
        <w:ind w:left="20" w:right="140"/>
        <w:spacing w:after="0" w:line="261" w:lineRule="auto"/>
        <w:rPr>
          <w:sz w:val="20"/>
          <w:szCs w:val="20"/>
          <w:color w:val="auto"/>
        </w:rPr>
      </w:pPr>
      <w:r>
        <w:rPr>
          <w:rFonts w:ascii="Arial" w:cs="Arial" w:eastAsia="Arial" w:hAnsi="Arial"/>
          <w:sz w:val="18"/>
          <w:szCs w:val="18"/>
          <w:color w:val="auto"/>
        </w:rPr>
        <w:t>$750 million of 3.60% senior notes due 2024; and in December 2014, PAA completed the issuance of $500 million of 2.60% senior notes due 2019 and $650 million of 4.90% senior notes due 2045.</w:t>
      </w:r>
    </w:p>
    <w:p>
      <w:pPr>
        <w:spacing w:after="0" w:line="184"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August 2015, PAA completed the issuance of $1.0 billion of 4.65%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PAA’s $150 million, 5.25% senior notes and $400 million, 3.95% senior notes matured in June 2015 and September 2015, respectively.</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Income/(Expense), Net</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Other income/(expense), net in each of the years ended December 31, 2015, 2014 and 2013 was primarily comprised of foreign currency gains or losses related to revaluations of CAD-denominated interest receivables associated with intercompany notes and the impact of related foreign currency hedges.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Income tax expense decreased for the year ended December 31, 2015 compared to the year ended December 31, 2014 primarily due to the deferred income tax impact associated with fluctuations in the derivative mark-to-market valuation in our Canadian operations during the 2015 and 2014 periods. This benefit was partially offset by (i) higher deferred income tax expense associated with the amortization of our deferred tax asset, (ii) an Alberta, Canada provincial tax rate increase of 2% enacted during the second quarter of 2015 and (iii) higher current income tax expense resulting from increased year-over-year taxable earnings from our Canadian operations. The 2015 period was also favorably impacted by the depreciation of CAD relative to USD.</w:t>
      </w:r>
    </w:p>
    <w:p>
      <w:pPr>
        <w:spacing w:after="0" w:line="158" w:lineRule="exact"/>
        <w:rPr>
          <w:sz w:val="20"/>
          <w:szCs w:val="20"/>
          <w:color w:val="auto"/>
        </w:rPr>
      </w:pPr>
    </w:p>
    <w:p>
      <w:pPr>
        <w:jc w:val="both"/>
        <w:ind w:right="280" w:firstLine="648"/>
        <w:spacing w:after="0" w:line="302" w:lineRule="auto"/>
        <w:rPr>
          <w:sz w:val="20"/>
          <w:szCs w:val="20"/>
          <w:color w:val="auto"/>
        </w:rPr>
      </w:pPr>
      <w:r>
        <w:rPr>
          <w:rFonts w:ascii="Arial" w:cs="Arial" w:eastAsia="Arial" w:hAnsi="Arial"/>
          <w:sz w:val="16"/>
          <w:szCs w:val="16"/>
          <w:color w:val="auto"/>
        </w:rPr>
        <w:t>Income tax expense increased for the year ended December 31, 2014 compared to the year ended December 31, 2013 primarily as a result of the amortization of the deferred tax asset created in connection with our October 2013 IPO and November 2014 secondary offering, as well as higher deferred income tax expense associated with derivative mark-to-market gains in our Canadian operations. The increased deferred income tax expense was partially offset by lower current income tax expense as a result of decreased year-over-year taxable earnings from our Canadian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120" w:firstLine="612"/>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ectPr>
          <w:pgSz w:w="11900" w:h="16838" w:orient="portrait"/>
          <w:cols w:equalWidth="0" w:num="1">
            <w:col w:w="11420"/>
          </w:cols>
          <w:pgMar w:left="240" w:top="125" w:right="239" w:bottom="0" w:gutter="0" w:footer="0" w:header="0"/>
          <w:type w:val="continuous"/>
        </w:sectPr>
      </w:pPr>
    </w:p>
    <w:bookmarkStart w:id="73" w:name="page74"/>
    <w:bookmarkEnd w:id="73"/>
    <w:p>
      <w:pPr>
        <w:spacing w:after="0" w:line="29" w:lineRule="exact"/>
        <w:rPr>
          <w:sz w:val="20"/>
          <w:szCs w:val="20"/>
          <w:color w:val="auto"/>
        </w:rPr>
      </w:pPr>
    </w:p>
    <w:p>
      <w:pPr>
        <w:ind w:left="40" w:right="20" w:firstLine="612"/>
        <w:spacing w:after="0" w:line="268" w:lineRule="auto"/>
        <w:rPr>
          <w:sz w:val="20"/>
          <w:szCs w:val="20"/>
          <w:color w:val="auto"/>
        </w:rPr>
      </w:pPr>
      <w:r>
        <w:rPr>
          <w:rFonts w:ascii="Arial" w:cs="Arial" w:eastAsia="Arial" w:hAnsi="Arial"/>
          <w:sz w:val="17"/>
          <w:szCs w:val="17"/>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the rate of growth of North American crude oil production has slowed significantly and began to decrease in some areas as producers have taken rigs out of service and deferred completions at an increased rate. While we believe that the large North American resource base remains intact and will be developed, such production will likely take place at a slower pace and previously anticipated peak production levels will likely be reduced. The slowdown in North American production coupled with increases in infrastructure has led to a compression of basis 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88"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While we believe that these recent market developments will continue to slow down crude oil supply growth and contribute toward bringing the markets back to equilibrium, there can be no assurance that such equilibrium will be achieved or that we will not be negatively impacted by declining crude oil supply, low level of volatility or challenging capital markets conditions. Additionally, construction of additional infrastructure by us and our competitors will likely create excess takeaway capacity in certain areas at least for the near to medium term, which could further reduce unit margins in our various segments, and which may be exacerbated by declining levels of crude oil production. Finally, we cannot be certain that our expansion efforts will generate targeted returns or that any future acquisition activities will be successful. See Item 1A. “Risk Factors — Risks Related to PAA’s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as further discussed below in the section entitled “—Cash Flow from Operating Activities,” (ii) borrowings under the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w:t>
      </w:r>
    </w:p>
    <w:p>
      <w:pPr>
        <w:spacing w:after="0" w:line="2" w:lineRule="exact"/>
        <w:rPr>
          <w:sz w:val="20"/>
          <w:szCs w:val="20"/>
          <w:color w:val="auto"/>
        </w:rPr>
      </w:pPr>
    </w:p>
    <w:p>
      <w:pPr>
        <w:ind w:right="100" w:firstLine="8"/>
        <w:spacing w:after="0" w:line="288" w:lineRule="auto"/>
        <w:tabs>
          <w:tab w:leader="none" w:pos="2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December 31, 2015, we had a working capital deficit of $437 million and approximately $2.4 billion of liquidity available to meet our ongoing operating, investing and financing needs, subject to continued covenant compliance, as noted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w:t>
            </w:r>
          </w:p>
        </w:tc>
      </w:tr>
      <w:tr>
        <w:trPr>
          <w:trHeight w:val="17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97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Amounts outstanding under PAA commercial paper program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(1,368)</w:t>
            </w:r>
          </w:p>
        </w:tc>
      </w:tr>
      <w:tr>
        <w:trPr>
          <w:trHeight w:val="210"/>
        </w:trPr>
        <w:tc>
          <w:tcPr>
            <w:tcW w:w="97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0"/>
        </w:trPr>
        <w:tc>
          <w:tcPr>
            <w:tcW w:w="974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8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170" w:lineRule="exact"/>
        <w:rPr>
          <w:sz w:val="20"/>
          <w:szCs w:val="20"/>
          <w:color w:val="auto"/>
        </w:rPr>
      </w:pPr>
    </w:p>
    <w:p>
      <w:pPr>
        <w:ind w:right="2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$17 million and $29 million, respectively.</w:t>
      </w:r>
    </w:p>
    <w:p>
      <w:pPr>
        <w:spacing w:after="0" w:line="170" w:lineRule="exact"/>
        <w:rPr>
          <w:sz w:val="20"/>
          <w:szCs w:val="20"/>
          <w:color w:val="auto"/>
        </w:rPr>
      </w:pPr>
    </w:p>
    <w:p>
      <w:pPr>
        <w:sectPr>
          <w:pgSz w:w="11900" w:h="16867" w:orient="portrait"/>
          <w:cols w:equalWidth="0" w:num="2">
            <w:col w:w="140" w:space="520"/>
            <w:col w:w="10760"/>
          </w:cols>
          <w:pgMar w:left="240" w:top="125" w:right="239" w:bottom="0" w:gutter="0" w:footer="0" w:header="0"/>
          <w:type w:val="continuous"/>
        </w:sectPr>
      </w:pPr>
    </w:p>
    <w:p>
      <w:pPr>
        <w:jc w:val="both"/>
        <w:ind w:right="220" w:firstLine="648"/>
        <w:spacing w:after="0" w:line="259" w:lineRule="auto"/>
        <w:rPr>
          <w:sz w:val="20"/>
          <w:szCs w:val="20"/>
          <w:color w:val="auto"/>
        </w:rPr>
      </w:pPr>
      <w:r>
        <w:rPr>
          <w:rFonts w:ascii="Arial" w:cs="Arial" w:eastAsia="Arial" w:hAnsi="Arial"/>
          <w:sz w:val="18"/>
          <w:szCs w:val="18"/>
          <w:color w:val="auto"/>
        </w:rPr>
        <w:t>During the latter part of 2015, energy industry conditions deteriorated and capital markets access for energy companies was disrupted, which has continued into 2016. To fund its ongoing capital program and maintain a solid capital structure and significant liquidity, in January 2016, PAA raised $1.6 billion of equity capital through the sale of approximately 61.0 million unregistered Series A Convertible Preferred Units. See Note 10 to our Consolidated Financial Statements for additional information.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the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PAA credit facilities, which provide the backstop for the PAA commercial paper program, and the AAP credit facility is subject to ongoing compliance with covenants. As of December 31, 2015, PAA and AAP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w:t>
      </w:r>
    </w:p>
    <w:p>
      <w:pPr>
        <w:sectPr>
          <w:pgSz w:w="11900" w:h="16867" w:orient="portrait"/>
          <w:cols w:equalWidth="0" w:num="1">
            <w:col w:w="11420"/>
          </w:cols>
          <w:pgMar w:left="240" w:top="125" w:right="239" w:bottom="0" w:gutter="0" w:footer="0" w:header="0"/>
          <w:type w:val="continuous"/>
        </w:sectPr>
      </w:pPr>
    </w:p>
    <w:bookmarkStart w:id="74" w:name="page75"/>
    <w:bookmarkEnd w:id="74"/>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purchase of crude oil, NGL and other products and other expenses, principally field operating costs, general and administrative expenses and interest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the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credit facilities or the PAA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and/or the timing of settlement of our derivative activities. For example, gains and losses from settled instruments that qualify as effective cash flow hedges are deferred in accumulated other comprehensive income/loss, but may impact operating cash flow in the period settled. See Note 11 to our Consolidated Financial Statements for a discussion regarding our derivatives and risk management activities.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operating activities for the years ended December 31, 2015, 2014 and 2013 was approximately $1.3 billion, $2.0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$1.95 billion, respectively, and primarily resulted from earnings from our operations. Additionally, as discussed further below, changes in our inventory levels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these years impacted our cash flow from operating activities.</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the PAA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the PAA commercial paper program.</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the credit facilities or the PAA commercial paper program and favorably impacted cash flow from operating activities. These decreases in inventory were partially offset by an increase in natural gas inventory whereby we retained more capacity for our own use. We primarily used borrowings under the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PAA Commercial Paper Program and Indentures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At December 31, 2015, PAA had four primary credit arrangements. These include a $1.6 billion senior unsecured revolving credit facility maturing in 2020, a $1.4 billion senior secured hedged inventory facility maturing in 2018 and a $1.0 billion, 364-day senior unsecured credit facility maturing in August 2016. Additionally, PAA has a $3.0 billion unsecured commercial paper program that is backstopped by its revolving credit facility and its hedged inventory facility. The PAA credit agreements (which impact the ability to access the PAA commercial paper program because they provide the backstop that supports PAA’s short-term credit ratings) and the indentures governing PAA’s senior notes contain cross-default provisions. A default under PAA’s credit agreements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2015. In addition, AAP has a credit agreement which includes a $550 million term loan facility and a $125 million senior secured revolving credit facility, both maturing in 2020. AAP was in compliance with the covenants contained in its credit agreement as of December 31, 2015.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PAA Registration Statements</w:t>
      </w:r>
      <w:r>
        <w:rPr>
          <w:rFonts w:ascii="Arial" w:cs="Arial" w:eastAsia="Arial" w:hAnsi="Arial"/>
          <w:sz w:val="16"/>
          <w:szCs w:val="16"/>
          <w:color w:val="auto"/>
        </w:rPr>
        <w:t>. PAA periodically accesses the capital markets for both equity and debt financing. PAA has filed with the SEC a</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shelf registration statement that, subject to effectiveness at the time of use, allows PAA to issue up to an aggregate of $2.0 billion of debt or equity securities (“Traditional Shelf”). All issuances of PAA equity securities associated with PAA’s continuous offering program have been issued pursuant to the Traditional Shelf. At December 31, 2015, PAA had approximately $2.0 billion of unsold securities available under the Traditional Shelf. PAA also has access to a universal shelf registration statement (“WKSI Shelf”), which provides it with the ability to offer and sell an unlimited amount of debt and equity</w:t>
      </w:r>
    </w:p>
    <w:p>
      <w:pPr>
        <w:sectPr>
          <w:pgSz w:w="11900" w:h="16941" w:orient="portrait"/>
          <w:cols w:equalWidth="0" w:num="1">
            <w:col w:w="11420"/>
          </w:cols>
          <w:pgMar w:left="240" w:top="125" w:right="239" w:bottom="0" w:gutter="0" w:footer="0" w:header="0"/>
        </w:sectPr>
      </w:pPr>
    </w:p>
    <w:bookmarkStart w:id="75" w:name="page76"/>
    <w:bookmarkEnd w:id="75"/>
    <w:p>
      <w:pPr>
        <w:ind w:right="60"/>
        <w:spacing w:after="0" w:line="277" w:lineRule="auto"/>
        <w:rPr>
          <w:sz w:val="20"/>
          <w:szCs w:val="20"/>
          <w:color w:val="auto"/>
        </w:rPr>
      </w:pPr>
      <w:r>
        <w:rPr>
          <w:rFonts w:ascii="Arial" w:cs="Arial" w:eastAsia="Arial" w:hAnsi="Arial"/>
          <w:sz w:val="18"/>
          <w:szCs w:val="18"/>
          <w:color w:val="auto"/>
        </w:rPr>
        <w:t>securities, subject to market conditions and capital needs. PAA’s March 2015 underwritten equity offering and PAA’s August 2015 senior notes issuance were conducted under the WKSI shelf. See “PAA Common Unit Issuances” and “PAA Senior Notes” below.</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PAA Common Unit Issuances</w:t>
      </w:r>
      <w:r>
        <w:rPr>
          <w:rFonts w:ascii="Arial" w:cs="Arial" w:eastAsia="Arial" w:hAnsi="Arial"/>
          <w:sz w:val="18"/>
          <w:szCs w:val="18"/>
          <w:color w:val="auto"/>
        </w:rPr>
        <w:t>. The following table summarizes the issuance of PAA’s common units during the three years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(net proceeds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Type of Offering</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Units Issued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542"/>
              <w:spacing w:after="0"/>
              <w:rPr>
                <w:sz w:val="20"/>
                <w:szCs w:val="20"/>
                <w:color w:val="auto"/>
              </w:rPr>
            </w:pPr>
            <w:r>
              <w:rPr>
                <w:rFonts w:ascii="Arial" w:cs="Arial" w:eastAsia="Arial" w:hAnsi="Arial"/>
                <w:sz w:val="14"/>
                <w:szCs w:val="14"/>
                <w:b w:val="1"/>
                <w:bCs w:val="1"/>
                <w:color w:val="auto"/>
                <w:w w:val="96"/>
              </w:rPr>
              <w:t xml:space="preserve">Net Proceeds </w:t>
            </w:r>
            <w:r>
              <w:rPr>
                <w:rFonts w:ascii="Arial" w:cs="Arial" w:eastAsia="Arial" w:hAnsi="Arial"/>
                <w:sz w:val="17"/>
                <w:szCs w:val="17"/>
                <w:b w:val="1"/>
                <w:bCs w:val="1"/>
                <w:color w:val="auto"/>
                <w:w w:val="96"/>
                <w:vertAlign w:val="superscript"/>
              </w:rPr>
              <w:t>(1)</w:t>
            </w:r>
          </w:p>
        </w:tc>
      </w:tr>
      <w:tr>
        <w:trPr>
          <w:trHeight w:val="210"/>
        </w:trPr>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1"/>
              </w:rPr>
              <w:t>(2)</w:t>
            </w:r>
          </w:p>
        </w:tc>
      </w:t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8"/>
                <w:szCs w:val="18"/>
                <w:color w:val="auto"/>
              </w:rPr>
            </w:pPr>
          </w:p>
        </w:tc>
        <w:tc>
          <w:tcPr>
            <w:tcW w:w="42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Underwritten Offering</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21,000,000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1,041</w:t>
            </w:r>
            <w:r>
              <w:rPr>
                <w:rFonts w:ascii="Arial" w:cs="Arial" w:eastAsia="Arial" w:hAnsi="Arial"/>
                <w:sz w:val="11"/>
                <w:szCs w:val="11"/>
                <w:color w:val="auto"/>
              </w:rPr>
              <w:t>(3)</w:t>
            </w:r>
          </w:p>
        </w:tc>
      </w:tr>
      <w:tr>
        <w:trPr>
          <w:trHeight w:val="210"/>
        </w:trPr>
        <w:tc>
          <w:tcPr>
            <w:tcW w:w="340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2015 Total</w:t>
            </w: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22,133,904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4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2014 Total</w:t>
            </w:r>
          </w:p>
        </w:tc>
        <w:tc>
          <w:tcPr>
            <w:tcW w:w="4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15,375,810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848</w:t>
            </w:r>
            <w:r>
              <w:rPr>
                <w:rFonts w:ascii="Arial" w:cs="Arial" w:eastAsia="Arial" w:hAnsi="Arial"/>
                <w:sz w:val="11"/>
                <w:szCs w:val="11"/>
                <w:color w:val="auto"/>
              </w:rPr>
              <w:t>(2)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4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2013 Total</w:t>
            </w:r>
          </w:p>
        </w:tc>
        <w:tc>
          <w:tcPr>
            <w:tcW w:w="4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8,644,807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EEFF"/>
          </w:tcPr>
          <w:p>
            <w:pPr>
              <w:jc w:val="right"/>
              <w:ind w:right="82"/>
              <w:spacing w:after="0" w:line="216" w:lineRule="exact"/>
              <w:rPr>
                <w:sz w:val="20"/>
                <w:szCs w:val="20"/>
                <w:color w:val="auto"/>
              </w:rPr>
            </w:pPr>
            <w:r>
              <w:rPr>
                <w:rFonts w:ascii="Arial" w:cs="Arial" w:eastAsia="Arial" w:hAnsi="Arial"/>
                <w:sz w:val="18"/>
                <w:szCs w:val="18"/>
                <w:b w:val="1"/>
                <w:bCs w:val="1"/>
                <w:color w:val="auto"/>
              </w:rPr>
              <w:t>468</w:t>
            </w:r>
            <w:r>
              <w:rPr>
                <w:rFonts w:ascii="Arial" w:cs="Arial" w:eastAsia="Arial" w:hAnsi="Arial"/>
                <w:sz w:val="23"/>
                <w:szCs w:val="23"/>
                <w:color w:val="auto"/>
                <w:vertAlign w:val="superscript"/>
              </w:rPr>
              <w:t>(2)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ind w:left="20" w:right="160" w:hanging="11"/>
        <w:spacing w:after="0" w:line="264" w:lineRule="auto"/>
        <w:rPr>
          <w:sz w:val="20"/>
          <w:szCs w:val="20"/>
          <w:color w:val="auto"/>
        </w:rPr>
      </w:pPr>
      <w:r>
        <w:rPr>
          <w:rFonts w:ascii="Arial" w:cs="Arial" w:eastAsia="Arial" w:hAnsi="Arial"/>
          <w:sz w:val="18"/>
          <w:szCs w:val="18"/>
          <w:color w:val="auto"/>
        </w:rPr>
        <w:t>PAA pays commissions to its sales agents in connection with common unit issuances under its Continuous Offering Program. PAA paid $1 million, $9 million and $5 million of such commissions during 2015, 2014 and 2013, respectively. The net proceeds from these offerings were used for general partnership purposes.</w:t>
      </w:r>
    </w:p>
    <w:p>
      <w:pPr>
        <w:spacing w:after="0" w:line="181"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ind w:left="660" w:right="380" w:hanging="652"/>
        <w:spacing w:after="0" w:line="227" w:lineRule="auto"/>
        <w:tabs>
          <w:tab w:leader="none" w:pos="648"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A portion of the net proceeds from such offering was used to repay borrowings under the PAA commercial paper program and the remaining net proceeds were used for general partnership purposes, including expenditures for our 2015 capital program.</w:t>
      </w:r>
    </w:p>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PAA Preferred Unit Issuance</w:t>
      </w:r>
      <w:r>
        <w:rPr>
          <w:rFonts w:ascii="Arial" w:cs="Arial" w:eastAsia="Arial" w:hAnsi="Arial"/>
          <w:sz w:val="17"/>
          <w:szCs w:val="17"/>
          <w:color w:val="auto"/>
        </w:rPr>
        <w:t>. In January 2016, PAA completed the private placement of approximately 61.0 million PAA preferred units at a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$26.25 per unit resulting in total net proceeds, after deducting offering expenses and the 2% transaction fee due to the purchasers, of approximately $1.6 billion. We intend to use the net proceeds for capital expenditures, repayment of debt and general partnership purposes.</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PAA preferred units rank senior to all classes or series of equity securities in PAA with respect to distribution rights. The holders of the PAA preferred units are entitled to receive quarterly distributions, subject to customary anti-dilution adjustments, of $0.525 per unit ($2.10 per unit annualized), commencing with the quarter ending March 31, 2016. With respect to any quarter ending on or prior to December 31, 2017, PAA may elect to pay distributions on the PAA preferred units in additional preferred units, in cash or in a combination of both. AAP will be entitled to participate in distributions on the PAA preferred units equal to its 2% general partner interest in PAA.</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After two years, the preferred units are convertible at the purchasers’ option into common units on a one-for-one basis, subject to certain conditions, and are convertible at PAA’s option in certain circumstances after three years.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Distribution of Net Proceeds from our IPO</w:t>
      </w:r>
      <w:r>
        <w:rPr>
          <w:rFonts w:ascii="Arial" w:cs="Arial" w:eastAsia="Arial" w:hAnsi="Arial"/>
          <w:sz w:val="17"/>
          <w:szCs w:val="17"/>
          <w:color w:val="auto"/>
        </w:rPr>
        <w:t>. In October 2013, we completed our IPO of 132,382,094 Class A shares representing limited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at a price of $22.00 per Class A share, generating net proceeds, after deducting underwriting discounts and commissions and direct offering expenses, of approximately $2.8 billion. We distributed these net proceeds to certain owners of AAP who, prior to our IPO, sold a portion of their interests in AAP to us in exchange for the right to receive an amount equal to the net proceeds of the IPO.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PAA Senior Notes. </w:t>
      </w:r>
      <w:r>
        <w:rPr>
          <w:rFonts w:ascii="Arial" w:cs="Arial" w:eastAsia="Arial" w:hAnsi="Arial"/>
          <w:sz w:val="18"/>
          <w:szCs w:val="18"/>
          <w:color w:val="auto"/>
        </w:rPr>
        <w:t>During the last three years, PAA issued senior unsecured notes as summarized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514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Face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1100" w:type="dxa"/>
            <w:vAlign w:val="bottom"/>
            <w:gridSpan w:val="3"/>
            <w:vMerge w:val="continue"/>
          </w:tcPr>
          <w:p>
            <w:pPr>
              <w:spacing w:after="0"/>
              <w:rPr>
                <w:sz w:val="14"/>
                <w:szCs w:val="14"/>
                <w:color w:val="auto"/>
              </w:rPr>
            </w:pPr>
          </w:p>
        </w:tc>
        <w:tc>
          <w:tcPr>
            <w:tcW w:w="51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3"/>
              </w:rPr>
              <w:t>Proceeds</w:t>
            </w:r>
            <w:r>
              <w:rPr>
                <w:rFonts w:ascii="Arial" w:cs="Arial" w:eastAsia="Arial" w:hAnsi="Arial"/>
                <w:sz w:val="17"/>
                <w:szCs w:val="17"/>
                <w:b w:val="1"/>
                <w:bCs w:val="1"/>
                <w:color w:val="auto"/>
                <w:w w:val="83"/>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5"/>
              </w:rPr>
              <w:t>Proceeds</w:t>
            </w:r>
            <w:r>
              <w:rPr>
                <w:rFonts w:ascii="Arial" w:cs="Arial" w:eastAsia="Arial" w:hAnsi="Arial"/>
                <w:sz w:val="17"/>
                <w:szCs w:val="17"/>
                <w:b w:val="1"/>
                <w:bCs w:val="1"/>
                <w:color w:val="auto"/>
                <w:w w:val="85"/>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4.65% Senior Notes issued at 99.846% of face value </w:t>
            </w:r>
            <w:r>
              <w:rPr>
                <w:rFonts w:ascii="Arial" w:cs="Arial" w:eastAsia="Arial" w:hAnsi="Arial"/>
                <w:sz w:val="23"/>
                <w:szCs w:val="23"/>
                <w:color w:val="auto"/>
                <w:vertAlign w:val="superscript"/>
              </w:rPr>
              <w:t>(3)</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2.60% Senior Notes issued at 99.813% of face value </w:t>
            </w:r>
            <w:r>
              <w:rPr>
                <w:rFonts w:ascii="Arial" w:cs="Arial" w:eastAsia="Arial" w:hAnsi="Arial"/>
                <w:sz w:val="23"/>
                <w:szCs w:val="23"/>
                <w:color w:val="auto"/>
                <w:vertAlign w:val="superscript"/>
              </w:rPr>
              <w:t>(4)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51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4.90% Senior Notes issued at 99.876% of face value </w:t>
            </w:r>
            <w:r>
              <w:rPr>
                <w:rFonts w:ascii="Arial" w:cs="Arial" w:eastAsia="Arial" w:hAnsi="Arial"/>
                <w:sz w:val="23"/>
                <w:szCs w:val="23"/>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February 2045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3.60% Senior Notes issued at 99.842% of face value </w:t>
            </w:r>
            <w:r>
              <w:rPr>
                <w:rFonts w:ascii="Arial" w:cs="Arial" w:eastAsia="Arial" w:hAnsi="Arial"/>
                <w:sz w:val="23"/>
                <w:szCs w:val="23"/>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51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4.70% Senior Notes issued at 99.734% of face value </w:t>
            </w:r>
            <w:r>
              <w:rPr>
                <w:rFonts w:ascii="Arial" w:cs="Arial" w:eastAsia="Arial" w:hAnsi="Arial"/>
                <w:sz w:val="23"/>
                <w:szCs w:val="23"/>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June 2044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3.85% Senior Notes issued at 99.792% of face value </w:t>
            </w:r>
            <w:r>
              <w:rPr>
                <w:rFonts w:ascii="Arial" w:cs="Arial" w:eastAsia="Arial" w:hAnsi="Arial"/>
                <w:sz w:val="23"/>
                <w:szCs w:val="23"/>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October 2023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149860</wp:posOffset>
            </wp:positionV>
            <wp:extent cx="17240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225"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The net proceeds from this offering were used to repay outstanding borrowings under the PAA credit facilities or the PAA commercial paper program and for general partnership purposes.</w:t>
      </w:r>
    </w:p>
    <w:p>
      <w:pPr>
        <w:spacing w:after="0" w:line="170" w:lineRule="exact"/>
        <w:rPr>
          <w:sz w:val="20"/>
          <w:szCs w:val="20"/>
          <w:color w:val="auto"/>
        </w:rPr>
      </w:pPr>
    </w:p>
    <w:p>
      <w:pPr>
        <w:ind w:left="20" w:right="220" w:hanging="11"/>
        <w:spacing w:after="0" w:line="342" w:lineRule="auto"/>
        <w:rPr>
          <w:sz w:val="20"/>
          <w:szCs w:val="20"/>
          <w:color w:val="auto"/>
        </w:rPr>
      </w:pPr>
      <w:r>
        <w:rPr>
          <w:rFonts w:ascii="Arial" w:cs="Arial" w:eastAsia="Arial" w:hAnsi="Arial"/>
          <w:sz w:val="16"/>
          <w:szCs w:val="16"/>
          <w:color w:val="auto"/>
        </w:rPr>
        <w:t>The net proceeds from this offering were used to repay outstanding borrowings under the PAA commercial paper program (a portion of which was used to fund the acquisition of a 50% interest in BridgeTex). See Note 7 to our Consolidated Financial Statements for further discussion.</w:t>
      </w:r>
    </w:p>
    <w:p>
      <w:pPr>
        <w:spacing w:after="0" w:line="124"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ind w:right="320" w:firstLine="648"/>
        <w:spacing w:after="0" w:line="277" w:lineRule="auto"/>
        <w:rPr>
          <w:sz w:val="20"/>
          <w:szCs w:val="20"/>
          <w:color w:val="auto"/>
        </w:rPr>
      </w:pPr>
      <w:r>
        <w:rPr>
          <w:rFonts w:ascii="Arial" w:cs="Arial" w:eastAsia="Arial" w:hAnsi="Arial"/>
          <w:sz w:val="18"/>
          <w:szCs w:val="18"/>
          <w:color w:val="auto"/>
        </w:rPr>
        <w:t>PAA’s $150 million, 5.25% senior notes and $400 million, 3.95% senior notes matured in June 2015 and September 2015, respectively, and were repaid with borrowings under the PAA commercial paper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2013, PAA’s $250 million, 5.63% senior notes matured and were repaid with borrowings under the PAA commercial paper program.</w:t>
      </w:r>
    </w:p>
    <w:p>
      <w:pPr>
        <w:sectPr>
          <w:pgSz w:w="11900" w:h="16838" w:orient="portrait"/>
          <w:cols w:equalWidth="0" w:num="1">
            <w:col w:w="11420"/>
          </w:cols>
          <w:pgMar w:left="240" w:top="125" w:right="239" w:bottom="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Acquisitions, Capital Expenditures and Distributions Paid to Our Class A Shareholders and Noncontrolling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addition to our operating needs discussed above, on a consolidated basis, we also use cash for acquisition activities, capital projects and distributions paid to our Class A shareholders and noncontrolling interests. Historically, we have financed these expenditures primarily with cash generated by operations and the financing activities discussed above. See “—Acquisitions and Capital Projects” for further discussion of such capital expenditures.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The price of acquisitions includes cash paid, assumed liabilities and net working capital items. Because of the non-cash items included in the total price of the acquisition and the timing of certain cash payments, the net cash paid may differ significantly from the total price of the acquisitions completed during the year. During the years ended December 31, 2015, 2014 and 2013, we paid cash of $105 million, $1,098 million and $28 million, respectively, for acquisitions.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quarter of 2016, we entered into binding agreements for the sale of various non-core assets for total consideration of approximately $325 million. We expect these transactions to close in the first half of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2016 Capital Projects. </w:t>
      </w:r>
      <w:r>
        <w:rPr>
          <w:rFonts w:ascii="Arial" w:cs="Arial" w:eastAsia="Arial" w:hAnsi="Arial"/>
          <w:sz w:val="17"/>
          <w:szCs w:val="17"/>
          <w:color w:val="auto"/>
        </w:rPr>
        <w:t>We expect the majority of funding for our 2016 capital program will be provided by the proceeds from PAA’s January 2016</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 offering. 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2016 expansion capital program will be invested in our fee-based Transportation and Facilities segments. We expect that our investments will have minimal contributions to our 2016 results, but will provide growth for 2017 and beyond. Our 2016 capital program includes the following projects as of February 2016 with the estimated cost for the entire year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Saskatchewan Facility Projects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Permian Basin Area Pipeline Projects</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$1,400 - $1,600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$190 - $210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100%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February 12, 2016, we paid a quarterly distribution of $0.231 per Class A share. This distribution represents a year-over-year distribution increase of approximately 13.8%. See Note 10 to our Consolidated Financial Statements for details of distributions paid. Also, see Item 5. “Market for Registrant’s Shares, Related Shareholder Matters and Issuer Purchases of Equity Securities—Cash Distribution Policy” for additional discussion regarding distributions.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During the years ended December 31, 2015, 2014 and 2013, distributions of approximately $1.5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$1.3 billion and $1.5 billion, respectively, were paid to noncontrolling interests. These amounts represent distributions paid on interests in PAA, AAP and SLC Pipeline LLC that were not owned by us. Of the amount distributed during the year ended December 31, 2013, $296 million related to distributions paid for the noncontrolling interests’ proportionate share of the net proceeds from the increase in AAP’s term loan. See Note 10 to our Consolidated Financial Statements for further discussion.</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16 to our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5" w:gutter="0" w:footer="0" w:header="0"/>
        </w:sectPr>
      </w:pPr>
    </w:p>
    <w:bookmarkStart w:id="77" w:name="page78"/>
    <w:bookmarkEnd w:id="77"/>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2021 and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Long-term debt, including current maturities and</w:t>
            </w: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8"/>
              </w:rPr>
              <w:t>Crude oil, natural gas, NGL and other purchases</w:t>
            </w: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2,142</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2,694</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12,306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58" w:lineRule="auto"/>
        <w:tabs>
          <w:tab w:leader="none" w:pos="648"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color w:val="auto"/>
        </w:rPr>
        <w:t>Includes debt service payments, interest payments due on PAA’s senior notes, interest payments on long-term borrowings outstanding under the AAP credit agreement, the commitment fee on assumed available capacity under the PAA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our debt obligations, see Note 9 to our Consolidated Financial Statements.</w:t>
      </w:r>
    </w:p>
    <w:p>
      <w:pPr>
        <w:sectPr>
          <w:pgSz w:w="11900" w:h="16900" w:orient="portrait"/>
          <w:cols w:equalWidth="0" w:num="1">
            <w:col w:w="11420"/>
          </w:cols>
          <w:pgMar w:left="240" w:top="121" w:right="23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hanging="11"/>
        <w:spacing w:after="0" w:line="255" w:lineRule="auto"/>
        <w:rPr>
          <w:sz w:val="20"/>
          <w:szCs w:val="20"/>
          <w:color w:val="auto"/>
        </w:rPr>
      </w:pPr>
      <w:r>
        <w:rPr>
          <w:rFonts w:ascii="Arial" w:cs="Arial" w:eastAsia="Arial" w:hAnsi="Arial"/>
          <w:sz w:val="18"/>
          <w:szCs w:val="18"/>
          <w:color w:val="auto"/>
        </w:rPr>
        <w:t>Includes (i) other long-term liabilities (excluding approximately $33 million related to derivative activity included in Crude oil, natural gas, NGL and other purchases),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$930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93" w:lineRule="exact"/>
        <w:rPr>
          <w:sz w:val="20"/>
          <w:szCs w:val="20"/>
          <w:color w:val="auto"/>
        </w:rPr>
      </w:pPr>
    </w:p>
    <w:p>
      <w:pPr>
        <w:sectPr>
          <w:pgSz w:w="11900" w:h="16900" w:orient="portrait"/>
          <w:cols w:equalWidth="0" w:num="2">
            <w:col w:w="140" w:space="520"/>
            <w:col w:w="10760"/>
          </w:cols>
          <w:pgMar w:left="240" w:top="121" w:right="239" w:bottom="0" w:gutter="0" w:footer="0" w:header="0"/>
          <w:type w:val="continuous"/>
        </w:sectPr>
      </w:pPr>
    </w:p>
    <w:p>
      <w:pPr>
        <w:ind w:left="660" w:right="100" w:hanging="652"/>
        <w:spacing w:after="0" w:line="249" w:lineRule="auto"/>
        <w:tabs>
          <w:tab w:leader="none" w:pos="648" w:val="left"/>
        </w:tabs>
        <w:numPr>
          <w:ilvl w:val="0"/>
          <w:numId w:val="80"/>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2015 and 2014, we had outstanding letters of credit of approximately $46 million and $87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2015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Our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 Cash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Entity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20" w:type="dxa"/>
            <w:vAlign w:val="bottom"/>
            <w:vMerge w:val="restart"/>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40" w:type="dxa"/>
            <w:vAlign w:val="bottom"/>
            <w:vMerge w:val="restart"/>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Ownership</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Cash</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2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Caddo Pipeline LLC</w:t>
            </w:r>
          </w:p>
        </w:tc>
        <w:tc>
          <w:tcPr>
            <w:tcW w:w="2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Diamond Pipeline LLC</w:t>
            </w:r>
          </w:p>
        </w:tc>
        <w:tc>
          <w:tcPr>
            <w:tcW w:w="2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2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Crude Oil Terminal and Dock</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Eagle Ford Pipeline LLC</w:t>
            </w:r>
          </w:p>
        </w:tc>
        <w:tc>
          <w:tcPr>
            <w:tcW w:w="298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11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768</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78" w:name="page79"/>
    <w:bookmarkEnd w:id="78"/>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Frontier Pipeline Company</w:t>
            </w:r>
          </w:p>
        </w:tc>
        <w:tc>
          <w:tcPr>
            <w:tcW w:w="31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Crude Oil Pipeline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Saddlehorn Pipeline Company, LLC</w:t>
            </w:r>
          </w:p>
        </w:tc>
        <w:tc>
          <w:tcPr>
            <w:tcW w:w="3120" w:type="dxa"/>
            <w:vAlign w:val="bottom"/>
          </w:tcPr>
          <w:p>
            <w:pPr>
              <w:ind w:left="960"/>
              <w:spacing w:after="0"/>
              <w:rPr>
                <w:sz w:val="20"/>
                <w:szCs w:val="20"/>
                <w:color w:val="auto"/>
              </w:rPr>
            </w:pPr>
            <w:r>
              <w:rPr>
                <w:rFonts w:ascii="Arial" w:cs="Arial" w:eastAsia="Arial" w:hAnsi="Arial"/>
                <w:sz w:val="18"/>
                <w:szCs w:val="18"/>
                <w:color w:val="auto"/>
              </w:rPr>
              <w:t>Crude Oil Pipeline</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1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Crude Oil Pipeline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Butte Pipe Line Company</w:t>
            </w:r>
          </w:p>
        </w:tc>
        <w:tc>
          <w:tcPr>
            <w:tcW w:w="3120" w:type="dxa"/>
            <w:vAlign w:val="bottom"/>
          </w:tcPr>
          <w:p>
            <w:pPr>
              <w:ind w:left="960"/>
              <w:spacing w:after="0"/>
              <w:rPr>
                <w:sz w:val="20"/>
                <w:szCs w:val="20"/>
                <w:color w:val="auto"/>
              </w:rPr>
            </w:pPr>
            <w:r>
              <w:rPr>
                <w:rFonts w:ascii="Arial" w:cs="Arial" w:eastAsia="Arial" w:hAnsi="Arial"/>
                <w:sz w:val="18"/>
                <w:szCs w:val="18"/>
                <w:color w:val="auto"/>
              </w:rPr>
              <w:t>Crude Oil Pipeline</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6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2015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2015, approximately $2.2 billion, is subject to interest rate re-sets that range from less than one week to two months. The average interest rate on variable rate debt that was outstanding during the year ended December 31, 2015 was 1.1%, based upon rates in effect during the year. The fair value of our interest rate derivatives was a liability of $49 million as of December 31, 2015. A 10% increase in the forward LIBOR curve as of December 31, 2015 would have resulted in an increase of $47 million to the fair value of our interest rate derivatives. A 10% decrease in the forward LIBOR curve as of December 31, 2015 would have resulted in a decrease of $47 million to the fair value of our interest rate derivatives. See Note 11 to our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w:t>
      </w:r>
    </w:p>
    <w:p>
      <w:pPr>
        <w:sectPr>
          <w:pgSz w:w="11900" w:h="16840" w:orient="portrait"/>
          <w:cols w:equalWidth="0" w:num="1">
            <w:col w:w="11420"/>
          </w:cols>
          <w:pgMar w:left="240" w:top="140" w:right="239" w:bottom="0" w:gutter="0" w:footer="0" w:header="0"/>
        </w:sectPr>
      </w:pPr>
    </w:p>
    <w:bookmarkStart w:id="79" w:name="page80"/>
    <w:bookmarkEnd w:id="79"/>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use certain financial instruments to minimize the risks of unfavorable changes in exchange rates. These instruments include foreign currency exchange contracts, forwards and options. The fair value of our foreign currency derivatives was a liability of $8 million as of December 31, 2015.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11 to our Consolidated Financial Statements for a discussion of our currency exchange rate risk hedging.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2015,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2015. See Management’s Report on Internal Control Over Financial Reporting on page F-2 of our Consolidated Financial Statements.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2015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2015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Governance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own a 100% managing member interest in Plains All American GP LLC (“GP LLC”), the general partner of Plains AAP, L.P. (“AAP”). As of December 31, 2015, we also owned a 38% limited partner interest in AAP, which directly owns all of the incentive distribution rights and indirectly owns the 2% general partner interest in Plains All American Pipeline, L.P. (“PAA”). AAP is the sole member of PAA GP LLC, which is the general partner of PAA. GP LLC’s general partner interest in AAP is a non-economic interest.</w:t>
      </w:r>
    </w:p>
    <w:p>
      <w:pPr>
        <w:sectPr>
          <w:pgSz w:w="11900" w:h="16912" w:orient="portrait"/>
          <w:cols w:equalWidth="0" w:num="1">
            <w:col w:w="11420"/>
          </w:cols>
          <w:pgMar w:left="240" w:top="125" w:right="239" w:bottom="0" w:gutter="0" w:footer="0" w:header="0"/>
        </w:sectPr>
      </w:pPr>
    </w:p>
    <w:bookmarkStart w:id="80" w:name="page81"/>
    <w:bookmarkEnd w:id="80"/>
    <w:p>
      <w:pPr>
        <w:spacing w:after="0" w:line="2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general partner, PAA GP Holdings LLC (“GP Holdings”), manages our operations and activities. Class A shareholders are limited partners and do not participate in the management of our operations. As a general partner, GP Holdings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Pursuant to the Administrative Agreement described below under “Item 13. Certain Relationships and Related Transactions, and Director Independence—Related Party Transactions—Administrative Agreement”, AAP, on our behalf, pays GP LLC an annual fee for general and administrative services. In addition, the Administrative Agreement provides that any direct expenses incurred by PAGP, GP Holdings and AAP (other than income taxes payable by PAGP) are borne by AAP. These direct expenses include costs related to (i) compensation for our independent directors, (ii) incremental director and officer liability insurance, (iii) listing on the NYSE, (iv) investor relations, (v) legal, (vi) tax and (vii) accounting.</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to the fee and expenses described above, AAP also reimburses GP LLC for expenses incurred (i) on our behalf; (ii) on behalf of our general partner; or (iii) for any other purpose related to our business and activities or those of our general partner. AAP also reimburses our general partner for any additional expenses incurred on our behalf or to maintain our legal existence and good standing. There is no limit on the amount of fees and expenses AAP may be required to pay to affiliates of our general partner on our behalf pursuant to the Administrative Agreement.</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of the officers and a majority of the directors of our general partner are also officers or directors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 The amount of incremental time spent by non-officer directors who serve on both boards will depend to some extent on committee assignments, but our general partner estimates that such directors spend less than 20% more time by serving on the board of directors of our general partner. One of our independent directors also serves as an independent director of GP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Initial Election of Directors. </w:t>
      </w:r>
      <w:r>
        <w:rPr>
          <w:rFonts w:ascii="Arial" w:cs="Arial" w:eastAsia="Arial" w:hAnsi="Arial"/>
          <w:sz w:val="18"/>
          <w:szCs w:val="18"/>
          <w:color w:val="auto"/>
        </w:rPr>
        <w:t>Our general partner’s limited liability company agreement provides for a board of directors consisting of seven</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which we refer to as the “original designating parties,” own at least a 10% limited partner interest in AAP (excluding for this purpose the AAP Management Units but including any indirect ownership interest in AAP through ownership of Class A shares), such party will be entitled to designate one director to our general partner’s board of directors. In addition, any other person or group that acquires and maintains a 20% or greater limited partner interest in AAP, which we refer to a “subsequent designating person,” will be entitled to designate one director to our general partner’s board of directors. We refer to this 10% ownership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requirement for the original designating parties and this 20% ownership interest requirement for a subsequent designating person as the “minimum ownership requirement,” and we refer to the original designating parties and a subsequent designating person collectively as the “designating parties.” In no event will more than three designating parties be entitled to designate a director to our general partner’s board of directors at any point in time. In the event that any designating party’s ownership level falls below the minimum ownership requirement, such party will automatically forfeit its designation right, and the director then designated by such party will be replaced by a director elected by (i) a majority vote of the remaining directors if such forfeiture takes place prior to the date that the overall direct and indirect economic interest of the Legacy Owners and their permitted transferees in AAP falls below 40% (calculated as described below), which we refer to as the “trigger date,” and (ii) our Class A and Class B shareholders voting together as a single class if such forfeiture takes place after the trigger date.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w:t>
      </w:r>
    </w:p>
    <w:p>
      <w:pPr>
        <w:spacing w:after="0" w:line="16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limited liability company agreement of our general partner further provides that the Chief Executive Officer of our general partner will serve as a director and Chairman of the Board of our general partner. All three of the remaining members of our general partner’s board of directors must be “independent” (as defined in applicable NYSE and SEC rules) and eligible to serve on the audit committee. Because we are a limited partnership, the listing standards of the NYSE do not require that our general partner’s board of directors include a majority of independent directors. At least two directors on our general partner’s board of directors must meet the criteria for service on a conflicts committee in accordance with our partnership agreement. Any successors to the three independent directors will be elected by our general partner’s board of directors (rather than the members of our general partner), until such time as our shareholders are entitled to vote in the election of directors as described below.</w:t>
      </w:r>
    </w:p>
    <w:p>
      <w:pPr>
        <w:spacing w:after="0" w:line="17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Election of Directors Following Substantial Reduction in Legacy Owners’ Ownership. </w:t>
      </w:r>
      <w:r>
        <w:rPr>
          <w:rFonts w:ascii="Arial" w:cs="Arial" w:eastAsia="Arial" w:hAnsi="Arial"/>
          <w:sz w:val="16"/>
          <w:szCs w:val="16"/>
          <w:color w:val="auto"/>
        </w:rPr>
        <w:t>Our general partner’s limited liability company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provisions linking the ownership of the membership interests in our general partner to the ownership of the outstanding AAP units. Membership interests in our general partner cannot be transferred without transferring the same number of AAP units and vice versa. The membership interests in our general partner generally may not be transferred in private (non-exchange) transactions other than in the case of specified permitted transfers. Any other transfers would be subject to a right of first refusal in favor of the other owners of our general partner, including us or our designee.</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general partner’s limited liability company agreement provides that as the Legacy Owners reduce their ownership in AAP (through their exchange of AAP units and Class B shares for Class A shares), they will be contractually obligated to contribute to us a percentage of membership interests in our general partner that corresponds to the percentage of AAP units being exchanged by such Legacy Owner. As a result, as the Legacy Owners reduce their ownership of AAP units and membership interests in our general partner, our ownership of our general partner will increase in the same proportion. Moreover, as a result of these provisions, holders of our Class A shares will not have the ability to acquire the contractual right to designate a director through the acquisition of Class A shares in market purchases. Following the trigger date, the following governance arrangements will occur: (i) within a certain period of time, our general partner’s board of directors will be staggered into three classes; (ii) within a certain time period and subject to certain limitations, our Class A and Class B shareholders, voting together as a single class, will have the right to elect certain of our directors; and (iii) any person that owns of record at least 10% of our combined Class A and Class B shares will be entitled to nominate a single director for election at an annual meeting.</w:t>
      </w:r>
    </w:p>
    <w:p>
      <w:pPr>
        <w:sectPr>
          <w:pgSz w:w="11900" w:h="16865" w:orient="portrait"/>
          <w:cols w:equalWidth="0" w:num="1">
            <w:col w:w="11400"/>
          </w:cols>
          <w:pgMar w:left="240" w:top="341" w:right="259" w:bottom="0" w:gutter="0" w:footer="0" w:header="0"/>
        </w:sectPr>
      </w:pPr>
    </w:p>
    <w:bookmarkStart w:id="81" w:name="page82"/>
    <w:bookmarkEnd w:id="81"/>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CEO also serves as Chairman of the Board. The board of directors of our general partner has no policy with respect to the separation of the offices of chairman and CEO; rather, that relationship is currently defined and governed by our general partner’s limited liability company agreement, which currently requires coincidence of the offices. However, pursuant to the terms of our general partner’s limited liability company agreement, if and when our general partner’s board of directors elects a successor to our current CEO, by majority vote our general partner’s board of directors may determine to separate the offices of CEO and Chairman of the Board. We do not have a lead independent director.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Class A shareholders. The GP LLC board has delegated to PAA management the primary responsibility for ELR management, while the GP LLC board has retained responsibility for oversight of management in that regard. Management provides an ELR assessment to the GP LLC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NYSE listing standards require regular executive sessions of the non-management directors of a listed company, and an executive session for independent directors at least once a year. Only the members of our audit committee qualify as “independent.” Our audit committee routinely holds discussions with no other directors or members of management present. Our non-management directors also meet in executive session in connection with each regular board meeting, which are held in conjunction with meetings of the board of directors of GP LLC. On a rotating basis (determined alphabetically by last name), one of the non-management directors acts as presiding director at each such executive session.</w:t>
      </w:r>
    </w:p>
    <w:p>
      <w:pPr>
        <w:spacing w:after="0" w:line="173"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GP Holdings,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we are a limited partnership, the listing standards of the NYSE do not require that we establish or maintain a nominating or compensation committee of the board. We are, however, required to have an audit committee consisting of at least three members, all of whom are required to be “independent” as defined by the NYSE.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of our general partner has determined that each member of our audit committee</w:t>
      </w:r>
    </w:p>
    <w:p>
      <w:pPr>
        <w:ind w:right="260"/>
        <w:spacing w:after="0" w:line="261" w:lineRule="auto"/>
        <w:rPr>
          <w:sz w:val="20"/>
          <w:szCs w:val="20"/>
          <w:color w:val="auto"/>
        </w:rPr>
      </w:pPr>
      <w:r>
        <w:rPr>
          <w:rFonts w:ascii="Arial" w:cs="Arial" w:eastAsia="Arial" w:hAnsi="Arial"/>
          <w:sz w:val="18"/>
          <w:szCs w:val="18"/>
          <w:color w:val="auto"/>
        </w:rPr>
        <w:t>(Messrs. Burk, Goyanes and Shackouls) is “independent” under applicable NYSE rules and that Messrs. Burk and Goyanes are each an “Audit Committee Financial Expert,” as that term is defined in Item 407 of Regulation S-K.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 of the members of our audit committee has any relationships with us or our general partner, other than as a director and shareholder.</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Mr. Goyanes also serves as a director and chairman of the audit committee of the board of directors of GP LLC. For additional information regarding the experience and qualifications of our directors, please read the biographical descriptions under “—Directors and Executive Officers of our General Partner”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Committees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Applicable NYSE listing standards do not require that we or our general partner have a compensation committee or a nominating committee. Our general partner’s board of directors performs the functions of a compensation committee and administers our Long-Term Incentive Plan. Our general partner’s board of directors did not retain any compensation consultants during 2015.</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general partner or the owners of our general partner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between us and PAA or its affiliates. Such committee would consist of a minimum of two members, none of whom can be officers or employees of our general partner or directors, officers or employees of its affiliates and each of whom must meet the independence standards established by the NYSE and the SEC for service on an audit committee. Any matters approved by the conflicts committee will be conclusively deemed to be fair and reasonable to us, approved by all of our partners, and not a breach by our general partner of any duties owed to us or our shareholders. See Item 13. “Certain Relationships and Related Transactions, and Director Independence—Review, Approval or Ratification of Transactions with Related Persons.”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During the last fiscal year, our board of directors held nine meetings and our audit committee held eight meetings. All directors have access to members of management, and a substantial amount of information transfer and informal communication occurs between meetings. None of our directors</w:t>
      </w:r>
    </w:p>
    <w:p>
      <w:pPr>
        <w:sectPr>
          <w:pgSz w:w="11900" w:h="16975" w:orient="portrait"/>
          <w:cols w:equalWidth="0" w:num="1">
            <w:col w:w="11400"/>
          </w:cols>
          <w:pgMar w:left="240" w:top="337" w:right="259" w:bottom="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attended fewer than 75% of the aggregate number of meetings of the board of directors and committees of the board on which the director served.</w:t>
      </w:r>
    </w:p>
    <w:p>
      <w:pPr>
        <w:spacing w:after="0" w:line="2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discussed above, our general partner manages our operations and activities under the direction of our board of directors, whose members are currently either designated or appointed by members of our general partner. Accordingly, our Class A shareholders have only limited voting rights on matters affecting our business or governance. As a result, we do not hold regular annual meetings of shareholders for the purpose of electing directors or soliciting approval of any other routine matters prior to the trigger date.</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Our audit committee charter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audit committee of our general partner’s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by Public Company Accounting Oversight Board Auditing Standard No. 16,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2015 for filing with the SEC.</w:t>
      </w:r>
    </w:p>
    <w:p>
      <w:pPr>
        <w:spacing w:after="0" w:line="14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Bobby S. Shackouls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sets forth certain information with respect to the directors and executive officers (for purposes of Item 401(b) of Regulation S-K) of our general partner. Directors are elected annually and all executive officers are appointed by the board of directors of our general partner. There is no family relationship between any executive officer and director. As discussed above, three of the owners of membership interests in our general partner each have the right to separately designate a member of our board of directors, and such designee in turn automatically becomes a member of the GP LLC board (as does the CEO). For additional information regarding the contractual designation of directors to our general partner’s board, please read “Election of Directors”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Age (as of</w:t>
            </w:r>
          </w:p>
        </w:tc>
        <w:tc>
          <w:tcPr>
            <w:tcW w:w="578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12/31/15)</w:t>
            </w:r>
          </w:p>
        </w:tc>
        <w:tc>
          <w:tcPr>
            <w:tcW w:w="280" w:type="dxa"/>
            <w:vAlign w:val="bottom"/>
          </w:tcPr>
          <w:p>
            <w:pPr>
              <w:spacing w:after="0"/>
              <w:rPr>
                <w:sz w:val="14"/>
                <w:szCs w:val="14"/>
                <w:color w:val="auto"/>
              </w:rPr>
            </w:pPr>
          </w:p>
        </w:tc>
        <w:tc>
          <w:tcPr>
            <w:tcW w:w="5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80" w:type="dxa"/>
            <w:vAlign w:val="bottom"/>
            <w:tcBorders>
              <w:top w:val="single" w:sz="8" w:color="CCEEFF"/>
            </w:tcBorders>
            <w:shd w:val="clear" w:color="auto" w:fill="CCEEFF"/>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 (U.S.)</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Mark J. Gorman</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Executive Vice President—Operations and Engineering</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 Kramer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Richard K. McGee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Plains Midstream Canada</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Chris Herbold</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 Burk</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line="216" w:lineRule="exact"/>
              <w:rPr>
                <w:sz w:val="20"/>
                <w:szCs w:val="20"/>
                <w:color w:val="auto"/>
              </w:rPr>
            </w:pPr>
            <w:r>
              <w:rPr>
                <w:rFonts w:ascii="Arial" w:cs="Arial" w:eastAsia="Arial" w:hAnsi="Arial"/>
                <w:sz w:val="18"/>
                <w:szCs w:val="18"/>
                <w:color w:val="auto"/>
              </w:rPr>
              <w:t>Bernard (Ben) Figlock</w:t>
            </w:r>
            <w:r>
              <w:rPr>
                <w:rFonts w:ascii="Arial" w:cs="Arial" w:eastAsia="Arial" w:hAnsi="Arial"/>
                <w:sz w:val="23"/>
                <w:szCs w:val="23"/>
                <w:color w:val="auto"/>
                <w:vertAlign w:val="superscript"/>
              </w:rPr>
              <w:t>(2)</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Everardo Goyanes</w:t>
            </w:r>
            <w:r>
              <w:rPr>
                <w:rFonts w:ascii="Arial" w:cs="Arial" w:eastAsia="Arial" w:hAnsi="Arial"/>
                <w:sz w:val="23"/>
                <w:szCs w:val="23"/>
                <w:color w:val="auto"/>
                <w:vertAlign w:val="superscript"/>
              </w:rPr>
              <w:t>(2)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Bobby S. Shackouls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305"/>
        </w:trPr>
        <w:tc>
          <w:tcPr>
            <w:tcW w:w="3900" w:type="dxa"/>
            <w:vAlign w:val="bottom"/>
            <w:gridSpan w:val="2"/>
          </w:tcPr>
          <w:p>
            <w:pPr>
              <w:spacing w:after="0"/>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8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Indicates chairman of committee.</w:t>
      </w:r>
    </w:p>
    <w:p>
      <w:pPr>
        <w:spacing w:after="0" w:line="191"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23"/>
          <w:szCs w:val="23"/>
          <w:color w:val="auto"/>
          <w:vertAlign w:val="superscript"/>
        </w:rPr>
      </w:pPr>
      <w:r>
        <w:rPr>
          <w:rFonts w:ascii="Arial" w:cs="Arial" w:eastAsia="Arial" w:hAnsi="Arial"/>
          <w:sz w:val="18"/>
          <w:szCs w:val="18"/>
          <w:color w:val="auto"/>
        </w:rPr>
        <w:t>Unless otherwise described, the position indicates the position held with GP LLC.</w:t>
      </w:r>
    </w:p>
    <w:p>
      <w:pPr>
        <w:sectPr>
          <w:pgSz w:w="11900" w:h="16838" w:orient="portrait"/>
          <w:cols w:equalWidth="0" w:num="1">
            <w:col w:w="11420"/>
          </w:cols>
          <w:pgMar w:left="240" w:top="125" w:right="239" w:bottom="0" w:gutter="0" w:footer="0" w:header="0"/>
        </w:sectPr>
      </w:pPr>
    </w:p>
    <w:bookmarkStart w:id="83" w:name="page84"/>
    <w:bookmarkEnd w:id="83"/>
    <w:p>
      <w:pPr>
        <w:ind w:left="640" w:hanging="632"/>
        <w:spacing w:after="0"/>
        <w:tabs>
          <w:tab w:leader="none" w:pos="640"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These individuals also serve as members of the GP LLC board of directors.</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 xml:space="preserve">Greg L. Armstrong </w:t>
      </w:r>
      <w:r>
        <w:rPr>
          <w:rFonts w:ascii="Arial" w:cs="Arial" w:eastAsia="Arial" w:hAnsi="Arial"/>
          <w:sz w:val="18"/>
          <w:szCs w:val="18"/>
          <w:color w:val="auto"/>
        </w:rPr>
        <w:t>has served as Chairman of the Board and Chief Executive Officer of our general partner since July 2013 and as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and Chief Executive Officer of PAA’s general partner since PAA’s formation in 1998. He has also served as a director of PAA’s general partner or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Harry N. Pefanis </w:t>
      </w:r>
      <w:r>
        <w:rPr>
          <w:rFonts w:ascii="Arial" w:cs="Arial" w:eastAsia="Arial" w:hAnsi="Arial"/>
          <w:sz w:val="16"/>
          <w:szCs w:val="16"/>
          <w:color w:val="auto"/>
        </w:rPr>
        <w:t>has served as President and Chief Operating Officer of our general partner since July 2013 and as President and Chief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 of PAA’s general partner since PAA’s formation in 1998. He was also a director of PAA’s former general partner. In addition, he was Executive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President—Midstream of Plains Resources from May 1998 to May 2001. He previously served Plains Resources as: Senior Vice President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1996 until May 1998; Vice President—Products Marketing from 1988 to February 1996; Manager of Products Marketing from 1987 to 1988;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 Assistant for Corporate Planning from 1983 to 1987. Mr. Pefanis was also President of several former midstream subsidiaries of Plains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PAA’s formation. Mr. Pefanis is a director of Settoon Towing.</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Wilfred (Willie) C. Chiang </w:t>
      </w:r>
      <w:r>
        <w:rPr>
          <w:rFonts w:ascii="Arial" w:cs="Arial" w:eastAsia="Arial" w:hAnsi="Arial"/>
          <w:sz w:val="18"/>
          <w:szCs w:val="18"/>
          <w:color w:val="auto"/>
        </w:rPr>
        <w:t>has served as Executive Vice President and Chief Operating Officer (U.S.) of our general partner and of PAA’s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since August 2015.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Mark J. Gorman </w:t>
      </w:r>
      <w:r>
        <w:rPr>
          <w:rFonts w:ascii="Arial" w:cs="Arial" w:eastAsia="Arial" w:hAnsi="Arial"/>
          <w:sz w:val="16"/>
          <w:szCs w:val="16"/>
          <w:color w:val="auto"/>
        </w:rPr>
        <w:t>has served as Executive Vice President — Operations and Engineering of our general partner and of PAA’s general partner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2015. He served as Executive Vice President—Operations and Business Development of our general partner from July 2013 until December 2015 and as Executive Vice President—Operations and Business Development of PAA’s general partner from February 2013 until December 2015. He previously served as Senior Vice President—Operations and Business Development from August 2008 until February 2013, and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and Butte.</w:t>
      </w:r>
    </w:p>
    <w:p>
      <w:pPr>
        <w:spacing w:after="0" w:line="16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 xml:space="preserve">Phillip D. Kramer </w:t>
      </w:r>
      <w:r>
        <w:rPr>
          <w:rFonts w:ascii="Arial" w:cs="Arial" w:eastAsia="Arial" w:hAnsi="Arial"/>
          <w:sz w:val="17"/>
          <w:szCs w:val="17"/>
          <w:color w:val="auto"/>
        </w:rPr>
        <w:t>has served as Executive Vice President of our general partner since July 2013 and as Executive Vice President of PAA’s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since November 2008. He previously served as Executive Vice President and Chief Financial Officer from PAA’s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Richard K. McGee </w:t>
      </w:r>
      <w:r>
        <w:rPr>
          <w:rFonts w:ascii="Arial" w:cs="Arial" w:eastAsia="Arial" w:hAnsi="Arial"/>
          <w:sz w:val="16"/>
          <w:szCs w:val="16"/>
          <w:color w:val="auto"/>
        </w:rPr>
        <w:t>has served as Executive Vice President, General Counsel and Secretary of our general partner since July 2013 and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PAA’s general partner since February 2013. He served as Vice President, 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our general partner since July 2013 and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of PAA’s general partner since February 2011. He previously served as Senior Vice President 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Finance from 1998, Controller—SOCO Offshore, Inc. from 1997, and Accounting Manager from 1992. Mr. Swanson began his career with Apache Corporation in 1986 serving in internal audit and accounting.</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Executive Vice President—Commercial Activities of our general partner since February 2014 and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President—Commercial Activities of our general partner from July 2013 until February 2014. He has also served as Executive Vice President— Commercial Operations of PAA’s general partner since February 2014. Previously he served as Senior Vice President—Commercial Activities of PAA’s general partner from August 2008 until February 2014, as Vice President—Commercial Activities from August 2007 until August 2008 and as Vice President —Trading from May 2003 until August 2007. He served as Director of these activities from January 2002 until May 2003. Prior to joining us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January 2002, he was with Genesis Energy in differing capacities as a Director, Vice Chairman, President and CEO from 1996 through 2001, and from 1993</w:t>
      </w:r>
    </w:p>
    <w:p>
      <w:pPr>
        <w:sectPr>
          <w:pgSz w:w="11900" w:h="16838" w:orient="portrait"/>
          <w:cols w:equalWidth="0" w:num="1">
            <w:col w:w="11420"/>
          </w:cols>
          <w:pgMar w:left="240" w:top="307" w:right="239" w:bottom="0" w:gutter="0" w:footer="0" w:header="0"/>
        </w:sectPr>
      </w:pPr>
    </w:p>
    <w:bookmarkStart w:id="84" w:name="page85"/>
    <w:bookmarkEnd w:id="84"/>
    <w:p>
      <w:pPr>
        <w:ind w:right="20"/>
        <w:spacing w:after="0" w:line="277" w:lineRule="auto"/>
        <w:rPr>
          <w:sz w:val="20"/>
          <w:szCs w:val="20"/>
          <w:color w:val="auto"/>
        </w:rPr>
      </w:pPr>
      <w:r>
        <w:rPr>
          <w:rFonts w:ascii="Arial" w:cs="Arial" w:eastAsia="Arial" w:hAnsi="Arial"/>
          <w:sz w:val="18"/>
          <w:szCs w:val="18"/>
          <w:color w:val="auto"/>
        </w:rPr>
        <w:t>to 1996 he served as a Vice President and a Crude Oil Manager for Phibro Energy USA. Mr. vonBerg began his career with Marathon Oil Company, spending 13 years in various disciplines.</w:t>
      </w:r>
    </w:p>
    <w:p>
      <w:pPr>
        <w:spacing w:after="0" w:line="170"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Chief Executive Officer of Plains Midstream Canada since January 1, 2016. He served as President of Plains</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Canada from June 2003 through December 2015, and served as Executive Vice President of Plains Midstream Canada from July 2001 to June 2003. Mr. Duckett was with CANPET Energy Group Inc. (“CANPET”) from 1985 to 2001, where he served in various capacities, including most recently as President, Chief Executive Officer and Chairman of the Board.</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of our general partner since July 2013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Chief Accounting Officer of PAA’s general partner since August 2010.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8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i w:val="1"/>
          <w:iCs w:val="1"/>
          <w:color w:val="auto"/>
        </w:rPr>
        <w:t xml:space="preserve">Victor Burk </w:t>
      </w:r>
      <w:r>
        <w:rPr>
          <w:rFonts w:ascii="Arial" w:cs="Arial" w:eastAsia="Arial" w:hAnsi="Arial"/>
          <w:sz w:val="16"/>
          <w:szCs w:val="16"/>
          <w:color w:val="auto"/>
        </w:rPr>
        <w:t>has served as a director of our general partner since January 2014. He has been a Managing Director for Alvarez and Marsal, a privately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w:t>
      </w:r>
    </w:p>
    <w:p>
      <w:pPr>
        <w:spacing w:after="0" w:line="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 general partner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expertise and insight to the board.</w:t>
      </w:r>
    </w:p>
    <w:p>
      <w:pPr>
        <w:spacing w:after="0" w:line="179"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PAA’s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2015. Mr. Figlock currently serves as Vice President and Treasurer at Oxy, where he directs and oversees management of Oxy’s treasury and risk management functions including finance, investments, insurance and operational risk, commodities trading credit and market risk, and currencies.</w:t>
      </w:r>
    </w:p>
    <w:p>
      <w:pPr>
        <w:jc w:val="both"/>
        <w:ind w:right="380"/>
        <w:spacing w:after="0" w:line="277" w:lineRule="auto"/>
        <w:rPr>
          <w:sz w:val="20"/>
          <w:szCs w:val="20"/>
          <w:color w:val="auto"/>
        </w:rPr>
      </w:pPr>
      <w:r>
        <w:rPr>
          <w:rFonts w:ascii="Arial" w:cs="Arial" w:eastAsia="Arial" w:hAnsi="Arial"/>
          <w:sz w:val="17"/>
          <w:szCs w:val="17"/>
          <w:color w:val="auto"/>
        </w:rPr>
        <w:t>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since October 2013. He has served as a director of PAA’s general partner or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 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served as a director of PAA’s general partner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2010.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2015, EMG has approximately $16.5 billion of regulatory assets under management and approximately $9.4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6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ectPr>
          <w:pgSz w:w="11900" w:h="16838" w:orient="portrait"/>
          <w:cols w:equalWidth="0" w:num="1">
            <w:col w:w="11420"/>
          </w:cols>
          <w:pgMar w:left="240" w:top="125" w:right="239" w:bottom="41" w:gutter="0" w:footer="0" w:header="0"/>
        </w:sectPr>
      </w:pPr>
    </w:p>
    <w:bookmarkStart w:id="85" w:name="page86"/>
    <w:bookmarkEnd w:id="85"/>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Robert V. Sinnott </w:t>
      </w:r>
      <w:r>
        <w:rPr>
          <w:rFonts w:ascii="Arial" w:cs="Arial" w:eastAsia="Arial" w:hAnsi="Arial"/>
          <w:sz w:val="17"/>
          <w:szCs w:val="17"/>
          <w:color w:val="auto"/>
        </w:rPr>
        <w:t>has served as a director of our general partner since October 2013. He has served as a director of PAA’s general partner or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since September 1998. Mr. Sinnott is President, Chief Executive Officer and Chief Investment Officer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Sinnott also serves as a director of California Resources Corporation. Mr. Sinnott received a BA from the University of Virginia and an MBA from Harvard. Mr. Sinnott’s extensive investment management background includes his current role of managing approximately $16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Our general partner’s board of directors performs the functions of a compensation committee. Accordingly, the board of directors of our general partner has reviewed and discussed with management the compensation discussion and analysis contained in this Annual Report on Form 10-K. Based on those reviews and discussions, the board of directors has recommended that the compensation discussion and analysis be included in the Annual Report on Form 10-K for the year ended December 31, 2015 for filing with the SEC.</w:t>
      </w:r>
    </w:p>
    <w:p>
      <w:pPr>
        <w:spacing w:after="0" w:line="18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Ben Figlock</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Bobby S. Shackouls</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Robert V. Sinnott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general partner’s board of directors performs the functions of a compensation committee. Mr. Armstrong, our Chief Executive Officer, also serves as a director and executive officer of GP LLC. No other member of our general partner’s board of directors serves as an executive officer of us or PAA. Mr. Goyanes serves as a director of GP LLC and as chairman of its audit committee, Messrs. Figlock, Raymond and Sinnott serve as directors of GP LLC, and Messrs. Raymond and Sinnott serve as members of GP LLC’s compensation committee. Mr. Raymond is associated with EMG, Mr. Sinnott is associated with Kayne Anderson and its affiliates, and Mr. Figlock is associated with Oxy. We have relationships with these entities. See Item 13. “Certain Relationships and Related Transactions, and Director Independence—Related Party Transactions.”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We and our general partner were formed in July 2013. As such, neither we nor our general partner accrued any obligations with respect to compensation for our executive officers or directors for any period prior to completion of our initial public offering in October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Neither we nor our general partner have employees. All of our officers and other personnel necessary for our business to function (to the extent not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out-sourced) are employed by GP LLC, and AAP, on our behalf, pays GP LLC an annual fee for general and administrative services. See Item 13.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Relationships and Related Transactions, and Director Independence—Related Party Transactions—Administrative Agreement.” Applicable disclosure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rules require us to discuss certain aspects of the compensation of any of our “Named Executive Officers,” which include our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(“CEO”), our Chief Financial Officer (“CFO”), and the four other most highly compensated executive officers who received compensation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during the previous fiscal year. For 2015, references within this Compensation Discussion and Analysis to our Named Executive Officers and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PAA’s Named Executive Officers refer to Messrs. Armstrong, Pefanis, Chiang, Swanson, Duckett and vonBerg.</w:t>
      </w:r>
    </w:p>
    <w:p>
      <w:pPr>
        <w:sectPr>
          <w:pgSz w:w="11900" w:h="16838" w:orient="portrait"/>
          <w:cols w:equalWidth="0" w:num="1">
            <w:col w:w="11400"/>
          </w:cols>
          <w:pgMar w:left="240" w:top="125" w:right="259" w:bottom="18" w:gutter="0" w:footer="0" w:header="0"/>
        </w:sectPr>
      </w:pPr>
    </w:p>
    <w:bookmarkStart w:id="86" w:name="page87"/>
    <w:bookmarkEnd w:id="86"/>
    <w:p>
      <w:pPr>
        <w:spacing w:after="0" w:line="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do not separately compensate our Named Executive Officers; rather, their management of our business is part of the service provided by GP LLC under the Administrative Agreement. Moreover, substantially all responsibility and authority for compensation-related decisions resides with the compensation committee of GP LLC. Our Named Executive Officers participate in the employee benefit plans and arrangements of GP LLC and PAA, including plans that may be established in the future. Neither we nor our general partner have entered into any employment or benefits-related agreements with any individual who provides executive officer services to us, and, except for the LTIP and potential awards under such plan, we do not anticipate entering into any such agreement in the future. The Administrative Agreement, which governs the reimbursement of GP LLC by AAP for AAP’s allocable share of costs and expenses borne or incurred by GP LLC for the benefit of AAP, us or our general partner does not cover any costs we may incur that are attributable to any future awards we may grant under the LTIP. Any such costs will be borne by AAP as determined by our general partner’s board of directors, who is responsible for the administration of our LTIP, the issuance of any awards thereunder and approval of any compensation payable to our general partner’s non-employee directors.</w:t>
      </w:r>
    </w:p>
    <w:p>
      <w:pPr>
        <w:spacing w:after="0" w:line="19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information set forth in this section discloses the compensation discussion and analysis of PAA for the year ended December 31, 2015. This section will provide insight into GP LLC’s compensation philosophy and policies that governed the compensation of our Named Executive Officers as it relates to their services performed on behalf of PAA during the 2015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Background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of PAA’s officers and employees (other than Canadian personnel) are employed by GP LLC. PAA’s Canadian personnel are employed by Plains Midstream Canada, which is a wholly owned subsidiary. Under its partnership agreement, PAA is required to reimburse its general partner and its general partner’s affiliates for all employment-related costs, including compensation for executive officers, other than expenses related to the AAP Management Units (which are borne entirely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Since PAA’s inception, it has employed a compensation philosophy that emphasizes pay for performance, both on an individual and entity level, and places the majority of each Named Executive Officer’s (defined in the Summary Compensation Table below) compensation at risk. The primary long-term measure of PAA’s performance is its ability to increase its sustainable quarterly distribution to its unitholders. PAA believes its pay-for-performance approach aligns the interests of its executive officers with that of its equity holders, and at the same time enables PAA to maintain a lower level of base overhead in the event operating and financial performance is below expectations. PAA’s executive compensation is designed to attract and retain individuals with the background and skills necessary to successfully execute PAA’s business model in a demanding environment, to motivate those individuals to reach 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represent the performance driven elements. They are also flexible in application and can be tailored to meet PAA’s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PAA does not maintain a defined benefit or pension plan for its executive officers as PAA believes such plans primarily reward longevity and not performance. PAA provides a basic benefits package generally to all employees, which includes a 401(k) plan and health, disability and life insurance. In instances considered necessary for the execution of their job responsibilities, PAA also reimburses certain Named Executive Officers and other employees for club dues and similar expenses. PAA considers these benefits and reimbursements to be typical of other employers, and does not believe they are distinctive of its compensation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“benchmark” salary or bonus amounts. In practice, PAA believes its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PAA’s cash bonuses include annual discretionary bonuses in which all of its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PAA’s Canadian personnel.</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PAA’s performance is its ability to increase sustainable quarterly distribution to its</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Historically, PAA has used performance-indexed phantom unit grants issued under its Long-Term Incentive Plans to encourage and reward timely achievement of targeted distribution levels and align the long-term interests of its Named Executive Officers with those of its unitholders. These grants also require minimum service periods as further described below in order to encourage long-term retention. A phantom unit is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PAA’s targeted range for distribution growth. To encourage accelerated performance, if PAA meets certain distribution thresholds prior to meeting the minimum service requirement for vesting, PAA’s current Named Executive Officers have the right to receive distributions on phantom units prior to vesting in the underlying common units (referred to as distribution equivalent rights, or “DERs”).</w:t>
      </w:r>
    </w:p>
    <w:p>
      <w:pPr>
        <w:spacing w:after="0" w:line="1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GP LLC’s compensation committee to issue grants of AAP Management Units to create additional long-term incentives for PAA’s management designed to attract talent and encourage retention over an extended period of time. The entire economic burden of the AAP Management Units is borne solely by AAP, and does not impact PAA’s cash or units outstanding.</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related to achievement of targeted PAA distribution levels, which are aligned with the interests of PAA’s common unitholders. As of February 15, 2016, 100% of the outstanding AAP</w:t>
      </w:r>
    </w:p>
    <w:p>
      <w:pPr>
        <w:sectPr>
          <w:pgSz w:w="11900" w:h="16885" w:orient="portrait"/>
          <w:cols w:equalWidth="0" w:num="1">
            <w:col w:w="11400"/>
          </w:cols>
          <w:pgMar w:left="240" w:top="125" w:right="259" w:bottom="0" w:gutter="0" w:footer="0" w:header="0"/>
        </w:sectPr>
      </w:pPr>
    </w:p>
    <w:bookmarkStart w:id="87" w:name="page88"/>
    <w:bookmarkEnd w:id="87"/>
    <w:p>
      <w:pPr>
        <w:spacing w:after="0" w:line="13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Management Units granted in 2007, 2009, 2010 and 2011 (including those held by Messrs. Armstrong, Pefanis, Swanson, Duckett and vonBerg) had been earned, 75% of the AAP Management Units granted in 2013 had been earned, and 25% of the AAP Management Units granted in 2014 had been earned. None of the AAP Management Units issued in 2015 (including those held by Mr. Chiang) have been earned. No AAP Management Units were granted in 2008 or 2012.</w:t>
      </w:r>
    </w:p>
    <w:p>
      <w:pPr>
        <w:spacing w:after="0" w:line="187"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To encourage retention following achievement of these performance benchmarks, AAP retained a call right to purchase any earned AAP Management Units at a discount to fair market value that is generally exercisable upon the termination of a holder’s employment with GP LLC and its affiliates (other than termination under certain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2016, AAP Management Units granted in 2007 and 2009 (including those held by Messrs. Armstrong, Pefanis, Swanson, Duckett and vonBerg) are no longer subject to such call right and have vested. The applicable vesting dates for the remaining AAP Management Unit grants range from January 1, 2017 for AAP Management Units granted in 2010 to January 1, 2023 for AAP Management Units granted in 2015.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As long as our Class A shares are publicly traded, each vested AAP Management Unit may be converted into AAP units and a like number of our Class B shares based on a conversion ratio calculated in accordance with the AAP limited partnership agreement (which conversion ratio will not be more than one-to-one and was approximately 0.938 AAP units and Class B shares for each AAP Management Unit as of December 31, 2015 and approximately 0.940 as of February 15, 2016). Following any such conversion, the resulting AAP units and Class B shares are exchangeable for our Class A shares on a one-for-one basis as provided in the AAP limited partnership agreement. As of February 15, 2016, approximately 44.9 million AAP Management Units had vested, of which 18.8 million have been converted into 17.7 million AAP units and Class B shares. A portion of the resulting AAP units and Class B shares was subsequently exchanged for an aggregate of 11.4 million Class A shares. See Item 13. “Certain Relationships and Related Transactions, and Director Independence—AAP Management Units.”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 committee in reviewing and making recommendations, a compensation “tally sheet” is prepared by GP LLC’s CEO and General Counsel and provided to the compensation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stresses performance-based compensation elements to attempt to create a performance-driven environment in which its executive officers are</w:t>
      </w:r>
    </w:p>
    <w:p>
      <w:pPr>
        <w:spacing w:after="0" w:line="46" w:lineRule="exact"/>
        <w:rPr>
          <w:sz w:val="20"/>
          <w:szCs w:val="20"/>
          <w:color w:val="auto"/>
        </w:rPr>
      </w:pPr>
    </w:p>
    <w:p>
      <w:pPr>
        <w:ind w:right="140" w:firstLine="8"/>
        <w:spacing w:after="0" w:line="288" w:lineRule="auto"/>
        <w:tabs>
          <w:tab w:leader="none" w:pos="2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PAA even after meeting long-term performance thresholds in order to meet the minimum service periods and by the potential for rewards yet to come. PAA believes its compensation philosophy as implemented by application of the three primary compensation elements (i) aligns the interests of PAA’s Named Executive Officers with its unitholders, (ii) positions PAA to achieve its business goals, and (iii) effectively encourages the exercise of sound judgment and risk-taking that is conducive to creating and sustaining long-term value. PAA believes the processes employed by the GP LLC compensation committee and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believes its compensation program has been instrumental in its achievement of stated objectives. Over the five-year period ended December 31, 2015, PAA’s annual distribution per common unit has grown at a compound annual rate of 8.1% and the total return realized by PAA’s unitholders for that period averaged approximately (1)%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per annum as compared to the AMZ total return of 2%. During this period, PAA has enjoyed a very high rate of retention among executive officers.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make systematic annual adjustments to the salaries of its Named Executive Officers. PAA does, however, make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as necessary to maintain hierarchical relationships among senior management levels after new senior management members are added to keep pace with overall growth. Since the date of PAA’s initial public offering in 1998 (or date of employment, if later) through December 31, 2015,</w:t>
      </w:r>
    </w:p>
    <w:p>
      <w:pPr>
        <w:ind w:right="420"/>
        <w:spacing w:after="0" w:line="323" w:lineRule="auto"/>
        <w:rPr>
          <w:sz w:val="20"/>
          <w:szCs w:val="20"/>
          <w:color w:val="auto"/>
        </w:rPr>
      </w:pPr>
      <w:r>
        <w:rPr>
          <w:rFonts w:ascii="Arial" w:cs="Arial" w:eastAsia="Arial" w:hAnsi="Arial"/>
          <w:sz w:val="16"/>
          <w:szCs w:val="16"/>
          <w:color w:val="auto"/>
        </w:rPr>
        <w:t>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3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Annual Discretionary Bonuses. </w:t>
      </w:r>
      <w:r>
        <w:rPr>
          <w:rFonts w:ascii="Arial" w:cs="Arial" w:eastAsia="Arial" w:hAnsi="Arial"/>
          <w:sz w:val="16"/>
          <w:szCs w:val="16"/>
          <w:color w:val="auto"/>
        </w:rPr>
        <w:t>Annual discretionary bonuses are determined based on PAA’s performance relative to its annual plan forecast and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guidance (typically provided quarterly in conjunction with release of earnings), distribution growth targets, and other quantitative and qualitative goals</w:t>
      </w:r>
    </w:p>
    <w:p>
      <w:pPr>
        <w:sectPr>
          <w:pgSz w:w="11900" w:h="16975" w:orient="portrait"/>
          <w:cols w:equalWidth="0" w:num="1">
            <w:col w:w="11400"/>
          </w:cols>
          <w:pgMar w:left="240" w:top="125" w:right="259" w:bottom="0" w:gutter="0" w:footer="0" w:header="0"/>
        </w:sectPr>
      </w:pPr>
    </w:p>
    <w:bookmarkStart w:id="88" w:name="page89"/>
    <w:bookmarkEnd w:id="88"/>
    <w:p>
      <w:pPr>
        <w:spacing w:after="0" w:line="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established at the beginning of each year. Such annual objectives are discussed and reviewed with the board of directors in conjunction with the review and authorization of the annual plan.</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PAA’s performance relative to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PAA’s primary performance metric is its ability to generate increasing and sustainable cash distributions to its unitholders. Accordingly, although net income and net income per unit are monitored to highlight inconsistencies with primary performance metrics, as is PAA’s market performance relative to its MLP peers and major indices, these metrics are considered secondary performance measures. The CEO’s written analysis of PAA’s performance examines PAA’s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GP LLC compensation committee for bonuses to PAA’s other Named Executive Officers taking into account the relative contribution of the individual officer. There are no set formulas for determining the annual discretionary bonus for PAA’s Named Executive Officers; however, pursuant to his employment agreement, Mr. Chiang is entitled to a minimum bonus of $500,000 for 2015 and $1.25 million for each of 2016 and 2017. Factors considered by the CEO in determining the level of bonus in general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PAA’s relative prospects at the end of the year with respect to future growth and performance; and (vi) PAA’s positioning at the end of the year with respect to its targeted credit profile. The CEO takes these factors into consideration as well as the relative contributions of each Named Executive Officer to the year’s performance in developing his recommendations for bonus amounts.</w:t>
      </w:r>
    </w:p>
    <w:p>
      <w:pPr>
        <w:spacing w:after="0" w:line="18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These recommendations are discussed with the GP LLC compensation committee, adjusted as appropriate, and submitted to the GP LLC board of directors for its review and approval. Similarly, the GP LLC compensation committee typically assesses the CEO’s contribution toward meeting PAA’s goals, and recommends a bonus for the CEO it believes to be commensurate with such contribution. In several historical instances, the CEO and the President have requested that the bonus amount recommended by the GP LLC compensation committee be reduced to maintain a closer relationship to bonuses awarded to the other Named Executive Officers. With respect to 2015, PAA’s CEO and President have indicated that neither of them will request or accept a bonus. Accordingly, the typical practice of having the CEO submit to the GP LLC compensation committee a preliminary draft of bonus recommendations with the amount for the CEO left blank was modified for 2015 in that bonus recommendations were not included for either the CEO or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President. The CEO and the GP LLC compensation committee discussed such preliminary draft, which was then revised to include any changes or adjustments in the formal submittal to the GP LLC compensation committee for review and recommendation to the GP LLC board.</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PAA’s U.S.-based senior management team are directly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activities that generate partnership earnings. These individuals, along with other employees in PAA’s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GP LLC compensation committee.</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PAA’s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PAA does not make systematic annual grants of phantom unit awards to its Named Executive Officers. Instead, PAA’s</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PAA believes that a grant cycle of approximately three years (and extended time-vesting requirements) provides a balance between a meaningful retention period for PAA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PAA’s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6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AAP Management Units (each of which represents a “profits interest” in AAP) provide an additional longer-term, performance-based officer incentive. These AAP Management Units are limited to 52,125,935 authorized units, of which 50,722,830 were outstanding as of December 31, 2015 pursuant to individual restricted unit agreements between AAP and certain members of PAA’s management. As of December 31, 2015, PAA’s Named Executive Officers held 29,931,571 of the restricted AAP Management Units. As noted above under “Elements of Compensation,” a significant portion of the outstanding AAP Management Units vested as of January 1, 2016 and a portion of such vested AAP Management Units has been converted into AAP units and our Class B shares. As a result, as of February 15, 2016, the number of AAP Management Units outstanding was 31,878,821, of which 20,676,096 were held by PAA’s Named Executive Officers. The remaining available AAP Management Units are administered at the discretion of the GP LLC compensation committee (subject to limited authority delegated to the CEO to approve awards to employees other than executive officers) and may be awarded upon</w:t>
      </w:r>
    </w:p>
    <w:p>
      <w:pPr>
        <w:sectPr>
          <w:pgSz w:w="11900" w:h="16865" w:orient="portrait"/>
          <w:cols w:equalWidth="0" w:num="1">
            <w:col w:w="11400"/>
          </w:cols>
          <w:pgMar w:left="240" w:top="125" w:right="259" w:bottom="0" w:gutter="0" w:footer="0" w:header="0"/>
        </w:sectPr>
      </w:pPr>
    </w:p>
    <w:bookmarkStart w:id="89" w:name="page90"/>
    <w:bookmarkEnd w:id="89"/>
    <w:p>
      <w:pPr>
        <w:ind w:right="260"/>
        <w:spacing w:after="0" w:line="277" w:lineRule="auto"/>
        <w:rPr>
          <w:sz w:val="20"/>
          <w:szCs w:val="20"/>
          <w:color w:val="auto"/>
        </w:rPr>
      </w:pPr>
      <w:r>
        <w:rPr>
          <w:rFonts w:ascii="Arial" w:cs="Arial" w:eastAsia="Arial" w:hAnsi="Arial"/>
          <w:sz w:val="18"/>
          <w:szCs w:val="18"/>
          <w:color w:val="auto"/>
        </w:rPr>
        <w:t>advancement, exceptional performance or other change in circumstance of an existing member of management, or upon the addition of a new individual to the management team.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beginning of 2015, PAA established four public goals with paraphrased versions of these goals overlapping three of its five internal goals.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or above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Successfully execute PAA’s 2015 capital program and set the stage for continued growth in 2016 and beyond;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 PAA’s November 2015 annualized distribution level by 7% over the November 2014 annualized distribution level;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PAA’s internal qualitative goals included (a) advancing multi-year programs and initiatives and preparing the organization for future growth, and (b) continuing to promote a culture of safety and environmental responsibility throughout the organization.</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Industry conditions deteriorated throughout 2015 as crude oil and natural gas prices decreased and capital expenditures by producers were reduced. As a result, crude oil production volumes were below expectations and competition within the midstream crude oil sector increased due to excess pipeline capacity and shipper over-commitments under minimum volume contracts. Primarily as a result of the challenging industry conditions, PAA reduced its 2015 guidance and made a number of other mid-course corrections to its strategies and plans. Additionally, PAA’s 2015 reported results were impacted by an accidental release of approximately 2,935 barrels of crude oil near Santa Barbara, California. This event resulted in an accrual as of December 31, 2015 of estimated total costs that PAA has incurred or expects to incur in connection with such incident of $269 million ($83 million, net of expected insurance reimbursements) (See Item 3. “Legal Proceedings—Specific Legal, Environmental or Regulatory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below are the more significant shortfalls and accomplishments for the year relative to PAA’s public and internal goals: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Shortfalls</w:t>
      </w:r>
      <w:r>
        <w:rPr>
          <w:rFonts w:ascii="Arial" w:cs="Arial" w:eastAsia="Arial" w:hAnsi="Arial"/>
          <w:sz w:val="18"/>
          <w:szCs w:val="18"/>
          <w:color w:val="auto"/>
        </w:rPr>
        <w:t>:</w:t>
      </w:r>
    </w:p>
    <w:p>
      <w:pPr>
        <w:spacing w:after="0" w:line="225" w:lineRule="exact"/>
        <w:rPr>
          <w:sz w:val="20"/>
          <w:szCs w:val="20"/>
          <w:color w:val="auto"/>
        </w:rPr>
      </w:pPr>
    </w:p>
    <w:p>
      <w:pPr>
        <w:ind w:left="1300" w:right="720" w:hanging="320"/>
        <w:spacing w:after="0" w:line="277" w:lineRule="auto"/>
        <w:tabs>
          <w:tab w:leader="none" w:pos="12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PAA reported approximately $2.2 billion of adjusted EBITDA and $1.5 billion of distributable cash flow, slightly below its revised guidance, but approximately 8% and 10%, respectively, below the midpoint of initial guidance;</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2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PAA increased its annualized distribution rate by 6% over the November 2014 exit rate, and generated distribution coverage for the year of approximately 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Accomplishments</w:t>
      </w:r>
      <w:r>
        <w:rPr>
          <w:rFonts w:ascii="Arial" w:cs="Arial" w:eastAsia="Arial" w:hAnsi="Arial"/>
          <w:sz w:val="18"/>
          <w:szCs w:val="18"/>
          <w:color w:val="auto"/>
        </w:rPr>
        <w:t>:</w:t>
      </w:r>
    </w:p>
    <w:p>
      <w:pPr>
        <w:spacing w:after="0" w:line="225" w:lineRule="exact"/>
        <w:rPr>
          <w:sz w:val="20"/>
          <w:szCs w:val="20"/>
          <w:color w:val="auto"/>
        </w:rPr>
      </w:pPr>
    </w:p>
    <w:p>
      <w:pPr>
        <w:ind w:left="1300" w:right="260" w:hanging="320"/>
        <w:spacing w:after="0" w:line="277" w:lineRule="auto"/>
        <w:tabs>
          <w:tab w:leader="none" w:pos="1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PAA executed a $2.2 billion expansion capital program timely and cost effectively, and commissioned and integrated multiple new assets into its operations;</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PAA completed transactions associated with two of its pipeline projects that reduced its funding requirements while essentially maintaining the long-term earnings capacity of such projects;</w:t>
      </w:r>
    </w:p>
    <w:p>
      <w:pPr>
        <w:spacing w:after="0" w:line="170" w:lineRule="exact"/>
        <w:rPr>
          <w:rFonts w:ascii="Arial" w:cs="Arial" w:eastAsia="Arial" w:hAnsi="Arial"/>
          <w:sz w:val="18"/>
          <w:szCs w:val="18"/>
          <w:color w:val="auto"/>
        </w:rPr>
      </w:pPr>
    </w:p>
    <w:p>
      <w:pPr>
        <w:ind w:left="1300" w:right="440" w:hanging="320"/>
        <w:spacing w:after="0" w:line="277" w:lineRule="auto"/>
        <w:tabs>
          <w:tab w:leader="none" w:pos="1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PAA executed two key financings on attractive terms that enabled it to maintain solid liquidity and financial strength, including raising approximately $1.1 billion of common equity capital and $1.0 billion in long-term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PAA initiated a $1.6 billion preferred equity placement that was completed in January 2016; and</w:t>
      </w:r>
    </w:p>
    <w:p>
      <w:pPr>
        <w:spacing w:after="0" w:line="225" w:lineRule="exact"/>
        <w:rPr>
          <w:rFonts w:ascii="Arial" w:cs="Arial" w:eastAsia="Arial" w:hAnsi="Arial"/>
          <w:sz w:val="18"/>
          <w:szCs w:val="18"/>
          <w:color w:val="auto"/>
        </w:rPr>
      </w:pPr>
    </w:p>
    <w:p>
      <w:pPr>
        <w:ind w:left="1300" w:right="440" w:hanging="320"/>
        <w:spacing w:after="0" w:line="277" w:lineRule="auto"/>
        <w:tabs>
          <w:tab w:leader="none" w:pos="12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PAA made significant progress with respect to the implementation of multiple initiatives to strengthen and sustain the organization and promote a culture of safety and environmental responsibility throughout.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2015, the elements of compensation were applied as described below.</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2015. See “—Employment Contracts”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the base salaries of PAA’s Named Executive Officers with employment contracts.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In light of PAA’s overall 2015 performance, PAA’s CEO and President have indicated that neither of them will request or accept a</w:t>
      </w:r>
      <w:r>
        <w:rPr>
          <w:rFonts w:ascii="Arial" w:cs="Arial" w:eastAsia="Arial" w:hAnsi="Arial"/>
          <w:sz w:val="17"/>
          <w:szCs w:val="17"/>
          <w:i w:val="1"/>
          <w:iCs w:val="1"/>
          <w:color w:val="auto"/>
        </w:rPr>
        <w:t xml:space="preserve"> </w:t>
      </w:r>
      <w:r>
        <w:rPr>
          <w:rFonts w:ascii="Arial" w:cs="Arial" w:eastAsia="Arial" w:hAnsi="Arial"/>
          <w:sz w:val="17"/>
          <w:szCs w:val="17"/>
          <w:color w:val="auto"/>
        </w:rPr>
        <w:t>bonus. Additionally, pursuant to Mr. Chiang’s employment agreement, his bonus for 2015 will not be less than $500,000. The CEO’s annual bonus recommendations for the remaining Named Executive Officers were based on his assessment of PAA’s performance as well as the individual’s performance against goals, opportunities and challenges, taking into consideration both controllable and non-controllable factors. Based on the CEO’s annual performance review and recommendations, the GP LLC compensation committee recommended to the GP LLC board of directors and the GP LLC board of directors approved the annual bonuses reflected in the Summary Compensation Table and notes thereto.</w:t>
      </w:r>
    </w:p>
    <w:p>
      <w:pPr>
        <w:sectPr>
          <w:pgSz w:w="11900" w:h="16838" w:orient="portrait"/>
          <w:cols w:equalWidth="0" w:num="1">
            <w:col w:w="11420"/>
          </w:cols>
          <w:pgMar w:left="240" w:top="125" w:right="239" w:bottom="0" w:gutter="0" w:footer="0" w:header="0"/>
        </w:sectPr>
      </w:pPr>
    </w:p>
    <w:bookmarkStart w:id="90" w:name="page91"/>
    <w:bookmarkEnd w:id="90"/>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Other than the grant of 120,000 phantom units and 1,000,000 AAP Management Units to Mr. Chiang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his employment as described below, there were no grants of long-term incentive awards to Named Executive Officers in 2015.</w:t>
      </w:r>
    </w:p>
    <w:p>
      <w:pPr>
        <w:spacing w:after="0" w:line="1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 xml:space="preserve">Mr. Chiang’s phantom units will vest </w:t>
      </w:r>
      <w:r>
        <w:rPr>
          <w:rFonts w:ascii="Arial" w:cs="Arial" w:eastAsia="Arial" w:hAnsi="Arial"/>
          <w:sz w:val="17"/>
          <w:szCs w:val="17"/>
          <w:color w:val="auto"/>
        </w:rPr>
        <w:t>40% on the later of the August 2018 distribution date and the date PAA pays an annualized quarterly distribution</w:t>
      </w:r>
      <w:r>
        <w:rPr>
          <w:rFonts w:ascii="Arial" w:cs="Arial" w:eastAsia="Arial" w:hAnsi="Arial"/>
          <w:sz w:val="18"/>
          <w:szCs w:val="18"/>
          <w:color w:val="auto"/>
        </w:rPr>
        <w:t xml:space="preserve"> </w:t>
      </w:r>
      <w:r>
        <w:rPr>
          <w:rFonts w:ascii="Arial" w:cs="Arial" w:eastAsia="Arial" w:hAnsi="Arial"/>
          <w:sz w:val="17"/>
          <w:szCs w:val="17"/>
          <w:color w:val="auto"/>
        </w:rPr>
        <w:t xml:space="preserve">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described under “—Employment Contracts” and “—Potential Payments Upon Termination or Change-in-Control” below. Any phantom units that have not vested as of the August 2021 distribution date will be forfeited. </w:t>
      </w:r>
      <w:r>
        <w:rPr>
          <w:rFonts w:ascii="Arial" w:cs="Arial" w:eastAsia="Arial" w:hAnsi="Arial"/>
          <w:sz w:val="18"/>
          <w:szCs w:val="18"/>
          <w:color w:val="auto"/>
        </w:rPr>
        <w:t>Upon vesting,</w:t>
      </w:r>
      <w:r>
        <w:rPr>
          <w:rFonts w:ascii="Arial" w:cs="Arial" w:eastAsia="Arial" w:hAnsi="Arial"/>
          <w:sz w:val="17"/>
          <w:szCs w:val="17"/>
          <w:color w:val="auto"/>
        </w:rPr>
        <w:t xml:space="preserve"> </w:t>
      </w:r>
      <w:r>
        <w:rPr>
          <w:rFonts w:ascii="Arial" w:cs="Arial" w:eastAsia="Arial" w:hAnsi="Arial"/>
          <w:sz w:val="18"/>
          <w:szCs w:val="18"/>
          <w:color w:val="auto"/>
        </w:rPr>
        <w:t>the phantom units are payable on a one-for-one basis in common units. Mr. Chiang’s phantom units have associated DERs that are currently vested and payable in cash on each distribution payment date.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Mr. Chiang’s AAP Management Units become earned in 25% increments upon payment by PAA of annualized quarterly distributions of $2.90, $3.15, $3.30 and $3.50 per common unit, respectively. </w:t>
      </w:r>
      <w:r>
        <w:rPr>
          <w:rFonts w:ascii="Arial" w:cs="Arial" w:eastAsia="Arial" w:hAnsi="Arial"/>
          <w:sz w:val="17"/>
          <w:szCs w:val="17"/>
          <w:color w:val="auto"/>
        </w:rPr>
        <w:t>Mr. Chiang’s AAP Management Units are subject to a call right in the event his employment is</w:t>
      </w:r>
      <w:r>
        <w:rPr>
          <w:rFonts w:ascii="Arial" w:cs="Arial" w:eastAsia="Arial" w:hAnsi="Arial"/>
          <w:sz w:val="18"/>
          <w:szCs w:val="18"/>
          <w:color w:val="auto"/>
        </w:rPr>
        <w:t xml:space="preserve"> </w:t>
      </w:r>
      <w:r>
        <w:rPr>
          <w:rFonts w:ascii="Arial" w:cs="Arial" w:eastAsia="Arial" w:hAnsi="Arial"/>
          <w:sz w:val="17"/>
          <w:szCs w:val="17"/>
          <w:color w:val="auto"/>
        </w:rPr>
        <w:t>terminated under certain circumstances prior to December 31, 2022. If Mr. Chiang remains employed after such date, his AAP Management Units will be deemed to have vested. Mr. Chiang’s AAP Management Units also vest upon his termination of employment under certain circumstances described below under “— Employment Contracts” and “—Potential Payments Upon Termination or Change-in-Control.”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i w:val="1"/>
          <w:iCs w:val="1"/>
          <w:color w:val="auto"/>
        </w:rPr>
        <w:t xml:space="preserve">Equity Ownership. </w:t>
      </w:r>
      <w:r>
        <w:rPr>
          <w:rFonts w:ascii="Arial" w:cs="Arial" w:eastAsia="Arial" w:hAnsi="Arial"/>
          <w:sz w:val="16"/>
          <w:szCs w:val="16"/>
          <w:color w:val="auto"/>
        </w:rPr>
        <w:t>PAA’s Named Executive Officers collectively own substantial equity in PAA as well as its general partner. Although PAA</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encourages its Named Executive Officers to acquire and retain ownership in PAA, it does not have a policy requiring maintenance of a specified equity ownership level. PAA’s policies prohibit its Named Executive Officers from using puts, calls or options to hedge the economic risk of their ownership. As of February 15, 2016, PAA’s Named Executive Officers beneficially owned, in the aggregate, (i) approximately 2.6 million PAA common units (excluding any unvested equity awards), (ii) through their ownership of interests in PAA Management, L.P., an approximate 1.9% indirect ownership interest (approximate 1.8% economic interest) in AAP, (iii) 20,676,096 AAP Management Units, which represent an approximate 3.0% aggregate economic interest in AAP, and</w:t>
      </w:r>
    </w:p>
    <w:p>
      <w:pPr>
        <w:spacing w:after="0" w:line="5" w:lineRule="exact"/>
        <w:rPr>
          <w:sz w:val="20"/>
          <w:szCs w:val="20"/>
          <w:color w:val="auto"/>
        </w:rPr>
      </w:pPr>
    </w:p>
    <w:p>
      <w:pPr>
        <w:ind w:firstLine="8"/>
        <w:spacing w:after="0" w:line="254" w:lineRule="auto"/>
        <w:tabs>
          <w:tab w:leader="none" w:pos="3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10,102,845 of our Class A shares. Based on the market price of PAA’s common units and our Class A shares at February 15, 2016 and assuming the conversion of all earned AAP Management Units into AAP units at a conversion factor of approximately 0.940 and the exchange of AAP units for an equivalent number of our Class A shares, the value of the equity ownership of these individuals was significantly greater than the combined aggregate salaries and bonuses of these individuals for 2015.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PAA does not have a policy with respect to adjustment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PAA is a limited partnership and does not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a “corporation” under Section 162(m).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Pefanis and Chiang, the long-term incentive plan grants to PAA’s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Named Executive Officers, and the AAP Management Unit grant agreements to which PAA’s Named Executive Officers are a party include severance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provisions or accelerated vesting triggered upon a change of control, as defined in the respective agreements. In the case of the long-term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grants, the provision becomes operative only if the change in control is accompanied by a change in status (such as the termination of employment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GP LLC). PAA believes this “double trigger” arrangement is appropriate because it provides assurance to the executive, but does not offer a windfall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when there has been no real change in employment status. The provisions in the employment agreements for Messrs. Armstrong and Pefanis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operative only if the executive terminates employment within three months of the change in control. Messrs. Armstrong and Pefanis agreed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conditional waiver of these provisions with respect to Vulcan Energy Corporation’s (“Vulcan Energy”) sale of its 50.1% general partner interest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2010 and with respect to the completion of our initial public offering in October 2013. The AAP Management Unit grant agreements generally call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vesting upon a change in control of any units that have already been earned, plus the next increment of units that could be earned at the next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threshold. Any remaining AAP Management Units would be forfeited (unless waived at the discretion of the general partner or acquirer as the case may be).</w:t>
      </w:r>
    </w:p>
    <w:p>
      <w:pPr>
        <w:spacing w:after="0" w:line="3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a result of significant participation (i.e., purchases) by existing general partner owners or their affiliates in the December 2010 sale of Vulcan Energy’s 50.1% ownership in the general partner, the change of control provisions of the AAP Management Unit grant agreements were not triggered. In addition, the completion of our initial public offering in October 2013 did not constitute a change of control pursuant to the terms of the AAP Management Unit grant agreements. Mr. Chiang’s employment agreement provides for accelerated vesting of his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“—Employment Contracts” and “—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its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From a risk management perspective, PAA’s policy is to conduct its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PAA also routinely monitors and measures the execution and performance of its capital projects and acquisitions relative to expectations.</w:t>
      </w:r>
    </w:p>
    <w:p>
      <w:pPr>
        <w:sectPr>
          <w:pgSz w:w="11900" w:h="16838" w:orient="portrait"/>
          <w:cols w:equalWidth="0" w:num="1">
            <w:col w:w="11400"/>
          </w:cols>
          <w:pgMar w:left="240" w:top="125" w:right="259" w:bottom="0" w:gutter="0" w:footer="0" w:header="0"/>
        </w:sectPr>
      </w:pPr>
    </w:p>
    <w:bookmarkStart w:id="91" w:name="page92"/>
    <w:bookmarkEnd w:id="91"/>
    <w:p>
      <w:pPr>
        <w:jc w:val="both"/>
        <w:ind w:right="140" w:firstLine="648"/>
        <w:spacing w:after="0" w:line="264" w:lineRule="auto"/>
        <w:rPr>
          <w:sz w:val="20"/>
          <w:szCs w:val="20"/>
          <w:color w:val="auto"/>
        </w:rPr>
      </w:pPr>
      <w:r>
        <w:rPr>
          <w:rFonts w:ascii="Arial" w:cs="Arial" w:eastAsia="Arial" w:hAnsi="Arial"/>
          <w:sz w:val="18"/>
          <w:szCs w:val="18"/>
          <w:color w:val="auto"/>
        </w:rPr>
        <w:t>PAA’s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PAA’s risk management policies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practices or of PAA’s Code of Business Conduct. In addition, PAA’s long-term incentive awards typically include vesting criteria based on payment of distributions from currently available cash. See “Compensation Discussion and Analysis—Relation of Compensation Elements to Compensation Objectives.”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combination with PAA’s risk-management practices, PAA does not believe that risks arising from its compensation policies and practices for its employees are reasonably likely to have a material adverse effect on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following table sets forth certain compensation information for PAA’s Named Executive Officers. PAA reimburses its general partner and its affiliates for expenses incurred on PAA’s behalf, including the costs of officer compensation (excluding the costs of the obligations represented by the AAP Management Units). Mr. Chiang joined PAA in August 2015; therefore, his salary and bonus amounts reflect a partial year of payment.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Bonus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40" w:type="dxa"/>
            <w:vAlign w:val="bottom"/>
          </w:tcPr>
          <w:p>
            <w:pPr>
              <w:spacing w:after="0"/>
              <w:rPr>
                <w:sz w:val="14"/>
                <w:szCs w:val="14"/>
                <w:color w:val="auto"/>
              </w:rPr>
            </w:pPr>
          </w:p>
        </w:tc>
        <w:tc>
          <w:tcPr>
            <w:tcW w:w="124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220" w:type="dxa"/>
            <w:vAlign w:val="bottom"/>
          </w:tcPr>
          <w:p>
            <w:pPr>
              <w:spacing w:after="0"/>
              <w:rPr>
                <w:sz w:val="14"/>
                <w:szCs w:val="14"/>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7"/>
              </w:rPr>
              <w:t>Chairman and Chief Executive Officer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2,662,378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and Chief Operating Officer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2,396,140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89,102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5,330,830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5,925,818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Executive Vice President and Chief</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Officer (U.S.)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Officer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1,774,919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222,543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2,665,224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Officer—Plains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257,571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3,244,686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Midstream Canada</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276,666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3,887,652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1,774,919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3,650,000</w:t>
            </w:r>
            <w:r>
              <w:rPr>
                <w:rFonts w:ascii="Arial" w:cs="Arial" w:eastAsia="Arial" w:hAnsi="Arial"/>
                <w:sz w:val="11"/>
                <w:szCs w:val="11"/>
                <w:color w:val="auto"/>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President—Commercial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4,175,000</w:t>
            </w:r>
            <w:r>
              <w:rPr>
                <w:rFonts w:ascii="Arial" w:cs="Arial" w:eastAsia="Arial" w:hAnsi="Arial"/>
                <w:sz w:val="11"/>
                <w:szCs w:val="11"/>
                <w:color w:val="auto"/>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5,255,000</w:t>
            </w:r>
            <w:r>
              <w:rPr>
                <w:rFonts w:ascii="Arial" w:cs="Arial" w:eastAsia="Arial" w:hAnsi="Arial"/>
                <w:sz w:val="11"/>
                <w:szCs w:val="11"/>
                <w:color w:val="auto"/>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1,331,189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6,852,929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61" w:lineRule="auto"/>
        <w:tabs>
          <w:tab w:leader="none" w:pos="648" w:val="left"/>
        </w:tabs>
        <w:numPr>
          <w:ilvl w:val="0"/>
          <w:numId w:val="93"/>
        </w:numPr>
        <w:rPr>
          <w:rFonts w:ascii="Arial" w:cs="Arial" w:eastAsia="Arial" w:hAnsi="Arial"/>
          <w:sz w:val="22"/>
          <w:szCs w:val="22"/>
          <w:color w:val="auto"/>
          <w:vertAlign w:val="superscript"/>
        </w:rPr>
      </w:pPr>
      <w:r>
        <w:rPr>
          <w:rFonts w:ascii="Arial" w:cs="Arial" w:eastAsia="Arial" w:hAnsi="Arial"/>
          <w:sz w:val="17"/>
          <w:szCs w:val="17"/>
          <w:color w:val="auto"/>
        </w:rPr>
        <w:t>Grant date fair values are presented for (i) LTIP phantom unit grants awarded to Messrs. Armstrong, Pefanis, Swanson, Duckett and vonBerg in 2013, (ii) LTIP phantom unit grants awarded to Mr. Chiang in 2015, and (iii) AAP Management Unit grants awarded to Mr. Chiang in 2015. Dollar amounts in the table represent the aggregate grant date fair value of phantom units and AAP Management Units awarded based on the probable outcome of underlying performance conditions pursuant to FASB ASC Topic 718. For LTIP phantom units granted in 2013, the performance threshold for the first tranche of vesting was deemed probable of occurring on the grant date. The maximum grant date fair values of phantom unit grants awarded in 2013, assuming that the highest level of performance conditions will be met, are: $7,562,664 for Mr. Armstrong; $6,806,398 for Mr. Pefanis; $5,041,776 for Mr. Swanson; $5,041,776 for Mr. Duckett and $3,781,332 for Mr. vonBerg. For LTIP phantom unit grants and AAP Management Unit grants awarded in 2015, the performance threshold for the first tranche of vesting was deemed probable of occurring on the grant date. The aggregate maximum grant date fair value of phantom unit grants and AAP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Unit grants awarded to Mr. Chiang in 2015, assuming that the highest level of performance conditions will be met, was $17,197,332.</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 to our Consolidated Financial Statements for further discussion regarding the calculation of grant date fair values.</w:t>
      </w:r>
    </w:p>
    <w:p>
      <w:pPr>
        <w:spacing w:after="0" w:line="211" w:lineRule="exact"/>
        <w:rPr>
          <w:sz w:val="20"/>
          <w:szCs w:val="20"/>
          <w:color w:val="auto"/>
        </w:rPr>
      </w:pPr>
    </w:p>
    <w:p>
      <w:pPr>
        <w:ind w:left="660" w:right="80" w:hanging="652"/>
        <w:spacing w:after="0" w:line="257" w:lineRule="auto"/>
        <w:tabs>
          <w:tab w:leader="none" w:pos="648" w:val="left"/>
        </w:tabs>
        <w:numPr>
          <w:ilvl w:val="0"/>
          <w:numId w:val="94"/>
        </w:numPr>
        <w:rPr>
          <w:rFonts w:ascii="Arial" w:cs="Arial" w:eastAsia="Arial" w:hAnsi="Arial"/>
          <w:sz w:val="22"/>
          <w:szCs w:val="22"/>
          <w:color w:val="auto"/>
          <w:vertAlign w:val="superscript"/>
        </w:rPr>
      </w:pPr>
      <w:r>
        <w:rPr>
          <w:rFonts w:ascii="Arial" w:cs="Arial" w:eastAsia="Arial" w:hAnsi="Arial"/>
          <w:sz w:val="17"/>
          <w:szCs w:val="17"/>
          <w:color w:val="auto"/>
        </w:rPr>
        <w:t>GP LLC matches 100% of employees’ contributions to its 401(k) plan in cash, subject to certain limitations in the plan. All Other Compensation for each of Messrs. Armstrong, Pefanis, Swanson and vonBerg includes $15,900 ($5,346 for Mr. Chiang) in such contributions for 2015. The remaining amount for each represents premium payments on behalf of such Named Executive Officer for group term life insurance. All Other Compensation for Mr. Duckett includes, for 2015, employer contributions to the Plains Midstream Canada savings plan of $28,931, group term life insurance premiums of $30,891, automobile lease payments of $33,128 and club dues of $6,223.</w:t>
      </w:r>
    </w:p>
    <w:p>
      <w:pPr>
        <w:sectPr>
          <w:pgSz w:w="11900" w:h="16838" w:orient="portrait"/>
          <w:cols w:equalWidth="0" w:num="1">
            <w:col w:w="11420"/>
          </w:cols>
          <w:pgMar w:left="240" w:top="125" w:right="239" w:bottom="171" w:gutter="0" w:footer="0" w:header="0"/>
        </w:sectPr>
      </w:pPr>
    </w:p>
    <w:bookmarkStart w:id="92" w:name="page93"/>
    <w:bookmarkEnd w:id="92"/>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right="420" w:hanging="11"/>
        <w:spacing w:after="0" w:line="342" w:lineRule="auto"/>
        <w:rPr>
          <w:sz w:val="20"/>
          <w:szCs w:val="20"/>
          <w:color w:val="auto"/>
        </w:rPr>
      </w:pPr>
      <w:r>
        <w:rPr>
          <w:rFonts w:ascii="Arial" w:cs="Arial" w:eastAsia="Arial" w:hAnsi="Arial"/>
          <w:sz w:val="16"/>
          <w:szCs w:val="16"/>
          <w:color w:val="auto"/>
        </w:rPr>
        <w:t>Includes quarterly bonuses aggregating $2,750,000, $2,275,000 and $3,355,000 and annual bonuses of $900,000, $1,900,000 and $1,900,000 in 2015, 2014 and 2013, respectively. The annual bonuses are payable 60% at the time of award and 20% in each of the two succeeding years.</w:t>
      </w:r>
    </w:p>
    <w:p>
      <w:pPr>
        <w:spacing w:after="0" w:line="120" w:lineRule="exact"/>
        <w:rPr>
          <w:sz w:val="20"/>
          <w:szCs w:val="20"/>
          <w:color w:val="auto"/>
        </w:rPr>
      </w:pPr>
    </w:p>
    <w:p>
      <w:pPr>
        <w:sectPr>
          <w:pgSz w:w="11900" w:h="16934" w:orient="portrait"/>
          <w:cols w:equalWidth="0" w:num="2">
            <w:col w:w="140" w:space="520"/>
            <w:col w:w="10760"/>
          </w:cols>
          <w:pgMar w:left="240" w:top="125" w:right="239" w:bottom="0" w:gutter="0" w:footer="0" w:header="0"/>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PAA’s Named Executive Officers during the fiscal year ended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or</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6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4"/>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8/24/15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8/24/15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r>
              <w:rPr>
                <w:rFonts w:ascii="Arial" w:cs="Arial" w:eastAsia="Arial" w:hAnsi="Arial"/>
                <w:sz w:val="11"/>
                <w:szCs w:val="11"/>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656"/>
        <w:spacing w:after="0" w:line="272" w:lineRule="auto"/>
        <w:tabs>
          <w:tab w:leader="none" w:pos="9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phantom units will vest 40% on the later of the August 2018 distribution date and the date PAA pays an annualized quarterly distribution 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described under “—Employment Contracts” and “—Potential Payments Upon Termination or Change-in-Control” below.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77" w:lineRule="exact"/>
        <w:rPr>
          <w:rFonts w:ascii="Arial" w:cs="Arial" w:eastAsia="Arial" w:hAnsi="Arial"/>
          <w:sz w:val="17"/>
          <w:szCs w:val="17"/>
          <w:color w:val="auto"/>
        </w:rPr>
      </w:pPr>
    </w:p>
    <w:p>
      <w:pPr>
        <w:ind w:right="20" w:firstLine="656"/>
        <w:spacing w:after="0" w:line="276" w:lineRule="auto"/>
        <w:tabs>
          <w:tab w:leader="none" w:pos="9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AAP Management Units become earned in 25% increments upon payment by PAA of annualized quarterly distributions of $2.90, $3.15, $3.30 and $3.50 per common unit, respectively. These AAP Management Units are subject to a call right in the event Mr. Chiang’s employment is terminated under certain circumstances prior to December 31, 2022. If Mr. Chiang remains employed after such date, his AAP Management Units will be deemed to have vested. Mr. Chiang’s AAP Management Units also vest upon his termination of employment under certain circumstances described under “— Employment Contracts” and “—Potential Payments Upon Termination or Change-in-Control” below.</w:t>
      </w:r>
    </w:p>
    <w:p>
      <w:pPr>
        <w:spacing w:after="0" w:line="172" w:lineRule="exact"/>
        <w:rPr>
          <w:rFonts w:ascii="Arial" w:cs="Arial" w:eastAsia="Arial" w:hAnsi="Arial"/>
          <w:sz w:val="17"/>
          <w:szCs w:val="17"/>
          <w:color w:val="auto"/>
        </w:rPr>
      </w:pPr>
    </w:p>
    <w:p>
      <w:pPr>
        <w:ind w:right="300" w:firstLine="656"/>
        <w:spacing w:after="0" w:line="264" w:lineRule="auto"/>
        <w:tabs>
          <w:tab w:leader="none" w:pos="9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the grant date fair values of LTIP phantom units and AAP Management Units based on the probable outcome of underlying performance conditions pursuant to FASB ASC Topic 718. The performance threshold for the first tranche of vesting of the LTIP phantom units and AAP Management Units was deemed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probable of occurring on the grant date. The aggregate maximum grant date fair value of phantom unit grants and AAP Management Unit grants awarded in 2015, assuming that the highest level of performance conditions will be met, was $17,197,332.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Mr. Armstrong is employed as PAA’s Chairman and Chief Executive Officer. The initial three-year term of Mr. Armstrong’s employment agreement commenced on June 30, 2001, and is automatically extended for one year on June 30 of each year (such that the term is reset to three years) unless</w:t>
      </w:r>
    </w:p>
    <w:p>
      <w:pPr>
        <w:ind w:right="40"/>
        <w:spacing w:after="0" w:line="271" w:lineRule="auto"/>
        <w:rPr>
          <w:sz w:val="20"/>
          <w:szCs w:val="20"/>
          <w:color w:val="auto"/>
        </w:rPr>
      </w:pPr>
      <w:r>
        <w:rPr>
          <w:rFonts w:ascii="Arial" w:cs="Arial" w:eastAsia="Arial" w:hAnsi="Arial"/>
          <w:sz w:val="17"/>
          <w:szCs w:val="17"/>
          <w:color w:val="auto"/>
        </w:rPr>
        <w:t>Mr. Armstrong receives notice from the chairman of the GP LLC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For 2016, Mr. Armstrong has unilaterally elected to forego approximately 90% of his annual base salary.</w:t>
      </w:r>
    </w:p>
    <w:p>
      <w:pPr>
        <w:spacing w:after="0" w:line="179" w:lineRule="exact"/>
        <w:rPr>
          <w:sz w:val="20"/>
          <w:szCs w:val="20"/>
          <w:color w:val="auto"/>
        </w:rPr>
      </w:pPr>
    </w:p>
    <w:p>
      <w:pPr>
        <w:ind w:right="700" w:firstLine="648"/>
        <w:spacing w:after="0" w:line="291" w:lineRule="auto"/>
        <w:rPr>
          <w:sz w:val="20"/>
          <w:szCs w:val="20"/>
          <w:color w:val="auto"/>
        </w:rPr>
      </w:pPr>
      <w:r>
        <w:rPr>
          <w:rFonts w:ascii="Arial" w:cs="Arial" w:eastAsia="Arial" w:hAnsi="Arial"/>
          <w:sz w:val="16"/>
          <w:szCs w:val="16"/>
          <w:color w:val="auto"/>
        </w:rPr>
        <w:t>Mr. Pefanis is employed as PAA’s President and Chief Operating Officer. The initial three-year term of Mr. Pefanis’ employment agreement commenced on June 30, 2001, and is automatically extended for one year on June 30 of each year (such that the term is reset to three years) unless</w:t>
      </w:r>
    </w:p>
    <w:p>
      <w:pPr>
        <w:ind w:right="200"/>
        <w:spacing w:after="0" w:line="254" w:lineRule="auto"/>
        <w:rPr>
          <w:sz w:val="20"/>
          <w:szCs w:val="20"/>
          <w:color w:val="auto"/>
        </w:rPr>
      </w:pPr>
      <w:r>
        <w:rPr>
          <w:rFonts w:ascii="Arial" w:cs="Arial" w:eastAsia="Arial" w:hAnsi="Arial"/>
          <w:sz w:val="18"/>
          <w:szCs w:val="18"/>
          <w:color w:val="auto"/>
        </w:rPr>
        <w:t>Mr. Pefanis receives notice from the Chairman of the Board of GP LLC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9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his phantom units and AAP</w:t>
      </w:r>
    </w:p>
    <w:p>
      <w:pPr>
        <w:sectPr>
          <w:pgSz w:w="11900" w:h="16934" w:orient="portrait"/>
          <w:cols w:equalWidth="0" w:num="1">
            <w:col w:w="11420"/>
          </w:cols>
          <w:pgMar w:left="240" w:top="125" w:right="239" w:bottom="0" w:gutter="0" w:footer="0" w:header="0"/>
          <w:type w:val="continuous"/>
        </w:sectPr>
      </w:pPr>
    </w:p>
    <w:bookmarkStart w:id="93" w:name="page94"/>
    <w:bookmarkEnd w:id="93"/>
    <w:p>
      <w:pPr>
        <w:spacing w:after="0" w:line="270" w:lineRule="auto"/>
        <w:rPr>
          <w:sz w:val="20"/>
          <w:szCs w:val="20"/>
          <w:color w:val="auto"/>
        </w:rPr>
      </w:pPr>
      <w:r>
        <w:rPr>
          <w:rFonts w:ascii="Arial" w:cs="Arial" w:eastAsia="Arial" w:hAnsi="Arial"/>
          <w:sz w:val="17"/>
          <w:szCs w:val="17"/>
          <w:color w:val="auto"/>
        </w:rPr>
        <w:t>Management Units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 (iii) if a change of control occurs prior to the Reference Date and in connection therewith Mr. Chiang is not designated to receive the Executive Promotion and terminates his employment within 90 days of such change of control. Mr. Chiang’s employment agreement also provides that in the event of his death or disability prior to the second anniversary of his employment date under circumstances where less than 500,000 of his AAP Management Units have previously become “earned”, he will immediately vest in such number of AAP Management Units as may be necessary to cause the number of vested AAP Management Units to equal 500,000. Mr. Chiang also entered into ancillary agreements pursuant to which he has agreed to maintain confidentiality and not to solicit customers, assets or employees for a period of two years following termination of his employment.</w:t>
      </w:r>
    </w:p>
    <w:p>
      <w:pPr>
        <w:spacing w:after="0" w:line="17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PAA uses salary and bonus to achieve compensation objectives. See “— Potential Payments upon Termination or Change-In-Control” for a discussion of the provisions in Messrs. Armstrong’s, Pefanis’ and Chiang’s employment agreements related to termination, change of control and related payment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at December 31, 2015 with respect to PAA’s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line="172" w:lineRule="exact"/>
              <w:rPr>
                <w:sz w:val="20"/>
                <w:szCs w:val="20"/>
                <w:color w:val="auto"/>
              </w:rPr>
            </w:pPr>
            <w:r>
              <w:rPr>
                <w:rFonts w:ascii="Arial" w:cs="Arial" w:eastAsia="Arial" w:hAnsi="Arial"/>
                <w:sz w:val="14"/>
                <w:szCs w:val="14"/>
                <w:b w:val="1"/>
                <w:bCs w:val="1"/>
                <w:color w:val="auto"/>
                <w:w w:val="89"/>
              </w:rPr>
              <w:t>Vested ($)</w:t>
            </w:r>
            <w:r>
              <w:rPr>
                <w:rFonts w:ascii="Arial" w:cs="Arial" w:eastAsia="Arial" w:hAnsi="Arial"/>
                <w:sz w:val="17"/>
                <w:szCs w:val="17"/>
                <w:b w:val="1"/>
                <w:bCs w:val="1"/>
                <w:color w:val="auto"/>
                <w:w w:val="89"/>
                <w:vertAlign w:val="superscript"/>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line="172" w:lineRule="exact"/>
              <w:rPr>
                <w:sz w:val="20"/>
                <w:szCs w:val="20"/>
                <w:color w:val="auto"/>
              </w:rPr>
            </w:pPr>
            <w:r>
              <w:rPr>
                <w:rFonts w:ascii="Arial" w:cs="Arial" w:eastAsia="Arial" w:hAnsi="Arial"/>
                <w:sz w:val="14"/>
                <w:szCs w:val="14"/>
                <w:b w:val="1"/>
                <w:bCs w:val="1"/>
                <w:color w:val="auto"/>
                <w:w w:val="86"/>
              </w:rPr>
              <w:t>Vested ($)</w:t>
            </w:r>
            <w:r>
              <w:rPr>
                <w:rFonts w:ascii="Arial" w:cs="Arial" w:eastAsia="Arial" w:hAnsi="Arial"/>
                <w:sz w:val="17"/>
                <w:szCs w:val="17"/>
                <w:b w:val="1"/>
                <w:bCs w:val="1"/>
                <w:color w:val="auto"/>
                <w:w w:val="86"/>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92,428,125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69,321,099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135,000</w:t>
            </w:r>
            <w:r>
              <w:rPr>
                <w:rFonts w:ascii="Arial" w:cs="Arial" w:eastAsia="Arial" w:hAnsi="Arial"/>
                <w:sz w:val="11"/>
                <w:szCs w:val="11"/>
                <w:color w:val="auto"/>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3,118,500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23,107,036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39,281,949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3,649,027</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32,349,845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256"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4" w:right="40" w:hanging="11"/>
        <w:spacing w:after="0" w:line="285" w:lineRule="auto"/>
        <w:rPr>
          <w:sz w:val="20"/>
          <w:szCs w:val="20"/>
          <w:color w:val="auto"/>
        </w:rPr>
      </w:pPr>
      <w:r>
        <w:rPr>
          <w:rFonts w:ascii="Arial" w:cs="Arial" w:eastAsia="Arial" w:hAnsi="Arial"/>
          <w:sz w:val="16"/>
          <w:szCs w:val="16"/>
          <w:color w:val="auto"/>
        </w:rPr>
        <w:t>Market value of phantom units reported in these columns is calculated by multiplying the closing market price ($23.10) of PAA’s common units at December 31, 2015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December 31, 2015 conversion factor of approximately 0.938 AAP units and Class B shares for each AAP Management Unit, (ii) assuming the exchange of the resulting AAP units and our Class B shares for our Class A shares on a one-for-one basis, and</w:t>
      </w:r>
    </w:p>
    <w:p>
      <w:pPr>
        <w:spacing w:after="0" w:line="2" w:lineRule="exact"/>
        <w:rPr>
          <w:sz w:val="20"/>
          <w:szCs w:val="20"/>
          <w:color w:val="auto"/>
        </w:rPr>
      </w:pPr>
    </w:p>
    <w:p>
      <w:pPr>
        <w:ind w:left="4" w:right="280" w:hanging="4"/>
        <w:spacing w:after="0" w:line="261" w:lineRule="auto"/>
        <w:tabs>
          <w:tab w:leader="none" w:pos="319" w:val="left"/>
        </w:tabs>
        <w:numPr>
          <w:ilvl w:val="0"/>
          <w:numId w:val="96"/>
        </w:numPr>
        <w:rPr>
          <w:rFonts w:ascii="Arial" w:cs="Arial" w:eastAsia="Arial" w:hAnsi="Arial"/>
          <w:sz w:val="18"/>
          <w:szCs w:val="18"/>
          <w:color w:val="auto"/>
        </w:rPr>
      </w:pPr>
      <w:r>
        <w:rPr>
          <w:rFonts w:ascii="Arial" w:cs="Arial" w:eastAsia="Arial" w:hAnsi="Arial"/>
          <w:sz w:val="18"/>
          <w:szCs w:val="18"/>
          <w:color w:val="auto"/>
        </w:rPr>
        <w:t>multiplying such resulting number of our Class A shares by the closing market price ($9.45) of our Class A shares at December 31, 2015 (the last trading day of the fiscal year).</w:t>
      </w:r>
    </w:p>
    <w:p>
      <w:pPr>
        <w:spacing w:after="0" w:line="184" w:lineRule="exact"/>
        <w:rPr>
          <w:sz w:val="20"/>
          <w:szCs w:val="20"/>
          <w:color w:val="auto"/>
        </w:rPr>
      </w:pPr>
    </w:p>
    <w:p>
      <w:pPr>
        <w:ind w:left="4" w:right="20" w:hanging="11"/>
        <w:spacing w:after="0" w:line="270" w:lineRule="auto"/>
        <w:rPr>
          <w:sz w:val="20"/>
          <w:szCs w:val="20"/>
          <w:color w:val="auto"/>
        </w:rPr>
      </w:pPr>
      <w:r>
        <w:rPr>
          <w:rFonts w:ascii="Arial" w:cs="Arial" w:eastAsia="Arial" w:hAnsi="Arial"/>
          <w:sz w:val="17"/>
          <w:szCs w:val="17"/>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PAA’s Named Executive Officers (other than Mr. Chiang) had been earned as of December 31, 2015 (i.e., all relevant performance benchmarks have been satisfied), all such AAP Management Units are treated as stock that has not vested for purposes of this table due to the fact that, as of December 31, 2015, they remained subject to a “call right” held by AAP. Such call right expired on January 1, 2016 and the AAP Management Units held by Messrs. Armstrong, Pefanis, Swanson, Duckett and vonBerg are now vested. As long as our Class A shares are publicly traded, each vested AAP Management Unit may be converted into AAP units and a like number of our Class B shares based on a conversion ratio calculated in accordance with the AAP limited partnership agreement (which conversion ratio will not be</w:t>
      </w:r>
    </w:p>
    <w:p>
      <w:pPr>
        <w:spacing w:after="0" w:line="178" w:lineRule="exact"/>
        <w:rPr>
          <w:sz w:val="20"/>
          <w:szCs w:val="20"/>
          <w:color w:val="auto"/>
        </w:rPr>
      </w:pPr>
    </w:p>
    <w:p>
      <w:pPr>
        <w:sectPr>
          <w:pgSz w:w="11900" w:h="16838" w:orient="portrait"/>
          <w:cols w:equalWidth="0" w:num="2">
            <w:col w:w="140" w:space="516"/>
            <w:col w:w="10764"/>
          </w:cols>
          <w:pgMar w:left="240" w:top="125" w:right="239" w:bottom="256" w:gutter="0" w:footer="0" w:header="0"/>
          <w:type w:val="continuous"/>
        </w:sect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56"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more than one-to-one and was approximately 0.938 AAP units and Class B shares for each AAP Management Unit as of December 31, 2015). Following any such conversion, the resulting AAP units and Class B shares are exchangeable for our Class A shares on a one-for-one basis as provided in our limited partnership agreement. In January and February 2016, Messrs. Pefanis, Swanson, Duckett and vonBerg converted all or a portion of their AAP Management Units into AAP units and our Class B shares and then exchanged all of their respective resulting AAP units and Class B shares for our Class A shares. For additional information regarding the AAP Management Units, please read Item 13. “Certain Relationships and Related Transactions, and Director Independence—AAP Management Units.”</w:t>
      </w:r>
    </w:p>
    <w:p>
      <w:pPr>
        <w:spacing w:after="0" w:line="178" w:lineRule="exact"/>
        <w:rPr>
          <w:sz w:val="20"/>
          <w:szCs w:val="20"/>
          <w:color w:val="auto"/>
        </w:rPr>
      </w:pPr>
    </w:p>
    <w:p>
      <w:pPr>
        <w:ind w:right="80" w:hanging="11"/>
        <w:spacing w:after="0" w:line="257" w:lineRule="auto"/>
        <w:rPr>
          <w:sz w:val="20"/>
          <w:szCs w:val="20"/>
          <w:color w:val="auto"/>
        </w:rPr>
      </w:pPr>
      <w:r>
        <w:rPr>
          <w:rFonts w:ascii="Arial" w:cs="Arial" w:eastAsia="Arial" w:hAnsi="Arial"/>
          <w:sz w:val="18"/>
          <w:szCs w:val="18"/>
          <w:color w:val="auto"/>
        </w:rPr>
        <w:t>Represents phantom units granted in 2013 under PAA’s Long-Term Incentive Plan. All performance thresholds have been met. Accordingly, subject to continued employment, these phantom units will vest as follows: (i) one-third will vest on the August 2016 distribution date, (ii) one third will vest on the August 2017 distribution date, and (iii) one-third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188" w:lineRule="exact"/>
        <w:rPr>
          <w:sz w:val="20"/>
          <w:szCs w:val="20"/>
          <w:color w:val="auto"/>
        </w:rPr>
      </w:pPr>
    </w:p>
    <w:p>
      <w:pPr>
        <w:ind w:right="60" w:hanging="11"/>
        <w:spacing w:after="0" w:line="253" w:lineRule="auto"/>
        <w:rPr>
          <w:sz w:val="20"/>
          <w:szCs w:val="20"/>
          <w:color w:val="auto"/>
        </w:rPr>
      </w:pPr>
      <w:r>
        <w:rPr>
          <w:rFonts w:ascii="Arial" w:cs="Arial" w:eastAsia="Arial" w:hAnsi="Arial"/>
          <w:sz w:val="18"/>
          <w:szCs w:val="18"/>
          <w:color w:val="auto"/>
        </w:rPr>
        <w:t>Represents the pre-conversion number of AAP Management Units held by Mr. Chiang, each of which represents a “profits interest” in AAP, entitling him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These AAP Management Units become earned in 25% increments upon payment by PAA of annualized quarterly distributions of $2.90, $3.15, $3.30 and $3.50 per common unit, respectively.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197" w:lineRule="exact"/>
        <w:rPr>
          <w:sz w:val="20"/>
          <w:szCs w:val="20"/>
          <w:color w:val="auto"/>
        </w:rPr>
      </w:pPr>
    </w:p>
    <w:p>
      <w:pPr>
        <w:ind w:right="100" w:hanging="11"/>
        <w:spacing w:after="0" w:line="254" w:lineRule="auto"/>
        <w:rPr>
          <w:sz w:val="20"/>
          <w:szCs w:val="20"/>
          <w:color w:val="auto"/>
        </w:rPr>
      </w:pPr>
      <w:r>
        <w:rPr>
          <w:rFonts w:ascii="Arial" w:cs="Arial" w:eastAsia="Arial" w:hAnsi="Arial"/>
          <w:sz w:val="18"/>
          <w:szCs w:val="18"/>
          <w:color w:val="auto"/>
        </w:rPr>
        <w:t>Represents phantom units granted in 2015 under PAA’s Long-Term Incentive Plan. These phantom units will vest 40% on the later of the August 2018 distribution date and the date PAA pays an annualized quarterly distribution 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88" w:lineRule="exact"/>
        <w:rPr>
          <w:sz w:val="20"/>
          <w:szCs w:val="20"/>
          <w:color w:val="auto"/>
        </w:rPr>
      </w:pPr>
    </w:p>
    <w:p>
      <w:pPr>
        <w:sectPr>
          <w:pgSz w:w="11900" w:h="16838" w:orient="portrait"/>
          <w:cols w:equalWidth="0" w:num="2">
            <w:col w:w="140" w:space="520"/>
            <w:col w:w="1080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2015 with respect to PAA’s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1034"/>
              <w:spacing w:after="0"/>
              <w:rPr>
                <w:sz w:val="20"/>
                <w:szCs w:val="20"/>
                <w:color w:val="auto"/>
              </w:rPr>
            </w:pPr>
            <w:r>
              <w:rPr>
                <w:rFonts w:ascii="Arial" w:cs="Arial" w:eastAsia="Arial" w:hAnsi="Arial"/>
                <w:sz w:val="14"/>
                <w:szCs w:val="14"/>
                <w:b w:val="1"/>
                <w:bCs w:val="1"/>
                <w:color w:val="auto"/>
              </w:rPr>
              <w:t>Unit Awards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 Units</w:t>
            </w:r>
          </w:p>
        </w:tc>
        <w:tc>
          <w:tcPr>
            <w:tcW w:w="17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Value Realized 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Vesting (#)</w:t>
            </w: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Vesting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5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5,818,800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5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3,879,200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4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5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1,939,600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5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2,424,500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5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1,745,640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20" w:type="dxa"/>
            <w:vAlign w:val="bottom"/>
          </w:tcPr>
          <w:p>
            <w:pPr>
              <w:jc w:val="right"/>
              <w:ind w:right="185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60" w:hanging="328"/>
        <w:spacing w:after="0" w:line="227" w:lineRule="auto"/>
        <w:tabs>
          <w:tab w:leader="none" w:pos="648"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2015. The actual number of units delivered was net of income tax withholding.</w:t>
      </w:r>
    </w:p>
    <w:p>
      <w:pPr>
        <w:spacing w:after="0" w:line="202" w:lineRule="exact"/>
        <w:rPr>
          <w:rFonts w:ascii="Arial" w:cs="Arial" w:eastAsia="Arial" w:hAnsi="Arial"/>
          <w:sz w:val="23"/>
          <w:szCs w:val="23"/>
          <w:color w:val="auto"/>
          <w:vertAlign w:val="superscript"/>
        </w:rPr>
      </w:pPr>
    </w:p>
    <w:p>
      <w:pPr>
        <w:ind w:left="660" w:right="220" w:hanging="328"/>
        <w:spacing w:after="0" w:line="238" w:lineRule="auto"/>
        <w:tabs>
          <w:tab w:leader="none" w:pos="648" w:val="left"/>
        </w:tabs>
        <w:numPr>
          <w:ilvl w:val="0"/>
          <w:numId w:val="97"/>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PAA’s Long-Term Incentive Plan, the value realized upon vesting is computed by multiplying the closing market price ($48.49) of PAA’s common units on May 14, 2015 (the date preceding the vesting date) by the number of units that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sponsors a 401(k) plan that is available to all U.S. employees, but it does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does not have a nonqualified deferred compensation plan or program for its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ectPr>
          <w:pgSz w:w="11900" w:h="16838" w:orient="portrait"/>
          <w:cols w:equalWidth="0" w:num="1">
            <w:col w:w="11460"/>
          </w:cols>
          <w:pgMar w:left="240" w:top="125" w:right="199" w:bottom="0" w:gutter="0" w:footer="0" w:header="0"/>
          <w:type w:val="continuous"/>
        </w:sectPr>
      </w:pPr>
    </w:p>
    <w:bookmarkStart w:id="95" w:name="page96"/>
    <w:bookmarkEnd w:id="95"/>
    <w:p>
      <w:pPr>
        <w:ind w:right="66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PAA’s Named Executive Officers upon termination of employment under various circumstances, and as if terminated on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By Company</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By Executive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Connection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9"/>
              </w:rPr>
              <w:t>By Reason of</w:t>
            </w: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By Reason of</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 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Good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Death</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Disability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Cause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Reason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Salary and Bonus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14,325,000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Gross-up</w:t>
            </w: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884,755</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AAP Management Units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13,015,000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13,048,708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36,155,739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36,155,739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41,815,494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Salary and Bonus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13,650,000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Gross-up</w:t>
            </w: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1,333,497</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AAP Management Units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12,218,500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12,270,912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29,601,187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29,601,187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35,484,684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Wilfred (Willie) C. Chiang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1,108,800</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1,108,800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AAP Management Units</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4,432,669</w:t>
            </w:r>
            <w:r>
              <w:rPr>
                <w:rFonts w:ascii="Arial" w:cs="Arial" w:eastAsia="Arial" w:hAnsi="Arial"/>
                <w:sz w:val="11"/>
                <w:szCs w:val="11"/>
                <w:color w:val="auto"/>
              </w:rPr>
              <w:t>(11)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4,432,669</w:t>
            </w:r>
            <w:r>
              <w:rPr>
                <w:rFonts w:ascii="Arial" w:cs="Arial" w:eastAsia="Arial" w:hAnsi="Arial"/>
                <w:sz w:val="11"/>
                <w:szCs w:val="11"/>
                <w:color w:val="auto"/>
              </w:rPr>
              <w:t>(11)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5,541,469</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5,541,469</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AAP Management Units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8,086,759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5,776,759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8,086,759</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AAP Management Units</w:t>
            </w: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2,310,000</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12,130,487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9,820,487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12,310,487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AAP Management Units</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9,819,961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8,087,461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9,819,961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0" w:type="dxa"/>
            <w:vAlign w:val="bottom"/>
            <w:gridSpan w:val="3"/>
          </w:tcPr>
          <w:p>
            <w:pPr>
              <w:ind w:left="1300"/>
              <w:spacing w:after="0"/>
              <w:rPr>
                <w:sz w:val="20"/>
                <w:szCs w:val="20"/>
                <w:color w:val="auto"/>
              </w:rPr>
            </w:pPr>
            <w:r>
              <w:rPr>
                <w:rFonts w:ascii="Arial" w:cs="Arial" w:eastAsia="Arial" w:hAnsi="Arial"/>
                <w:sz w:val="18"/>
                <w:szCs w:val="18"/>
                <w:color w:val="auto"/>
                <w:w w:val="93"/>
              </w:rPr>
              <w:t>135</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660" w:right="240" w:hanging="652"/>
        <w:spacing w:after="0" w:line="251" w:lineRule="auto"/>
        <w:tabs>
          <w:tab w:leader="none" w:pos="648"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ind w:left="660" w:right="20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2015, and also assumes a highest annual base salary of $375,000 and highest annual bonus of $4,400,000 for Mr. Armstrong, and a highest annual base salary of $300,000 and highest annual bonus of $4,250,000 for Mr. Pefanis.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100" w:hanging="4"/>
        <w:spacing w:after="0" w:line="288" w:lineRule="auto"/>
        <w:tabs>
          <w:tab w:leader="none" w:pos="925"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69"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w:t>
      </w:r>
    </w:p>
    <w:p>
      <w:pPr>
        <w:sectPr>
          <w:pgSz w:w="11900" w:h="16838" w:orient="portrait"/>
          <w:cols w:equalWidth="0" w:num="1">
            <w:col w:w="11460"/>
          </w:cols>
          <w:pgMar w:left="240" w:top="341" w:right="199" w:bottom="0" w:gutter="0" w:footer="0" w:header="0"/>
        </w:sectPr>
      </w:pPr>
    </w:p>
    <w:bookmarkStart w:id="96" w:name="page97"/>
    <w:bookmarkEnd w:id="96"/>
    <w:p>
      <w:pPr>
        <w:spacing w:after="0" w:line="84"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81" w:lineRule="exact"/>
        <w:rPr>
          <w:sz w:val="20"/>
          <w:szCs w:val="20"/>
          <w:color w:val="auto"/>
        </w:rPr>
      </w:pPr>
    </w:p>
    <w:p>
      <w:pPr>
        <w:ind w:left="660" w:right="160" w:hanging="652"/>
        <w:spacing w:after="0" w:line="251" w:lineRule="auto"/>
        <w:tabs>
          <w:tab w:leader="none" w:pos="648" w:val="left"/>
        </w:tabs>
        <w:numPr>
          <w:ilvl w:val="0"/>
          <w:numId w:val="100"/>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61"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60"/>
        <w:spacing w:after="0" w:line="308" w:lineRule="auto"/>
        <w:rPr>
          <w:sz w:val="20"/>
          <w:szCs w:val="20"/>
          <w:color w:val="auto"/>
        </w:rPr>
      </w:pPr>
      <w:r>
        <w:rPr>
          <w:rFonts w:ascii="Arial" w:cs="Arial" w:eastAsia="Arial" w:hAnsi="Arial"/>
          <w:sz w:val="17"/>
          <w:szCs w:val="17"/>
          <w:color w:val="auto"/>
        </w:rPr>
        <w:t>termination date of December 31, 2015, and also assumes a highest annual base salary of $375,000 and highest annual bonus of $4,400,000 for Mr. Armstrong, and a highest annual base salary of $300,000 and highest annual bonus of $4,250,000 for Mr. Pefanis.</w:t>
      </w:r>
    </w:p>
    <w:p>
      <w:pPr>
        <w:spacing w:after="0" w:line="147"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 voting agreement with GP LLC that restricted certain of Vulcan’s voting rights. The December 2010 sale by Vulcan Energy of its interest in GP LLC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67"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Our initial public offering and certain related transactions in October 2013 would have constituted a change in control as originally defined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Holdings;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GP Holdings;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91" w:lineRule="exact"/>
        <w:rPr>
          <w:sz w:val="20"/>
          <w:szCs w:val="20"/>
          <w:color w:val="auto"/>
        </w:rPr>
      </w:pPr>
    </w:p>
    <w:p>
      <w:pPr>
        <w:ind w:left="660" w:right="20" w:hanging="652"/>
        <w:spacing w:after="0" w:line="258" w:lineRule="auto"/>
        <w:tabs>
          <w:tab w:leader="none" w:pos="648" w:val="left"/>
        </w:tabs>
        <w:numPr>
          <w:ilvl w:val="0"/>
          <w:numId w:val="101"/>
        </w:numPr>
        <w:rPr>
          <w:rFonts w:ascii="Arial" w:cs="Arial" w:eastAsia="Arial" w:hAnsi="Arial"/>
          <w:sz w:val="22"/>
          <w:szCs w:val="22"/>
          <w:color w:val="auto"/>
          <w:vertAlign w:val="superscript"/>
        </w:rPr>
      </w:pPr>
      <w:r>
        <w:rPr>
          <w:rFonts w:ascii="Arial" w:cs="Arial" w:eastAsia="Arial" w:hAnsi="Arial"/>
          <w:sz w:val="17"/>
          <w:szCs w:val="17"/>
          <w:color w:val="auto"/>
        </w:rPr>
        <w:t>The letters evidencing phantom unit grants awarded to PAA’s Named Executive Officers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Assuming death or disability occurred on December 31, 2015, all of the phantom unit grants and associated DERs held by PAA’s Named Executive Officers would have become nonforfeitable effective as of December 31, 2015, and would vest on the February 2016 distribution date to the extent the vesting criteria had been satisfied (other than the passage of time) or, if the vesting criteria had not been satisfied, at the times described in the footnotes to the “Outstanding Equity Awards at Fiscal Year-End” table. For the 2015 grants, any units not vested by August 2021 would expire. That portion of the dollar value given that is attributable to PAA phantom units assumes that all performance thresholds will be timely achieved if deemed probable of occurrence as of December 31, 2015, and is based on the market value of PAA’s common units on December 31, 2015 ($23.10 per unit) without discount for service period. At December 31, 2015, an annualized distribution level of $2.90 was deemed probable of occurrence. All outstanding 2013 grants and 40% of the 2015 grants (Mr. Chiang) were assumed to eventually vest as a result. The balance of the 2015 grants is assumed to expire unvested in August 2021.</w:t>
      </w:r>
    </w:p>
    <w:p>
      <w:pPr>
        <w:spacing w:after="0" w:line="182" w:lineRule="exact"/>
        <w:rPr>
          <w:sz w:val="20"/>
          <w:szCs w:val="20"/>
          <w:color w:val="auto"/>
        </w:rPr>
      </w:pPr>
    </w:p>
    <w:p>
      <w:pPr>
        <w:ind w:left="660" w:right="160" w:hanging="652"/>
        <w:spacing w:after="0" w:line="275" w:lineRule="auto"/>
        <w:tabs>
          <w:tab w:leader="none" w:pos="648"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Pursuant to the phantom unit grants held by PAA’s Named Executive Officers,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w:t>
      </w:r>
    </w:p>
    <w:p>
      <w:pPr>
        <w:sectPr>
          <w:pgSz w:w="11900" w:h="16923" w:orient="portrait"/>
          <w:cols w:equalWidth="0" w:num="1">
            <w:col w:w="11420"/>
          </w:cols>
          <w:pgMar w:left="240" w:top="125" w:right="239" w:bottom="0" w:gutter="0" w:footer="0" w:header="0"/>
        </w:sectPr>
      </w:pPr>
    </w:p>
    <w:bookmarkStart w:id="97" w:name="page98"/>
    <w:bookmarkEnd w:id="97"/>
    <w:p>
      <w:pPr>
        <w:ind w:left="660" w:right="20"/>
        <w:spacing w:after="0" w:line="270" w:lineRule="auto"/>
        <w:rPr>
          <w:sz w:val="20"/>
          <w:szCs w:val="20"/>
          <w:color w:val="auto"/>
        </w:rPr>
      </w:pPr>
      <w:r>
        <w:rPr>
          <w:rFonts w:ascii="Arial" w:cs="Arial" w:eastAsia="Arial" w:hAnsi="Arial"/>
          <w:sz w:val="17"/>
          <w:szCs w:val="17"/>
          <w:color w:val="auto"/>
        </w:rPr>
        <w:t>nonforfeitable and would vest on the next following distribution date. Mr. Chiang’s employment agreement also provides that his phantom unit grants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PAA’s Named Executive Officers (other than Mr. Chiang) were terminated without cause on December 31, 2015, and (ii) Mr. Chiang had not received the Executive Promotion and was terminated without cause or terminated his employment for good reason on December 31, 2015. As a result, all of the phantom unit grants held by Messrs. Armstrong, Pefanis, Swanson, Duckett, vonBerg and Chiang would be deemed nonforfeitable and would vest on the February 2016 distribution date. That portion of the dollar value given that is attributable to PAA phantom units is based on the market value of PAA’s common units on December 31, 2015 ($23.10 per unit), without discount for service period. In addition to the foregoing, under Canadian law, Mr. Duckett could have a claim for additional payment if inadequate notice were given for a termination without cause.</w:t>
      </w:r>
    </w:p>
    <w:p>
      <w:pPr>
        <w:spacing w:after="0" w:line="178"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PAA’s Long-Term Incentive Plan would immediately vest.</w:t>
      </w:r>
    </w:p>
    <w:p>
      <w:pPr>
        <w:spacing w:after="0" w:line="181" w:lineRule="exact"/>
        <w:rPr>
          <w:sz w:val="20"/>
          <w:szCs w:val="20"/>
          <w:color w:val="auto"/>
        </w:rPr>
      </w:pPr>
    </w:p>
    <w:p>
      <w:pPr>
        <w:ind w:left="660" w:right="40" w:hanging="652"/>
        <w:spacing w:after="0" w:line="279" w:lineRule="auto"/>
        <w:tabs>
          <w:tab w:leader="none" w:pos="648"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The letters evidencing phantom unit grants awarded to PAA’s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Additionally, Mr. Chiang’s employment agreement provides that his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31, 2015, (ii) that a change of control occurred 90 days prior to December 31, 2015, and (iii) that, in connection with the change of control, Mr. Chiang did not receive the Executive Promotion and terminated his employment on December 31, 2015, all outstanding phantom units and the associated DERs would have become nonforfeitable as of December 31, 2015, and such phantom units would vest on the February 2016 distribution date. That portion of the dollar value given that is attributable to PAA phantom units is based on the market value of PAA’s common units on December 31, 2015 ($23.10 per unit), without discount for service period.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ind w:left="660"/>
        <w:spacing w:after="0" w:line="254" w:lineRule="auto"/>
        <w:rPr>
          <w:sz w:val="20"/>
          <w:szCs w:val="20"/>
          <w:color w:val="auto"/>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90"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The phrase “change of control” is defined in the phantom unit grants awarded to PAA’s Named Executive Officers other than Mr. Chiang to mean, and is deemed to have occurred upon the occurrence of, one or more of the following events: (i) GP LLC ceasing to be the general partner of PAA’s general partner; (ii) any sale, lease, exchange or other transfer (in one transaction or a series of related transactions) of all or substantially all of the assets of PAA or GP LLC to any person and/or its affiliates, other than to PAA or GP LLC, including any employee benefit plan thereof; (iii) the consolidation, reorganization, merger, or any other similar transaction involving (A) a person other than PAA or GP LLC and (B) PAA,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Our initial public offering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169"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 xml:space="preserve">With respect to Mr. Chiang’s phantom units, “Change of Control” means the determination by the board that one of the following events has occurred: (i) the Persons who owned member interests in GP Holdings immediately following the closing of our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our general partner,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 beneficially owned by such “person” or “group” exceeds the aggregate member interest in our general partner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 “Cause” is defined in Mr. Chiang’s phantom unit grant agreement as (i) 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ectPr>
          <w:pgSz w:w="11900" w:h="16838" w:orient="portrait"/>
          <w:cols w:equalWidth="0" w:num="1">
            <w:col w:w="11420"/>
          </w:cols>
          <w:pgMar w:left="240" w:top="125" w:right="239" w:bottom="134"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4"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hanging="652"/>
        <w:spacing w:after="0" w:line="257" w:lineRule="auto"/>
        <w:tabs>
          <w:tab w:leader="none" w:pos="648" w:val="left"/>
        </w:tabs>
        <w:numPr>
          <w:ilvl w:val="0"/>
          <w:numId w:val="104"/>
        </w:numPr>
        <w:rPr>
          <w:rFonts w:ascii="Arial" w:cs="Arial" w:eastAsia="Arial" w:hAnsi="Arial"/>
          <w:sz w:val="22"/>
          <w:szCs w:val="22"/>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2015.</w:t>
      </w:r>
    </w:p>
    <w:p>
      <w:pPr>
        <w:spacing w:after="0" w:line="188" w:lineRule="exact"/>
        <w:rPr>
          <w:rFonts w:ascii="Arial" w:cs="Arial" w:eastAsia="Arial" w:hAnsi="Arial"/>
          <w:sz w:val="22"/>
          <w:szCs w:val="22"/>
          <w:color w:val="auto"/>
          <w:vertAlign w:val="superscript"/>
        </w:rPr>
      </w:pPr>
    </w:p>
    <w:p>
      <w:pPr>
        <w:jc w:val="both"/>
        <w:ind w:left="660" w:right="60" w:hanging="634"/>
        <w:spacing w:after="0" w:line="269" w:lineRule="auto"/>
        <w:tabs>
          <w:tab w:leader="none" w:pos="652" w:val="left"/>
        </w:tabs>
        <w:numPr>
          <w:ilvl w:val="1"/>
          <w:numId w:val="104"/>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2015.</w:t>
      </w:r>
    </w:p>
    <w:p>
      <w:pPr>
        <w:spacing w:after="0" w:line="181" w:lineRule="exact"/>
        <w:rPr>
          <w:sz w:val="20"/>
          <w:szCs w:val="20"/>
          <w:color w:val="auto"/>
        </w:rPr>
      </w:pPr>
    </w:p>
    <w:p>
      <w:pPr>
        <w:ind w:left="660" w:hanging="652"/>
        <w:spacing w:after="0" w:line="280" w:lineRule="auto"/>
        <w:tabs>
          <w:tab w:leader="none" w:pos="648"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of each of our Named Executive Officers, to encourage retention following the achievement of applicable performance benchmarks, AAP retained a call right to purchase any earned AAP Management Units for an amount equal 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(January 1, 2023 for Mr. Chiang);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 Employment Contracts” for additional information regarding Mr. Chiang’s employment agreement). If the Named Executive Officers are terminated without cause or terminate their employment for good reason, or if such Named Executive Officer remains employed past December 31, 2015 (December 31, 2022 for Mr. Chiang), any earned AAP Management Units are no longer subject to the call right and are deemed to have “vested.” As of December 31, 2015, 100% of the AAP Management Units held by Messrs. Armstrong, Pefanis, Swanson, Duckett and vonBerg had been earned, but all of such AAP Management Units remained subject to AAP’s call right, and none of the AAP Management Units held by Mr. Chiang had been earned. Assuming a termination of employment without cause or for good reason on December 31, 2015 and assuming that Mr. Chiang had not received the Executive Promotion prior to that date, all of the AAP Management Units held by Messrs. Armstrong, Pefanis, Swanson, Duckett, vonBerg and Chiang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for Messrs. Armstrong, Pefanis, Swanson, Duckett and vonBerg represents the implied value of such “benefit” to the applicable Named Executive Officer, calculated as of December 31, 2015 by (i) assuming that such officer’s AAP Management Units are converted into AAP units based on the December 31, 2015 conversion factor of approximately 0.938 AAP units and Class B shares for each AAP Management Unit, (ii) assuming the exchange of the resulting AAP units and our Class B shares for our Class A shares on a one-for-one basis, and (iii) multiplying such resulting number of our Class A shares by an amount equal to 25% of the closing market price ($9.45) of our Class A shares at December 31, 2015 (the last trading day of the fiscal year). The value reflected in the table above for Mr. Chiang represents the implied value of such “benefit”, calculated as of December 31, 2015 by (i) assuming that Mr. Chiang’s AAP Management Units are converted into AAP units based on the December 31, 2015 conversion factor of approximately 0.938 AAP units and Class B shares for each AAP Management Unit, (ii) assuming the exchange of the resulting AAP units and our Class B shares for our Class A shares on a one-for-one basis, and (iii) multiplying such resulting number of our Class A shares by an amount equal to 100% of the closing market price ($9.45) of our Class A shares at December 31, 2015 (the last trading day of the fiscal year). The entire economic burden of the AAP Management Units is borne solely by AAP.</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firstLine="5"/>
        <w:spacing w:after="0" w:line="284" w:lineRule="auto"/>
        <w:rPr>
          <w:sz w:val="20"/>
          <w:szCs w:val="20"/>
          <w:color w:val="auto"/>
        </w:rPr>
      </w:pPr>
      <w:r>
        <w:rPr>
          <w:rFonts w:ascii="Arial" w:cs="Arial" w:eastAsia="Arial" w:hAnsi="Arial"/>
          <w:sz w:val="16"/>
          <w:szCs w:val="16"/>
          <w:color w:val="auto"/>
        </w:rPr>
        <w:t>“Cause” is defined in the AAP Management Unit grant agreements of PAA’s Named Executive Officers other than Mr. Chiang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 For</w:t>
      </w:r>
    </w:p>
    <w:p>
      <w:pPr>
        <w:spacing w:after="0" w:line="5"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Mr. Chiang, “Cause” is defined as (i) 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9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our Class A shares on the applicable date.</w:t>
      </w:r>
    </w:p>
    <w:p>
      <w:pPr>
        <w:spacing w:after="0" w:line="170" w:lineRule="exact"/>
        <w:rPr>
          <w:sz w:val="20"/>
          <w:szCs w:val="20"/>
          <w:color w:val="auto"/>
        </w:rPr>
      </w:pPr>
    </w:p>
    <w:p>
      <w:pPr>
        <w:ind w:left="660" w:right="20" w:hanging="652"/>
        <w:spacing w:after="0" w:line="270" w:lineRule="auto"/>
        <w:tabs>
          <w:tab w:leader="none" w:pos="648"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2015, 100% of the AAP Management Units held by</w:t>
      </w:r>
    </w:p>
    <w:p>
      <w:pPr>
        <w:spacing w:after="0" w:line="4"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6"/>
          <w:szCs w:val="16"/>
          <w:color w:val="auto"/>
        </w:rPr>
        <w:t>Messrs. Armstrong, Pefanis, Swanson, Duckett and vonBerg had been earned, and none of the AAP Management Units held by Mr. Chiang had been</w:t>
      </w:r>
    </w:p>
    <w:p>
      <w:pPr>
        <w:sectPr>
          <w:pgSz w:w="11900" w:h="16838" w:orient="portrait"/>
          <w:cols w:equalWidth="0" w:num="1">
            <w:col w:w="11400"/>
          </w:cols>
          <w:pgMar w:left="240" w:top="125" w:right="259" w:bottom="0" w:gutter="0" w:footer="0" w:header="0"/>
        </w:sectPr>
      </w:pPr>
    </w:p>
    <w:bookmarkStart w:id="99" w:name="page100"/>
    <w:bookmarkEnd w:id="99"/>
    <w:p>
      <w:pPr>
        <w:spacing w:after="0" w:line="62" w:lineRule="exact"/>
        <w:rPr>
          <w:sz w:val="20"/>
          <w:szCs w:val="20"/>
          <w:color w:val="auto"/>
        </w:rPr>
      </w:pPr>
    </w:p>
    <w:p>
      <w:pPr>
        <w:ind w:left="660" w:right="160"/>
        <w:spacing w:after="0" w:line="284" w:lineRule="auto"/>
        <w:rPr>
          <w:sz w:val="20"/>
          <w:szCs w:val="20"/>
          <w:color w:val="auto"/>
        </w:rPr>
      </w:pPr>
      <w:r>
        <w:rPr>
          <w:rFonts w:ascii="Arial" w:cs="Arial" w:eastAsia="Arial" w:hAnsi="Arial"/>
          <w:sz w:val="16"/>
          <w:szCs w:val="16"/>
          <w:color w:val="auto"/>
        </w:rPr>
        <w:t>earned. Accordingly, assuming that a Change in Control occurred on December 31, 2015 (or in the case of Mr. Chiang, 90 days prior to December 31, 2015) and that in connection with such Change in Control, Mr. Chiang had not received the Executive Promotion, all of the AAP Management Units held by Messrs. Armstrong, Pefanis, Swanson, Duckett, vonBerg and Chiang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for Messrs. Armstrong, Pefanis, Swanson, Duckett and vonBerg represents the implied value of such “benefit” to the applicable Named Executive Officer, calculated as of December 31, 2015 by</w:t>
      </w:r>
    </w:p>
    <w:p>
      <w:pPr>
        <w:spacing w:after="0" w:line="3" w:lineRule="exact"/>
        <w:rPr>
          <w:sz w:val="20"/>
          <w:szCs w:val="20"/>
          <w:color w:val="auto"/>
        </w:rPr>
      </w:pPr>
    </w:p>
    <w:p>
      <w:pPr>
        <w:ind w:left="660" w:right="20" w:hanging="4"/>
        <w:spacing w:after="0" w:line="290" w:lineRule="auto"/>
        <w:tabs>
          <w:tab w:leader="none" w:pos="87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assuming that such officer’s AAP Management Units are converted into AAP units based on the December 31, 2015 conversion factor of approximately 0.938 AAP units and Class B shares for each AAP Management Unit, (ii) assuming the exchange of the resulting AAP units and our Class B shares for our Class A shares on a one-for-one basis, and (iii) multiplying such resulting number of our Class A shares by an amount equal to 25% of the closing market price ($9.45) of our Class A shares at December 31, 2015 (the last trading day of the fiscal year). The value reflected in the table above for Mr. Chiang represents the implied value of such “benefit”, calculated as of December 31, 2015 by (i) assuming that Mr. Chiang’s AAP Management Units are converted into AAP units based on the December 31, 2015 conversion factor of approximately 0.938 AAP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units and Class B shares for each AAP Management Unit, (ii) assuming the exchange of the resulting AAP units and our Class B shares for our Class A shares on a one-for-one basis, and (iii) multiplying such resulting number of our Class A shares by an amount equal to 100% of the closing market price ($9.45) of our Class A shares at December 31, 2015 (the last trading day of the fiscal year). The entire economic burden of the AAP Management Units is borne solely by AAP.</w:t>
      </w:r>
    </w:p>
    <w:p>
      <w:pPr>
        <w:spacing w:after="0" w:line="187" w:lineRule="exact"/>
        <w:rPr>
          <w:sz w:val="20"/>
          <w:szCs w:val="20"/>
          <w:color w:val="auto"/>
        </w:rPr>
      </w:pPr>
    </w:p>
    <w:p>
      <w:pPr>
        <w:ind w:left="660" w:right="60" w:firstLine="5"/>
        <w:spacing w:after="0" w:line="288" w:lineRule="auto"/>
        <w:rPr>
          <w:sz w:val="20"/>
          <w:szCs w:val="20"/>
          <w:color w:val="auto"/>
        </w:rPr>
      </w:pPr>
      <w:r>
        <w:rPr>
          <w:rFonts w:ascii="Arial" w:cs="Arial" w:eastAsia="Arial" w:hAnsi="Arial"/>
          <w:sz w:val="16"/>
          <w:szCs w:val="16"/>
          <w:color w:val="auto"/>
        </w:rPr>
        <w:t>“Change in Control” means the determination by the board that one of the following events has occurred: (i) the Persons who own member interests in GP Holdings immediately following the closing of the GP IPO, including PAGP, and the respective Affiliates of such Persons (such owners and Affiliates being referred to as the “Owner Affiliates”), cease to own directly or indirectly at least 50% of the membership interests of such entity;</w:t>
      </w:r>
    </w:p>
    <w:p>
      <w:pPr>
        <w:ind w:left="660" w:right="120"/>
        <w:spacing w:after="0" w:line="252" w:lineRule="auto"/>
        <w:rPr>
          <w:sz w:val="20"/>
          <w:szCs w:val="20"/>
          <w:color w:val="auto"/>
        </w:rPr>
      </w:pPr>
      <w:r>
        <w:rPr>
          <w:rFonts w:ascii="Arial" w:cs="Arial" w:eastAsia="Arial" w:hAnsi="Arial"/>
          <w:sz w:val="18"/>
          <w:szCs w:val="18"/>
          <w:color w:val="auto"/>
        </w:rPr>
        <w:t xml:space="preserve">(ii) (x) a “person” or “group” other than the Owner Affiliates becomes the “beneficial owner” directly or indirectly of 25% or more of the member interest in the general partner of PAGP,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93" w:lineRule="exact"/>
        <w:rPr>
          <w:sz w:val="20"/>
          <w:szCs w:val="20"/>
          <w:color w:val="auto"/>
        </w:rPr>
      </w:pPr>
    </w:p>
    <w:p>
      <w:pPr>
        <w:ind w:left="660" w:right="480" w:hanging="652"/>
        <w:spacing w:after="0" w:line="238" w:lineRule="auto"/>
        <w:tabs>
          <w:tab w:leader="none" w:pos="639" w:val="left"/>
        </w:tabs>
        <w:numPr>
          <w:ilvl w:val="0"/>
          <w:numId w:val="108"/>
        </w:numPr>
        <w:rPr>
          <w:rFonts w:ascii="Arial" w:cs="Arial" w:eastAsia="Arial" w:hAnsi="Arial"/>
          <w:sz w:val="22"/>
          <w:szCs w:val="22"/>
          <w:color w:val="auto"/>
          <w:vertAlign w:val="superscript"/>
        </w:rPr>
      </w:pPr>
      <w:r>
        <w:rPr>
          <w:rFonts w:ascii="Arial" w:cs="Arial" w:eastAsia="Arial" w:hAnsi="Arial"/>
          <w:sz w:val="17"/>
          <w:szCs w:val="17"/>
          <w:color w:val="auto"/>
        </w:rPr>
        <w:t>If Messrs. Swanson, Duckett, vonBerg or Chiang were terminated for cause, GP LLC would be obligated to pay base salary through the date of termination, with no other payment obligation triggered by the termination under any employment arrangement.</w:t>
      </w:r>
    </w:p>
    <w:p>
      <w:pPr>
        <w:spacing w:after="0" w:line="203" w:lineRule="exact"/>
        <w:rPr>
          <w:rFonts w:ascii="Arial" w:cs="Arial" w:eastAsia="Arial" w:hAnsi="Arial"/>
          <w:sz w:val="22"/>
          <w:szCs w:val="22"/>
          <w:color w:val="auto"/>
          <w:vertAlign w:val="superscript"/>
        </w:rPr>
      </w:pPr>
    </w:p>
    <w:p>
      <w:pPr>
        <w:ind w:left="660" w:hanging="652"/>
        <w:spacing w:after="0" w:line="278" w:lineRule="auto"/>
        <w:tabs>
          <w:tab w:leader="none" w:pos="634"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Mr. Chiang’s employment agreement provides that in the event of his death or disability prior to December 31, 2018, if less than 500,000 of his AAP Management Units have been earned, he shall vest in such number of additional AAP Management Units as may be necessary to cause the total number of vested AAP Management Units to equal 500,000. Mr. Chiang’s AAP Management Unit grant agreement also provides that in the event of his death or disability, AAP will not have a call right and all of his earned AAP Management Units will vest. As of December 31, 2015, none of Mr. Chiang’s AAP Management Units had been earned. The dollar value given assumes Mr. Chiang’s death or disability on December 31, 2015 and represents the implied value of such “benefit,” calculated as of December 31, 2015 by (i) assuming that Mr. Chiang’s vested AAP Management Units are converted into AAP units based on the December 31, 2015 conversion factor of approximately 0.938 AAP units and Class B shares for each AAP Management Unit, (ii) assuming the exchange of the resulting AAP units and our Class B shares for our Class A shares on a one-for-one basis, and (iii) multiplying such resulting number of our Class A shares by the closing market price ($9.45) of our Class A shares at December 31, 2015 (the last trading day of the fiscal year). The entire economic burden of the AAP Management Units is borne solely by 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ind w:right="140"/>
        <w:spacing w:after="0" w:line="273" w:lineRule="auto"/>
        <w:rPr>
          <w:sz w:val="20"/>
          <w:szCs w:val="20"/>
          <w:color w:val="auto"/>
        </w:rPr>
      </w:pPr>
      <w:r>
        <w:rPr>
          <w:rFonts w:ascii="Arial" w:cs="Arial" w:eastAsia="Arial" w:hAnsi="Arial"/>
          <w:sz w:val="17"/>
          <w:szCs w:val="17"/>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Mr. Chiang has agreed to maintain confidentiality and not to solicit customers, assets and employees for two years following termination of his employment.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GP LLC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12"/>
                <w:szCs w:val="12"/>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Cash ($)</w:t>
            </w:r>
          </w:p>
        </w:tc>
        <w:tc>
          <w:tcPr>
            <w:tcW w:w="1640" w:type="dxa"/>
            <w:vAlign w:val="bottom"/>
            <w:gridSpan w:val="2"/>
          </w:tcPr>
          <w:p>
            <w:pPr>
              <w:jc w:val="right"/>
              <w:ind w:right="560"/>
              <w:spacing w:after="0" w:line="172" w:lineRule="exact"/>
              <w:rPr>
                <w:sz w:val="20"/>
                <w:szCs w:val="20"/>
                <w:color w:val="auto"/>
              </w:rPr>
            </w:pPr>
            <w:r>
              <w:rPr>
                <w:rFonts w:ascii="Arial" w:cs="Arial" w:eastAsia="Arial" w:hAnsi="Arial"/>
                <w:sz w:val="14"/>
                <w:szCs w:val="14"/>
                <w:b w:val="1"/>
                <w:bCs w:val="1"/>
                <w:color w:val="auto"/>
              </w:rPr>
              <w:t xml:space="preserve">Awards ($) </w:t>
            </w:r>
            <w:r>
              <w:rPr>
                <w:rFonts w:ascii="Arial" w:cs="Arial" w:eastAsia="Arial" w:hAnsi="Arial"/>
                <w:sz w:val="17"/>
                <w:szCs w:val="17"/>
                <w:b w:val="1"/>
                <w:bCs w:val="1"/>
                <w:color w:val="auto"/>
                <w:vertAlign w:val="superscript"/>
              </w:rPr>
              <w:t>(1)</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Ben Figlock </w:t>
            </w:r>
            <w:r>
              <w:rPr>
                <w:rFonts w:ascii="Arial" w:cs="Arial" w:eastAsia="Arial" w:hAnsi="Arial"/>
                <w:sz w:val="23"/>
                <w:szCs w:val="23"/>
                <w:color w:val="auto"/>
                <w:vertAlign w:val="superscript"/>
              </w:rPr>
              <w:t>(2)</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179,200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254,200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89,600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134,600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136,600</w:t>
            </w: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J. Taft Symonds</w:t>
            </w:r>
          </w:p>
        </w:tc>
        <w:tc>
          <w:tcPr>
            <w:tcW w:w="16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62,000</w:t>
            </w:r>
          </w:p>
        </w:tc>
        <w:tc>
          <w:tcPr>
            <w:tcW w:w="16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179,200</w:t>
            </w: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241,200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3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60,000</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179,200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44" w:lineRule="auto"/>
        <w:tabs>
          <w:tab w:leader="none" w:pos="648"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2015 is based on the grant date fair value computed in accordance with FASB ASC Topic 718. See Note 15 to our Consolidated Financial Statements for additional discussion regarding the calculation of grant date fair values. In connection with the August 2015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2015 (other than the incremental audit committee awards), a cash payment of $145,050 was made to Oxy as directed by Mr. Figlock. Such cash payment was based on the unit value of Mr. Sinnott’s award on the previous year’s vesting date. As of December 31, 2015, the number of outstanding LTIPs held by GP LLC’s directors was as follows: Goyanes - 20,000; Petersen - 10,000; Raymond - 10,000; Sinnott - 10,000; Symonds - 20,000; and Temple - 20,000.</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Mr. Figlock’s compensation is assigned to Oxy.</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director of GP LLC who is not an employee of GP LLC is reimbursed for any travel, lodging and other out-of-pocket expenses related to meeting attendance or otherwise related to service on the GP LLC board (including, without limitation, reimbursement for continuing education expenses). Each GP LLC non-employee director is currently paid an annual retainer fee of $45,000; however, the annual retainer fee for the director designated by Oxy is paid to Oxy. Mr. Armstrong is otherwise compensated for his services as an employee and therefore receives no separate compensation for his services as a director. In addition to the annual retainer, each committee chairman (other than the chairman of the GP LLC audit committee) receives $2,000 annually. The chairman of the GP LLC audit committee receives $30,000 annually, and the other members of the GP LLC audit committee receive $15,000 annually, in each case, in addition to the annual retainer. During 2015, Messrs. Sinnott, Goyanes and Symonds served as chairmen of the GP LLC compensation, audit and governance committees, respectively.</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GP LLC’s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All LTIP awards held by a GP LLC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or director of any public company) or (ii) is removed from the board of directors or is not reelected to the board of directors, unless such removal or failure to reelect is for “good cause,” as defined in the letter granting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PAA GP Holdings LLC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paid to each person who served as a non-employee director of GP Holdings in 2015: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12"/>
                <w:szCs w:val="12"/>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Cash ($)</w:t>
            </w:r>
          </w:p>
        </w:tc>
        <w:tc>
          <w:tcPr>
            <w:tcW w:w="1640" w:type="dxa"/>
            <w:vAlign w:val="bottom"/>
            <w:gridSpan w:val="2"/>
          </w:tcPr>
          <w:p>
            <w:pPr>
              <w:jc w:val="right"/>
              <w:ind w:right="560"/>
              <w:spacing w:after="0" w:line="172" w:lineRule="exact"/>
              <w:rPr>
                <w:sz w:val="20"/>
                <w:szCs w:val="20"/>
                <w:color w:val="auto"/>
              </w:rPr>
            </w:pPr>
            <w:r>
              <w:rPr>
                <w:rFonts w:ascii="Arial" w:cs="Arial" w:eastAsia="Arial" w:hAnsi="Arial"/>
                <w:sz w:val="14"/>
                <w:szCs w:val="14"/>
                <w:b w:val="1"/>
                <w:bCs w:val="1"/>
                <w:color w:val="auto"/>
              </w:rPr>
              <w:t xml:space="preserve">Awards ($) </w:t>
            </w:r>
            <w:r>
              <w:rPr>
                <w:rFonts w:ascii="Arial" w:cs="Arial" w:eastAsia="Arial" w:hAnsi="Arial"/>
                <w:sz w:val="17"/>
                <w:szCs w:val="17"/>
                <w:b w:val="1"/>
                <w:bCs w:val="1"/>
                <w:color w:val="auto"/>
                <w:vertAlign w:val="superscript"/>
              </w:rPr>
              <w:t>(1)</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Victor Burk</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Ben Figlock </w:t>
            </w:r>
            <w:r>
              <w:rPr>
                <w:rFonts w:ascii="Arial" w:cs="Arial" w:eastAsia="Arial" w:hAnsi="Arial"/>
                <w:sz w:val="23"/>
                <w:szCs w:val="23"/>
                <w:color w:val="auto"/>
                <w:vertAlign w:val="superscript"/>
              </w:rPr>
              <w:t>(2)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133,632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133,632</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Bobby Shackouls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262,720</w:t>
            </w:r>
          </w:p>
        </w:tc>
        <w:tc>
          <w:tcPr>
            <w:tcW w:w="0" w:type="dxa"/>
            <w:vAlign w:val="bottom"/>
          </w:tcPr>
          <w:p>
            <w:pPr>
              <w:spacing w:after="0"/>
              <w:rPr>
                <w:sz w:val="1"/>
                <w:szCs w:val="1"/>
                <w:color w:val="auto"/>
              </w:rPr>
            </w:pPr>
          </w:p>
        </w:tc>
      </w:tr>
      <w:tr>
        <w:trPr>
          <w:trHeight w:val="305"/>
        </w:trPr>
        <w:tc>
          <w:tcPr>
            <w:tcW w:w="6640" w:type="dxa"/>
            <w:vAlign w:val="bottom"/>
            <w:gridSpan w:val="2"/>
          </w:tcPr>
          <w:p>
            <w:pPr>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right="40" w:hanging="328"/>
        <w:spacing w:after="0" w:line="257" w:lineRule="auto"/>
        <w:tabs>
          <w:tab w:leader="none" w:pos="648" w:val="left"/>
        </w:tabs>
        <w:numPr>
          <w:ilvl w:val="0"/>
          <w:numId w:val="110"/>
        </w:numPr>
        <w:rPr>
          <w:rFonts w:ascii="Arial" w:cs="Arial" w:eastAsia="Arial" w:hAnsi="Arial"/>
          <w:sz w:val="22"/>
          <w:szCs w:val="22"/>
          <w:color w:val="auto"/>
          <w:vertAlign w:val="superscript"/>
        </w:rPr>
      </w:pPr>
      <w:r>
        <w:rPr>
          <w:rFonts w:ascii="Arial" w:cs="Arial" w:eastAsia="Arial" w:hAnsi="Arial"/>
          <w:sz w:val="17"/>
          <w:szCs w:val="17"/>
          <w:color w:val="auto"/>
        </w:rPr>
        <w:t>The dollar value of LTIPs granted during 2015 is based on the grant date fair value computed in accordance with FASB ASC Topic 718. See Note 15 to our Consolidated Financial Statements for additional discussion regarding the calculation of grant date fair values. In connection with the February 2015 vesting of director LTIP awards, Messrs. Burk and Shackouls each were granted 8,000 phantom Class A shares and Mr. Goyanes was granted 4,800 phantom Class A shares by virtue of the automatic re-grant feature of the vested awards. As of December 31, 2015, the number of outstanding LTIPs held by our directors was as follows: Burk — 32,000; Goyanes — 19,200; and Shackouls — 32,000.</w:t>
      </w:r>
    </w:p>
    <w:p>
      <w:pPr>
        <w:spacing w:after="0" w:line="188" w:lineRule="exact"/>
        <w:rPr>
          <w:rFonts w:ascii="Arial" w:cs="Arial" w:eastAsia="Arial" w:hAnsi="Arial"/>
          <w:sz w:val="22"/>
          <w:szCs w:val="22"/>
          <w:color w:val="auto"/>
          <w:vertAlign w:val="superscript"/>
        </w:rPr>
      </w:pPr>
    </w:p>
    <w:p>
      <w:pPr>
        <w:ind w:left="660" w:right="180" w:hanging="328"/>
        <w:spacing w:after="0" w:line="227" w:lineRule="auto"/>
        <w:tabs>
          <w:tab w:leader="none" w:pos="648"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color w:val="auto"/>
        </w:rPr>
        <w:t>Messrs. Figlock, Raymond and Sinnott served on both the GP LLC board and the GP Holdings board during 2015. They were compensated by GP LLC and did not receive additional compensation for service on the GP Holdings board.</w:t>
      </w:r>
    </w:p>
    <w:p>
      <w:pPr>
        <w:spacing w:after="0" w:line="20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Messrs. Figlock, Raymond and Sinnott serve on both our general partner’s board of directors and GP LLC’s board of directors. They are compensated by GP LLC and do not receive additional compensation for service on our general partner’s board of directors. Mr. Armstrong is otherwise compensated for his services as an employee by GP LLC and receives no separate compensation for his services as a director of our general partner.</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Messrs. Burk and Shackouls each receive an annual retainer of $40,000 for service on our general partner’s board and the audit committee. Messrs. Burk and Shackouls each also received initial equity compensation in the form of an LTIP award for 32,000 phantom Class A shares that, subject to continued service as a director, vests in 25% increments over a four-year period and includes an automatic re-grant feature such that as they vest, an equivalent amount is granted.</w:t>
      </w:r>
    </w:p>
    <w:p>
      <w:pPr>
        <w:sectPr>
          <w:pgSz w:w="11900" w:h="16838" w:orient="portrait"/>
          <w:cols w:equalWidth="0" w:num="1">
            <w:col w:w="11420"/>
          </w:cols>
          <w:pgMar w:left="240" w:top="140" w:right="239" w:bottom="0" w:gutter="0" w:footer="0" w:header="0"/>
        </w:sectPr>
      </w:pPr>
    </w:p>
    <w:bookmarkStart w:id="101" w:name="page102"/>
    <w:bookmarkEnd w:id="101"/>
    <w:p>
      <w:pPr>
        <w:spacing w:after="0" w:line="20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Mr. Goyanes serves on our general partner’s board as well as on GP LLC’s board and also serves as chairman of the audit committee of both boards. Mr. Goyanes is compensated by GP LLC for his service as a director and chairman of the audit committee of the GP LLC board. See “— Compensation of GP LLC Directors” above. Mr. Goyanes does not receive any cash consideration for his service as a director and chairman of the audit committee of our general partner’s board, but received initial equity compensation in the form of an LTIP award for 19,200 phantom Class A shares that, subject to continued service as a director, vests in 25% increments over a four-year period and includes an automatic re-grant feature such that as they vest, an equivalent amount is granted. Mr. Goyanes’ annual compensation represents roughly one-half of the value of the total annual compensation paid to each of Messrs. Burk and Shackouls.</w:t>
      </w:r>
    </w:p>
    <w:p>
      <w:pPr>
        <w:spacing w:after="0" w:line="18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LTIP awards granted to Messrs. Burk, Goyanes and Shackouls also have associated distribution equivalent rights that are payable quarterly and entitle the holder to receive a cash payment for each phantom Class A share equal in amount to the distribution paid on our Class A shares. The LTIP awards held by Messrs. Burk, Goyanes and Shackouls vest in full upon the distribution date immediately following the date such</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director (i) dies or is determined by the board to be disabled, (ii) retires, or (iii) is removed from the board of directors or is not re-elected to the board of directors, unless such removal or failure to re-elect is for “cause” as defined in the limited liability company agreement of our general partner.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director will be indemnified for his actions associated with being a director to the fullest extent permitted under Delaware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PAA does not pay its general partner a management fee, but it does reimburse its general partner for all direct and indirect costs of services provided to PAA, incurred on PAA’s behalf, including the costs of employee, officer and director compensation (other than expenses related to the AAP Management Units)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certain information regarding the beneficial ownership of our Class A shares and Class B shares as of February 15,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ind w:left="660" w:hanging="29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A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B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Named Executive Officers of our general partner;</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directors of our general partner;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225"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0"/>
              </w:rPr>
              <w:t>Percentage of</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B Shares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Class B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9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9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91"/>
              </w:rPr>
              <w:t xml:space="preserve">Beneficially Owned </w:t>
            </w:r>
            <w:r>
              <w:rPr>
                <w:rFonts w:ascii="Arial" w:cs="Arial" w:eastAsia="Arial" w:hAnsi="Arial"/>
                <w:sz w:val="17"/>
                <w:szCs w:val="17"/>
                <w:b w:val="1"/>
                <w:bCs w:val="1"/>
                <w:color w:val="auto"/>
                <w:w w:val="91"/>
                <w:vertAlign w:val="superscript"/>
              </w:rPr>
              <w:t>(1)</w:t>
            </w: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4"/>
              </w:rPr>
              <w:t>Owned</w:t>
            </w:r>
          </w:p>
        </w:tc>
        <w:tc>
          <w:tcPr>
            <w:tcW w:w="1660" w:type="dxa"/>
            <w:vAlign w:val="bottom"/>
            <w:gridSpan w:val="2"/>
          </w:tcPr>
          <w:p>
            <w:pPr>
              <w:jc w:val="center"/>
              <w:ind w:right="280"/>
              <w:spacing w:after="0" w:line="172" w:lineRule="exact"/>
              <w:rPr>
                <w:sz w:val="20"/>
                <w:szCs w:val="20"/>
                <w:color w:val="auto"/>
              </w:rPr>
            </w:pPr>
            <w:r>
              <w:rPr>
                <w:rFonts w:ascii="Arial" w:cs="Arial" w:eastAsia="Arial" w:hAnsi="Arial"/>
                <w:sz w:val="19"/>
                <w:szCs w:val="19"/>
                <w:b w:val="1"/>
                <w:bCs w:val="1"/>
                <w:color w:val="auto"/>
                <w:vertAlign w:val="subscript"/>
              </w:rPr>
              <w:t>Owned</w:t>
            </w:r>
            <w:r>
              <w:rPr>
                <w:rFonts w:ascii="Arial" w:cs="Arial" w:eastAsia="Arial" w:hAnsi="Arial"/>
                <w:sz w:val="7"/>
                <w:szCs w:val="7"/>
                <w:b w:val="1"/>
                <w:bCs w:val="1"/>
                <w:color w:val="auto"/>
              </w:rPr>
              <w:t xml:space="preserve"> (1) (2)</w:t>
            </w:r>
          </w:p>
        </w:tc>
        <w:tc>
          <w:tcPr>
            <w:tcW w:w="1520" w:type="dxa"/>
            <w:vAlign w:val="bottom"/>
            <w:gridSpan w:val="2"/>
          </w:tcPr>
          <w:p>
            <w:pPr>
              <w:jc w:val="center"/>
              <w:ind w:right="180"/>
              <w:spacing w:after="0" w:line="172" w:lineRule="exact"/>
              <w:rPr>
                <w:sz w:val="20"/>
                <w:szCs w:val="20"/>
                <w:color w:val="auto"/>
              </w:rPr>
            </w:pPr>
            <w:r>
              <w:rPr>
                <w:rFonts w:ascii="Arial" w:cs="Arial" w:eastAsia="Arial" w:hAnsi="Arial"/>
                <w:sz w:val="14"/>
                <w:szCs w:val="14"/>
                <w:b w:val="1"/>
                <w:bCs w:val="1"/>
                <w:color w:val="auto"/>
                <w:w w:val="89"/>
              </w:rPr>
              <w:t xml:space="preserve">Owned </w:t>
            </w:r>
            <w:r>
              <w:rPr>
                <w:rFonts w:ascii="Arial" w:cs="Arial" w:eastAsia="Arial" w:hAnsi="Arial"/>
                <w:sz w:val="17"/>
                <w:szCs w:val="17"/>
                <w:b w:val="1"/>
                <w:bCs w:val="1"/>
                <w:color w:val="auto"/>
                <w:w w:val="89"/>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7"/>
                <w:szCs w:val="17"/>
                <w:color w:val="auto"/>
              </w:rPr>
              <w:t xml:space="preserve">Waddell &amp; Reed Financial, Inc. </w:t>
            </w:r>
            <w:r>
              <w:rPr>
                <w:rFonts w:ascii="Arial" w:cs="Arial" w:eastAsia="Arial" w:hAnsi="Arial"/>
                <w:sz w:val="22"/>
                <w:szCs w:val="22"/>
                <w:color w:val="auto"/>
                <w:vertAlign w:val="superscript"/>
              </w:rPr>
              <w:t>(3)</w:t>
            </w:r>
          </w:p>
        </w:tc>
        <w:tc>
          <w:tcPr>
            <w:tcW w:w="2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16,263,938</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6.1</w:t>
            </w:r>
          </w:p>
        </w:tc>
        <w:tc>
          <w:tcPr>
            <w:tcW w:w="28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6300 Lamar Avenue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Overland Park, KS 66202</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Salient Capital Advisors </w:t>
            </w:r>
            <w:r>
              <w:rPr>
                <w:rFonts w:ascii="Arial" w:cs="Arial" w:eastAsia="Arial" w:hAnsi="Arial"/>
                <w:sz w:val="23"/>
                <w:szCs w:val="23"/>
                <w:color w:val="auto"/>
                <w:vertAlign w:val="superscript"/>
              </w:rPr>
              <w:t>(4)</w:t>
            </w:r>
          </w:p>
        </w:tc>
        <w:tc>
          <w:tcPr>
            <w:tcW w:w="1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15,883,779</w:t>
            </w:r>
          </w:p>
        </w:tc>
        <w:tc>
          <w:tcPr>
            <w:tcW w:w="16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6.0%</w:t>
            </w:r>
          </w:p>
        </w:tc>
        <w:tc>
          <w:tcPr>
            <w:tcW w:w="16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200"/>
              <w:spacing w:after="0" w:line="216" w:lineRule="exact"/>
              <w:rPr>
                <w:sz w:val="20"/>
                <w:szCs w:val="20"/>
                <w:color w:val="auto"/>
              </w:rPr>
            </w:pPr>
            <w:r>
              <w:rPr>
                <w:rFonts w:ascii="Arial" w:cs="Arial" w:eastAsia="Arial" w:hAnsi="Arial"/>
                <w:sz w:val="18"/>
                <w:szCs w:val="18"/>
                <w:color w:val="auto"/>
              </w:rPr>
              <w:t>4265 San Felipe,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200"/>
              <w:spacing w:after="0"/>
              <w:rPr>
                <w:sz w:val="20"/>
                <w:szCs w:val="20"/>
                <w:color w:val="auto"/>
              </w:rPr>
            </w:pPr>
            <w:r>
              <w:rPr>
                <w:rFonts w:ascii="Arial" w:cs="Arial" w:eastAsia="Arial" w:hAnsi="Arial"/>
                <w:sz w:val="18"/>
                <w:szCs w:val="18"/>
                <w:color w:val="auto"/>
              </w:rPr>
              <w:t>Houston, TX 77027</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7"/>
              </w:rPr>
              <w:t>Kayne Anderson Capital Advisors, L.P./Richard A. Kayne</w:t>
            </w:r>
            <w:r>
              <w:rPr>
                <w:rFonts w:ascii="Arial" w:cs="Arial" w:eastAsia="Arial" w:hAnsi="Arial"/>
                <w:sz w:val="23"/>
                <w:szCs w:val="23"/>
                <w:color w:val="auto"/>
                <w:w w:val="97"/>
                <w:vertAlign w:val="superscript"/>
              </w:rPr>
              <w:t>(5)</w:t>
            </w:r>
          </w:p>
        </w:tc>
        <w:tc>
          <w:tcPr>
            <w:tcW w:w="19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13,219,681</w:t>
            </w:r>
          </w:p>
        </w:tc>
        <w:tc>
          <w:tcPr>
            <w:tcW w:w="16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5.0%</w:t>
            </w:r>
          </w:p>
        </w:tc>
        <w:tc>
          <w:tcPr>
            <w:tcW w:w="16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200"/>
              <w:spacing w:after="0" w:line="216" w:lineRule="exact"/>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 Angeles, CA 90067</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tcPr>
          <w:p>
            <w:pPr>
              <w:spacing w:after="0" w:line="201" w:lineRule="exact"/>
              <w:rPr>
                <w:sz w:val="20"/>
                <w:szCs w:val="20"/>
                <w:color w:val="auto"/>
              </w:rPr>
            </w:pPr>
            <w:r>
              <w:rPr>
                <w:rFonts w:ascii="Arial" w:cs="Arial" w:eastAsia="Arial" w:hAnsi="Arial"/>
                <w:sz w:val="18"/>
                <w:szCs w:val="18"/>
                <w:color w:val="auto"/>
              </w:rPr>
              <w:t>EMG Investment, LLC</w:t>
            </w:r>
          </w:p>
        </w:tc>
        <w:tc>
          <w:tcPr>
            <w:tcW w:w="1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121,516,879</w:t>
            </w:r>
          </w:p>
        </w:tc>
        <w:tc>
          <w:tcPr>
            <w:tcW w:w="280" w:type="dxa"/>
            <w:vAlign w:val="bottom"/>
          </w:tcPr>
          <w:p>
            <w:pPr>
              <w:spacing w:after="0"/>
              <w:rPr>
                <w:sz w:val="17"/>
                <w:szCs w:val="17"/>
                <w:color w:val="auto"/>
              </w:rPr>
            </w:pPr>
          </w:p>
        </w:tc>
        <w:tc>
          <w:tcPr>
            <w:tcW w:w="15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200"/>
              <w:spacing w:after="0"/>
              <w:rPr>
                <w:sz w:val="20"/>
                <w:szCs w:val="20"/>
                <w:color w:val="auto"/>
              </w:rPr>
            </w:pPr>
            <w:r>
              <w:rPr>
                <w:rFonts w:ascii="Arial" w:cs="Arial" w:eastAsia="Arial" w:hAnsi="Arial"/>
                <w:sz w:val="18"/>
                <w:szCs w:val="18"/>
                <w:color w:val="auto"/>
              </w:rPr>
              <w:t>811 Main, Suite 4200</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200"/>
              <w:spacing w:after="0"/>
              <w:rPr>
                <w:sz w:val="20"/>
                <w:szCs w:val="20"/>
                <w:color w:val="auto"/>
              </w:rPr>
            </w:pPr>
            <w:r>
              <w:rPr>
                <w:rFonts w:ascii="Arial" w:cs="Arial" w:eastAsia="Arial" w:hAnsi="Arial"/>
                <w:sz w:val="18"/>
                <w:szCs w:val="18"/>
                <w:color w:val="auto"/>
              </w:rPr>
              <w:t>Houston, TX 77002</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KAFU Holdings, L.P. et al</w:t>
            </w:r>
          </w:p>
        </w:tc>
        <w:tc>
          <w:tcPr>
            <w:tcW w:w="19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81,060,157</w:t>
            </w:r>
          </w:p>
        </w:tc>
        <w:tc>
          <w:tcPr>
            <w:tcW w:w="15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1800 Avenue of the Stars, 3rd Floor</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 Angeles, CA 90067</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gridSpan w:val="2"/>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0"/>
              </w:rPr>
              <w:t>Percentage of</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Shares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 xml:space="preserve">Beneficially Owned </w:t>
            </w:r>
            <w:r>
              <w:rPr>
                <w:rFonts w:ascii="Arial" w:cs="Arial" w:eastAsia="Arial" w:hAnsi="Arial"/>
                <w:sz w:val="17"/>
                <w:szCs w:val="17"/>
                <w:b w:val="1"/>
                <w:bCs w:val="1"/>
                <w:color w:val="auto"/>
                <w:w w:val="91"/>
                <w:vertAlign w:val="superscript"/>
              </w:rPr>
              <w:t>(1)</w:t>
            </w: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Class B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8"/>
                <w:szCs w:val="28"/>
                <w:b w:val="1"/>
                <w:bCs w:val="1"/>
                <w:color w:val="auto"/>
                <w:w w:val="78"/>
                <w:vertAlign w:val="subscript"/>
              </w:rPr>
              <w:t>Owned</w:t>
            </w:r>
            <w:r>
              <w:rPr>
                <w:rFonts w:ascii="Arial" w:cs="Arial" w:eastAsia="Arial" w:hAnsi="Arial"/>
                <w:sz w:val="9"/>
                <w:szCs w:val="9"/>
                <w:b w:val="1"/>
                <w:bCs w:val="1"/>
                <w:color w:val="auto"/>
                <w:w w:val="78"/>
              </w:rPr>
              <w:t xml:space="preserve"> (1) (2)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-914400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7038" w:orient="portrait"/>
          <w:cols w:equalWidth="0" w:num="1">
            <w:col w:w="11460"/>
          </w:cols>
          <w:pgMar w:left="240" w:top="125" w:right="199" w:bottom="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Owned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right"/>
              <w:ind w:right="470"/>
              <w:spacing w:after="0" w:line="172" w:lineRule="exact"/>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95"/>
        </w:trPr>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Oxy Holding Company (Pipeline), Inc.</w:t>
            </w:r>
          </w:p>
        </w:tc>
        <w:tc>
          <w:tcPr>
            <w:tcW w:w="280" w:type="dxa"/>
            <w:vAlign w:val="bottom"/>
          </w:tcPr>
          <w:p>
            <w:pPr>
              <w:spacing w:after="0"/>
              <w:rPr>
                <w:sz w:val="16"/>
                <w:szCs w:val="16"/>
                <w:color w:val="auto"/>
              </w:rPr>
            </w:pPr>
          </w:p>
        </w:tc>
        <w:tc>
          <w:tcPr>
            <w:tcW w:w="1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79,830,161</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20.6</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0"/>
              <w:spacing w:after="0"/>
              <w:rPr>
                <w:sz w:val="20"/>
                <w:szCs w:val="20"/>
                <w:color w:val="auto"/>
              </w:rPr>
            </w:pPr>
            <w:r>
              <w:rPr>
                <w:rFonts w:ascii="Arial" w:cs="Arial" w:eastAsia="Arial" w:hAnsi="Arial"/>
                <w:sz w:val="18"/>
                <w:szCs w:val="18"/>
                <w:color w:val="auto"/>
              </w:rPr>
              <w:t>5 Greenway Plaza</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200"/>
              <w:spacing w:after="0"/>
              <w:rPr>
                <w:sz w:val="20"/>
                <w:szCs w:val="20"/>
                <w:color w:val="auto"/>
              </w:rPr>
            </w:pPr>
            <w:r>
              <w:rPr>
                <w:rFonts w:ascii="Arial" w:cs="Arial" w:eastAsia="Arial" w:hAnsi="Arial"/>
                <w:sz w:val="18"/>
                <w:szCs w:val="18"/>
                <w:color w:val="auto"/>
              </w:rPr>
              <w:t>Houston, TX 77046</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15,317,555</w:t>
            </w:r>
            <w:r>
              <w:rPr>
                <w:rFonts w:ascii="Arial" w:cs="Arial" w:eastAsia="Arial" w:hAnsi="Arial"/>
                <w:sz w:val="23"/>
                <w:szCs w:val="23"/>
                <w:color w:val="auto"/>
                <w:vertAlign w:val="superscript"/>
              </w:rPr>
              <w:t>(6)</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spacing w:after="0" w:line="162" w:lineRule="exact"/>
              <w:rPr>
                <w:sz w:val="20"/>
                <w:szCs w:val="20"/>
                <w:color w:val="auto"/>
              </w:rPr>
            </w:pPr>
            <w:r>
              <w:rPr>
                <w:rFonts w:ascii="Arial" w:cs="Arial" w:eastAsia="Arial" w:hAnsi="Arial"/>
                <w:sz w:val="18"/>
                <w:szCs w:val="18"/>
                <w:color w:val="auto"/>
              </w:rPr>
              <w:t>Greg L. Armstrong</w:t>
            </w:r>
          </w:p>
        </w:tc>
        <w:tc>
          <w:tcPr>
            <w:tcW w:w="194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1,200,000</w:t>
            </w:r>
          </w:p>
        </w:tc>
        <w:tc>
          <w:tcPr>
            <w:tcW w:w="1080" w:type="dxa"/>
            <w:vAlign w:val="bottom"/>
          </w:tcPr>
          <w:p>
            <w:pPr>
              <w:spacing w:after="0"/>
              <w:rPr>
                <w:sz w:val="14"/>
                <w:szCs w:val="14"/>
                <w:color w:val="auto"/>
              </w:rPr>
            </w:pPr>
          </w:p>
        </w:tc>
        <w:tc>
          <w:tcPr>
            <w:tcW w:w="340" w:type="dxa"/>
            <w:vAlign w:val="bottom"/>
            <w:gridSpan w:val="2"/>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489,065</w:t>
            </w:r>
          </w:p>
        </w:tc>
        <w:tc>
          <w:tcPr>
            <w:tcW w:w="10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line="223" w:lineRule="exact"/>
              <w:rPr>
                <w:sz w:val="20"/>
                <w:szCs w:val="20"/>
                <w:color w:val="auto"/>
              </w:rPr>
            </w:pPr>
            <w:r>
              <w:rPr>
                <w:rFonts w:ascii="Arial" w:cs="Arial" w:eastAsia="Arial" w:hAnsi="Arial"/>
                <w:sz w:val="18"/>
                <w:szCs w:val="18"/>
                <w:color w:val="auto"/>
              </w:rPr>
              <w:t>10,026,960</w:t>
            </w:r>
            <w:r>
              <w:rPr>
                <w:rFonts w:ascii="Arial" w:cs="Arial" w:eastAsia="Arial" w:hAnsi="Arial"/>
                <w:sz w:val="23"/>
                <w:szCs w:val="23"/>
                <w:color w:val="auto"/>
                <w:vertAlign w:val="superscript"/>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4660" w:type="dxa"/>
            <w:vAlign w:val="bottom"/>
            <w:gridSpan w:val="2"/>
          </w:tcPr>
          <w:p>
            <w:pPr>
              <w:spacing w:after="0"/>
              <w:rPr>
                <w:sz w:val="20"/>
                <w:szCs w:val="20"/>
                <w:color w:val="auto"/>
              </w:rPr>
            </w:pPr>
            <w:r>
              <w:rPr>
                <w:rFonts w:ascii="Arial" w:cs="Arial" w:eastAsia="Arial" w:hAnsi="Arial"/>
                <w:sz w:val="18"/>
                <w:szCs w:val="18"/>
                <w:color w:val="auto"/>
              </w:rPr>
              <w:t>Al Swanson</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2,445,189</w:t>
            </w:r>
          </w:p>
        </w:tc>
        <w:tc>
          <w:tcPr>
            <w:tcW w:w="10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line="209" w:lineRule="exact"/>
              <w:rPr>
                <w:sz w:val="20"/>
                <w:szCs w:val="20"/>
                <w:color w:val="auto"/>
              </w:rPr>
            </w:pPr>
            <w:r>
              <w:rPr>
                <w:rFonts w:ascii="Arial" w:cs="Arial" w:eastAsia="Arial" w:hAnsi="Arial"/>
                <w:sz w:val="18"/>
                <w:szCs w:val="18"/>
                <w:color w:val="auto"/>
              </w:rPr>
              <w:t>1,154,716</w:t>
            </w:r>
            <w:r>
              <w:rPr>
                <w:rFonts w:ascii="Arial" w:cs="Arial" w:eastAsia="Arial" w:hAnsi="Arial"/>
                <w:sz w:val="23"/>
                <w:szCs w:val="23"/>
                <w:color w:val="auto"/>
                <w:vertAlign w:val="superscript"/>
              </w:rPr>
              <w:t>(8)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W. David Duckett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2,345,327</w:t>
            </w:r>
          </w:p>
        </w:tc>
        <w:tc>
          <w:tcPr>
            <w:tcW w:w="10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line="216" w:lineRule="exact"/>
              <w:rPr>
                <w:sz w:val="20"/>
                <w:szCs w:val="20"/>
                <w:color w:val="auto"/>
              </w:rPr>
            </w:pPr>
            <w:r>
              <w:rPr>
                <w:rFonts w:ascii="Arial" w:cs="Arial" w:eastAsia="Arial" w:hAnsi="Arial"/>
                <w:sz w:val="18"/>
                <w:szCs w:val="18"/>
                <w:color w:val="auto"/>
              </w:rPr>
              <w:t>3,147,251</w:t>
            </w:r>
            <w:r>
              <w:rPr>
                <w:rFonts w:ascii="Arial" w:cs="Arial" w:eastAsia="Arial" w:hAnsi="Arial"/>
                <w:sz w:val="23"/>
                <w:szCs w:val="23"/>
                <w:color w:val="auto"/>
                <w:vertAlign w:val="superscript"/>
              </w:rPr>
              <w:t>(9)</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3,423,264</w:t>
            </w:r>
          </w:p>
        </w:tc>
        <w:tc>
          <w:tcPr>
            <w:tcW w:w="1080" w:type="dxa"/>
            <w:vAlign w:val="bottom"/>
          </w:tcPr>
          <w:p>
            <w:pPr>
              <w:spacing w:after="0"/>
              <w:rPr>
                <w:sz w:val="18"/>
                <w:szCs w:val="18"/>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20" w:type="dxa"/>
            <w:vAlign w:val="bottom"/>
            <w:gridSpan w:val="2"/>
          </w:tcPr>
          <w:p>
            <w:pPr>
              <w:jc w:val="right"/>
              <w:ind w:right="100"/>
              <w:spacing w:after="0" w:line="216" w:lineRule="exact"/>
              <w:rPr>
                <w:sz w:val="20"/>
                <w:szCs w:val="20"/>
                <w:color w:val="auto"/>
              </w:rPr>
            </w:pPr>
            <w:r>
              <w:rPr>
                <w:rFonts w:ascii="Arial" w:cs="Arial" w:eastAsia="Arial" w:hAnsi="Arial"/>
                <w:sz w:val="18"/>
                <w:szCs w:val="18"/>
                <w:color w:val="auto"/>
              </w:rPr>
              <w:t>917,262</w:t>
            </w:r>
            <w:r>
              <w:rPr>
                <w:rFonts w:ascii="Arial" w:cs="Arial" w:eastAsia="Arial" w:hAnsi="Arial"/>
                <w:sz w:val="23"/>
                <w:szCs w:val="23"/>
                <w:color w:val="auto"/>
                <w:vertAlign w:val="superscript"/>
              </w:rPr>
              <w:t>(10)</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Wilfred (Willie) C. Chiang</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200,000</w:t>
            </w:r>
          </w:p>
        </w:tc>
        <w:tc>
          <w:tcPr>
            <w:tcW w:w="108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940,002</w:t>
            </w:r>
            <w:r>
              <w:rPr>
                <w:rFonts w:ascii="Arial" w:cs="Arial" w:eastAsia="Arial" w:hAnsi="Arial"/>
                <w:sz w:val="23"/>
                <w:szCs w:val="23"/>
                <w:color w:val="auto"/>
                <w:vertAlign w:val="superscript"/>
              </w:rPr>
              <w:t>(11)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Victor Burk</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19,000</w:t>
            </w:r>
          </w:p>
        </w:tc>
        <w:tc>
          <w:tcPr>
            <w:tcW w:w="10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 Figlock</w:t>
            </w:r>
          </w:p>
        </w:tc>
        <w:tc>
          <w:tcPr>
            <w:tcW w:w="3020" w:type="dxa"/>
            <w:vAlign w:val="bottom"/>
            <w:gridSpan w:val="3"/>
            <w:shd w:val="clear" w:color="auto" w:fill="CCEEFF"/>
          </w:tcPr>
          <w:p>
            <w:pPr>
              <w:jc w:val="right"/>
              <w:ind w:right="128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660" w:type="dxa"/>
            <w:vAlign w:val="bottom"/>
            <w:gridSpan w:val="2"/>
          </w:tcPr>
          <w:p>
            <w:pPr>
              <w:spacing w:after="0" w:line="162" w:lineRule="exact"/>
              <w:rPr>
                <w:sz w:val="20"/>
                <w:szCs w:val="20"/>
                <w:color w:val="auto"/>
              </w:rPr>
            </w:pPr>
            <w:r>
              <w:rPr>
                <w:rFonts w:ascii="Arial" w:cs="Arial" w:eastAsia="Arial" w:hAnsi="Arial"/>
                <w:sz w:val="18"/>
                <w:szCs w:val="18"/>
                <w:color w:val="auto"/>
              </w:rPr>
              <w:t>Everardo Goyanes</w:t>
            </w:r>
          </w:p>
        </w:tc>
        <w:tc>
          <w:tcPr>
            <w:tcW w:w="194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54,600</w:t>
            </w:r>
          </w:p>
        </w:tc>
        <w:tc>
          <w:tcPr>
            <w:tcW w:w="1080" w:type="dxa"/>
            <w:vAlign w:val="bottom"/>
          </w:tcPr>
          <w:p>
            <w:pPr>
              <w:spacing w:after="0"/>
              <w:rPr>
                <w:sz w:val="14"/>
                <w:szCs w:val="14"/>
                <w:color w:val="auto"/>
              </w:rPr>
            </w:pPr>
          </w:p>
        </w:tc>
        <w:tc>
          <w:tcPr>
            <w:tcW w:w="340" w:type="dxa"/>
            <w:vAlign w:val="bottom"/>
            <w:gridSpan w:val="2"/>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573,954</w:t>
            </w:r>
          </w:p>
        </w:tc>
        <w:tc>
          <w:tcPr>
            <w:tcW w:w="108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129,993,681</w:t>
            </w:r>
            <w:r>
              <w:rPr>
                <w:rFonts w:ascii="Arial" w:cs="Arial" w:eastAsia="Arial" w:hAnsi="Arial"/>
                <w:sz w:val="23"/>
                <w:szCs w:val="23"/>
                <w:color w:val="auto"/>
                <w:vertAlign w:val="superscript"/>
              </w:rPr>
              <w:t>(12)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62"/>
        </w:trPr>
        <w:tc>
          <w:tcPr>
            <w:tcW w:w="4660" w:type="dxa"/>
            <w:vAlign w:val="bottom"/>
            <w:gridSpan w:val="2"/>
          </w:tcPr>
          <w:p>
            <w:pPr>
              <w:spacing w:after="0" w:line="162" w:lineRule="exact"/>
              <w:rPr>
                <w:sz w:val="20"/>
                <w:szCs w:val="20"/>
                <w:color w:val="auto"/>
              </w:rPr>
            </w:pPr>
            <w:r>
              <w:rPr>
                <w:rFonts w:ascii="Arial" w:cs="Arial" w:eastAsia="Arial" w:hAnsi="Arial"/>
                <w:sz w:val="18"/>
                <w:szCs w:val="18"/>
                <w:color w:val="auto"/>
              </w:rPr>
              <w:t>Bobby S. Shackouls</w:t>
            </w:r>
          </w:p>
        </w:tc>
        <w:tc>
          <w:tcPr>
            <w:tcW w:w="194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16,000</w:t>
            </w:r>
          </w:p>
        </w:tc>
        <w:tc>
          <w:tcPr>
            <w:tcW w:w="1080" w:type="dxa"/>
            <w:vAlign w:val="bottom"/>
          </w:tcPr>
          <w:p>
            <w:pPr>
              <w:spacing w:after="0"/>
              <w:rPr>
                <w:sz w:val="14"/>
                <w:szCs w:val="14"/>
                <w:color w:val="auto"/>
              </w:rPr>
            </w:pPr>
          </w:p>
        </w:tc>
        <w:tc>
          <w:tcPr>
            <w:tcW w:w="340" w:type="dxa"/>
            <w:vAlign w:val="bottom"/>
            <w:gridSpan w:val="2"/>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3,274,488</w:t>
            </w:r>
          </w:p>
        </w:tc>
        <w:tc>
          <w:tcPr>
            <w:tcW w:w="1080" w:type="dxa"/>
            <w:vAlign w:val="bottom"/>
          </w:tcPr>
          <w:p>
            <w:pPr>
              <w:spacing w:after="0"/>
              <w:rPr>
                <w:sz w:val="23"/>
                <w:szCs w:val="23"/>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74,903,838</w:t>
            </w:r>
            <w:r>
              <w:rPr>
                <w:rFonts w:ascii="Arial" w:cs="Arial" w:eastAsia="Arial" w:hAnsi="Arial"/>
                <w:sz w:val="23"/>
                <w:szCs w:val="23"/>
                <w:color w:val="auto"/>
                <w:vertAlign w:val="superscript"/>
              </w:rPr>
              <w:t>(13)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of our general</w:t>
            </w: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 xml:space="preserve">partner as a group (16 persons) </w:t>
            </w:r>
            <w:r>
              <w:rPr>
                <w:rFonts w:ascii="Arial" w:cs="Arial" w:eastAsia="Arial" w:hAnsi="Arial"/>
                <w:sz w:val="23"/>
                <w:szCs w:val="23"/>
                <w:color w:val="auto"/>
                <w:vertAlign w:val="superscript"/>
              </w:rPr>
              <w:t>(15)</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15,752,519</w:t>
            </w:r>
          </w:p>
        </w:tc>
        <w:tc>
          <w:tcPr>
            <w:tcW w:w="1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240,056,223</w:t>
            </w:r>
            <w:r>
              <w:rPr>
                <w:rFonts w:ascii="Arial" w:cs="Arial" w:eastAsia="Arial" w:hAnsi="Arial"/>
                <w:sz w:val="11"/>
                <w:szCs w:val="11"/>
                <w:color w:val="auto"/>
              </w:rPr>
              <w:t>(14)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-2392680</wp:posOffset>
            </wp:positionV>
            <wp:extent cx="7246620" cy="420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-1835150</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-1560830</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-1286510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-737870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120" w:firstLine="8"/>
        <w:spacing w:after="0" w:line="257" w:lineRule="auto"/>
        <w:tabs>
          <w:tab w:leader="none" w:pos="636"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188" w:lineRule="exact"/>
        <w:rPr>
          <w:rFonts w:ascii="Arial" w:cs="Arial" w:eastAsia="Arial" w:hAnsi="Arial"/>
          <w:sz w:val="22"/>
          <w:szCs w:val="22"/>
          <w:color w:val="auto"/>
          <w:vertAlign w:val="superscript"/>
        </w:rPr>
      </w:pPr>
    </w:p>
    <w:p>
      <w:pPr>
        <w:ind w:right="40" w:firstLine="8"/>
        <w:spacing w:after="0" w:line="242" w:lineRule="auto"/>
        <w:tabs>
          <w:tab w:leader="none" w:pos="636"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will not be more than one-to-one and was approximately 0.940 AAP units (and Class B shares) for each AAP Management Unit as of February 15,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0.940 conversion ratio.</w:t>
      </w:r>
    </w:p>
    <w:p>
      <w:pPr>
        <w:sectPr>
          <w:pgSz w:w="11900" w:h="16838" w:orient="portrait"/>
          <w:cols w:equalWidth="0" w:num="1">
            <w:col w:w="11420"/>
          </w:cols>
          <w:pgMar w:left="240" w:top="104"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has been derived from a Schedule 13G filed with the SEC on February 12, 2016.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has been derived from a Schedule 13G filed with the SEC on January 12, 2016.</w:t>
      </w:r>
    </w:p>
    <w:p>
      <w:pPr>
        <w:spacing w:after="0" w:line="200" w:lineRule="exact"/>
        <w:rPr>
          <w:sz w:val="20"/>
          <w:szCs w:val="20"/>
          <w:color w:val="auto"/>
        </w:rPr>
      </w:pPr>
    </w:p>
    <w:p>
      <w:pPr>
        <w:sectPr>
          <w:pgSz w:w="11900" w:h="16838" w:orient="portrait"/>
          <w:cols w:equalWidth="0" w:num="2">
            <w:col w:w="140" w:space="500"/>
            <w:col w:w="10780"/>
          </w:cols>
          <w:pgMar w:left="240" w:top="104" w:right="239" w:bottom="0" w:gutter="0" w:footer="0" w:header="0"/>
          <w:type w:val="continuous"/>
        </w:sectPr>
      </w:pPr>
    </w:p>
    <w:p>
      <w:pPr>
        <w:spacing w:after="0" w:line="48" w:lineRule="exact"/>
        <w:rPr>
          <w:sz w:val="20"/>
          <w:szCs w:val="20"/>
          <w:color w:val="auto"/>
        </w:rPr>
      </w:pPr>
    </w:p>
    <w:p>
      <w:pPr>
        <w:jc w:val="both"/>
        <w:ind w:right="140" w:firstLine="8"/>
        <w:spacing w:after="0"/>
        <w:tabs>
          <w:tab w:leader="none" w:pos="636" w:val="left"/>
        </w:tabs>
        <w:numPr>
          <w:ilvl w:val="0"/>
          <w:numId w:val="113"/>
        </w:numPr>
        <w:rPr>
          <w:rFonts w:ascii="Arial" w:cs="Arial" w:eastAsia="Arial" w:hAnsi="Arial"/>
          <w:sz w:val="23"/>
          <w:szCs w:val="23"/>
          <w:color w:val="auto"/>
          <w:vertAlign w:val="superscript"/>
        </w:rPr>
      </w:pPr>
      <w:r>
        <w:rPr>
          <w:rFonts w:ascii="Arial" w:cs="Arial" w:eastAsia="Arial" w:hAnsi="Arial"/>
          <w:sz w:val="18"/>
          <w:szCs w:val="18"/>
          <w:color w:val="auto"/>
        </w:rPr>
        <w:t>Richard A. Kayne is Chief Executive Officer and Director of Kayne Anderson Investment Management, Inc., which is the general partner of Kayne Anderson Capital Advisors, L.P. (“KACALP”). Various accounts under the management or control of KACALP own 12,718,240 Class A shares. Mr. Kayne may be deemed to beneficially own such shares. In addition, Mr. Kayne directly owns or has sole voting and dispositive power over 501,441 Class A shares. Mr. Kayne disclaims beneficial ownership of any of our Class A shares other than Class A shares held by him or attributable to him by virtue of his interests in the accounts that own our Class A shares.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8"/>
        <w:spacing w:after="0" w:line="249" w:lineRule="auto"/>
        <w:tabs>
          <w:tab w:leader="none" w:pos="636" w:val="left"/>
        </w:tabs>
        <w:numPr>
          <w:ilvl w:val="0"/>
          <w:numId w:val="114"/>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beneficial ownership of 9,800,262 AAP units and Class B shares, based on an assumed conversion ratio of 0.940 AAP units and Class B shares for each AAP Management Unit.</w:t>
      </w:r>
    </w:p>
    <w:p>
      <w:pPr>
        <w:spacing w:after="0" w:line="196" w:lineRule="exact"/>
        <w:rPr>
          <w:rFonts w:ascii="Arial" w:cs="Arial" w:eastAsia="Arial" w:hAnsi="Arial"/>
          <w:sz w:val="22"/>
          <w:szCs w:val="22"/>
          <w:color w:val="auto"/>
          <w:vertAlign w:val="superscript"/>
        </w:rPr>
      </w:pPr>
    </w:p>
    <w:p>
      <w:pPr>
        <w:ind w:right="80" w:firstLine="8"/>
        <w:spacing w:after="0" w:line="249" w:lineRule="auto"/>
        <w:tabs>
          <w:tab w:leader="none" w:pos="636" w:val="left"/>
        </w:tabs>
        <w:numPr>
          <w:ilvl w:val="0"/>
          <w:numId w:val="114"/>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beneficial ownership of 6,880,196 AAP units and Class B shares, based on an assumed conversion ratio of 0.940 AAP units and Class B shares for each AAP Management Unit.</w:t>
      </w:r>
    </w:p>
    <w:p>
      <w:pPr>
        <w:spacing w:after="0" w:line="196" w:lineRule="exact"/>
        <w:rPr>
          <w:rFonts w:ascii="Arial" w:cs="Arial" w:eastAsia="Arial" w:hAnsi="Arial"/>
          <w:sz w:val="22"/>
          <w:szCs w:val="22"/>
          <w:color w:val="auto"/>
          <w:vertAlign w:val="superscript"/>
        </w:rPr>
      </w:pPr>
    </w:p>
    <w:p>
      <w:pPr>
        <w:ind w:right="280" w:firstLine="8"/>
        <w:spacing w:after="0" w:line="227" w:lineRule="auto"/>
        <w:tabs>
          <w:tab w:leader="none" w:pos="636"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Represents the number of Class B shares beneficially owned by Mr. Swanson through his direct and indirect ownership of an approximately 5.3% interest in PAA Management, L.P., which entity owns 21,835,922 Class B shares.</w:t>
      </w:r>
    </w:p>
    <w:p>
      <w:pPr>
        <w:spacing w:after="0" w:line="202" w:lineRule="exact"/>
        <w:rPr>
          <w:rFonts w:ascii="Arial" w:cs="Arial" w:eastAsia="Arial" w:hAnsi="Arial"/>
          <w:sz w:val="23"/>
          <w:szCs w:val="23"/>
          <w:color w:val="auto"/>
          <w:vertAlign w:val="superscript"/>
        </w:rPr>
      </w:pPr>
    </w:p>
    <w:p>
      <w:pPr>
        <w:ind w:right="140" w:firstLine="8"/>
        <w:spacing w:after="0" w:line="249" w:lineRule="auto"/>
        <w:tabs>
          <w:tab w:leader="none" w:pos="636" w:val="left"/>
        </w:tabs>
        <w:numPr>
          <w:ilvl w:val="0"/>
          <w:numId w:val="114"/>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1,815,107 AAP units and Class B shares, based on an assumed conversion ratio of 0.940 AAP units and Class B shares for each AAP Management Unit.</w:t>
      </w:r>
    </w:p>
    <w:p>
      <w:pPr>
        <w:spacing w:after="0" w:line="196" w:lineRule="exact"/>
        <w:rPr>
          <w:rFonts w:ascii="Arial" w:cs="Arial" w:eastAsia="Arial" w:hAnsi="Arial"/>
          <w:sz w:val="22"/>
          <w:szCs w:val="22"/>
          <w:color w:val="auto"/>
          <w:vertAlign w:val="superscript"/>
        </w:rPr>
      </w:pPr>
    </w:p>
    <w:p>
      <w:pPr>
        <w:ind w:right="320" w:firstLine="8"/>
        <w:spacing w:after="0" w:line="227" w:lineRule="auto"/>
        <w:tabs>
          <w:tab w:leader="none" w:pos="627"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Represents the number of Class B shares beneficially owned by Mr. vonBerg through his direct and indirect ownership of an approximately 4.2% interest in PAA Management, L.P., which entity owns 21,835,922 Class B shares.</w:t>
      </w:r>
    </w:p>
    <w:p>
      <w:pPr>
        <w:spacing w:after="0" w:line="202" w:lineRule="exact"/>
        <w:rPr>
          <w:rFonts w:ascii="Arial" w:cs="Arial" w:eastAsia="Arial" w:hAnsi="Arial"/>
          <w:sz w:val="23"/>
          <w:szCs w:val="23"/>
          <w:color w:val="auto"/>
          <w:vertAlign w:val="superscript"/>
        </w:rPr>
      </w:pPr>
    </w:p>
    <w:p>
      <w:pPr>
        <w:ind w:right="400" w:firstLine="8"/>
        <w:spacing w:after="0" w:line="227" w:lineRule="auto"/>
        <w:tabs>
          <w:tab w:leader="none" w:pos="623"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Represents the number of Class B shares beneficially owned by Mr. Chiang through his beneficial ownership of 940,002 AAP units and Class B shares, based on an assumed conversion ratio of 0.940 AAP units and Class B shares for each AAP Management Unit.</w:t>
      </w:r>
    </w:p>
    <w:p>
      <w:pPr>
        <w:spacing w:after="0" w:line="202" w:lineRule="exact"/>
        <w:rPr>
          <w:rFonts w:ascii="Arial" w:cs="Arial" w:eastAsia="Arial" w:hAnsi="Arial"/>
          <w:sz w:val="23"/>
          <w:szCs w:val="23"/>
          <w:color w:val="auto"/>
          <w:vertAlign w:val="superscript"/>
        </w:rPr>
      </w:pPr>
    </w:p>
    <w:p>
      <w:pPr>
        <w:jc w:val="both"/>
        <w:ind w:right="20" w:firstLine="8"/>
        <w:spacing w:after="0" w:line="238" w:lineRule="auto"/>
        <w:tabs>
          <w:tab w:leader="none" w:pos="627"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ectPr>
          <w:pgSz w:w="11900" w:h="16838" w:orient="portrait"/>
          <w:cols w:equalWidth="0" w:num="1">
            <w:col w:w="11420"/>
          </w:cols>
          <w:pgMar w:left="240" w:top="104" w:right="239" w:bottom="0" w:gutter="0" w:footer="0" w:header="0"/>
          <w:type w:val="continuous"/>
        </w:sectPr>
      </w:pPr>
    </w:p>
    <w:bookmarkStart w:id="103" w:name="page104"/>
    <w:bookmarkEnd w:id="103"/>
    <w:p>
      <w:pPr>
        <w:ind w:right="100" w:firstLine="8"/>
        <w:spacing w:after="0" w:line="238" w:lineRule="auto"/>
        <w:tabs>
          <w:tab w:leader="none" w:pos="627"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Mr. Sinnott has shared voting and dispositive power over the Class B shares owned by (i) KAFU Holdings, L.P. (“KAFU”), which entity owns 3,305,189 Class B shares, (ii) KAFU Holdings (QP), L.P. (“KAFU QP”), which entity owns 64,803,104 Class B shares, and (iii) KAFU Holdings II, L.P. (“KAFU II”), which entity owns 6,795,545 Class B shares. Mr. Sinnott disclaims any deemed beneficial ownership of the interests owned by KAFU, KAFU QP and KAFU II beyond his pecuniary interest therein.</w:t>
      </w:r>
    </w:p>
    <w:p>
      <w:pPr>
        <w:spacing w:after="0" w:line="202" w:lineRule="exact"/>
        <w:rPr>
          <w:rFonts w:ascii="Arial" w:cs="Arial" w:eastAsia="Arial" w:hAnsi="Arial"/>
          <w:sz w:val="23"/>
          <w:szCs w:val="23"/>
          <w:color w:val="auto"/>
          <w:vertAlign w:val="superscript"/>
        </w:rPr>
      </w:pPr>
    </w:p>
    <w:p>
      <w:pPr>
        <w:jc w:val="both"/>
        <w:ind w:right="240" w:firstLine="8"/>
        <w:spacing w:after="0" w:line="238" w:lineRule="auto"/>
        <w:tabs>
          <w:tab w:leader="none" w:pos="627"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The executive officers of our general partner as a group directly and indirectly own (i) an approximately 65.3% interest in PAA Management, L.P., which entity owns 21,835,922 Class B shares, and (ii) 20,905,607 AAP units and Class B shares based on an assumed conversion ratio of 0.940 AAP units and Class B shares for each AAP Management Unit. Amount shown in table represents the number of Class B shares beneficially owned by this group by virtue of such interests.</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As of February 15, 2016, no Class A shares or Class B shares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the percentage ownership of each of the Class A limited partners of AAP and the resulting economic interest of each such limited partner and the holders of the AAP Management Units as a group, in each case as of February 15,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Percentage</w:t>
            </w: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Ownership of</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Class A LP</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520" w:type="dxa"/>
            <w:vAlign w:val="bottom"/>
            <w:gridSpan w:val="2"/>
          </w:tcPr>
          <w:p>
            <w:pPr>
              <w:jc w:val="center"/>
              <w:ind w:right="180"/>
              <w:spacing w:after="0" w:line="172" w:lineRule="exact"/>
              <w:rPr>
                <w:sz w:val="20"/>
                <w:szCs w:val="20"/>
                <w:color w:val="auto"/>
              </w:rPr>
            </w:pPr>
            <w:r>
              <w:rPr>
                <w:rFonts w:ascii="Arial" w:cs="Arial" w:eastAsia="Arial" w:hAnsi="Arial"/>
                <w:sz w:val="14"/>
                <w:szCs w:val="14"/>
                <w:b w:val="1"/>
                <w:bCs w:val="1"/>
                <w:color w:val="auto"/>
                <w:w w:val="91"/>
              </w:rPr>
              <w:t xml:space="preserve">AAP, L.P. </w:t>
            </w:r>
            <w:r>
              <w:rPr>
                <w:rFonts w:ascii="Arial" w:cs="Arial" w:eastAsia="Arial" w:hAnsi="Arial"/>
                <w:sz w:val="17"/>
                <w:szCs w:val="17"/>
                <w:b w:val="1"/>
                <w:bCs w:val="1"/>
                <w:color w:val="auto"/>
                <w:w w:val="91"/>
                <w:vertAlign w:val="superscript"/>
              </w:rPr>
              <w:t>(1)</w:t>
            </w:r>
          </w:p>
        </w:tc>
        <w:tc>
          <w:tcPr>
            <w:tcW w:w="0" w:type="dxa"/>
            <w:vAlign w:val="bottom"/>
          </w:tcPr>
          <w:p>
            <w:pPr>
              <w:spacing w:after="0"/>
              <w:rPr>
                <w:sz w:val="1"/>
                <w:szCs w:val="1"/>
                <w:color w:val="auto"/>
              </w:rPr>
            </w:pPr>
          </w:p>
        </w:tc>
      </w:tr>
      <w:tr>
        <w:trPr>
          <w:trHeight w:val="195"/>
        </w:trPr>
        <w:tc>
          <w:tcPr>
            <w:tcW w:w="7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Plains GP Holdings, L.P.</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2"/>
        </w:trPr>
        <w:tc>
          <w:tcPr>
            <w:tcW w:w="824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811 Main, Suite 4200</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3rd Floor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8240" w:type="dxa"/>
            <w:vAlign w:val="bottom"/>
            <w:gridSpan w:val="2"/>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5 Greenway Plaza</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Houston, TX 77046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b w:val="1"/>
                <w:bCs w:val="1"/>
                <w:color w:val="auto"/>
                <w:vertAlign w:val="superscript"/>
              </w:rPr>
              <w:t>(2)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Strome PAA, L.P. and Affiliate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Various Individual Investors </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7"/>
        </w:trPr>
        <w:tc>
          <w:tcPr>
            <w:tcW w:w="8240" w:type="dxa"/>
            <w:vAlign w:val="bottom"/>
            <w:gridSpan w:val="2"/>
          </w:tcPr>
          <w:p>
            <w:pPr>
              <w:spacing w:after="0"/>
              <w:rPr>
                <w:sz w:val="20"/>
                <w:szCs w:val="20"/>
                <w:color w:val="auto"/>
              </w:rPr>
            </w:pPr>
            <w:r>
              <w:rPr>
                <w:rFonts w:ascii="Arial" w:cs="Arial" w:eastAsia="Arial" w:hAnsi="Arial"/>
                <w:sz w:val="18"/>
                <w:szCs w:val="18"/>
                <w:color w:val="auto"/>
              </w:rPr>
              <w:t xml:space="preserve">AAP Management Unitholders </w:t>
            </w:r>
            <w:r>
              <w:rPr>
                <w:rFonts w:ascii="Arial" w:cs="Arial" w:eastAsia="Arial" w:hAnsi="Arial"/>
                <w:sz w:val="23"/>
                <w:szCs w:val="23"/>
                <w:b w:val="1"/>
                <w:bCs w:val="1"/>
                <w:color w:val="auto"/>
                <w:vertAlign w:val="superscript"/>
              </w:rPr>
              <w:t>(4)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1" w:lineRule="exact"/>
        <w:rPr>
          <w:sz w:val="20"/>
          <w:szCs w:val="20"/>
          <w:color w:val="auto"/>
        </w:rPr>
      </w:pPr>
    </w:p>
    <w:p>
      <w:pPr>
        <w:ind w:left="660" w:right="60" w:hanging="652"/>
        <w:spacing w:after="0" w:line="254" w:lineRule="auto"/>
        <w:tabs>
          <w:tab w:leader="none" w:pos="648" w:val="left"/>
        </w:tabs>
        <w:numPr>
          <w:ilvl w:val="0"/>
          <w:numId w:val="116"/>
        </w:numPr>
        <w:rPr>
          <w:rFonts w:ascii="Arial" w:cs="Arial" w:eastAsia="Arial" w:hAnsi="Arial"/>
          <w:sz w:val="22"/>
          <w:szCs w:val="22"/>
          <w:color w:val="auto"/>
          <w:vertAlign w:val="superscript"/>
        </w:rPr>
      </w:pPr>
      <w:r>
        <w:rPr>
          <w:rFonts w:ascii="Arial" w:cs="Arial" w:eastAsia="Arial" w:hAnsi="Arial"/>
          <w:sz w:val="17"/>
          <w:szCs w:val="17"/>
          <w:color w:val="auto"/>
        </w:rPr>
        <w:t>AAP owns a 100% member interest in PAA GP LLC, which owns PAA’s 2% general partner interest. AAP has pledged its member interest, as well as its interest in PAA’s incentive distribution rights, as security for its obligations under the Second Amended and Restated Credit Agreement dated as of September 26, 2013 among AAP, Citibank, N.A. and the lenders party thereto (as amended, the “Plains AAP Credit Agreement”). A default by AAP under the Plains AAP Credit Agreement could result in a change in control of PAA’s general partner.</w:t>
      </w:r>
    </w:p>
    <w:p>
      <w:pPr>
        <w:spacing w:after="0" w:line="192" w:lineRule="exact"/>
        <w:rPr>
          <w:rFonts w:ascii="Arial" w:cs="Arial" w:eastAsia="Arial" w:hAnsi="Arial"/>
          <w:sz w:val="22"/>
          <w:szCs w:val="22"/>
          <w:color w:val="auto"/>
          <w:vertAlign w:val="superscript"/>
        </w:rPr>
      </w:pPr>
    </w:p>
    <w:p>
      <w:pPr>
        <w:ind w:left="660" w:right="100" w:hanging="652"/>
        <w:spacing w:after="0"/>
        <w:tabs>
          <w:tab w:leader="none" w:pos="64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ectPr>
          <w:pgSz w:w="11900" w:h="16838" w:orient="portrait"/>
          <w:cols w:equalWidth="0" w:num="1">
            <w:col w:w="11420"/>
          </w:cols>
          <w:pgMar w:left="240" w:top="341"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Includes certain current and former members of management who have converted AAP Management Units into AAP units and our Class B shares.</w:t>
      </w:r>
    </w:p>
    <w:p>
      <w:pPr>
        <w:spacing w:after="0" w:line="248" w:lineRule="exact"/>
        <w:rPr>
          <w:sz w:val="20"/>
          <w:szCs w:val="20"/>
          <w:color w:val="auto"/>
        </w:rPr>
      </w:pPr>
    </w:p>
    <w:p>
      <w:pPr>
        <w:ind w:left="20" w:right="100" w:hanging="11"/>
        <w:spacing w:after="0" w:line="297" w:lineRule="auto"/>
        <w:rPr>
          <w:sz w:val="20"/>
          <w:szCs w:val="20"/>
          <w:color w:val="auto"/>
        </w:rPr>
      </w:pPr>
      <w:r>
        <w:rPr>
          <w:rFonts w:ascii="Arial" w:cs="Arial" w:eastAsia="Arial" w:hAnsi="Arial"/>
          <w:sz w:val="16"/>
          <w:szCs w:val="16"/>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February 15, 2016, Named Executive Officers and executive officers as a group owned the following AAP Management Units, AAP units and Class A shares (other than Mr. Armstrong, none of our directors own any AAP Management Units):</w:t>
      </w:r>
    </w:p>
    <w:p>
      <w:pPr>
        <w:spacing w:after="0" w:line="137"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tbl>
      <w:tblPr>
        <w:tblLayout w:type="fixed"/>
        <w:tblInd w:w="66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Name of Owner</w:t>
            </w:r>
          </w:p>
        </w:tc>
        <w:tc>
          <w:tcPr>
            <w:tcW w:w="2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AAP Management</w:t>
            </w:r>
          </w:p>
        </w:tc>
        <w:tc>
          <w:tcPr>
            <w:tcW w:w="16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AAP Units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Units</w:t>
            </w:r>
          </w:p>
        </w:tc>
        <w:tc>
          <w:tcPr>
            <w:tcW w:w="162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10,425,791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Harry N. Pefanis</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7,319,344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489,065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Al Swanson</w:t>
            </w:r>
          </w:p>
        </w:tc>
        <w:tc>
          <w:tcPr>
            <w:tcW w:w="2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2,445,189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1,930,961</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John vonBerg</w:t>
            </w:r>
          </w:p>
        </w:tc>
        <w:tc>
          <w:tcPr>
            <w:tcW w:w="2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3,423,264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as a group</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22,239,965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2,689,707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11,814,477</w:t>
            </w: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1620" w:type="dxa"/>
            <w:vAlign w:val="bottom"/>
            <w:gridSpan w:val="2"/>
          </w:tcPr>
          <w:p>
            <w:pPr>
              <w:jc w:val="right"/>
              <w:ind w:right="1157"/>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2015. For a description, see Item 13. “Certain Relationships and Related Transactions, and Director Independence—Plains GP Holdings, L.P. Long Term Incentive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120" w:type="dxa"/>
            <w:vAlign w:val="bottom"/>
          </w:tcPr>
          <w:p>
            <w:pPr>
              <w:jc w:val="center"/>
              <w:ind w:left="2048"/>
              <w:spacing w:after="0"/>
              <w:rPr>
                <w:sz w:val="20"/>
                <w:szCs w:val="20"/>
                <w:color w:val="auto"/>
              </w:rPr>
            </w:pPr>
            <w:r>
              <w:rPr>
                <w:rFonts w:ascii="Arial" w:cs="Arial" w:eastAsia="Arial" w:hAnsi="Arial"/>
                <w:sz w:val="14"/>
                <w:szCs w:val="14"/>
                <w:b w:val="1"/>
                <w:bCs w:val="1"/>
                <w:color w:val="auto"/>
                <w:w w:val="92"/>
              </w:rPr>
              <w:t>Number of Shares</w:t>
            </w:r>
          </w:p>
        </w:tc>
        <w:tc>
          <w:tcPr>
            <w:tcW w:w="1980" w:type="dxa"/>
            <w:vAlign w:val="bottom"/>
          </w:tcPr>
          <w:p>
            <w:pPr>
              <w:spacing w:after="0"/>
              <w:rPr>
                <w:sz w:val="14"/>
                <w:szCs w:val="14"/>
                <w:color w:val="auto"/>
              </w:rPr>
            </w:pPr>
          </w:p>
        </w:tc>
        <w:tc>
          <w:tcPr>
            <w:tcW w:w="15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0"/>
              </w:rPr>
              <w:t>to</w:t>
            </w:r>
          </w:p>
        </w:tc>
        <w:tc>
          <w:tcPr>
            <w:tcW w:w="19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89"/>
              </w:rPr>
              <w:t>Exercise/Vesting</w:t>
            </w:r>
          </w:p>
        </w:tc>
        <w:tc>
          <w:tcPr>
            <w:tcW w:w="1980" w:type="dxa"/>
            <w:vAlign w:val="bottom"/>
            <w:vMerge w:val="continue"/>
          </w:tcPr>
          <w:p>
            <w:pPr>
              <w:spacing w:after="0"/>
              <w:rPr>
                <w:sz w:val="12"/>
                <w:szCs w:val="12"/>
                <w:color w:val="auto"/>
              </w:rPr>
            </w:pP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0"/>
              </w:rPr>
              <w:t>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1"/>
              </w:rPr>
              <w:t>Options,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120" w:type="dxa"/>
            <w:vAlign w:val="bottom"/>
          </w:tcPr>
          <w:p>
            <w:pPr>
              <w:jc w:val="center"/>
              <w:ind w:left="202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412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1"/>
              </w:rPr>
              <w:t>Rights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5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120" w:type="dxa"/>
            <w:vAlign w:val="bottom"/>
          </w:tcPr>
          <w:p>
            <w:pPr>
              <w:jc w:val="center"/>
              <w:ind w:left="2048"/>
              <w:spacing w:after="0"/>
              <w:rPr>
                <w:sz w:val="20"/>
                <w:szCs w:val="20"/>
                <w:color w:val="auto"/>
              </w:rPr>
            </w:pPr>
            <w:r>
              <w:rPr>
                <w:rFonts w:ascii="Arial" w:cs="Arial" w:eastAsia="Arial" w:hAnsi="Arial"/>
                <w:sz w:val="14"/>
                <w:szCs w:val="14"/>
                <w:b w:val="1"/>
                <w:bCs w:val="1"/>
                <w:color w:val="auto"/>
                <w:w w:val="93"/>
              </w:rPr>
              <w:t>(a)</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Long Term Incentive Plan</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83,200</w:t>
            </w:r>
            <w:r>
              <w:rPr>
                <w:rFonts w:ascii="Arial" w:cs="Arial" w:eastAsia="Arial" w:hAnsi="Arial"/>
                <w:sz w:val="11"/>
                <w:szCs w:val="11"/>
                <w:b w:val="1"/>
                <w:bCs w:val="1"/>
                <w:color w:val="auto"/>
              </w:rPr>
              <w:t>(1)</w:t>
            </w: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N/A</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9,896,000</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N/A</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196850</wp:posOffset>
            </wp:positionV>
            <wp:extent cx="17240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The Plains GP Holdings, L.P. Long Term Incentive Plan (the “LTIP”) was adopted by our general partner in connection with our IPO in</w:t>
      </w:r>
    </w:p>
    <w:p>
      <w:pPr>
        <w:spacing w:after="0" w:line="1" w:lineRule="exact"/>
        <w:rPr>
          <w:rFonts w:ascii="Arial" w:cs="Arial" w:eastAsia="Arial" w:hAnsi="Arial"/>
          <w:sz w:val="23"/>
          <w:szCs w:val="23"/>
          <w:color w:val="auto"/>
          <w:vertAlign w:val="superscript"/>
        </w:rPr>
      </w:pPr>
    </w:p>
    <w:p>
      <w:pPr>
        <w:jc w:val="both"/>
        <w:ind w:left="660" w:right="180"/>
        <w:spacing w:after="0" w:line="276" w:lineRule="auto"/>
        <w:rPr>
          <w:rFonts w:ascii="Arial" w:cs="Arial" w:eastAsia="Arial" w:hAnsi="Arial"/>
          <w:sz w:val="23"/>
          <w:szCs w:val="23"/>
          <w:color w:val="auto"/>
          <w:vertAlign w:val="superscript"/>
        </w:rPr>
      </w:pPr>
      <w:r>
        <w:rPr>
          <w:rFonts w:ascii="Arial" w:cs="Arial" w:eastAsia="Arial" w:hAnsi="Arial"/>
          <w:sz w:val="17"/>
          <w:szCs w:val="17"/>
          <w:color w:val="auto"/>
        </w:rPr>
        <w:t>October 2013. The LTIP contemplates the issuance or delivery of up to 10,000,000 Class A shares to satisfy awards under the LTIP. In accordance with Item 201(d) of Regulation S-K, column (c) excludes the securities disclosed in column (a). However, any phantom Class A shares represented in column (a) that are not satisfied by the issuance of Class A shares become “available for future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general partner manages our operations and activities. We and our general partner have no employees. All of our officers and other personnel necessary for our business to function (the the extent not outsourced) are employed by GP LLC. Pursuant to the Administrative Agreement described below under “—Related Party Transactions—Administrative Agreement,” AAP, on our behalf, pays GP LLC an annual fee for general and administrative services. AAP also reimburses our general partner and its affiliates for expenses incurred in managing and operating us and our general partner. AAP also reimburses GP LLC for expenses incurred (i) on our behalf, (ii) on behalf of our general partner, or (iii) for any other purpose related to our business and activities or those of our general partner. AAP also reimburses our general partner for any additional expenses incurred on our behalf or to maintain our legal existence and good standing.</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 Term Incentive Plan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10,000,000 Class A shares (subject to any adjustment due to recapitalization, reorganization or a similar event permitted under the LTIP). Shares (other than restricted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shares) that are forfeited or withheld to satisfy exercise price or tax withholding obligations are available for delivery pursuant to other awards. As of December 31, 2015, grants of 83,200 unvested phantom Class A shares were outstanding under the LTIP.</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LTIP is administered by the board of directors of our general partner. The board of directors of our general partner has the right to terminate or amend the LTIP or any part of the LTIP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of directors of our general partner or the date that no shares remain available under the LTIP for awards. Upon termination of the LTIP, awards then outstanding will continue pursuant to the terms of their grants.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is a Class A share that vests over a period of time and that during such time is subject to forfeiture.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determine the period over which restricted shares granted to participants will vest. The board of directors, in its discretion, may base its determination upon the achievement of performance metrics. Distributions made on restricted shares may be subjected to the same vesting provisions as the</w:t>
      </w:r>
    </w:p>
    <w:p>
      <w:pPr>
        <w:sectPr>
          <w:pgSz w:w="11900" w:h="16838" w:orient="portrait"/>
          <w:cols w:equalWidth="0" w:num="1">
            <w:col w:w="11420"/>
          </w:cols>
          <w:pgMar w:left="240" w:top="517" w:right="239" w:bottom="0" w:gutter="0" w:footer="0" w:header="0"/>
        </w:sectPr>
      </w:pPr>
    </w:p>
    <w:bookmarkStart w:id="105" w:name="page106"/>
    <w:bookmarkEnd w:id="105"/>
    <w:p>
      <w:pPr>
        <w:spacing w:after="0" w:line="3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restricted share. If a grantee’s employment or membership on the board of directors terminates for any reason, the grantee’s restricted shares will be automatically forfeited unless, and to the extent, the board of directors or the terms of the award agreement provide otherwise.</w:t>
      </w:r>
    </w:p>
    <w:p>
      <w:pPr>
        <w:spacing w:after="0" w:line="14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 vesting of the phantom share or,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cash equivalent to the value of a Class A share. The board of directors will determine the period over which phantom shares granted to participants will vest. The board of directors, in its discretion, may base its determination upon the achievement of performance metrics. If a grantee’s employment or membership on the board of directors terminates for any reason, the grantee’s phantom shares will be automatically forfeited unless, and to the extent, the board of directors or the terms of the award agreement provide otherwise.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board of directors,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of directors will establish whether the DERs are paid currently, when the tandem phantom share vests or on some other basis.</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An option provides a participant with the option to acquire Class A shares at a specified price. The exercise price of each option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LTIP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of directors determines for each option. The board of directors will determine the methods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form of payment for the exercise price of an option and the methods and forms in which Class A shares will be delivered to a participant. The board of directors, in its discretion, may grant DERs with respect to an option.</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A share appreciation right is an award that, upon exercise, entitles the holder to receive the excess, if any, of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a Class A share on the exercise date over the grant price of the share appreciation right. The excess may be paid in cash and/or in Class A shares, as determined by the board of directors in its discretion. The board of directors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of directors at the time the share appreciation right is granted, but each share appreciation right must have an exercise price that is not less than the fair market value of the Class A shares on the date of grant. The board of directors will determine the time or times at which a share appreciation right may be exercised in whole or in part. Unless otherwise waived by the board of directors, or set forth in an award agreement, outstanding share appreciation rights awarded to a participant will be automatically forfeited upon a termination of the individual’s employment or membership on the board of directors terminates for any reason. The board of directors, in its discretion, may grant DERs with respect to a share appreciation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LTIP Provisions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Unless other arrangements are made, our general partner and its affiliates will be authorized to withhold from any award,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Accounting Standards Codification Topic 718 (“FASB ASC Topic 718”) if adjustments to awards with respect to such event were discretionary, the board of directors will equitably adjust the number and type of shares covered by each outstanding award and the terms and conditions of such award to equitably reflect the restructuring event, and the board of directors will adjust the number and type of shares with respect to which future awards may be granted. With respect to a similar event that would not result in a FASB ASC Topic 718 accounting charge if adjustment to awards were discretionary, the board of directors shall have complete discretion to adjust awards in the manner it deems appropriate.</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 defined in the award agreement), the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vest and be payable or become exercisable in full, as the case may be.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 participant during the participant’s lifetime,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of directors may, in its discretion, allow a participant to transfer an option or a share appreciation right without consideration to an immediate family member or a related family trust, limited partnership, or similar entity on the terms and conditions established by the board of directors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AAP Management Units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August 2007, the owners of AAP authorized the creation and issuance of AAP Management Units and authorized the compensation committee of GP LLC to issue grants of AAP Management Units to create long-term incentives for PAA’s management. The entire economic burden of the AAP Management Units, which are equity classified, is borne solely by AAP. PAA is not obligated to reimburse AAP for any costs attributable to the AAP Management Units. The amount of cash available for distribution by AAP to us will be reduced by amounts to which the AAP Management Units are</w:t>
      </w:r>
    </w:p>
    <w:p>
      <w:pPr>
        <w:sectPr>
          <w:pgSz w:w="11900" w:h="16877" w:orient="portrait"/>
          <w:cols w:equalWidth="0" w:num="1">
            <w:col w:w="11420"/>
          </w:cols>
          <w:pgMar w:left="240" w:top="125" w:right="239" w:bottom="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t>entitled, which will reduce the cash available for distribution to our Class A shareholders. Each AAP Management Unit represents a “profits interest” in AAP, which entitles the holder to participate in future profits and losses from operations, current distributions from operations, and an interest in future appreciation or depreciation in AAP’s asset values. Up to 52,125,935 AAP Management Units are authorized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issuance. As of December 31, 2015, 50,722,830 AAP Management Units were issued and outstanding, which, based on the conversion ratio of approximately 0.938 AAP units for each AAP Management Unit as of December 31, 2015, would equate to 47,584,642 AAP units. On January 1, 2016, a significant portion of the outstanding AAP Management Units vested and a portion of such vested AAP Management Units has been converted into AAP units and our Class B shares. As a result, as of February 15, 2016, the number of AAP Management Units outstanding was 31,878,821 (29,966,147 on an as converted basis).</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holders of AAP units) in percentage increments when the annualized quarterly distributions on PAA’s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15, 2016, approximately 93% of the outstanding AAP Management Units had been earned or will be earned within 180 days. The remaining AAP Management Units will be earned in 25% increments upon or six months after PAA’s payment of annualized quarterly distributions ranging from $2.85 to $3.50 per unit.</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To encourage retention following achievement of these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w:t>
      </w:r>
      <w:r>
        <w:rPr>
          <w:rFonts w:ascii="Arial" w:cs="Arial" w:eastAsia="Arial" w:hAnsi="Arial"/>
          <w:sz w:val="16"/>
          <w:szCs w:val="16"/>
          <w:color w:val="auto"/>
        </w:rPr>
        <w:t>As of January 1, 2016, AAP Management</w:t>
      </w:r>
      <w:r>
        <w:rPr>
          <w:rFonts w:ascii="Arial" w:cs="Arial" w:eastAsia="Arial" w:hAnsi="Arial"/>
          <w:sz w:val="17"/>
          <w:szCs w:val="17"/>
          <w:color w:val="auto"/>
        </w:rPr>
        <w:t xml:space="preserve"> </w:t>
      </w:r>
      <w:r>
        <w:rPr>
          <w:rFonts w:ascii="Arial" w:cs="Arial" w:eastAsia="Arial" w:hAnsi="Arial"/>
          <w:sz w:val="16"/>
          <w:szCs w:val="16"/>
          <w:color w:val="auto"/>
        </w:rPr>
        <w:t xml:space="preserve">Units granted in 2007 and 2009 are no longer subject to such call right and have vested. </w:t>
      </w:r>
      <w:r>
        <w:rPr>
          <w:rFonts w:ascii="Arial" w:cs="Arial" w:eastAsia="Arial" w:hAnsi="Arial"/>
          <w:sz w:val="17"/>
          <w:szCs w:val="17"/>
          <w:color w:val="auto"/>
        </w:rPr>
        <w:t>The applicable vesting dates for the remaining AAP Management Unit</w:t>
      </w:r>
      <w:r>
        <w:rPr>
          <w:rFonts w:ascii="Arial" w:cs="Arial" w:eastAsia="Arial" w:hAnsi="Arial"/>
          <w:sz w:val="16"/>
          <w:szCs w:val="16"/>
          <w:color w:val="auto"/>
        </w:rPr>
        <w:t xml:space="preserve"> </w:t>
      </w:r>
      <w:r>
        <w:rPr>
          <w:rFonts w:ascii="Arial" w:cs="Arial" w:eastAsia="Arial" w:hAnsi="Arial"/>
          <w:sz w:val="17"/>
          <w:szCs w:val="17"/>
          <w:color w:val="auto"/>
        </w:rPr>
        <w:t>grants range from January 1, 2017 for AAP Management Units granted in 2010 to January 1, 2023 for AAP Management Units granted in 2015.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long as our Class A shares are publicly traded, each vested AAP Management Unit may be converted into AAP units and a like number of our Class B shares based on a conversion ratio calculated in accordance with the AAP limited partnership agreement (which conversion ratio will not be more than one-to-one and was approximately 0.940 AAP units and Class B shares for each AAP Management Unit as of February 15, 2016). Following any such conversion, the resulting AAP units and Class B shares are exchangeable for Class A shares on a one-for-one basis as provided in the AAP limited partnership agreement. As of February 15, 2016, approximately 44.9 million AAP Management Units had vested, of which 18.8 million have been converted into 17.7 million AAP units and Class B shares. A portion of the resulting AAP units and Class B shares were subsequently exchanged for an aggregate of 11.4 million Class A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the closing of our IPO in October 2013, we entered into an administrative agreement (the “Administrative Agreement”) with PAA, our general partner, AAP, PAA GP LLC and GP LLC to address, among other things, potential conflicts with respect to business opportunities that may arise among us, our general partner, AAP, PAA, PAA GP LLC and GP LLC. The agreement provides that if any business opportunity is presented to us, our general partner, AAP, PAA, PAA GP LLC or GP LLC, then PAA will have the first right to pursue such business opportunity. We will have the right to pursue and/or participate in such business opportunity if invited to do so by PAA, or if PAA abandons the business opportunity and GP LLC so notifies our general partner.</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Administrative Agreement, all of our officers and other personnel necessary for our business to function (to the extent not out-sourced) are employed by GP LLC, and AAP pays GP LLC an annual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general and administrative services performed on our behalf. During 2015, the annual fee paid by AAP to GP LLC totaled $1.5 million. This fee is subject to adjustment on an annual basis based on the Consumer Price Index. The fee is also subject to adjustment if a material event occurs that impacts the general and administrative services provided to us, such as acquisitions, entering into new lines of business or changes in laws, regulations, listing requirements or accounting rules.</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addition, the Administrative Agreement provides that any direct expenses incurred by us, our general partner and AAP (other than income taxes payable by us) are borne by AAP. These direct expenses include costs related to (i) compensation for our independent directors, (ii) incremental director and officer liability insurance, (iii) listing on the NYSE, (iv) investor relations, (v) legal, (vi) tax and (vii) accounting.</w:t>
      </w:r>
    </w:p>
    <w:p>
      <w:pPr>
        <w:spacing w:after="0" w:line="16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addition to the fee and expenses described above, the Administrative Agreement requires AAP to reimburse GP LLC for any additional expenses incurred by GP LLC and certain of its affiliates (i) on our behalf, (ii) on behalf of our general partner, or (iii) for any other purpose related to our business and activities or those of our general partner. AAP is also required to reimburse our general partner for any additional expenses incurred by it on our behalf or to</w:t>
      </w:r>
    </w:p>
    <w:p>
      <w:pPr>
        <w:sectPr>
          <w:pgSz w:w="11900" w:h="16838" w:orient="portrait"/>
          <w:cols w:equalWidth="0" w:num="1">
            <w:col w:w="11420"/>
          </w:cols>
          <w:pgMar w:left="240" w:top="125" w:right="239" w:bottom="0" w:gutter="0" w:footer="0" w:header="0"/>
        </w:sectPr>
      </w:pPr>
    </w:p>
    <w:bookmarkStart w:id="107" w:name="page108"/>
    <w:bookmarkEnd w:id="107"/>
    <w:p>
      <w:pPr>
        <w:ind w:right="100"/>
        <w:spacing w:after="0" w:line="277" w:lineRule="auto"/>
        <w:rPr>
          <w:sz w:val="20"/>
          <w:szCs w:val="20"/>
          <w:color w:val="auto"/>
        </w:rPr>
      </w:pPr>
      <w:r>
        <w:rPr>
          <w:rFonts w:ascii="Arial" w:cs="Arial" w:eastAsia="Arial" w:hAnsi="Arial"/>
          <w:sz w:val="18"/>
          <w:szCs w:val="18"/>
          <w:color w:val="auto"/>
        </w:rPr>
        <w:t>maintain our legal existence and good standing. There is no limit on the amount of fees and expenses AAP may be required to pay to affiliates of our general partner on our behalf pursuant to the Administrative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us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December 31, 2015, our sole assets consisted of (i) a 100% member interest in GP LLC, which holds a non-economic general partner interest in AAP, (ii) 229,278,980 AAP units (representing 38% of the limited partner interests in AAP, and an approximate 35% economic interest (including the dilutive effect of the AAP Management Units) in AAP, which directly or indirectly owns all of the IDRs and the 2% general partner interest in PAA), and (iii) 229,278,980 general partner units representing 38% of the membership interests in our general partner.</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accordance with the AAP partnership agreement, holders of AAP Management Units are allocated gross income equal to the amount of any distributions paid with respect to such units and the remaining net profits and net losses of AAP are generally allocated to the other holders of AAP units on a pro rata basis in accordance with their relative number of AAP units held. In addition, through our control of GP LLC, we have the right to determine when distributions will be made to the holders of AAP units and the amount of any such distributions. If we cause a distribution to be made, such distribution will, subject to certain limitations on the amount of distributions to be made with respect to AAP Management Units, be made to the holders of AAP units on a pro rata basis in accordance with their relative number of AAP units held.</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Prior to the trigger date, GP LLC must remain the sole general partner of AAP, and may not withdraw, transfer its general partner interest or be replaced, unless the holders of two-thirds of the AAP units consent. In addition, no (i) entry into new material related party transactions, (ii) issuance of AAP securities to us or (iii) change in AAP’s tax election may occur prior to the expiration of a 30-day notice period in favor of the holders of AAP units.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purposes of any transfer or exchange of AAP units initially owned by the Legacy Owners and our Class B shares,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We are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obligated to facilitate such exchange through a contribution of Class A shares to AAP or alternatively we have the right to acquire the subject AAP units, Class B shares and general partner units directly from the AAP unitholder exercising the Exchange Right. At AAP’s option, AAP may give the exchanging AAP unitholder cash in an amount equal to the market value of the Class A shares instead. Prior to the trigger date, no change to the one-for-one exchange ratio may be made without the prior approval of the holders of two-thirds of the AAP units, and only after the expiration of a 30-day notice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long as the Class A shares are publicly traded, a holder of vested AAP Management Units will be entitled to convert his or her AAP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Units into AAP units and a like number of our Class B shares based on a conversion ratio calculated in accordance with the AAP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(which conversion ratio will not be more than one-to-one and is approximately 0.940 AAP units for each AAP Management Unit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2016). Following any such conversion, the holder will have the Exchange Right for our Class A shares. Holders of AAP Management Units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 into AAP units and Class B shares will not receive general partner units and thus will not need to include any general partner units in a transfer 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of their Exchange Right.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addition, pursuant to our partnership agreement and the AAP partnership agreement, our capital structure and the capital structure of AAP generally replicate one another and provide for customary antidilution mechanisms in order to maintain the one-for-one exchange ratio between the AAP units, Class B shares and general partner units, on the one hand, and our Class A shares, on the other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connection with the closing of our IPO in October 2013, we entered into a shareholder and registration rights agreement, which we refer to as the registration rights agreement, with the Legacy Owners. Pursuant to the registration rights agreement, we agreed to register the resale of all Class A shares issuable upon exercise of the Exchange Right (the “Registrable Securities”) held by the parties to the registration rights agreement under certain circumstances. Additionally, upon the vesting of the AAP Management Units, we have agreed to amend the registration rights agreement to include any Class A shares issuable upon exercise of the Exchange Right with respect to such vested AAP Management Units as Registrable Securities, so long as the holder of such units agrees to be bound by the terms and conditions of the registration rights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Under the Registration Rights Agreement, we agreed to file and maintain a shelf registration statement on Form S-3 covering the resale of all of the Registrable Securities. We are obligated to maintain the effectiveness of any such registration statement until the date on which all Registrable Securities covered by such shelf registration statement (i) have been sold thereunder in accordance with the plan and method of distribution disclosed in the prospectus included in the shelf registration statement, or (ii) otherwise cease to be Registrable Securities under the registration rights agreement. A shelf registration statement on Form S-3 covering the resale of the Registrable Securities was filed and declared effective in December 2014.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and Piggyback Rights</w:t>
      </w:r>
    </w:p>
    <w:p>
      <w:pPr>
        <w:sectPr>
          <w:pgSz w:w="11900" w:h="16838" w:orient="portrait"/>
          <w:cols w:equalWidth="0" w:num="1">
            <w:col w:w="11400"/>
          </w:cols>
          <w:pgMar w:left="240" w:top="125" w:right="259" w:bottom="100" w:gutter="0" w:footer="0" w:header="0"/>
        </w:sectPr>
      </w:pPr>
    </w:p>
    <w:bookmarkStart w:id="108" w:name="page109"/>
    <w:bookmarkEnd w:id="108"/>
    <w:p>
      <w:pPr>
        <w:spacing w:after="0" w:line="54" w:lineRule="exact"/>
        <w:rPr>
          <w:sz w:val="20"/>
          <w:szCs w:val="20"/>
          <w:color w:val="auto"/>
        </w:rPr>
      </w:pPr>
    </w:p>
    <w:p>
      <w:pPr>
        <w:jc w:val="both"/>
        <w:ind w:right="520" w:firstLine="648"/>
        <w:spacing w:after="0" w:line="259" w:lineRule="auto"/>
        <w:rPr>
          <w:sz w:val="20"/>
          <w:szCs w:val="20"/>
          <w:color w:val="auto"/>
        </w:rPr>
      </w:pPr>
      <w:r>
        <w:rPr>
          <w:rFonts w:ascii="Arial" w:cs="Arial" w:eastAsia="Arial" w:hAnsi="Arial"/>
          <w:sz w:val="18"/>
          <w:szCs w:val="18"/>
          <w:color w:val="auto"/>
        </w:rPr>
        <w:t>Subject to any applicable lock-up arrangements, certain of the Legacy Owners will have the right to require that we register their Registrable Securities and/or facilitate an underwritten offering of their Registrable Securities. There is no aggregate limit on the number of such demand requests; however, the demand rights of these holders are subject to a number of size, frequency and other limitations. Occidental exercised its demand rights in connection with its underwritten secondary offering of Class A shares in November 2014.</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the event we propose to conduct an underwritten offering of Registrable Securities, then the holders of Registrable Securities will generally have customary rights to participate in such offering, subject to customary offering size limitations and related allocation provisions and other limitations. Similarly, in the event that eligible holders demand that we conduct an underwritten offering of their Registrable Securities, then we will generally have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customary rights to participate in such offering, subject to customary offering size limitations and related allocation provisions and other limitations.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 Rights</w:t>
      </w:r>
    </w:p>
    <w:p>
      <w:pPr>
        <w:spacing w:after="0" w:line="14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will not be required to comply with any demand request, and may suspend the holders’ ability to use any shelf registration statement, following our delivery of written notice to the holders of customary blackout periods and deferral events.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4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selling expenses, including any underwriting discounts and selling commissions, relating to the sale of securities registered pursuant to the registration rights agreement, will be borne by the holders of such securities. We will cause all other registration expenses in connection with our obligations under the registration rights agreement to be borne by AAP.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January 2016, PAA sold approximately 61.0 million unregistered Series A Convertible Preferred Units (the “Preferred Units”) in a private placement offering to a group of purchasers that included affiliates of EnCap, KAFU and EMG. Net proceeds to PAA of the sale, after deducting offering expenses and a transaction fee due to the purchasers and including the 2% equity contribution of PAA’s general partner, were approximately $1.6 billion.</w:t>
      </w:r>
    </w:p>
    <w:p>
      <w:pPr>
        <w:spacing w:after="0" w:line="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the closing of PAA’s private placement of Preferred Units, PAA entered into a Registration Rights Agreement (the “Registration Rights Agreement”) with the purchasers of the Preferred Units relating to the registered resale of the PAA common units issuable upon conversion of the Preferred Units. Pursuant to the Registration Rights Agreement, PAA is required to file or cause to be filed a registration statement for such registered resale and is required to cause the registration statement to become effective no later than two years after the closing.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Preferred Units have been converted into PAA common units pursuant to PAA’s partnership agreement and (ii) the earlier of (x) the date on which such holder is no longer an “affiliate” as such term is defined in Rule 144 promulgated under the Securities Act of 1933, as amended, and (y) the tenth anniversary of the closing.</w:t>
      </w:r>
    </w:p>
    <w:p>
      <w:pPr>
        <w:spacing w:after="0" w:line="8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2015, PAA recognized sales and transportation and storage revenues of approximately $0.9 billion from companies affiliated with Occidental. During 2015, PAA also purchased approximately $41 million of petroleum products from companies affiliated with Occidental. These transactions were conducted at posted tariff rates or prices that PAA believes approximate market. A portion of these transactions was conducted under a crude oil buy/sell agreement that includes a multi-year minimum volume commitment. These amounts do not include revenues from unconsolidated equity investments.</w:t>
      </w:r>
    </w:p>
    <w:p>
      <w:pPr>
        <w:spacing w:after="0" w:line="10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2015, PAA recognized sales and transportation and storage revenues of approximately $38 million from companies affiliated with EMG. During 2015, PAA also purchased approximately $165 million of oil from companies affiliated with EMG. These transactions were conducted at posted tariff rates or prices that PAA believes approximate market.</w:t>
      </w:r>
    </w:p>
    <w:p>
      <w:pPr>
        <w:spacing w:after="0" w:line="10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2015, PAA purchased approximately $17.5 million of oil from companies owned and controlled by funds managed by KACALP. PAA pays the same amount per barrel to these companies that it pays to other producers in the area.</w:t>
      </w:r>
    </w:p>
    <w:p>
      <w:pPr>
        <w:spacing w:after="0" w:line="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An employee in PAA’s marketing department is the son of Phil Kramer, one of our executive officers. Mr. Kramer’s son’s total compensation for 2015 (which amount includes the grant date fair value of LTIPs awarded to him on terms consistent with all eligible employees) was approximately $284,000.</w:t>
      </w:r>
    </w:p>
    <w:p>
      <w:pPr>
        <w:spacing w:after="0" w:line="4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 employee with PAA’s Canadian operations is the son of W. David Duckett, one of our executive officers. Mr. Duckett’s son’s total compensation for 2015 (which amount includes the grant date fair value of LTIPs awarded to him on terms consistent with all eligible employees) was approximately $501,000.</w:t>
      </w:r>
    </w:p>
    <w:p>
      <w:pPr>
        <w:spacing w:after="0" w:line="10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Another employee with PAA’s Canadian operations is the daughter of W. David Duckett, one of our executive officers. Mr. Duckett’s daughter’s total compensation for 2015 (which amount includes the grant date fair value of LTIPs awarded to her on terms consistent with all eligible employees) was approximately $129,000.</w:t>
      </w:r>
    </w:p>
    <w:p>
      <w:pPr>
        <w:spacing w:after="0" w:line="10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An employee in PAA’s facilities department is the son of John vonBerg, one of our executive officers. Mr. vonBerg’s son’s total compensation for 2015 (which amount includes the grant date fair value of LTIPs awarded to him on terms consistent with all eligible employees) was approximately $120,000.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his or her family members or any affiliate of the director, on the one hand, and the Partnership or our general partner on the other. The resolution of any such conflict or potential conflict should, at the discretion of the board in light of the circumstances, be determined by a majority of the disinterested directors.</w:t>
      </w:r>
    </w:p>
    <w:p>
      <w:pPr>
        <w:spacing w:after="0" w:line="10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If a conflict or potential conflict of interest arises between the Partnership and our general partner,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our general partner of any of its affiliates or a director’s appointment to the board of our general partner by an owner of interests in our general partner.</w:t>
      </w:r>
    </w:p>
    <w:p>
      <w:pPr>
        <w:sectPr>
          <w:pgSz w:w="11900" w:h="16893" w:orient="portrait"/>
          <w:cols w:equalWidth="0" w:num="1">
            <w:col w:w="11400"/>
          </w:cols>
          <w:pgMar w:left="240" w:top="125" w:right="259" w:bottom="0" w:gutter="0" w:footer="0" w:header="0"/>
        </w:sectPr>
      </w:pPr>
    </w:p>
    <w:bookmarkStart w:id="109" w:name="page110"/>
    <w:bookmarkEnd w:id="109"/>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3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6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are for an audit of our benefit plan.</w:t>
      </w:r>
    </w:p>
    <w:p>
      <w:pPr>
        <w:spacing w:after="0" w:line="225"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PAA unitholders and international tax planning work associated with the structure of our Canadian investment.</w:t>
      </w:r>
    </w:p>
    <w:p>
      <w:pPr>
        <w:spacing w:after="0" w:line="166" w:lineRule="exact"/>
        <w:rPr>
          <w:sz w:val="20"/>
          <w:szCs w:val="20"/>
          <w:color w:val="auto"/>
        </w:rPr>
      </w:pPr>
    </w:p>
    <w:p>
      <w:pPr>
        <w:sectPr>
          <w:pgSz w:w="11900" w:h="16838" w:orient="portrait"/>
          <w:cols w:equalWidth="0" w:num="2">
            <w:col w:w="140" w:space="500"/>
            <w:col w:w="10780"/>
          </w:cols>
          <w:pgMar w:left="240" w:top="26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discussed above, we have an audit committee that reviews our external financial reporting, engages our independent auditors and reviews the adequacy of our internal accounting controls. Our consolidated subsidiary, PAA, also has an audit committee that performs similar functions on PAA’s behalf. All services provided by our independent auditor are subject to pre-approval by our audit committee or the audit committee of PAA (for services provided to PAA).</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Except as noted above, all services provided by our independent auditor during the years ended December 31, 2015 and 2014 were approved in advance by the applicable audit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rFonts w:ascii="Arial" w:cs="Arial" w:eastAsia="Arial" w:hAnsi="Arial"/>
          <w:sz w:val="18"/>
          <w:szCs w:val="18"/>
          <w:b w:val="1"/>
          <w:bCs w:val="1"/>
          <w:color w:val="auto"/>
        </w:rPr>
      </w:pPr>
    </w:p>
    <w:p>
      <w:pPr>
        <w:ind w:left="1220" w:hanging="564"/>
        <w:spacing w:after="0"/>
        <w:tabs>
          <w:tab w:leader="none" w:pos="1220" w:val="left"/>
        </w:tabs>
        <w:numPr>
          <w:ilvl w:val="1"/>
          <w:numId w:val="118"/>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119"/>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260" w:right="239" w:bottom="0" w:gutter="0" w:footer="0" w:header="0"/>
          <w:type w:val="continuous"/>
        </w:sectPr>
      </w:pPr>
    </w:p>
    <w:bookmarkStart w:id="110" w:name="page111"/>
    <w:bookmarkEnd w:id="110"/>
    <w:p>
      <w:pPr>
        <w:ind w:left="5740"/>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and Director of PAA GP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3"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3"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Herbold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5"/>
          <w:szCs w:val="15"/>
          <w:b w:val="1"/>
          <w:bCs w:val="1"/>
          <w:i w:val="1"/>
          <w:iCs w:val="1"/>
          <w:color w:val="auto"/>
        </w:rPr>
        <w:t>Vice President—Accounting and Chief Accounting Officer of PAA GP</w:t>
      </w:r>
    </w:p>
    <w:p>
      <w:pPr>
        <w:spacing w:after="0" w:line="44"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 and Director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Greg L. Armstrong</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Executive Officer)</w:t>
            </w: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Harry N. Pefanis</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 Swanson</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Al Swanson</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Financial Officer)</w:t>
            </w: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 Herbold</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Vice President—Accounting and Chief Accounting Officer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Chris Herbold</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PAA GP Holdings LLC (Principal Accounting Officer)</w:t>
            </w: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Victor Burk</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Bernard Figlock</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Bernard Figlock</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Everardo Goyanes</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9"/>
              </w:rPr>
              <w:t>Everardo Goyanes</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T. Raymond</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8"/>
              </w:rPr>
              <w:t>John T. Raymond</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Bobby S. Shackouls</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V. Sinnott</w:t>
            </w:r>
          </w:p>
        </w:tc>
        <w:tc>
          <w:tcPr>
            <w:tcW w:w="2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of PAA GP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87"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gridSpan w:val="31"/>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620" w:type="dxa"/>
            <w:vAlign w:val="bottom"/>
            <w:gridSpan w:val="31"/>
            <w:vMerge w:val="continue"/>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25"/>
          </w:tcPr>
          <w:p>
            <w:pPr>
              <w:spacing w:after="0" w:line="190"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Management’s Report on Internal Control Over Financial Reporting</w:t>
              </w:r>
            </w:hyperlink>
          </w:p>
        </w:tc>
        <w:tc>
          <w:tcPr>
            <w:tcW w:w="5700" w:type="dxa"/>
            <w:vAlign w:val="bottom"/>
            <w:gridSpan w:val="6"/>
          </w:tcPr>
          <w:p>
            <w:pPr>
              <w:spacing w:after="0"/>
              <w:rPr>
                <w:sz w:val="16"/>
                <w:szCs w:val="16"/>
                <w:color w:val="auto"/>
              </w:rPr>
            </w:pPr>
          </w:p>
        </w:tc>
        <w:tc>
          <w:tcPr>
            <w:tcW w:w="8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Report of Independent Registered Public Accounting Firm</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Consolidated Balance Sheets as of December 31, 2015 and 2014</w:t>
              </w:r>
            </w:hyperlink>
          </w:p>
        </w:tc>
        <w:tc>
          <w:tcPr>
            <w:tcW w:w="5960" w:type="dxa"/>
            <w:vAlign w:val="bottom"/>
            <w:gridSpan w:val="7"/>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Operations for the years ended December 31, 2015, 2014 and 2013</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Comprehensive Income for the years ended December 31, 2015, 2014 and 2013</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Consolidated Statements of Changes in Accumulated Other Comprehensive Income/(Loss) for the years ended December 31, 2015, 2014 and 2013</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Consolidated Statements of Cash Flows for the years ended December 31, 2015, 2014 and 2013</w:t>
              </w:r>
            </w:hyperlink>
          </w:p>
        </w:tc>
        <w:tc>
          <w:tcPr>
            <w:tcW w:w="36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Consolidated Statements of Changes in Partners’ Capital/Members’ Equity for the years ended December 31, 2015, 2014 and 2013</w:t>
              </w:r>
            </w:hyperlink>
          </w:p>
        </w:tc>
        <w:tc>
          <w:tcPr>
            <w:tcW w:w="1160" w:type="dxa"/>
            <w:vAlign w:val="bottom"/>
            <w:gridSpan w:val="2"/>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Notes to the Consolidated Financial Statements:</w:t>
              </w:r>
            </w:hyperlink>
          </w:p>
        </w:tc>
        <w:tc>
          <w:tcPr>
            <w:tcW w:w="7140" w:type="dxa"/>
            <w:vAlign w:val="bottom"/>
            <w:gridSpan w:val="14"/>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Organization and Basis of Consolidation and Presentation</w:t>
              </w:r>
            </w:hyperlink>
          </w:p>
        </w:tc>
        <w:tc>
          <w:tcPr>
            <w:tcW w:w="6080" w:type="dxa"/>
            <w:vAlign w:val="bottom"/>
            <w:gridSpan w:val="9"/>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2.</w:t>
              </w:r>
            </w:hyperlink>
          </w:p>
        </w:tc>
        <w:tc>
          <w:tcPr>
            <w:tcW w:w="326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93"/>
              </w:rPr>
            </w:pPr>
            <w:hyperlink w:anchor="page118">
              <w:r>
                <w:rPr>
                  <w:rFonts w:ascii="Arial" w:cs="Arial" w:eastAsia="Arial" w:hAnsi="Arial"/>
                  <w:sz w:val="18"/>
                  <w:szCs w:val="18"/>
                  <w:color w:val="0000EE"/>
                  <w:w w:val="93"/>
                </w:rPr>
                <w:t>Summary of Significant Accounting Policies</w:t>
              </w:r>
            </w:hyperlink>
          </w:p>
        </w:tc>
        <w:tc>
          <w:tcPr>
            <w:tcW w:w="7020" w:type="dxa"/>
            <w:vAlign w:val="bottom"/>
            <w:gridSpan w:val="13"/>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3.</w:t>
              </w:r>
            </w:hyperlink>
          </w:p>
        </w:tc>
        <w:tc>
          <w:tcPr>
            <w:tcW w:w="22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Net Income Per Class A Share</w:t>
              </w:r>
            </w:hyperlink>
          </w:p>
        </w:tc>
        <w:tc>
          <w:tcPr>
            <w:tcW w:w="8060" w:type="dxa"/>
            <w:vAlign w:val="bottom"/>
            <w:gridSpan w:val="20"/>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4.</w:t>
              </w:r>
            </w:hyperlink>
          </w:p>
        </w:tc>
        <w:tc>
          <w:tcPr>
            <w:tcW w:w="424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Inventory, Linefill and Base Gas and Long-term Inventory</w:t>
              </w:r>
            </w:hyperlink>
          </w:p>
        </w:tc>
        <w:tc>
          <w:tcPr>
            <w:tcW w:w="6040" w:type="dxa"/>
            <w:vAlign w:val="bottom"/>
            <w:gridSpan w:val="8"/>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5.</w:t>
              </w:r>
            </w:hyperlink>
          </w:p>
        </w:tc>
        <w:tc>
          <w:tcPr>
            <w:tcW w:w="10280" w:type="dxa"/>
            <w:vAlign w:val="bottom"/>
            <w:gridSpan w:val="29"/>
          </w:tcPr>
          <w:p>
            <w:pPr>
              <w:ind w:left="2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Property and Equipment</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EE"/>
            </w:tcBorders>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6.</w:t>
              </w:r>
            </w:hyperlink>
          </w:p>
        </w:tc>
        <w:tc>
          <w:tcPr>
            <w:tcW w:w="178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Goodwill</w:t>
              </w:r>
            </w:hyperlink>
          </w:p>
        </w:tc>
        <w:tc>
          <w:tcPr>
            <w:tcW w:w="8500" w:type="dxa"/>
            <w:vAlign w:val="bottom"/>
            <w:gridSpan w:val="23"/>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7.</w:t>
              </w:r>
            </w:hyperlink>
          </w:p>
        </w:tc>
        <w:tc>
          <w:tcPr>
            <w:tcW w:w="286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Investments in Unconsolidated Entities</w:t>
              </w:r>
            </w:hyperlink>
          </w:p>
        </w:tc>
        <w:tc>
          <w:tcPr>
            <w:tcW w:w="7420" w:type="dxa"/>
            <w:vAlign w:val="bottom"/>
            <w:gridSpan w:val="15"/>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8.</w:t>
              </w:r>
            </w:hyperlink>
          </w:p>
        </w:tc>
        <w:tc>
          <w:tcPr>
            <w:tcW w:w="10280" w:type="dxa"/>
            <w:vAlign w:val="bottom"/>
            <w:gridSpan w:val="29"/>
          </w:tcPr>
          <w:p>
            <w:pPr>
              <w:ind w:left="2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Other Long-Term Assets, Net</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9.</w:t>
              </w:r>
            </w:hyperlink>
          </w:p>
        </w:tc>
        <w:tc>
          <w:tcPr>
            <w:tcW w:w="38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Debt</w:t>
              </w:r>
            </w:hyperlink>
          </w:p>
        </w:tc>
        <w:tc>
          <w:tcPr>
            <w:tcW w:w="1780" w:type="dxa"/>
            <w:vAlign w:val="bottom"/>
            <w:tcBorders>
              <w:top w:val="single" w:sz="8" w:color="0000EE"/>
            </w:tcBorders>
            <w:gridSpan w:val="6"/>
          </w:tcPr>
          <w:p>
            <w:pPr>
              <w:spacing w:after="0"/>
              <w:rPr>
                <w:sz w:val="17"/>
                <w:szCs w:val="17"/>
                <w:color w:val="auto"/>
              </w:rPr>
            </w:pPr>
          </w:p>
        </w:tc>
        <w:tc>
          <w:tcPr>
            <w:tcW w:w="8120" w:type="dxa"/>
            <w:vAlign w:val="bottom"/>
            <w:gridSpan w:val="21"/>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10.</w:t>
              </w:r>
            </w:hyperlink>
          </w:p>
        </w:tc>
        <w:tc>
          <w:tcPr>
            <w:tcW w:w="10180" w:type="dxa"/>
            <w:vAlign w:val="bottom"/>
            <w:gridSpan w:val="28"/>
          </w:tcPr>
          <w:p>
            <w:pPr>
              <w:ind w:left="2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Partners’ Capital and Distributions</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11. Derivatives and Risk Management Activities</w:t>
              </w:r>
            </w:hyperlink>
          </w:p>
        </w:tc>
        <w:tc>
          <w:tcPr>
            <w:tcW w:w="6920" w:type="dxa"/>
            <w:vAlign w:val="bottom"/>
            <w:gridSpan w:val="12"/>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12.</w:t>
              </w:r>
            </w:hyperlink>
          </w:p>
        </w:tc>
        <w:tc>
          <w:tcPr>
            <w:tcW w:w="102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Income Taxes</w:t>
              </w:r>
            </w:hyperlink>
          </w:p>
        </w:tc>
        <w:tc>
          <w:tcPr>
            <w:tcW w:w="9160" w:type="dxa"/>
            <w:vAlign w:val="bottom"/>
            <w:gridSpan w:val="25"/>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13.</w:t>
              </w:r>
            </w:hyperlink>
          </w:p>
        </w:tc>
        <w:tc>
          <w:tcPr>
            <w:tcW w:w="10180" w:type="dxa"/>
            <w:vAlign w:val="bottom"/>
            <w:gridSpan w:val="28"/>
          </w:tcPr>
          <w:p>
            <w:pPr>
              <w:ind w:left="2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Major Customers and Concentration of Credit Risk</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14.</w:t>
              </w:r>
            </w:hyperlink>
          </w:p>
        </w:tc>
        <w:tc>
          <w:tcPr>
            <w:tcW w:w="196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Related Party Transactions</w:t>
              </w:r>
            </w:hyperlink>
          </w:p>
        </w:tc>
        <w:tc>
          <w:tcPr>
            <w:tcW w:w="1740" w:type="dxa"/>
            <w:vAlign w:val="bottom"/>
            <w:tcBorders>
              <w:top w:val="single" w:sz="8" w:color="0000EE"/>
            </w:tcBorders>
            <w:gridSpan w:val="11"/>
          </w:tcPr>
          <w:p>
            <w:pPr>
              <w:spacing w:after="0"/>
              <w:rPr>
                <w:sz w:val="17"/>
                <w:szCs w:val="17"/>
                <w:color w:val="auto"/>
              </w:rPr>
            </w:pPr>
          </w:p>
        </w:tc>
        <w:tc>
          <w:tcPr>
            <w:tcW w:w="6480" w:type="dxa"/>
            <w:vAlign w:val="bottom"/>
            <w:gridSpan w:val="11"/>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15.</w:t>
              </w:r>
            </w:hyperlink>
          </w:p>
        </w:tc>
        <w:tc>
          <w:tcPr>
            <w:tcW w:w="266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Equity-Indexed Compensation Plans</w:t>
              </w:r>
            </w:hyperlink>
          </w:p>
        </w:tc>
        <w:tc>
          <w:tcPr>
            <w:tcW w:w="7520" w:type="dxa"/>
            <w:vAlign w:val="bottom"/>
            <w:gridSpan w:val="17"/>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16.</w:t>
              </w:r>
            </w:hyperlink>
          </w:p>
        </w:tc>
        <w:tc>
          <w:tcPr>
            <w:tcW w:w="24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Commitments and Contingencies</w:t>
              </w:r>
            </w:hyperlink>
          </w:p>
        </w:tc>
        <w:tc>
          <w:tcPr>
            <w:tcW w:w="7760" w:type="dxa"/>
            <w:vAlign w:val="bottom"/>
            <w:gridSpan w:val="19"/>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17.</w:t>
              </w:r>
            </w:hyperlink>
          </w:p>
        </w:tc>
        <w:tc>
          <w:tcPr>
            <w:tcW w:w="10180" w:type="dxa"/>
            <w:vAlign w:val="bottom"/>
            <w:gridSpan w:val="28"/>
          </w:tcPr>
          <w:p>
            <w:pPr>
              <w:ind w:left="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Quarterly Financial Data (Unaudited)</w:t>
              </w:r>
            </w:hyperlink>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18.</w:t>
              </w:r>
            </w:hyperlink>
          </w:p>
        </w:tc>
        <w:tc>
          <w:tcPr>
            <w:tcW w:w="272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Operating Segments</w:t>
              </w:r>
            </w:hyperlink>
          </w:p>
        </w:tc>
        <w:tc>
          <w:tcPr>
            <w:tcW w:w="7460" w:type="dxa"/>
            <w:vAlign w:val="bottom"/>
            <w:gridSpan w:val="16"/>
          </w:tcPr>
          <w:p>
            <w:pPr>
              <w:spacing w:after="0"/>
              <w:rPr>
                <w:sz w:val="17"/>
                <w:szCs w:val="17"/>
                <w:color w:val="auto"/>
              </w:rPr>
            </w:pPr>
          </w:p>
        </w:tc>
        <w:tc>
          <w:tcPr>
            <w:tcW w:w="8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6"/>
          </w:tcPr>
          <w:p>
            <w:pPr>
              <w:ind w:left="66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2015.</w:t>
      </w:r>
    </w:p>
    <w:p>
      <w:pPr>
        <w:spacing w:after="0" w:line="147" w:lineRule="exact"/>
        <w:rPr>
          <w:sz w:val="20"/>
          <w:szCs w:val="20"/>
          <w:color w:val="auto"/>
        </w:rPr>
      </w:pPr>
    </w:p>
    <w:p>
      <w:pPr>
        <w:jc w:val="both"/>
        <w:ind w:right="18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2015 has been audited by PricewaterhouseCoopers LLP, an independent registered public accounting firm, as stated in their report which appears on Page F-3.</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 Chief Executive Officer and Director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PAA GP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Executive Vice President and Chief Financial Officer of PAA GP Holdings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income/(loss), of changes in partners’ capital, and of cash flows present fairly, in all material respects, the financial position of Plains GP Holdings, L.P.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Partnership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audits (which were integrated audits in 2015 and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15,695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13" w:name="page114"/>
    <w:bookmarkEnd w:id="113"/>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2,040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9,698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 of unamortized debt issuance costs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A Shareholders (229,278,980 and 206,933,274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1,762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B Shareholders (376,771,593 and 399,096,499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7,472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21,927</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42,114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23,152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19,726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39,500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$57, $48 and $38, respectively)</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NET INCOME PER CLASS A SHARE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DILUTED NET INCOME PER CLASS A SHARE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34" w:lineRule="auto"/>
        <w:tabs>
          <w:tab w:leader="none" w:pos="648" w:val="left"/>
        </w:tabs>
        <w:numPr>
          <w:ilvl w:val="0"/>
          <w:numId w:val="120"/>
        </w:numPr>
        <w:rPr>
          <w:rFonts w:ascii="Arial" w:cs="Arial" w:eastAsia="Arial" w:hAnsi="Arial"/>
          <w:sz w:val="23"/>
          <w:szCs w:val="23"/>
          <w:b w:val="1"/>
          <w:bCs w:val="1"/>
          <w:color w:val="auto"/>
          <w:vertAlign w:val="superscript"/>
        </w:rPr>
      </w:pPr>
      <w:r>
        <w:rPr>
          <w:rFonts w:ascii="Arial" w:cs="Arial" w:eastAsia="Arial" w:hAnsi="Arial"/>
          <w:sz w:val="18"/>
          <w:szCs w:val="18"/>
          <w:color w:val="auto"/>
        </w:rPr>
        <w:t>For the 2013 period, basic and diluted net income per Class A share were calculated based on net income attributable to PAGP for the period following the closing of our initial public offering on October 21, 2013 and basic weighted average Class A shares outstanding weighted for the same period. See Note 3, “Net Income Per Class A Share”.</w:t>
      </w:r>
    </w:p>
    <w:p>
      <w:pPr>
        <w:sectPr>
          <w:pgSz w:w="11900" w:h="16896" w:orient="portrait"/>
          <w:cols w:equalWidth="0" w:num="1">
            <w:col w:w="11420"/>
          </w:cols>
          <w:pgMar w:left="240" w:top="356" w:right="239" w:bottom="0" w:gutter="0" w:footer="0" w:header="0"/>
        </w:sectPr>
      </w:pPr>
    </w:p>
    <w:bookmarkStart w:id="114" w:name="page115"/>
    <w:bookmarkEnd w:id="11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2013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2014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2015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and other</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26"/>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Inventory</w:t>
            </w:r>
          </w:p>
        </w:tc>
        <w:tc>
          <w:tcPr>
            <w:tcW w:w="9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134</w:t>
            </w:r>
          </w:p>
        </w:tc>
      </w:tr>
    </w:tbl>
    <w:p>
      <w:pPr>
        <w:sectPr>
          <w:pgSz w:w="11900" w:h="16900" w:orient="portrait"/>
          <w:cols w:equalWidth="0" w:num="1">
            <w:col w:w="11420"/>
          </w:cols>
          <w:pgMar w:left="240" w:top="341" w:right="23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7)</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Investments in unconsolidated entities (Note 7)</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rPr>
              <w:t>Net borrowings/(repayments) under PAA senior secured hedged inventory facility</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(Note 9)</w:t>
            </w:r>
          </w:p>
        </w:tc>
        <w:tc>
          <w:tcPr>
            <w:tcW w:w="5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senior unsecured revolving credit facility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repayments under PNG credit agreement</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PAA commercial paper program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w w:val="97"/>
              </w:rPr>
              <w:t>Net borrowings/(repayments) under AAP senior secured revolving credit facility (Note</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AAP term loan (Note 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the issuance of PAA senior notes (Note 9)</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2,595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PAA senior notes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proceeds from the sale of common units by subsidiaries (Note 10)</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interests related to the sale of common units by</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5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received from initial public offering (Note 10)</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proceeds received from initial public offering (Note 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Class A shareholders (Note 10)</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members (Note 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noncontrolling interests (Note 10)</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(1,465)</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for:</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net of amounts refunded</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CAPITAL/MEMBERS’ EQUITY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Members’ Equity</w:t>
            </w:r>
          </w:p>
        </w:tc>
        <w:tc>
          <w:tcPr>
            <w:tcW w:w="240" w:type="dxa"/>
            <w:vAlign w:val="bottom"/>
          </w:tcPr>
          <w:p>
            <w:pPr>
              <w:spacing w:after="0"/>
              <w:rPr>
                <w:sz w:val="14"/>
                <w:szCs w:val="14"/>
                <w:color w:val="auto"/>
              </w:rPr>
            </w:pPr>
          </w:p>
        </w:tc>
        <w:tc>
          <w:tcPr>
            <w:tcW w:w="2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Partners’ Capital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(Excluding</w:t>
            </w:r>
          </w:p>
        </w:tc>
        <w:tc>
          <w:tcPr>
            <w:tcW w:w="24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(Excluding Noncontrolling Interests)</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Interests)</w:t>
            </w:r>
          </w:p>
        </w:tc>
        <w:tc>
          <w:tcPr>
            <w:tcW w:w="240" w:type="dxa"/>
            <w:vAlign w:val="bottom"/>
          </w:tcPr>
          <w:p>
            <w:pPr>
              <w:spacing w:after="0"/>
              <w:rPr>
                <w:sz w:val="12"/>
                <w:szCs w:val="12"/>
                <w:color w:val="auto"/>
              </w:rPr>
            </w:pPr>
          </w:p>
        </w:tc>
        <w:tc>
          <w:tcPr>
            <w:tcW w:w="144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Class A</w:t>
            </w:r>
          </w:p>
        </w:tc>
        <w:tc>
          <w:tcPr>
            <w:tcW w:w="106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Class 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3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ind w:left="10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1,359</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1,374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2"/>
        </w:trPr>
        <w:tc>
          <w:tcPr>
            <w:tcW w:w="3060" w:type="dxa"/>
            <w:vAlign w:val="bottom"/>
          </w:tcPr>
          <w:p>
            <w:pPr>
              <w:ind w:left="180"/>
              <w:spacing w:after="0" w:line="201" w:lineRule="exact"/>
              <w:rPr>
                <w:sz w:val="20"/>
                <w:szCs w:val="20"/>
                <w:color w:val="auto"/>
              </w:rPr>
            </w:pPr>
            <w:r>
              <w:rPr>
                <w:rFonts w:ascii="Arial" w:cs="Arial" w:eastAsia="Arial" w:hAnsi="Arial"/>
                <w:sz w:val="18"/>
                <w:szCs w:val="18"/>
                <w:color w:val="auto"/>
              </w:rPr>
              <w:t>Transfer of ownership interest in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connection with reorganization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prior to initial public offering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Arial" w:cs="Arial" w:eastAsia="Arial" w:hAnsi="Arial"/>
                <w:sz w:val="18"/>
                <w:szCs w:val="18"/>
                <w:color w:val="auto"/>
              </w:rPr>
              <w:t>(Note 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06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Class A shares to the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net of offering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(Note 10)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2,825</w:t>
            </w:r>
          </w:p>
        </w:tc>
        <w:tc>
          <w:tcPr>
            <w:tcW w:w="10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2"/>
        </w:trPr>
        <w:tc>
          <w:tcPr>
            <w:tcW w:w="3060" w:type="dxa"/>
            <w:vAlign w:val="bottom"/>
          </w:tcPr>
          <w:p>
            <w:pPr>
              <w:ind w:left="180"/>
              <w:spacing w:after="0" w:line="201" w:lineRule="exact"/>
              <w:rPr>
                <w:sz w:val="20"/>
                <w:szCs w:val="20"/>
                <w:color w:val="auto"/>
              </w:rPr>
            </w:pPr>
            <w:r>
              <w:rPr>
                <w:rFonts w:ascii="Arial" w:cs="Arial" w:eastAsia="Arial" w:hAnsi="Arial"/>
                <w:sz w:val="18"/>
                <w:szCs w:val="18"/>
                <w:color w:val="auto"/>
              </w:rPr>
              <w:t>Distribution of net proceeds of initial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Arial" w:cs="Arial" w:eastAsia="Arial" w:hAnsi="Arial"/>
                <w:sz w:val="18"/>
                <w:szCs w:val="18"/>
                <w:color w:val="auto"/>
              </w:rPr>
              <w:t>public offering (Note 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(2,825)</w:t>
            </w:r>
          </w:p>
        </w:tc>
        <w:tc>
          <w:tcPr>
            <w:tcW w:w="106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(Note 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1,076</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2"/>
        </w:trPr>
        <w:tc>
          <w:tcPr>
            <w:tcW w:w="3060" w:type="dxa"/>
            <w:vAlign w:val="bottom"/>
          </w:tcPr>
          <w:p>
            <w:pPr>
              <w:ind w:left="180"/>
              <w:spacing w:after="0" w:line="201" w:lineRule="exact"/>
              <w:rPr>
                <w:sz w:val="20"/>
                <w:szCs w:val="20"/>
                <w:color w:val="auto"/>
              </w:rPr>
            </w:pPr>
            <w:r>
              <w:rPr>
                <w:rFonts w:ascii="Arial" w:cs="Arial" w:eastAsia="Arial" w:hAnsi="Arial"/>
                <w:sz w:val="18"/>
                <w:szCs w:val="18"/>
                <w:color w:val="auto"/>
              </w:rPr>
              <w:t>Change in ownership interest in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connection with Exchange Right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Arial" w:cs="Arial" w:eastAsia="Arial" w:hAnsi="Arial"/>
                <w:sz w:val="18"/>
                <w:szCs w:val="18"/>
                <w:color w:val="auto"/>
              </w:rPr>
              <w:t>exercises (Note 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Sale of common units by subsidiaries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3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306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6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(Note 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r>
      <w:tr>
        <w:trPr>
          <w:trHeight w:val="202"/>
        </w:trPr>
        <w:tc>
          <w:tcPr>
            <w:tcW w:w="3060" w:type="dxa"/>
            <w:vAlign w:val="bottom"/>
          </w:tcPr>
          <w:p>
            <w:pPr>
              <w:ind w:left="180"/>
              <w:spacing w:after="0" w:line="201" w:lineRule="exact"/>
              <w:rPr>
                <w:sz w:val="20"/>
                <w:szCs w:val="20"/>
                <w:color w:val="auto"/>
              </w:rPr>
            </w:pPr>
            <w:r>
              <w:rPr>
                <w:rFonts w:ascii="Arial" w:cs="Arial" w:eastAsia="Arial" w:hAnsi="Arial"/>
                <w:sz w:val="18"/>
                <w:szCs w:val="18"/>
                <w:color w:val="auto"/>
              </w:rPr>
              <w:t>Change in ownership interest in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connection with Exchange Right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60" w:type="dxa"/>
            <w:vAlign w:val="bottom"/>
          </w:tcPr>
          <w:p>
            <w:pPr>
              <w:ind w:left="360"/>
              <w:spacing w:after="0"/>
              <w:rPr>
                <w:sz w:val="20"/>
                <w:szCs w:val="20"/>
                <w:color w:val="auto"/>
              </w:rPr>
            </w:pPr>
            <w:r>
              <w:rPr>
                <w:rFonts w:ascii="Arial" w:cs="Arial" w:eastAsia="Arial" w:hAnsi="Arial"/>
                <w:sz w:val="18"/>
                <w:szCs w:val="18"/>
                <w:color w:val="auto"/>
              </w:rPr>
              <w:t>exercises (Note 10)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0"/>
                <w:szCs w:val="20"/>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Sale of common units by subsidiaries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(370)</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306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6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(1,660)</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(Note 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r>
      <w:tr>
        <w:trPr>
          <w:trHeight w:val="202"/>
        </w:trPr>
        <w:tc>
          <w:tcPr>
            <w:tcW w:w="3060" w:type="dxa"/>
            <w:vAlign w:val="bottom"/>
          </w:tcPr>
          <w:p>
            <w:pPr>
              <w:ind w:left="180"/>
              <w:spacing w:after="0" w:line="201" w:lineRule="exact"/>
              <w:rPr>
                <w:sz w:val="20"/>
                <w:szCs w:val="20"/>
                <w:color w:val="auto"/>
              </w:rPr>
            </w:pPr>
            <w:r>
              <w:rPr>
                <w:rFonts w:ascii="Arial" w:cs="Arial" w:eastAsia="Arial" w:hAnsi="Arial"/>
                <w:sz w:val="18"/>
                <w:szCs w:val="18"/>
                <w:color w:val="auto"/>
              </w:rPr>
              <w:t>Change in ownership interest in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connection with Exchange Right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60" w:type="dxa"/>
            <w:vAlign w:val="bottom"/>
          </w:tcPr>
          <w:p>
            <w:pPr>
              <w:ind w:left="360"/>
              <w:spacing w:after="0"/>
              <w:rPr>
                <w:sz w:val="20"/>
                <w:szCs w:val="20"/>
                <w:color w:val="auto"/>
              </w:rPr>
            </w:pPr>
            <w:r>
              <w:rPr>
                <w:rFonts w:ascii="Arial" w:cs="Arial" w:eastAsia="Arial" w:hAnsi="Arial"/>
                <w:sz w:val="18"/>
                <w:szCs w:val="18"/>
                <w:color w:val="auto"/>
              </w:rPr>
              <w:t>exercises (Note 10)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Sale of common units by subsidiaries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(614)</w:t>
            </w: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completed our initial public offering (“IPO”) on October 21, 2013. As of December 31, 2015, our sole assets consisted of (i) a 100% managing member interest in Plains All American GP LLC (“GP LLC”) and (ii) an approximate 38% limited partner interest in Plains AAP, L.P. (“AAP”) through our ownership of 229,278,980 Class A units of AAP (“AAP units”). See Note 10 for additional discussion of our IPO and transactions involving our ownership interests in AAP and GP LLC.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Plains GP Holdings LLC, a Delaware limited liability company, is our general partner.</w:t>
      </w:r>
    </w:p>
    <w:p>
      <w:pPr>
        <w:spacing w:after="0" w:line="18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18 for further discussion of our operating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AOCI</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Bcf</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Pr>
          <w:p>
            <w:pPr>
              <w:ind w:left="240"/>
              <w:spacing w:after="0"/>
              <w:rPr>
                <w:sz w:val="20"/>
                <w:szCs w:val="20"/>
                <w:color w:val="auto"/>
              </w:rPr>
            </w:pPr>
            <w:r>
              <w:rPr>
                <w:rFonts w:ascii="Arial" w:cs="Arial" w:eastAsia="Arial" w:hAnsi="Arial"/>
                <w:sz w:val="18"/>
                <w:szCs w:val="18"/>
                <w:color w:val="auto"/>
              </w:rPr>
              <w:t>Billion cubic feet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Btu</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Pr>
          <w:p>
            <w:pPr>
              <w:ind w:left="240"/>
              <w:spacing w:after="0"/>
              <w:rPr>
                <w:sz w:val="20"/>
                <w:szCs w:val="20"/>
                <w:color w:val="auto"/>
              </w:rPr>
            </w:pPr>
            <w:r>
              <w:rPr>
                <w:rFonts w:ascii="Arial" w:cs="Arial" w:eastAsia="Arial" w:hAnsi="Arial"/>
                <w:sz w:val="18"/>
                <w:szCs w:val="18"/>
                <w:color w:val="auto"/>
              </w:rPr>
              <w:t>British thermal unit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CAD</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Pr>
          <w:p>
            <w:pPr>
              <w:ind w:left="240"/>
              <w:spacing w:after="0"/>
              <w:rPr>
                <w:sz w:val="20"/>
                <w:szCs w:val="20"/>
                <w:color w:val="auto"/>
              </w:rPr>
            </w:pPr>
            <w:r>
              <w:rPr>
                <w:rFonts w:ascii="Arial" w:cs="Arial" w:eastAsia="Arial" w:hAnsi="Arial"/>
                <w:sz w:val="18"/>
                <w:szCs w:val="18"/>
                <w:color w:val="auto"/>
              </w:rPr>
              <w:t>Canadian dollar</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CERCLA</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Pr>
          <w:p>
            <w:pPr>
              <w:ind w:left="240"/>
              <w:spacing w:after="0"/>
              <w:rPr>
                <w:sz w:val="20"/>
                <w:szCs w:val="20"/>
                <w:color w:val="auto"/>
              </w:rPr>
            </w:pPr>
            <w:r>
              <w:rPr>
                <w:rFonts w:ascii="Arial" w:cs="Arial" w:eastAsia="Arial" w:hAnsi="Arial"/>
                <w:sz w:val="18"/>
                <w:szCs w:val="18"/>
                <w:color w:val="auto"/>
                <w:w w:val="90"/>
              </w:rPr>
              <w:t>Federal Comprehensive Environmental Response, Compensation and Liability Act, as amended</w:t>
            </w:r>
          </w:p>
        </w:tc>
      </w:tr>
    </w:tbl>
    <w:p>
      <w:pPr>
        <w:sectPr>
          <w:pgSz w:w="11900" w:h="16838" w:orient="portrait"/>
          <w:cols w:equalWidth="0" w:num="1">
            <w:col w:w="11420"/>
          </w:cols>
          <w:pgMar w:left="240" w:top="125" w:right="239" w:bottom="0" w:gutter="0" w:footer="0" w:header="0"/>
        </w:sectPr>
      </w:pPr>
    </w:p>
    <w:bookmarkStart w:id="117" w:name="page118"/>
    <w:bookmarkEnd w:id="117"/>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DERs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EPA</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FASB</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GAAP</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ICE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Intercontinental Exchange</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IDR</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Incentive distribution right</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IPO</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Initial public offering</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LTIP</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Long-term incentive plan</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Mcf</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Thousand cubic feet</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MQD</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Minimum quarterly distribution</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NGL</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432"/>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0" w:type="dxa"/>
            <w:vAlign w:val="bottom"/>
          </w:tcPr>
          <w:p>
            <w:pPr>
              <w:ind w:left="3320"/>
              <w:spacing w:after="0"/>
              <w:rPr>
                <w:sz w:val="20"/>
                <w:szCs w:val="20"/>
                <w:color w:val="auto"/>
              </w:rPr>
            </w:pPr>
            <w:r>
              <w:rPr>
                <w:rFonts w:ascii="Arial" w:cs="Arial" w:eastAsia="Arial" w:hAnsi="Arial"/>
                <w:sz w:val="18"/>
                <w:szCs w:val="18"/>
                <w:color w:val="auto"/>
              </w:rPr>
              <w:t>F-9</w:t>
            </w:r>
          </w:p>
        </w:tc>
      </w:tr>
      <w:tr>
        <w:trPr>
          <w:trHeight w:val="132"/>
        </w:trPr>
        <w:tc>
          <w:tcPr>
            <w:tcW w:w="1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9200" w:type="dxa"/>
            <w:vAlign w:val="bottom"/>
            <w:tcBorders>
              <w:bottom w:val="single" w:sz="8" w:color="808080"/>
            </w:tcBorders>
          </w:tcPr>
          <w:p>
            <w:pPr>
              <w:spacing w:after="0"/>
              <w:rPr>
                <w:sz w:val="11"/>
                <w:szCs w:val="11"/>
                <w:color w:val="auto"/>
              </w:rPr>
            </w:pPr>
          </w:p>
        </w:tc>
      </w:tr>
      <w:tr>
        <w:trPr>
          <w:trHeight w:val="523"/>
        </w:trPr>
        <w:tc>
          <w:tcPr>
            <w:tcW w:w="16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NYMEX</w:t>
            </w:r>
          </w:p>
        </w:tc>
        <w:tc>
          <w:tcPr>
            <w:tcW w:w="32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NYSE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New York Stock Exchange</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Oxy</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PLA</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Pipeline loss allowance</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PNG</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RCRA</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USD</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United States dollar</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WTI</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0" w:type="dxa"/>
            <w:vAlign w:val="bottom"/>
          </w:tcPr>
          <w:p>
            <w:pPr>
              <w:ind w:left="240"/>
              <w:spacing w:after="0"/>
              <w:rPr>
                <w:sz w:val="20"/>
                <w:szCs w:val="20"/>
                <w:color w:val="auto"/>
              </w:rPr>
            </w:pPr>
            <w:r>
              <w:rPr>
                <w:rFonts w:ascii="Arial" w:cs="Arial" w:eastAsia="Arial" w:hAnsi="Arial"/>
                <w:sz w:val="18"/>
                <w:szCs w:val="18"/>
                <w:color w:val="auto"/>
              </w:rPr>
              <w:t>West Texas Intermediate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2015 and 2014, and the consolidated results of our operations, cash flows, changes in partners’ capital/members’ equity, comprehensive income and changes in accumulated other comprehensive income/(loss) for the years ended December 31, 2015, 2014 and 2013. All significant intercompany transactions have been eliminated in consolidation, and certain reclassifications have been made to information from previous years to conform to the current presentation. These reclassifications do not affect net income attributable to PAGP. The accompanying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w:t>
      </w:r>
    </w:p>
    <w:p>
      <w:pPr>
        <w:spacing w:after="0" w:line="18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The Consolidated Statement of Changes in Partners’ Capital for the period ended December 31, 2015 includes an adjustment of $19 million to correct the misclassifications in prior periods of amounts allocated between our Class A shareholders and noncontrolling interests. We have assessed the impact of the misclassification on current and prior periods and have determined the impacts are not material in any period.</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periods prior to our IPO, the accompanying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December 31, 2013, with the approval of PNG’s common unitholders, PNG became PAA’s wholly-owned subsidiary through a unit-for-unit exchange (referred to herein as the “PNG Merger”). PAA issued 0.445 PAA common units for each outstanding PNG common unit (the “Merger Exchange Ratio”) held by unitholders other than PAA, plus cash in lieu of any fractional PAA common units otherwise issuable in the PNG Merger. Also in conjunction with the PNG Merger, AAP agreed to reduce the amount of its incentive distributions. See Note 10 for further discussion. Since we historically consolidated PNG for financial reporting purposes, the PNG Merger did not change the basis of consolidation of our historical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fair value of derivatives, (iv) accruals and contingent liabilities,</w:t>
      </w:r>
    </w:p>
    <w:p>
      <w:pPr>
        <w:spacing w:after="0" w:line="2" w:lineRule="exact"/>
        <w:rPr>
          <w:sz w:val="20"/>
          <w:szCs w:val="20"/>
          <w:color w:val="auto"/>
        </w:rPr>
      </w:pPr>
    </w:p>
    <w:p>
      <w:pPr>
        <w:jc w:val="both"/>
        <w:ind w:right="600" w:firstLine="8"/>
        <w:spacing w:after="0" w:line="323" w:lineRule="auto"/>
        <w:tabs>
          <w:tab w:leader="none" w:pos="25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equity-indexed compensation plan accruals, (vi) property and equipment, depreciation expense and asset retirement obligations, (vii) allowance for doubtful accounts and (viii) inventory valuations. Although we believe these estimates are reasonable, actual results could differ from these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ectPr>
          <w:pgSz w:w="11900" w:h="16845" w:orient="portrait"/>
          <w:cols w:equalWidth="0" w:num="1">
            <w:col w:w="11460"/>
          </w:cols>
          <w:pgMar w:left="240" w:top="125" w:right="199" w:bottom="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 xml:space="preserve">Transportation Segment Revenues. </w:t>
      </w:r>
      <w:r>
        <w:rPr>
          <w:rFonts w:ascii="Arial" w:cs="Arial" w:eastAsia="Arial" w:hAnsi="Arial"/>
          <w:sz w:val="18"/>
          <w:szCs w:val="18"/>
          <w:color w:val="auto"/>
        </w:rPr>
        <w:t>Our Transportation segment operations generally consist of fee-based activities associated with transporting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on pipelines, gathering systems, trucks and barges. Revenues from pipeline 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regulated and non-regulated tariffs. Revenues associated with fees are recognized in the month to which the fee applies. The majority of our pipeline tariff and fee revenues are based on actual volumes and rates.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generate revenue through a combination of month-to-month and multi-year agreements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deliver, transport or throughput a minimum volume over</w:t>
      </w:r>
      <w:r>
        <w:rPr>
          <w:rFonts w:ascii="Arial" w:cs="Arial" w:eastAsia="Arial" w:hAnsi="Arial"/>
          <w:sz w:val="18"/>
          <w:szCs w:val="18"/>
          <w:i w:val="1"/>
          <w:iCs w:val="1"/>
          <w:color w:val="auto"/>
        </w:rPr>
        <w:t xml:space="preserve"> </w:t>
      </w:r>
      <w:r>
        <w:rPr>
          <w:rFonts w:ascii="Arial" w:cs="Arial" w:eastAsia="Arial" w:hAnsi="Arial"/>
          <w:sz w:val="18"/>
          <w:szCs w:val="18"/>
          <w:color w:val="auto"/>
        </w:rPr>
        <w:t>an agreed upon period. Some of these agreements include make-up rights if the minimum volume is not met. At December 31, 2015, counterparty deficiencies associated with agreements that include minimum volume commitments totaled $33 million.</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15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December 31, 2015 and 2014, we had deferred revenue associated with minimum volume commitments of $17 million and $4 million, respectively. In addition to the amounts recorded as deferred revenue, as of December 31, 2015, there was $16 million of accrued deficiencies for which the counterparties had not met their contractual minimum commitments, but we had not yet billed or collected such amounts.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Purchases and related costs include (i) the cost of crude oil, NGL and natural gas obtained in outright purchases, (ii) fees incurred for third-party storage and transportation,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Field operating costs consist of various field operating expenses, including fuel and power costs (including the impact of gains and losses from derivative related activities),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60" w:firstLine="648"/>
        <w:spacing w:after="0" w:line="381" w:lineRule="auto"/>
        <w:rPr>
          <w:sz w:val="20"/>
          <w:szCs w:val="20"/>
          <w:color w:val="auto"/>
        </w:rPr>
      </w:pPr>
      <w:r>
        <w:rPr>
          <w:rFonts w:ascii="Arial" w:cs="Arial" w:eastAsia="Arial" w:hAnsi="Arial"/>
          <w:sz w:val="15"/>
          <w:szCs w:val="15"/>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w:t>
      </w:r>
    </w:p>
    <w:p>
      <w:pPr>
        <w:sectPr>
          <w:pgSz w:w="11900" w:h="16838" w:orient="portrait"/>
          <w:cols w:equalWidth="0" w:num="1">
            <w:col w:w="11420"/>
          </w:cols>
          <w:pgMar w:left="240" w:top="341" w:right="239" w:bottom="0" w:gutter="0" w:footer="0" w:header="0"/>
        </w:sectPr>
      </w:pPr>
    </w:p>
    <w:bookmarkStart w:id="119" w:name="page120"/>
    <w:bookmarkEnd w:id="119"/>
    <w:p>
      <w:pPr>
        <w:ind w:right="540"/>
        <w:spacing w:after="0" w:line="277" w:lineRule="auto"/>
        <w:rPr>
          <w:sz w:val="20"/>
          <w:szCs w:val="20"/>
          <w:color w:val="auto"/>
        </w:rPr>
      </w:pPr>
      <w:r>
        <w:rPr>
          <w:rFonts w:ascii="Arial" w:cs="Arial" w:eastAsia="Arial" w:hAnsi="Arial"/>
          <w:sz w:val="18"/>
          <w:szCs w:val="18"/>
          <w:color w:val="auto"/>
        </w:rPr>
        <w:t>month. The resulting translation adjustments are made directly to a separate component of other comprehensive income, which is reflected in Partners’ Capital on our Consolidated Balance Sheets.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$21 million for the year ended December 31, 2015, a net loss of $13 million for the year ended December 31, 2014 and a net gain of $1 million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2015 and 2014, accounts payable included $60 million and $94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sustained decrease in commodity prices since late 2014 has caused liquidity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2015 and 2014, we had received $88 million and $180 million, respectively, of advance cash payments from third parties to mitigate credit risk. We also received $36 million and $198 million as of December 31, 2015 and 2014, respectively, of standby letters of credit to support obligations due from third parties, a portion of which applies to future business. The decrease in standby letters of credit and advance cash payments from third parties as of December 31, 2015 compared to December 31, 2014 was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7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2015 and 2014, substantially all of our trade accounts receivable (net of allowance for doubtful accounts) were less than 30 days past their scheduled invoice date. Our allowance for doubtful accounts receivable totaled $4 million at both December 31, 2015 and 2014.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10 for additional discussion regarding our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$35 million and $36 million, respectively, at December 31, 2015 and 2014.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0" w:name="page121"/>
    <w:bookmarkEnd w:id="120"/>
    <w:p>
      <w:pPr>
        <w:spacing w:after="0" w:line="6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11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See the respective footnotes for our accounting policies regarding (i) net income per Class A share, (ii) inventory, linefill and base gas and long-term inventory, (iii) property and equipment, (iv) goodwill, (v) investments in unconsolidated entities, (vi) other long-term assets, net, (vii) derivatives and risk management activities, (viii) income taxes, (ix) equity-indexed compensation and (x) legal and environmental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November 2015, the FASB issued guidance to simplify the balance sheet classification of deferred taxes by requiring that deferred tax liabilities and assets be classified as noncurrent. This guidance is effective for interim and annual periods beginning after December 15, 2016, with early adoption permitted, and may be applied prospectively or retrospectively to all periods presented. We early adopted this guidance during the fourth quarter of 2015, with prospective application. Prior period amounts presented have not been retrospectively adjusted. Our adoption did not have a material impact on our financial position, results of operations or cash flows.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will become effective for interim and annual periods beginning after December 15, 2015, with early adoption permitted, and must be applied prospectively. We adopted this guidance on January 1, 2016. Our adoption did not have a material impact on our financial position, results of operations or cash flows.</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will become effective for interim and annual periods beginning after December 15, 2016, with prospective application required. Early adoption is permitted, including adoption in an interim period. We expect to adopt this guidance on January 1, 2017, and we do not anticipate that our adoption will have a material impact on our financial position, results of operations or cash flows.</w:t>
      </w:r>
    </w:p>
    <w:p>
      <w:pPr>
        <w:spacing w:after="0" w:line="173"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 xml:space="preserve">In April 2015, the FASB issued guidance to simplify the presentation of debt issuance costs in entities’ financial statements. This updated guidance requires entities to present certain debt issuance costs as a direct deduction from the related debt liability, consistent with debt discounts. Additionally, amortization of debt issuance costs is required to be reported as interest expense. This guidance became effective for interim and annual periods beginning after December 15, 2015, with retrospective application required for all prior periods presented and early adoption permitted. </w:t>
      </w:r>
      <w:r>
        <w:rPr>
          <w:rFonts w:ascii="Arial" w:cs="Arial" w:eastAsia="Arial" w:hAnsi="Arial"/>
          <w:sz w:val="15"/>
          <w:szCs w:val="15"/>
          <w:color w:val="auto"/>
        </w:rPr>
        <w:t>We early adopted this guidance</w:t>
      </w:r>
      <w:r>
        <w:rPr>
          <w:rFonts w:ascii="Arial" w:cs="Arial" w:eastAsia="Arial" w:hAnsi="Arial"/>
          <w:sz w:val="16"/>
          <w:szCs w:val="16"/>
          <w:color w:val="auto"/>
        </w:rPr>
        <w:t xml:space="preserve"> </w:t>
      </w:r>
      <w:r>
        <w:rPr>
          <w:rFonts w:ascii="Arial" w:cs="Arial" w:eastAsia="Arial" w:hAnsi="Arial"/>
          <w:sz w:val="15"/>
          <w:szCs w:val="15"/>
          <w:color w:val="auto"/>
        </w:rPr>
        <w:t>during the fourth quarter of 2015 and have retroactively adjusted all prior period information presented in this Form 10-K. Our adoption of this guidance resulted in the reclassification of $60 million of unamortized debt issuance costs from “Other long-term assets, net” to “Senior notes, net of unamortized discounts and debt issuance costs” and “Other long-term debt, net of unamortized discounts” in our accompanying Consolidated Balance Sheet as of December 31, 2014. Additionally, for the years ended December 31, 2014 and 2013, we reclassified $8 million and $10 million, respectively, from “Depreciation and amortization” to “Interest expense, net” in our accompanying Consolidated Statement of Operations related to the presentation of the amortization of debt issuance costs. Our adoption of this guidance did not impact our Consolidated Statements of Comprehensive Income, Cash Flows or Changes in Partners’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180" w:firstLine="8"/>
        <w:spacing w:after="0" w:line="292" w:lineRule="auto"/>
        <w:tabs>
          <w:tab w:leader="none" w:pos="2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adopted this guidance on January 1, 2016. Our adoption did not have a material impact on our financial position, results of operations or cash flows.</w:t>
      </w:r>
    </w:p>
    <w:p>
      <w:pPr>
        <w:spacing w:after="0" w:line="16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August 2015, the FASB issued guidance deferring the effective date to interim and annual periods beginning after December 15, 2017. Therefore, we expect to adopt this guidance on January 1, 2018, and we are currently evaluating which transition approach to apply and the impact that adopting this guidance will have on our financial position, results of operations and cash flows.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ectPr>
          <w:pgSz w:w="11900" w:h="16904" w:orient="portrait"/>
          <w:cols w:equalWidth="0" w:num="1">
            <w:col w:w="11420"/>
          </w:cols>
          <w:pgMar w:left="240" w:top="368" w:right="239" w:bottom="0" w:gutter="0" w:footer="0" w:header="0"/>
        </w:sectPr>
      </w:pPr>
    </w:p>
    <w:bookmarkStart w:id="121" w:name="page122"/>
    <w:bookmarkEnd w:id="121"/>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10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15 for a complete discussion of PAGP LTIP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For the year ended December 31, 2015, the possible exchange of any AAP units and certain AAP Management Units would have had an antidilutive effect on basic net income per Class A share. For the year ended December 31, 2014, the possible exchange of any AAP units and certain AAP Management Units would have had a dilutive effect on basic net income per Class A share. For the same periods, our PAGP LTIP awards were dilutive; however, there were less than 0.1 million dilutive LTIP awards for each period, which did not change the presentation of weighted average Class A shares outstanding or net income per Class A share. For the year ended December 31, 2013, the possible exchange of any AAP units and certain AAP Management Units would have had an antidilutive effect on net income per Class A share. The following tables illustrate the calculation of basic and diluted net income per Class A share for the periods indicated (in millions,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12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120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0.53</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12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Incremental net income attributable to PAGP resulting from assumed exchange of AAP units and AAP</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Units</w:t>
            </w:r>
          </w:p>
        </w:tc>
        <w:tc>
          <w:tcPr>
            <w:tcW w:w="26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20" w:type="dxa"/>
            <w:vAlign w:val="bottom"/>
          </w:tcPr>
          <w:p>
            <w:pPr>
              <w:ind w:left="160"/>
              <w:spacing w:after="0" w:line="182" w:lineRule="exact"/>
              <w:rPr>
                <w:sz w:val="20"/>
                <w:szCs w:val="20"/>
                <w:color w:val="auto"/>
              </w:rPr>
            </w:pPr>
            <w:r>
              <w:rPr>
                <w:rFonts w:ascii="Arial" w:cs="Arial" w:eastAsia="Arial" w:hAnsi="Arial"/>
                <w:sz w:val="18"/>
                <w:szCs w:val="18"/>
                <w:color w:val="auto"/>
                <w:w w:val="94"/>
              </w:rPr>
              <w:t>Net income attributable to PAGP including incremental net income from assumed exchange of AAP units</w:t>
            </w:r>
          </w:p>
        </w:tc>
        <w:tc>
          <w:tcPr>
            <w:tcW w:w="1200" w:type="dxa"/>
            <w:vAlign w:val="bottom"/>
            <w:gridSpan w:val="2"/>
            <w:vMerge w:val="restart"/>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118</w:t>
            </w:r>
          </w:p>
        </w:tc>
        <w:tc>
          <w:tcPr>
            <w:tcW w:w="920" w:type="dxa"/>
            <w:vAlign w:val="bottom"/>
            <w:vMerge w:val="restart"/>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and AAP Management Units</w:t>
            </w:r>
          </w:p>
        </w:tc>
        <w:tc>
          <w:tcPr>
            <w:tcW w:w="1200" w:type="dxa"/>
            <w:vAlign w:val="bottom"/>
            <w:gridSpan w:val="2"/>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9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2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Diluted net income per Class A share</w:t>
            </w:r>
          </w:p>
        </w:tc>
        <w:tc>
          <w:tcPr>
            <w:tcW w:w="12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43" w:orient="portrait"/>
          <w:cols w:equalWidth="0" w:num="1">
            <w:col w:w="11420"/>
          </w:cols>
          <w:pgMar w:left="240" w:top="337" w:right="239" w:bottom="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200" w:right="1810"/>
        <w:spacing w:after="0" w:line="281" w:lineRule="auto"/>
        <w:rPr>
          <w:sz w:val="20"/>
          <w:szCs w:val="20"/>
          <w:color w:val="auto"/>
        </w:rPr>
      </w:pPr>
      <w:r>
        <w:rPr>
          <w:rFonts w:ascii="Arial" w:cs="Arial" w:eastAsia="Arial" w:hAnsi="Arial"/>
          <w:sz w:val="16"/>
          <w:szCs w:val="16"/>
          <w:color w:val="auto"/>
        </w:rPr>
        <w:t>Less: Net income attributable to PAGP for the period from January 1, 2013 to October 20, 2013 Net income attributable to PAGP for the period from October 21, 2013 to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 xml:space="preserve">Basic and diluted weighted average Class A shares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October 21, 2013</w:t>
            </w: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to December 31, 2013</w:t>
            </w:r>
          </w:p>
        </w:tc>
        <w:tc>
          <w:tcPr>
            <w:tcW w:w="60" w:type="dxa"/>
            <w:vAlign w:val="bottom"/>
          </w:tcPr>
          <w:p>
            <w:pPr>
              <w:spacing w:after="0"/>
              <w:rPr>
                <w:sz w:val="14"/>
                <w:szCs w:val="14"/>
                <w:color w:val="auto"/>
              </w:rPr>
            </w:pPr>
          </w:p>
        </w:tc>
      </w:tr>
      <w:tr>
        <w:trPr>
          <w:trHeight w:val="398"/>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1390" w:hanging="1390"/>
        <w:spacing w:after="0"/>
        <w:tabs>
          <w:tab w:leader="none" w:pos="139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807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8890" w:space="720"/>
            <w:col w:w="1810"/>
          </w:cols>
          <w:pgMar w:left="240" w:top="337" w:right="239" w:bottom="0" w:gutter="0" w:footer="0" w:header="0"/>
          <w:type w:val="continuous"/>
        </w:sectPr>
      </w:pPr>
    </w:p>
    <w:p>
      <w:pPr>
        <w:spacing w:after="0" w:line="295" w:lineRule="exact"/>
        <w:rPr>
          <w:sz w:val="20"/>
          <w:szCs w:val="20"/>
          <w:color w:val="auto"/>
        </w:rPr>
      </w:pPr>
    </w:p>
    <w:p>
      <w:pPr>
        <w:ind w:left="660" w:hanging="652"/>
        <w:spacing w:after="0" w:line="234" w:lineRule="auto"/>
        <w:tabs>
          <w:tab w:leader="none" w:pos="64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Basic weighted average Class A shares outstanding is weighted for the period following the closing of our IPO. Approximately 128 million Class A shares were issued upon closing of our IPO with approximately 4 million additional Class A shares issued through the exercise in October 2013 of an over-allotment option. Subsequent conversions of AAP units were immaterial.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ectPr>
          <w:pgSz w:w="11900" w:h="16843" w:orient="portrait"/>
          <w:cols w:equalWidth="0" w:num="1">
            <w:col w:w="11420"/>
          </w:cols>
          <w:pgMar w:left="240" w:top="337" w:right="239" w:bottom="0" w:gutter="0" w:footer="0" w:header="0"/>
          <w:type w:val="continuous"/>
        </w:sectPr>
      </w:pPr>
    </w:p>
    <w:bookmarkStart w:id="122" w:name="page123"/>
    <w:bookmarkEnd w:id="122"/>
    <w:p>
      <w:pPr>
        <w:spacing w:after="0" w:line="46"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2015, 2014 and 2013, we recorded charges of $117 million, $289 million and $7 million, respectively, related to the writedown of our crude oil, NGL and natural gas inventory due to declines in prices. In addition, the charges recorded during the year ended December 31, 2014 included the writedown of our natural gas inventory that was purchased in conjunction with managing natural gas storage deliverability requirements during the extended period of severe cold weather in the first quarter of 2014. A portion of these adjustments was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See Note 11 for discussion of our derivative and risk management activities.</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2015, 2014 and 2013, we did not recognize any impairments of linefill and base gas, but we did recognize gains of less than $1 million, $8 million and $7 million, respectively, on the sale of linefill and base gas for proceeds of $1 million, $24 million and $40 million, respectively.</w:t>
      </w:r>
    </w:p>
    <w:p>
      <w:pPr>
        <w:spacing w:after="0" w:line="19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Unit of</w:t>
            </w:r>
          </w:p>
        </w:tc>
        <w:tc>
          <w:tcPr>
            <w:tcW w:w="140" w:type="dxa"/>
            <w:vAlign w:val="bottom"/>
          </w:tcPr>
          <w:p>
            <w:pPr>
              <w:spacing w:after="0"/>
              <w:rPr>
                <w:sz w:val="10"/>
                <w:szCs w:val="10"/>
                <w:color w:val="auto"/>
              </w:rPr>
            </w:pP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w:t>
            </w: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60"/>
              <w:spacing w:after="0" w:line="172"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7"/>
                <w:szCs w:val="17"/>
                <w:b w:val="1"/>
                <w:bCs w:val="1"/>
                <w:color w:val="auto"/>
                <w:vertAlign w:val="superscript"/>
              </w:rPr>
              <w:t>(1)</w:t>
            </w:r>
          </w:p>
        </w:tc>
        <w:tc>
          <w:tcPr>
            <w:tcW w:w="1120" w:type="dxa"/>
            <w:vAlign w:val="bottom"/>
            <w:gridSpan w:val="2"/>
            <w:vMerge w:val="continue"/>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16,345</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6,465</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13,553</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Natural gas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22,080</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32,317</w:t>
            </w:r>
          </w:p>
        </w:tc>
        <w:tc>
          <w:tcPr>
            <w:tcW w:w="1120" w:type="dxa"/>
            <w:vAlign w:val="bottom"/>
            <w:gridSpan w:val="2"/>
          </w:tcPr>
          <w:p>
            <w:pPr>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12,298</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11,810</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30,812</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28,612</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7"/>
              </w:rPr>
              <w:t>Linefill and base gas subtotal</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2,582</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NGL</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1,681</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Long-term inventory subtotal</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125"/>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2015, 2014 and 2013, capitalized interest was $57 million, $48 million and $38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Estimated Useful</w:t>
            </w: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6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Lives (Years)</w:t>
            </w: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10 - 70</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30 - 70</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5,012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bl>
    <w:p>
      <w:pPr>
        <w:sectPr>
          <w:pgSz w:w="11900" w:h="16884" w:orient="portrait"/>
          <w:cols w:equalWidth="0" w:num="1">
            <w:col w:w="11420"/>
          </w:cols>
          <w:pgMar w:left="240" w:top="341" w:right="239"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4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1,217</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36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2 - 50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Land and other</w:t>
            </w:r>
          </w:p>
        </w:tc>
        <w:tc>
          <w:tcPr>
            <w:tcW w:w="4120" w:type="dxa"/>
            <w:vAlign w:val="bottom"/>
            <w:gridSpan w:val="2"/>
          </w:tcPr>
          <w:p>
            <w:pPr>
              <w:jc w:val="right"/>
              <w:ind w:right="1245"/>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(2,202)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(1,927)</w:t>
            </w:r>
          </w:p>
        </w:tc>
      </w:tr>
      <w:tr>
        <w:trPr>
          <w:trHeight w:val="210"/>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Depreciation expense for the years ended December 31, 2015, 2014 and 2013 was $381 million, $321 million and $262 million, respectively. We also classify gains and losses on sales of assets and asset impairments as a component of “Depreciation and amortization” in our Consolidated Statements of Operations. See “Impairment of Long-Lived Assets” below for a discussion of our policy for the recognition of asset impairments.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We did not recognize any impairments during the year ended December 31, 2015. During the years ended December 31, 2014 and 2013, we recognized impairments of $10 million and $20 million, respectively, primarily related to assets that were taken out of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2015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to the book value. A goodwill impairment loss is recognized if the carrying amount exceeds its fair value.</w:t>
      </w:r>
    </w:p>
    <w:p>
      <w:pPr>
        <w:spacing w:after="0" w:line="18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therefore, goodwill was not considered impaired. We did not recognize any material impairments of goodwill during the last three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As of December 31, 2015, as a result of industry conditions, we considered qualitative factors to determine whether a triggering event had occurred, which would require that a Step 1 impairment test be performed as of the end of the year. A triggering event is a determination that it is more likely than not that the fair value of any reporting unit was less than its carrying value. Based on our assessment, we concluded that a triggering event had not occurred as of</w:t>
      </w:r>
    </w:p>
    <w:p>
      <w:pPr>
        <w:sectPr>
          <w:pgSz w:w="11900" w:h="16838" w:orient="portrait"/>
          <w:cols w:equalWidth="0" w:num="1">
            <w:col w:w="11420"/>
          </w:cols>
          <w:pgMar w:left="240" w:top="125" w:right="239" w:bottom="0" w:gutter="0" w:footer="0" w:header="0"/>
        </w:sectPr>
      </w:pPr>
    </w:p>
    <w:bookmarkStart w:id="124" w:name="page125"/>
    <w:bookmarkEnd w:id="124"/>
    <w:p>
      <w:pPr>
        <w:spacing w:after="0" w:line="4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December 31, 2015. However, significant negative variances in the assumptions and estimates utilized in our forecasts, such as a continued decline in petroleum commodity prices or a sustained multi-year low petroleum commodity price environment that results in lower volumes and cash flows or further increases in our weighted average cost of capital assumption, could result in reporting unit carrying values in excess of fair values.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Acquisitions</w:t>
            </w: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8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180"/>
              <w:spacing w:after="0" w:line="197" w:lineRule="exact"/>
              <w:rPr>
                <w:sz w:val="20"/>
                <w:szCs w:val="20"/>
                <w:color w:val="auto"/>
              </w:rPr>
            </w:pPr>
            <w:r>
              <w:rPr>
                <w:rFonts w:ascii="Arial" w:cs="Arial" w:eastAsia="Arial" w:hAnsi="Arial"/>
                <w:sz w:val="17"/>
                <w:szCs w:val="17"/>
                <w:color w:val="auto"/>
              </w:rPr>
              <w:t xml:space="preserve">Acquisitions </w:t>
            </w:r>
            <w:r>
              <w:rPr>
                <w:rFonts w:ascii="Arial" w:cs="Arial" w:eastAsia="Arial" w:hAnsi="Arial"/>
                <w:sz w:val="22"/>
                <w:szCs w:val="22"/>
                <w:color w:val="auto"/>
                <w:vertAlign w:val="superscript"/>
              </w:rPr>
              <w:t>(1)</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127"/>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In addition, as applicable, we include a proportionate share of our equity method investees’ unrealized gains and losses in other comprehensive income on our Consolidated Balance Sheets. We also adjust our investment balances in these investees by the like amount.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180" w:type="dxa"/>
            <w:vAlign w:val="bottom"/>
            <w:vMerge w:val="restart"/>
          </w:tcPr>
          <w:p>
            <w:pPr>
              <w:spacing w:after="0"/>
              <w:rPr>
                <w:sz w:val="14"/>
                <w:szCs w:val="14"/>
                <w:color w:val="auto"/>
              </w:rPr>
            </w:pP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80" w:type="dxa"/>
            <w:vAlign w:val="bottom"/>
            <w:vMerge w:val="restart"/>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Our Ownership</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2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18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BridgeTex Pipeline Company, LLC (“BridgeTex”)</w:t>
            </w:r>
          </w:p>
        </w:tc>
        <w:tc>
          <w:tcPr>
            <w:tcW w:w="35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Caddo Pipeline LLC (“Caddo”) </w:t>
            </w:r>
            <w:r>
              <w:rPr>
                <w:rFonts w:ascii="Arial" w:cs="Arial" w:eastAsia="Arial" w:hAnsi="Arial"/>
                <w:sz w:val="23"/>
                <w:szCs w:val="23"/>
                <w:color w:val="auto"/>
                <w:vertAlign w:val="superscript"/>
              </w:rPr>
              <w:t>(1)</w:t>
            </w:r>
          </w:p>
        </w:tc>
        <w:tc>
          <w:tcPr>
            <w:tcW w:w="3560" w:type="dxa"/>
            <w:vAlign w:val="bottom"/>
            <w:gridSpan w:val="2"/>
            <w:shd w:val="clear" w:color="auto" w:fill="CCEEFF"/>
          </w:tcPr>
          <w:p>
            <w:pPr>
              <w:jc w:val="center"/>
              <w:ind w:right="280"/>
              <w:spacing w:after="0" w:line="216"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Diamond Pipeline LLC (“Diamond”) </w:t>
            </w:r>
            <w:r>
              <w:rPr>
                <w:rFonts w:ascii="Arial" w:cs="Arial" w:eastAsia="Arial" w:hAnsi="Arial"/>
                <w:sz w:val="23"/>
                <w:szCs w:val="23"/>
                <w:color w:val="auto"/>
                <w:vertAlign w:val="superscript"/>
              </w:rPr>
              <w:t>(1)</w:t>
            </w:r>
          </w:p>
        </w:tc>
        <w:tc>
          <w:tcPr>
            <w:tcW w:w="3560" w:type="dxa"/>
            <w:vAlign w:val="bottom"/>
            <w:gridSpan w:val="2"/>
          </w:tcPr>
          <w:p>
            <w:pPr>
              <w:jc w:val="center"/>
              <w:ind w:right="280"/>
              <w:spacing w:after="0" w:line="216"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3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Eagle Ford Terminals Corpus Christi LLC (“Eagle Ford Terminals”) </w:t>
            </w:r>
            <w:r>
              <w:rPr>
                <w:rFonts w:ascii="Arial" w:cs="Arial" w:eastAsia="Arial" w:hAnsi="Arial"/>
                <w:sz w:val="23"/>
                <w:szCs w:val="23"/>
                <w:color w:val="auto"/>
                <w:vertAlign w:val="superscript"/>
              </w:rPr>
              <w:t>(1)</w:t>
            </w:r>
          </w:p>
        </w:tc>
        <w:tc>
          <w:tcPr>
            <w:tcW w:w="3560" w:type="dxa"/>
            <w:vAlign w:val="bottom"/>
            <w:gridSpan w:val="2"/>
          </w:tcPr>
          <w:p>
            <w:pPr>
              <w:jc w:val="center"/>
              <w:ind w:right="280"/>
              <w:spacing w:after="0" w:line="216"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Frontier Pipeline Company</w:t>
            </w:r>
          </w:p>
        </w:tc>
        <w:tc>
          <w:tcPr>
            <w:tcW w:w="3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Saddlehorn Pipeline Company, LLC (“Saddlehorn”) </w:t>
            </w:r>
            <w:r>
              <w:rPr>
                <w:rFonts w:ascii="Arial" w:cs="Arial" w:eastAsia="Arial" w:hAnsi="Arial"/>
                <w:sz w:val="23"/>
                <w:szCs w:val="23"/>
                <w:color w:val="auto"/>
                <w:vertAlign w:val="superscript"/>
              </w:rPr>
              <w:t>(1)</w:t>
            </w:r>
          </w:p>
        </w:tc>
        <w:tc>
          <w:tcPr>
            <w:tcW w:w="3560" w:type="dxa"/>
            <w:vAlign w:val="bottom"/>
            <w:gridSpan w:val="2"/>
          </w:tcPr>
          <w:p>
            <w:pPr>
              <w:jc w:val="center"/>
              <w:ind w:right="280"/>
              <w:spacing w:after="0" w:line="216"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Butte Pipe Line Company</w:t>
            </w:r>
          </w:p>
        </w:tc>
        <w:tc>
          <w:tcPr>
            <w:tcW w:w="35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23"/>
          <w:szCs w:val="23"/>
          <w:color w:val="auto"/>
          <w:vertAlign w:val="superscript"/>
        </w:rPr>
      </w:pPr>
      <w:r>
        <w:rPr>
          <w:rFonts w:ascii="Arial" w:cs="Arial" w:eastAsia="Arial" w:hAnsi="Arial"/>
          <w:sz w:val="18"/>
          <w:szCs w:val="18"/>
          <w:color w:val="auto"/>
        </w:rPr>
        <w:t>Our initial investment in the entity occurred in 2015.</w:t>
      </w:r>
    </w:p>
    <w:p>
      <w:pPr>
        <w:spacing w:after="0" w:line="167"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28"/>
        </w:numPr>
        <w:rPr>
          <w:rFonts w:ascii="Arial" w:cs="Arial" w:eastAsia="Arial" w:hAnsi="Arial"/>
          <w:sz w:val="23"/>
          <w:szCs w:val="23"/>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In November 2014, we acquired a 50% interest in BridgeTex from Oxy. BridgeTex owns a 300,000 barrel-per-day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consider distributions received from unconsolidated entities as returns on investment in those entities to the extent of cumulative net operating cash flows, and therefore classify these distributions as cash flows from operating activities in our Consolidated Statement of Cash Flows. We define cumulative net operating cash flows as cumulative net income adjusted for certain non-cash items such as depreciation and amortization expense. Other distributions received from unconsolidated entities would be considered a return of the investment and classified as cash flows from investing activities on the Consolidated Statement of Cash Flows.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2015, 2014 and 2013, we made cash contributions of $253 million, $158 million and $133 million, respectively, to certain of our equity method investees. The contributions amount for 2015 is net of $53 million of cash received as a return of our investment. We anticipate that we will make additional contributions related to ongoing projects at Diamond, Saddlehorn, Eagle Ford Terminals and Caddo over the next several years.</w:t>
      </w:r>
    </w:p>
    <w:p>
      <w:pPr>
        <w:spacing w:after="0" w:line="19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Our investments in unconsolidated entities exceeded our share of the underlying equity in the net assets of such entities by $760 million and $763 million at December 31, 2015 and 2014, respectively. Such basis differences are included in the carrying values of our investments on our Consolidated Balance Sheets. The portion of the basis differences attributable to depreciable or amortizable assets is amortized on a straight-line basis over the estimated</w:t>
      </w:r>
    </w:p>
    <w:p>
      <w:pPr>
        <w:sectPr>
          <w:pgSz w:w="11900" w:h="16885" w:orient="portrait"/>
          <w:cols w:equalWidth="0" w:num="1">
            <w:col w:w="11420"/>
          </w:cols>
          <w:pgMar w:left="240" w:top="125" w:right="239" w:bottom="0" w:gutter="0" w:footer="0" w:header="0"/>
        </w:sectPr>
      </w:pPr>
    </w:p>
    <w:bookmarkStart w:id="125" w:name="page126"/>
    <w:bookmarkEnd w:id="125"/>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useful life of the related assets, which reduces “Equity earnings in unconsolidated entities” on our Consolidated Statements of Operations. The portion of the basis differences attributable to goodwill is not amortized. The basis difference is primarily related to our acquisition of an interest in BridgeTex.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Noncurrent assets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350"/>
        </w:trPr>
        <w:tc>
          <w:tcPr>
            <w:tcW w:w="6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2015, 2014 and 2013 was $49 million, $57 million and $85 million,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consisted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December 31,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2014</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 contracts and</w:t>
            </w:r>
          </w:p>
        </w:tc>
        <w:tc>
          <w:tcPr>
            <w:tcW w:w="1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 20</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 – 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0" w:type="dxa"/>
            <w:vAlign w:val="bottom"/>
            <w:gridSpan w:val="9"/>
          </w:tcPr>
          <w:p>
            <w:pPr>
              <w:ind w:left="640"/>
              <w:spacing w:after="0"/>
              <w:rPr>
                <w:sz w:val="20"/>
                <w:szCs w:val="20"/>
                <w:color w:val="auto"/>
              </w:rPr>
            </w:pPr>
            <w:r>
              <w:rPr>
                <w:rFonts w:ascii="Arial" w:cs="Arial" w:eastAsia="Arial" w:hAnsi="Arial"/>
                <w:sz w:val="18"/>
                <w:szCs w:val="18"/>
                <w:color w:val="auto"/>
              </w:rPr>
              <w:t>We estimate that our amortization expense related to finite-lived intangible assets for the next five years will be as follows (in millions):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2017</w:t>
            </w: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2019</w:t>
            </w: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00" w:type="dxa"/>
            <w:vAlign w:val="bottom"/>
          </w:tcPr>
          <w:p>
            <w:pPr>
              <w:ind w:left="4260"/>
              <w:spacing w:after="0"/>
              <w:rPr>
                <w:sz w:val="20"/>
                <w:szCs w:val="20"/>
                <w:color w:val="auto"/>
              </w:rPr>
            </w:pPr>
            <w:r>
              <w:rPr>
                <w:rFonts w:ascii="Arial" w:cs="Arial" w:eastAsia="Arial" w:hAnsi="Arial"/>
                <w:sz w:val="18"/>
                <w:szCs w:val="18"/>
                <w:color w:val="auto"/>
              </w:rPr>
              <w:t>F-22</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Note 9—Debt</w:t>
            </w: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gridSpan w:val="2"/>
          </w:tcPr>
          <w:p>
            <w:pPr>
              <w:ind w:left="64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line="216" w:lineRule="exact"/>
              <w:rPr>
                <w:sz w:val="20"/>
                <w:szCs w:val="20"/>
                <w:color w:val="auto"/>
              </w:rPr>
            </w:pPr>
            <w:r>
              <w:rPr>
                <w:rFonts w:ascii="Arial" w:cs="Arial" w:eastAsia="Arial" w:hAnsi="Arial"/>
                <w:sz w:val="18"/>
                <w:szCs w:val="18"/>
                <w:color w:val="auto"/>
                <w:w w:val="93"/>
              </w:rPr>
              <w:t xml:space="preserve">PAA commercial paper notes, bearing a weighted-average interest rate of 1.1% and 0.46%, respectively </w:t>
            </w:r>
            <w:r>
              <w:rPr>
                <w:rFonts w:ascii="Arial" w:cs="Arial" w:eastAsia="Arial" w:hAnsi="Arial"/>
                <w:sz w:val="23"/>
                <w:szCs w:val="23"/>
                <w:color w:val="auto"/>
                <w:w w:val="93"/>
                <w:vertAlign w:val="superscript"/>
              </w:rPr>
              <w:t>(1)</w:t>
            </w:r>
          </w:p>
        </w:tc>
        <w:tc>
          <w:tcPr>
            <w:tcW w:w="14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696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67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-1581150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-1581150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PAA senior secured hedged inventory facility, bearing a weighted-average interest rate of 1.4%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PAA senior notes: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5.25% senior notes due June 2015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3.95% senior notes due September 2015</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60"/>
              <w:spacing w:after="0"/>
              <w:rPr>
                <w:sz w:val="20"/>
                <w:szCs w:val="20"/>
                <w:color w:val="auto"/>
              </w:rPr>
            </w:pPr>
            <w:r>
              <w:rPr>
                <w:rFonts w:ascii="Arial" w:cs="Arial" w:eastAsia="Arial" w:hAnsi="Arial"/>
                <w:sz w:val="18"/>
                <w:szCs w:val="18"/>
                <w:color w:val="auto"/>
              </w:rPr>
              <w:t>Total short-term debt</w:t>
            </w:r>
          </w:p>
        </w:tc>
        <w:tc>
          <w:tcPr>
            <w:tcW w:w="3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5.88% senior notes due August 2016 </w:t>
            </w:r>
            <w:r>
              <w:rPr>
                <w:rFonts w:ascii="Arial" w:cs="Arial" w:eastAsia="Arial" w:hAnsi="Arial"/>
                <w:sz w:val="23"/>
                <w:szCs w:val="23"/>
                <w:color w:val="auto"/>
                <w:vertAlign w:val="superscript"/>
              </w:rPr>
              <w:t>(2)</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6.50% senior notes due May 2018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8.75% senior notes due May 2019</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2.60% senior notes due December 2019</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5.00% senior notes due February 2021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3.65% senior notes due June 2022</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2.85% senior notes due January 2023</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3.85% senior notes due October 2023</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3.60% senior notes due November 2024</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4.65% senior notes due October 2025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5.15% senior notes due June 2042</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4.70% senior notes due June 2044</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4.90% senior notes due February 2045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line="216" w:lineRule="exact"/>
              <w:rPr>
                <w:sz w:val="20"/>
                <w:szCs w:val="20"/>
                <w:color w:val="auto"/>
              </w:rPr>
            </w:pPr>
            <w:r>
              <w:rPr>
                <w:rFonts w:ascii="Arial" w:cs="Arial" w:eastAsia="Arial" w:hAnsi="Arial"/>
                <w:sz w:val="18"/>
                <w:szCs w:val="18"/>
                <w:color w:val="auto"/>
              </w:rPr>
              <w:t xml:space="preserve">PAA commercial paper notes, bearing a weighted-average interest rate of 1.1% </w:t>
            </w:r>
            <w:r>
              <w:rPr>
                <w:rFonts w:ascii="Arial" w:cs="Arial" w:eastAsia="Arial" w:hAnsi="Arial"/>
                <w:sz w:val="23"/>
                <w:szCs w:val="23"/>
                <w:color w:val="auto"/>
                <w:vertAlign w:val="superscript"/>
              </w:rPr>
              <w:t>(2)</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672</w:t>
            </w: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AAP term loan, bearing a weighted-average interest rate of 2.0% and 1.8%, respectively</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w w:val="95"/>
              </w:rPr>
              <w:t>AAP senior secured revolving credit facility, bearing a weighted-average interest rate of 2.0% and 1.8%,</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3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 w:hanging="13"/>
        <w:spacing w:after="0" w:line="264" w:lineRule="auto"/>
        <w:rPr>
          <w:sz w:val="20"/>
          <w:szCs w:val="20"/>
          <w:color w:val="auto"/>
        </w:rPr>
      </w:pPr>
      <w:r>
        <w:rPr>
          <w:rFonts w:ascii="Arial" w:cs="Arial" w:eastAsia="Arial" w:hAnsi="Arial"/>
          <w:sz w:val="18"/>
          <w:szCs w:val="18"/>
          <w:color w:val="auto"/>
        </w:rPr>
        <w:t>We classified these PAA commercial paper notes and credit facility borrowings as short-term at December 31, 2015 and 2014, as these notes and borrowings were primarily designated as working capital borrowings, were required to be repaid within one year and were primarily for hedged NGL and crude oil inventory and NYMEX and ICE margin deposits.</w:t>
      </w:r>
    </w:p>
    <w:p>
      <w:pPr>
        <w:spacing w:after="0" w:line="181" w:lineRule="exact"/>
        <w:rPr>
          <w:sz w:val="20"/>
          <w:szCs w:val="20"/>
          <w:color w:val="auto"/>
        </w:rPr>
      </w:pPr>
    </w:p>
    <w:p>
      <w:pPr>
        <w:ind w:left="20" w:right="340" w:hanging="13"/>
        <w:spacing w:after="0" w:line="308" w:lineRule="auto"/>
        <w:rPr>
          <w:sz w:val="20"/>
          <w:szCs w:val="20"/>
          <w:color w:val="auto"/>
        </w:rPr>
      </w:pPr>
      <w:r>
        <w:rPr>
          <w:rFonts w:ascii="Arial" w:cs="Arial" w:eastAsia="Arial" w:hAnsi="Arial"/>
          <w:sz w:val="17"/>
          <w:szCs w:val="17"/>
          <w:color w:val="auto"/>
        </w:rPr>
        <w:t>As of December 31, 2015, we have classified PAA’s $175 million, 5.88% senior notes due August 2016 and a portion of PAA’s commercial paper notes as long-term based on PAA’s ability and intent to refinance such amounts on a long-term basis under its credit agreements.</w:t>
      </w:r>
    </w:p>
    <w:p>
      <w:pPr>
        <w:spacing w:after="0" w:line="147"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460"/>
            <w:col w:w="10820"/>
          </w:cols>
          <w:pgMar w:left="240" w:top="9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right="100" w:hanging="612"/>
        <w:spacing w:after="0" w:line="259" w:lineRule="auto"/>
        <w:tabs>
          <w:tab w:leader="none" w:pos="606" w:val="left"/>
        </w:tabs>
        <w:numPr>
          <w:ilvl w:val="0"/>
          <w:numId w:val="130"/>
        </w:numPr>
        <w:rPr>
          <w:rFonts w:ascii="Arial" w:cs="Arial" w:eastAsia="Arial" w:hAnsi="Arial"/>
          <w:sz w:val="22"/>
          <w:szCs w:val="22"/>
          <w:color w:val="auto"/>
          <w:vertAlign w:val="superscript"/>
        </w:rPr>
      </w:pPr>
      <w:r>
        <w:rPr>
          <w:rFonts w:ascii="Arial" w:cs="Arial" w:eastAsia="Arial" w:hAnsi="Arial"/>
          <w:sz w:val="17"/>
          <w:szCs w:val="17"/>
          <w:color w:val="auto"/>
        </w:rPr>
        <w:t>PAA’s fixed-rate senior notes (including current maturities) had a face value of approximately $9.8 billion and $9.3 billion as of December 31, 2015 and 2014, respectively. We estimated the aggregate fair value of these notes as of December 31, 2015 and 2014 to be approximately $8.6 billion and $9.9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agreements and the PAA commercial paper program approximates fair value as interest rates reflect current market rates. The fair value estimates for the PAA senior notes, the credit agreements and the PAA commercial paper program are based upon observable market data and are classified in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260" w:firstLine="666"/>
        <w:spacing w:after="0" w:line="312"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The PAA senior secured hedged inventory facility has a committed borrowing capacity of $1.4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$400 million is available for the issuance of letters of credit. Subject to obtaining additional or increased lender commitments, the committed amount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2015, PAA extended the maturity date of the facility to August 2018.</w:t>
      </w:r>
    </w:p>
    <w:p>
      <w:pPr>
        <w:sectPr>
          <w:pgSz w:w="11900" w:h="16838" w:orient="portrait"/>
          <w:cols w:equalWidth="0" w:num="1">
            <w:col w:w="11420"/>
          </w:cols>
          <w:pgMar w:left="240" w:top="91" w:right="239" w:bottom="0" w:gutter="0" w:footer="0" w:header="0"/>
          <w:type w:val="continuous"/>
        </w:sectPr>
      </w:pPr>
    </w:p>
    <w:bookmarkStart w:id="127" w:name="page128"/>
    <w:bookmarkEnd w:id="127"/>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PAA senior unsecured revolving credit facility. </w:t>
      </w:r>
      <w:r>
        <w:rPr>
          <w:rFonts w:ascii="Arial" w:cs="Arial" w:eastAsia="Arial" w:hAnsi="Arial"/>
          <w:sz w:val="18"/>
          <w:szCs w:val="18"/>
          <w:color w:val="auto"/>
        </w:rPr>
        <w:t>The PAA senior unsecured revolving credit facility has a committed borrowing capacity of $1.6</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and contains an accordion feature that enables us to increase the committed capacity to $2.1 billion, subject to obtaining additional or increased lender commitments.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2015, PAA extended the maturity date of the facility to August 2020.</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PAA senior unsecured 364-day revolving credit facility. </w:t>
      </w:r>
      <w:r>
        <w:rPr>
          <w:rFonts w:ascii="Arial" w:cs="Arial" w:eastAsia="Arial" w:hAnsi="Arial"/>
          <w:sz w:val="18"/>
          <w:szCs w:val="18"/>
          <w:color w:val="auto"/>
        </w:rPr>
        <w:t>In January 2015, PAA entered into an agreement for a 364-day senior unsecured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borrowing capacity of $1.0 billion. In August 2015, PAA amended this agreement to extend the maturity date to August 2016. Borrowings accrue interest based, at PAA’s election, on either the Eurocurrency Rate or the Base Rate, as defined in the agreement, in each case plus a margin based on PAA’s credit rating at the applicable time.</w:t>
      </w:r>
    </w:p>
    <w:p>
      <w:pPr>
        <w:spacing w:after="0" w:line="187"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i w:val="1"/>
          <w:iCs w:val="1"/>
          <w:color w:val="auto"/>
        </w:rPr>
        <w:t xml:space="preserve">AAP senior secured credit agreement. </w:t>
      </w:r>
      <w:r>
        <w:rPr>
          <w:rFonts w:ascii="Arial" w:cs="Arial" w:eastAsia="Arial" w:hAnsi="Arial"/>
          <w:sz w:val="16"/>
          <w:szCs w:val="16"/>
          <w:color w:val="auto"/>
        </w:rPr>
        <w:t>In August 2015, AAP amended its credit agreement to, among other things, (i) increase its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from $500 million to $550 million, (ii) increase the aggregate commitments under its senior secured revolving credit facility from $75 million to $125 million and (iii) extend the maturity date of the term loan and senior secured revolving credit facility to August 2020 through the exercise of the option included in the current credit agreement. In addition, the amendment provides for a $50 million accordion feature, which may be used to expand the term loan and/or revolving credit facility commitments. We pay a quarterly commitment fee on the revolver that is based on AAP’s Consolidated Indebtedness to Consolidated EBITDA ratio (“Leverage Ratio”), as defined in the AAP credit agreement. The commitment fee can range from 0.175% to</w:t>
      </w:r>
    </w:p>
    <w:p>
      <w:pPr>
        <w:spacing w:after="0" w:line="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0.35% and is payable on the daily average unused amount of the revolver. Borrowings accrue interest based, at AAP’s election, on the Alternative Base Rate (the greater of the Base Rate or Federal Funds Effective Rate) or the Eurodollar Rate, in each case plus a margin as determined by AAP’s Leverage Ratio.</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PAA’s issuances of senior unsecured notes during 2015, 2014 and 2013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Description</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Face Value</w:t>
            </w: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Payment 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4.65% Senior Notes issued at 99.846% of face value</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April 15 and October 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2.60% Senior Notes issued at 99.813% of face value</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December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June 15 and December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4.90% Senior Notes issued at 99.876%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February 2045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15 and August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3.60% Senior Notes issued at 99.842% of face value</w:t>
            </w:r>
          </w:p>
        </w:tc>
        <w:tc>
          <w:tcPr>
            <w:tcW w:w="1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November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1 and November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4.70% Senior Notes issued at 99.734%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2044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15 and December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3.85% Senior Notes issued at 99.792%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October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April 15 and October 15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40" w:type="dxa"/>
            <w:vAlign w:val="bottom"/>
            <w:gridSpan w:val="4"/>
          </w:tcPr>
          <w:p>
            <w:pPr>
              <w:ind w:left="140"/>
              <w:spacing w:after="0"/>
              <w:rPr>
                <w:sz w:val="20"/>
                <w:szCs w:val="20"/>
                <w:color w:val="auto"/>
              </w:rPr>
            </w:pPr>
            <w:r>
              <w:rPr>
                <w:rFonts w:ascii="Arial" w:cs="Arial" w:eastAsia="Arial" w:hAnsi="Arial"/>
                <w:sz w:val="18"/>
                <w:szCs w:val="18"/>
                <w:i w:val="1"/>
                <w:iCs w:val="1"/>
                <w:color w:val="auto"/>
              </w:rPr>
              <w:t>PAA Senior Note Repayments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PAA $150 million, 5.25% senior notes and $400 million, 3.95% senior notes were repaid in June 2015 and September 2015, respectively. We utilized cash on hand and available capacity under the PAA commercial paper program to repay these notes.</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On December 13, 2013, PAA repaid its $250 million, 5.63% senior notes. We utilized cash on hand and available capacity under the PAA commercial paper program to repay these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2015 was approximately 11 years. The following table presents the aggregate contractually scheduled maturities for the next five years and thereafter. The amounts presented exclude unamortized discounts and debt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Year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71"/>
        </w:trPr>
        <w:tc>
          <w:tcPr>
            <w:tcW w:w="9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PAA Credit Agreements</w:t>
      </w:r>
      <w:r>
        <w:rPr>
          <w:rFonts w:ascii="Arial" w:cs="Arial" w:eastAsia="Arial" w:hAnsi="Arial"/>
          <w:sz w:val="17"/>
          <w:szCs w:val="17"/>
          <w:color w:val="auto"/>
        </w:rPr>
        <w:t>. PAA’s credit agreements (which impact the ability to access the PAA commercial paper program because they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credit agreements contain various covenants limiting PAA’s ability to, among other things:</w:t>
      </w:r>
    </w:p>
    <w:p>
      <w:pPr>
        <w:sectPr>
          <w:pgSz w:w="11900" w:h="16901" w:orient="portrait"/>
          <w:cols w:equalWidth="0" w:num="1">
            <w:col w:w="11420"/>
          </w:cols>
          <w:pgMar w:left="240" w:top="125" w:right="239" w:bottom="0" w:gutter="0" w:footer="0" w:header="0"/>
        </w:sectPr>
      </w:pPr>
    </w:p>
    <w:bookmarkStart w:id="128" w:name="page129"/>
    <w:bookmarkEnd w:id="128"/>
    <w:p>
      <w:pPr>
        <w:ind w:left="940" w:hanging="284"/>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senior unsecured 364-day revolving credit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 default under PAA’s credit facilities would permit the lenders to accelerate the maturity of the outstanding debt. As long as PAA is in compliance with its credit agreements, PAA’s ability to make distributions of available cash is not restricted. As of December 31, 2015, PAA was in compliance with the covenants contained in its credit agreements and indentures.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AAP Credit Agreement. </w:t>
      </w:r>
      <w:r>
        <w:rPr>
          <w:rFonts w:ascii="Arial" w:cs="Arial" w:eastAsia="Arial" w:hAnsi="Arial"/>
          <w:sz w:val="16"/>
          <w:szCs w:val="16"/>
          <w:color w:val="auto"/>
        </w:rPr>
        <w:t>To secure the AAP credit agreement, AAP pledged 100% of (i) its incentive distribution rights in PAA and (ii) its interest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PAA GP. The AAP credit agreement contains various covenants limiting AAP’s ability to, among other things:</w:t>
      </w:r>
    </w:p>
    <w:p>
      <w:pPr>
        <w:spacing w:after="0" w:line="211" w:lineRule="exact"/>
        <w:rPr>
          <w:sz w:val="20"/>
          <w:szCs w:val="20"/>
          <w:color w:val="auto"/>
        </w:rPr>
      </w:pPr>
    </w:p>
    <w:p>
      <w:pPr>
        <w:ind w:left="940" w:hanging="284"/>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fundamental changes as defined;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restrictive payments as defined;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225" w:lineRule="exact"/>
        <w:rPr>
          <w:sz w:val="20"/>
          <w:szCs w:val="20"/>
          <w:color w:val="auto"/>
        </w:rPr>
      </w:pPr>
    </w:p>
    <w:p>
      <w:pPr>
        <w:ind w:right="340" w:firstLine="666"/>
        <w:spacing w:after="0" w:line="277" w:lineRule="auto"/>
        <w:rPr>
          <w:sz w:val="20"/>
          <w:szCs w:val="20"/>
          <w:color w:val="auto"/>
        </w:rPr>
      </w:pPr>
      <w:r>
        <w:rPr>
          <w:rFonts w:ascii="Arial" w:cs="Arial" w:eastAsia="Arial" w:hAnsi="Arial"/>
          <w:sz w:val="18"/>
          <w:szCs w:val="18"/>
          <w:color w:val="auto"/>
        </w:rPr>
        <w:t>The AAP credit agreement also requires AAP to maintain a Leverage Ratio of no greater than 4.0 to 1.0. As of December 31, 2015, AAP was in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years ended December 31, 2015, 2014 and 2013 were approximately $62.3 billion, $71.0 billion and $31.5 billion, respectively. Total repayments under the credit agreements and the PAA commercial paper program were approximately $61.4 billion, $71.3 billion and $31.2 billion for the years ended December 31, 2015, 2014 and 2013,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2015 and 2014, we had outstanding letters of credit of $46 million and $87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and long-term debt under credit agreements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Shares</w:t>
      </w:r>
    </w:p>
    <w:p>
      <w:pPr>
        <w:sectPr>
          <w:pgSz w:w="11900" w:h="16838" w:orient="portrait"/>
          <w:cols w:equalWidth="0" w:num="1">
            <w:col w:w="11400"/>
          </w:cols>
          <w:pgMar w:left="240" w:top="341" w:right="259" w:bottom="32" w:gutter="0" w:footer="0" w:header="0"/>
        </w:sectPr>
      </w:pPr>
    </w:p>
    <w:bookmarkStart w:id="129" w:name="page130"/>
    <w:bookmarkEnd w:id="129"/>
    <w:p>
      <w:pPr>
        <w:spacing w:after="0" w:line="1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Class A shares and Class B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Immediately prior to our IPO, the general partner interest in AAP held by GP LLC was converted into a non-economic interest and, through a series of transactions with our general partner and the owners of GP LLC, we issued 473,647,679 Class B shares and an equal number of units of our general partner to such owners and received a 100% managing member interest in GP LLC. Also prior to our IPO, certain owners of AAP (the “Selling Owners”) sold a portion of their interests in AAP to us in exchange for the right to receive an amount equal to the net proceeds of the IPO, resulting in our ownership of AAP units representing limited partnership interests in AAP.</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October 21, 2013, we completed our IPO of 132,382,094 Class A shares representing limited partner interests in us at a price of $22.00 per Class A share, generating net proceeds, after deducting underwriting discounts and commissions and direct offering expenses, of approximately $2.8 billion. We distributed the net proceeds of the IPO to the Selling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Additionally, beginning after December 31, 2015, a holder of vested AAP Management Units will be entitled to convert his or her AAP Management Units into AAP units and a like number of our Class B shares based on a conversion ratio calculated in accordance with the AAP limited partnership agreement (which conversion ratio will not be more than one-to-one and was approximately 0.938 AAP units for each AAP Management Unit as of December 31, 2015).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15 for additional information regarding the AAP Management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presents the activity for our Class A shares and Class B shares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A Shares</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21, 2013 (IPO date)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the reorganization and IPO</w:t>
            </w:r>
          </w:p>
        </w:tc>
        <w:tc>
          <w:tcPr>
            <w:tcW w:w="1360" w:type="dxa"/>
            <w:vAlign w:val="bottom"/>
          </w:tcPr>
          <w:p>
            <w:pPr>
              <w:jc w:val="right"/>
              <w:spacing w:after="0"/>
              <w:rPr>
                <w:sz w:val="20"/>
                <w:szCs w:val="20"/>
                <w:color w:val="auto"/>
              </w:rPr>
            </w:pPr>
            <w:r>
              <w:rPr>
                <w:rFonts w:ascii="Arial" w:cs="Arial" w:eastAsia="Arial" w:hAnsi="Arial"/>
                <w:sz w:val="18"/>
                <w:szCs w:val="18"/>
                <w:color w:val="auto"/>
              </w:rPr>
              <w:t>473,647,679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132,382,094</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(1,451,543)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1,451,543</w:t>
            </w:r>
          </w:p>
        </w:tc>
      </w:tr>
      <w:tr>
        <w:trPr>
          <w:trHeight w:val="25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472,196,136</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133,833,637</w:t>
            </w:r>
          </w:p>
        </w:tc>
        <w:tc>
          <w:tcPr>
            <w:tcW w:w="100" w:type="dxa"/>
            <w:vAlign w:val="bottom"/>
            <w:tcBorders>
              <w:bottom w:val="single" w:sz="8" w:color="CCEEFF"/>
            </w:tcBorders>
          </w:tcPr>
          <w:p>
            <w:pPr>
              <w:spacing w:after="0"/>
              <w:rPr>
                <w:sz w:val="21"/>
                <w:szCs w:val="21"/>
                <w:color w:val="auto"/>
              </w:rPr>
            </w:pPr>
          </w:p>
        </w:tc>
      </w:tr>
      <w:tr>
        <w:trPr>
          <w:trHeight w:val="197"/>
        </w:trPr>
        <w:tc>
          <w:tcPr>
            <w:tcW w:w="830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Shares (exchanged)/issued in connection with Exchange Right exercises </w:t>
            </w:r>
            <w:r>
              <w:rPr>
                <w:rFonts w:ascii="Arial" w:cs="Arial" w:eastAsia="Arial" w:hAnsi="Arial"/>
                <w:sz w:val="22"/>
                <w:szCs w:val="22"/>
                <w:color w:val="auto"/>
                <w:vertAlign w:val="superscript"/>
              </w:rPr>
              <w:t>(1)</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(73,099,637)</w:t>
            </w:r>
          </w:p>
        </w:tc>
        <w:tc>
          <w:tcPr>
            <w:tcW w:w="28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73,099,637</w:t>
            </w:r>
          </w:p>
        </w:tc>
        <w:tc>
          <w:tcPr>
            <w:tcW w:w="100" w:type="dxa"/>
            <w:vAlign w:val="bottom"/>
            <w:shd w:val="clear" w:color="auto" w:fill="CCEEFF"/>
          </w:tcPr>
          <w:p>
            <w:pPr>
              <w:spacing w:after="0"/>
              <w:rPr>
                <w:sz w:val="17"/>
                <w:szCs w:val="17"/>
                <w:color w:val="auto"/>
              </w:rPr>
            </w:pPr>
          </w:p>
        </w:tc>
      </w:tr>
      <w:tr>
        <w:trPr>
          <w:trHeight w:val="25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399,096,499</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206,933,274</w:t>
            </w:r>
          </w:p>
        </w:tc>
        <w:tc>
          <w:tcPr>
            <w:tcW w:w="100" w:type="dxa"/>
            <w:vAlign w:val="bottom"/>
            <w:tcBorders>
              <w:bottom w:val="single" w:sz="8" w:color="CCEEFF"/>
            </w:tcBorders>
          </w:tcPr>
          <w:p>
            <w:pPr>
              <w:spacing w:after="0"/>
              <w:rPr>
                <w:sz w:val="21"/>
                <w:szCs w:val="21"/>
                <w:color w:val="auto"/>
              </w:rPr>
            </w:pPr>
          </w:p>
        </w:tc>
      </w:tr>
      <w:tr>
        <w:trPr>
          <w:trHeight w:val="197"/>
        </w:trPr>
        <w:tc>
          <w:tcPr>
            <w:tcW w:w="83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Shares (exchanged)/issued in connection with Exchange Right exercises</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(22,324,906)</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22,324,906</w:t>
            </w:r>
          </w:p>
        </w:tc>
        <w:tc>
          <w:tcPr>
            <w:tcW w:w="10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376,771,593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229,278,980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20" w:hanging="652"/>
        <w:spacing w:after="0" w:line="227" w:lineRule="auto"/>
        <w:tabs>
          <w:tab w:leader="none" w:pos="648"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Includes 69,000,000 Class A shares issued to Oxy immediately preceding the sale of such shares in an underwritten secondary public offering. See Note 14 for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Class A shareholders during the periods indicated (in millions,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gridSpan w:val="2"/>
          </w:tcPr>
          <w:p>
            <w:pPr>
              <w:ind w:left="520"/>
              <w:spacing w:after="0"/>
              <w:rPr>
                <w:sz w:val="20"/>
                <w:szCs w:val="20"/>
                <w:color w:val="auto"/>
              </w:rPr>
            </w:pPr>
            <w:r>
              <w:rPr>
                <w:rFonts w:ascii="Arial" w:cs="Arial" w:eastAsia="Arial" w:hAnsi="Arial"/>
                <w:sz w:val="14"/>
                <w:szCs w:val="14"/>
                <w:b w:val="1"/>
                <w:bCs w:val="1"/>
                <w:color w:val="auto"/>
              </w:rPr>
              <w:t>Distributions Paid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2"/>
          </w:tcPr>
          <w:p>
            <w:pPr>
              <w:ind w:left="320"/>
              <w:spacing w:after="0"/>
              <w:rPr>
                <w:sz w:val="20"/>
                <w:szCs w:val="20"/>
                <w:color w:val="auto"/>
              </w:rPr>
            </w:pPr>
            <w:r>
              <w:rPr>
                <w:rFonts w:ascii="Arial" w:cs="Arial" w:eastAsia="Arial" w:hAnsi="Arial"/>
                <w:sz w:val="14"/>
                <w:szCs w:val="14"/>
                <w:b w:val="1"/>
                <w:bCs w:val="1"/>
                <w:color w:val="auto"/>
              </w:rPr>
              <w:t>Distributions per Class A Share</w:t>
            </w:r>
          </w:p>
        </w:tc>
      </w:tr>
      <w:tr>
        <w:trPr>
          <w:trHeight w:val="210"/>
        </w:trPr>
        <w:tc>
          <w:tcPr>
            <w:tcW w:w="3900" w:type="dxa"/>
            <w:vAlign w:val="bottom"/>
            <w:tcBorders>
              <w:top w:val="single" w:sz="8" w:color="auto"/>
            </w:tcBorders>
            <w:shd w:val="clear" w:color="auto" w:fill="CCEEFF"/>
          </w:tcPr>
          <w:p>
            <w:pPr>
              <w:jc w:val="right"/>
              <w:ind w:right="1676"/>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305"/>
        </w:trPr>
        <w:tc>
          <w:tcPr>
            <w:tcW w:w="3900" w:type="dxa"/>
            <w:vAlign w:val="bottom"/>
          </w:tcPr>
          <w:p>
            <w:pPr>
              <w:jc w:val="center"/>
              <w:ind w:right="1576"/>
              <w:spacing w:after="0"/>
              <w:rPr>
                <w:sz w:val="20"/>
                <w:szCs w:val="20"/>
                <w:color w:val="auto"/>
              </w:rPr>
            </w:pPr>
            <w:r>
              <w:rPr>
                <w:rFonts w:ascii="Arial" w:cs="Arial" w:eastAsia="Arial" w:hAnsi="Arial"/>
                <w:sz w:val="18"/>
                <w:szCs w:val="18"/>
                <w:color w:val="auto"/>
              </w:rPr>
              <w:t xml:space="preserve">2014 </w:t>
            </w:r>
            <w:r>
              <w:rPr>
                <w:rFonts w:ascii="Arial" w:cs="Arial" w:eastAsia="Arial" w:hAnsi="Arial"/>
                <w:sz w:val="23"/>
                <w:szCs w:val="23"/>
                <w:color w:val="auto"/>
                <w:vertAlign w:val="superscript"/>
              </w:rPr>
              <w:t>(1)</w:t>
            </w:r>
          </w:p>
        </w:tc>
        <w:tc>
          <w:tcPr>
            <w:tcW w:w="92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4"/>
                <w:szCs w:val="24"/>
                <w:color w:val="auto"/>
              </w:rPr>
            </w:pPr>
          </w:p>
        </w:tc>
        <w:tc>
          <w:tcPr>
            <w:tcW w:w="5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3100" w:type="dxa"/>
            <w:vAlign w:val="bottom"/>
            <w:gridSpan w:val="2"/>
          </w:tcPr>
          <w:p>
            <w:pPr>
              <w:jc w:val="right"/>
              <w:ind w:right="100"/>
              <w:spacing w:after="0"/>
              <w:rPr>
                <w:sz w:val="20"/>
                <w:szCs w:val="20"/>
                <w:color w:val="auto"/>
              </w:rPr>
            </w:pPr>
            <w:r>
              <w:rPr>
                <w:rFonts w:ascii="Arial" w:cs="Arial" w:eastAsia="Arial" w:hAnsi="Arial"/>
                <w:sz w:val="18"/>
                <w:szCs w:val="18"/>
                <w:color w:val="auto"/>
              </w:rPr>
              <w:t>0.66975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hanging="652"/>
        <w:spacing w:after="0" w:line="227" w:lineRule="auto"/>
        <w:tabs>
          <w:tab w:leader="none" w:pos="648"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The distribution paid to our Class A shareholders in the first quarter of 2014 was based on the prorated distribution received from AAP attributable to the period beginning on the date of the closing of our IPO through the end of the fourth quarter of 2013.</w:t>
      </w:r>
    </w:p>
    <w:p>
      <w:pPr>
        <w:spacing w:after="0" w:line="20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On January 12, 2016, we declared a cash distribution of $0.231 per outstanding Class A share. This distribution of $55 million was paid on February 12, 2016 to shareholders of record at the close of business on January 29, 2016, for the period October 1, 2015 through December 31, 2015.</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Distributions Prior to our IPO</w:t>
      </w:r>
      <w:r>
        <w:rPr>
          <w:rFonts w:ascii="Arial" w:cs="Arial" w:eastAsia="Arial" w:hAnsi="Arial"/>
          <w:sz w:val="18"/>
          <w:szCs w:val="18"/>
          <w:color w:val="auto"/>
        </w:rPr>
        <w:t>. During the year ended December 31, 2013, $6 million was distributed to the owners of GP LLC. Of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during the year ended December 31, 2013, $3 million related to distributions received from AAP of the net proceeds from the increase in AAP’s term loan, as discussed under “AAP Distributions” below.</w:t>
      </w:r>
    </w:p>
    <w:p>
      <w:pPr>
        <w:sectPr>
          <w:pgSz w:w="11900" w:h="16853"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 Subsidiaries</w:t>
      </w:r>
    </w:p>
    <w:p>
      <w:pPr>
        <w:sectPr>
          <w:pgSz w:w="11900" w:h="16853" w:orient="portrait"/>
          <w:cols w:equalWidth="0" w:num="1">
            <w:col w:w="11420"/>
          </w:cols>
          <w:pgMar w:left="240" w:top="125" w:right="239" w:bottom="0" w:gutter="0" w:footer="0" w:header="0"/>
          <w:type w:val="continuous"/>
        </w:sectPr>
      </w:pPr>
    </w:p>
    <w:bookmarkStart w:id="130" w:name="page131"/>
    <w:bookmarkEnd w:id="130"/>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December 31, 2015, noncontrolling interests in our subsidiaries consisted of (i) a 98% limited partner interest in PAA, (ii) an approximate 62% limited partner interest in AAP that consists of Class A units and AAP Management Units (a profits interest) and (iii) a 25% interest in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PAA Distributions. </w:t>
      </w:r>
      <w:r>
        <w:rPr>
          <w:rFonts w:ascii="Arial" w:cs="Arial" w:eastAsia="Arial" w:hAnsi="Arial"/>
          <w:sz w:val="18"/>
          <w:szCs w:val="18"/>
          <w:color w:val="auto"/>
        </w:rPr>
        <w:t>PAA distributes 100% of its available cash within 45 days following the end of each quarter to unitholders of record and to AAP.</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is generally defined as all of PAA’s cash and cash equivalents on hand at the end of each quarter, less reserves established by its general partner for future requirements.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AAP is entitled to receive (i) distributions representing its 2% indirect general partner interest in PAA and (ii) incentive distributions if the amount PAA distributes with respect to any quarter exceeds levels specified in PAA’s partnership agreement. Under the quarterly distribution provisions, AAP is entitled, without duplication, to 2% of amounts PAA distributes up to $0.2250 per unit, referred to as the MQD, 15% of amounts PAA distributes in excess of $0.2250 per unit, 25% of the amounts PAA distributes in excess of $0.2475 per unit and 50% of amounts PAA distributes in excess of $0.3375 per unit.</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years ended December 31, 2015, 2014 and 2013, AAP’s incentive distributions were reduced by approximately $22 million, $23 million and $15 million, respectively. These reductions were agreed to in connection with the BP NGL Acquisition and the PNG Merger. In addition, AAP has agreed to reduce the amount of its incentive distribution by $5.0 million per quarter in 2016 and $3.75 million per quarter thereafter. In connection with PAA’s January 2016 private placement of preferred units, as discussed further in “Issuance of Units by Subsidiaries” below, AAP agreed to further modify its IDRs such that when the preferred units convert into PAA common units, the IDRs associated with the resulting common units will only participate in distribution growth above an annualized PAA distribution level of $2.80 per converted PAA common unit.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details distributions, net of reductions in AAP’s incentive distributions, paid during periods indicated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 Paid</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Distributions per</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Common Unitholders</w:t>
            </w:r>
          </w:p>
        </w:tc>
        <w:tc>
          <w:tcPr>
            <w:tcW w:w="160" w:type="dxa"/>
            <w:vAlign w:val="bottom"/>
          </w:tcPr>
          <w:p>
            <w:pPr>
              <w:spacing w:after="0"/>
              <w:rPr>
                <w:sz w:val="12"/>
                <w:szCs w:val="12"/>
                <w:color w:val="auto"/>
              </w:rPr>
            </w:pPr>
          </w:p>
        </w:tc>
        <w:tc>
          <w:tcPr>
            <w:tcW w:w="1300" w:type="dxa"/>
            <w:vAlign w:val="bottom"/>
          </w:tcPr>
          <w:p>
            <w:pPr>
              <w:jc w:val="right"/>
              <w:ind w:right="287"/>
              <w:spacing w:after="0" w:line="142" w:lineRule="exact"/>
              <w:rPr>
                <w:sz w:val="20"/>
                <w:szCs w:val="20"/>
                <w:color w:val="auto"/>
              </w:rPr>
            </w:pPr>
            <w:r>
              <w:rPr>
                <w:rFonts w:ascii="Arial" w:cs="Arial" w:eastAsia="Arial" w:hAnsi="Arial"/>
                <w:sz w:val="14"/>
                <w:szCs w:val="14"/>
                <w:b w:val="1"/>
                <w:bCs w:val="1"/>
                <w:color w:val="auto"/>
              </w:rPr>
              <w:t>AAP</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5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common unit</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460" w:type="dxa"/>
            <w:vAlign w:val="bottom"/>
            <w:gridSpan w:val="2"/>
          </w:tcPr>
          <w:p>
            <w:pPr>
              <w:jc w:val="right"/>
              <w:ind w:right="114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1,407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1460" w:type="dxa"/>
            <w:vAlign w:val="bottom"/>
            <w:gridSpan w:val="2"/>
            <w:shd w:val="clear" w:color="auto" w:fill="CCEEFF"/>
          </w:tcPr>
          <w:p>
            <w:pPr>
              <w:jc w:val="right"/>
              <w:ind w:right="11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369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January 12, 2016, PAA declared a cash distribution of $0.70 per unit on PAA’s outstanding common units. The distribution was paid on February 12, 2016 to unitholders of record on January 29, 2016, for the period October 1, 2015 through December 31, 2015. The total distribution paid was $433 million, with $278 million paid to PAA’s common unitholders and $155 million paid to AAP for its 2% general partner and incentive distribution interests.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AAP distributes all of the cash received from PAA distributions on a quarterly basis, less reserves established 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Distributions Received</w:t>
            </w:r>
          </w:p>
        </w:tc>
        <w:tc>
          <w:tcPr>
            <w:tcW w:w="120" w:type="dxa"/>
            <w:vAlign w:val="bottom"/>
          </w:tcPr>
          <w:p>
            <w:pPr>
              <w:spacing w:after="0"/>
              <w:rPr>
                <w:sz w:val="14"/>
                <w:szCs w:val="14"/>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Distributions to AAP’s Partners</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by AAP from PAA</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Reserves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spacing w:after="0" w:line="216" w:lineRule="exact"/>
              <w:rPr>
                <w:sz w:val="20"/>
                <w:szCs w:val="20"/>
                <w:color w:val="auto"/>
              </w:rPr>
            </w:pPr>
            <w:r>
              <w:rPr>
                <w:rFonts w:ascii="Arial" w:cs="Arial" w:eastAsia="Arial" w:hAnsi="Arial"/>
                <w:sz w:val="18"/>
                <w:szCs w:val="18"/>
                <w:color w:val="auto"/>
                <w:w w:val="84"/>
              </w:rPr>
              <w:t xml:space="preserve">2014 </w:t>
            </w:r>
            <w:r>
              <w:rPr>
                <w:rFonts w:ascii="Arial" w:cs="Arial" w:eastAsia="Arial" w:hAnsi="Arial"/>
                <w:sz w:val="23"/>
                <w:szCs w:val="23"/>
                <w:color w:val="auto"/>
                <w:w w:val="84"/>
                <w:vertAlign w:val="superscript"/>
              </w:rPr>
              <w:t>(1)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102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w:t>
            </w:r>
          </w:p>
        </w:tc>
        <w:tc>
          <w:tcPr>
            <w:tcW w:w="8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102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140" w:hanging="612"/>
        <w:spacing w:after="0" w:line="238" w:lineRule="auto"/>
        <w:tabs>
          <w:tab w:leader="none" w:pos="606"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The distribution paid by AAP in the first quarter of 2014 was prorated as of the date of the consummation of our IPO, such that the owners of AAP prior to our IPO received the portion of the distribution attributable to the period prior to our IPO, and the owners of AAP at the date of record of January 31, 2014, including us, received the portion of the distribution attributable to the period beginning on the date of the IPO through the end of the fourth quarter of 2013.</w:t>
      </w:r>
    </w:p>
    <w:p>
      <w:pPr>
        <w:spacing w:after="0" w:line="168" w:lineRule="exact"/>
        <w:rPr>
          <w:rFonts w:ascii="Arial" w:cs="Arial" w:eastAsia="Arial" w:hAnsi="Arial"/>
          <w:sz w:val="23"/>
          <w:szCs w:val="23"/>
          <w:color w:val="auto"/>
          <w:vertAlign w:val="superscript"/>
        </w:rPr>
      </w:pPr>
    </w:p>
    <w:p>
      <w:pPr>
        <w:ind w:left="600" w:hanging="592"/>
        <w:spacing w:after="0"/>
        <w:tabs>
          <w:tab w:leader="none" w:pos="60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Represents distributions paid by AAP to our predecessor, GP LLC, prior to our IPO.</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February 12, 2016, AAP distributed $151 million of the distributions received from PAA, net of cash reserves of $4 million, to its partners. Of this amount, $96 million was distributed to noncontrolling interests and $55 million was distributed to us.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September 2013, the AAP credit agreement was amended to increase the amount of the term loan by $300 million. Upon receipt, the net term loan proceeds of $299 million were distributed to AAP’s limited partners, excluding AAP Management Unit holders, and GPLLC in proportion to their respective ownership interests.</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During each of the years ended December 31, 2015, 2014 and 2013, distributions of $3 million were paid to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SLC Pipeline LLC. During the year ended December 31, 2013, distributions of $46 million were paid to noncontrolling interests in PNG.</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of Units by Subsidiaries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PAA Common Unit Issuances. </w:t>
      </w:r>
      <w:r>
        <w:rPr>
          <w:rFonts w:ascii="Arial" w:cs="Arial" w:eastAsia="Arial" w:hAnsi="Arial"/>
          <w:sz w:val="18"/>
          <w:szCs w:val="18"/>
          <w:color w:val="auto"/>
        </w:rPr>
        <w:t>PAA has entered into several equity distribution agreements under its Continuous Offering Program,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PAA may offer and sell, through sales agents, common units representing limited partner interests. In addition to its Continuous Offering Program, PAA may sell common units through overnight or underwritten offerings.</w:t>
      </w:r>
    </w:p>
    <w:p>
      <w:pPr>
        <w:sectPr>
          <w:pgSz w:w="11900" w:h="16838" w:orient="portrait"/>
          <w:cols w:equalWidth="0" w:num="1">
            <w:col w:w="11420"/>
          </w:cols>
          <w:pgMar w:left="240" w:top="337" w:right="239" w:bottom="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PAA’s issuance of common units in connection with its Continuous Offering Program and underwritten offerings during the periods indicated (net proceeds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Type of Offering</w:t>
            </w: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 Issued</w:t>
            </w:r>
          </w:p>
        </w:tc>
        <w:tc>
          <w:tcPr>
            <w:tcW w:w="140" w:type="dxa"/>
            <w:vAlign w:val="bottom"/>
          </w:tcPr>
          <w:p>
            <w:pPr>
              <w:spacing w:after="0"/>
              <w:rPr>
                <w:sz w:val="16"/>
                <w:szCs w:val="16"/>
                <w:color w:val="auto"/>
              </w:rPr>
            </w:pPr>
          </w:p>
        </w:tc>
        <w:tc>
          <w:tcPr>
            <w:tcW w:w="142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w w:val="91"/>
              </w:rPr>
              <w:t xml:space="preserve">Net Proceeds </w:t>
            </w:r>
            <w:r>
              <w:rPr>
                <w:rFonts w:ascii="Arial" w:cs="Arial" w:eastAsia="Arial" w:hAnsi="Arial"/>
                <w:sz w:val="17"/>
                <w:szCs w:val="17"/>
                <w:b w:val="1"/>
                <w:bCs w:val="1"/>
                <w:color w:val="auto"/>
                <w:w w:val="91"/>
                <w:vertAlign w:val="superscript"/>
              </w:rPr>
              <w:t>(1)</w:t>
            </w:r>
          </w:p>
        </w:tc>
      </w:tr>
      <w:tr>
        <w:trPr>
          <w:trHeight w:val="210"/>
        </w:trPr>
        <w:tc>
          <w:tcPr>
            <w:tcW w:w="4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1"/>
              </w:rPr>
              <w:t>(2)</w:t>
            </w:r>
          </w:p>
        </w:tc>
      </w:tr>
      <w:tr>
        <w:trPr>
          <w:trHeight w:val="216"/>
        </w:trPr>
        <w:tc>
          <w:tcPr>
            <w:tcW w:w="41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8"/>
                <w:szCs w:val="18"/>
                <w:color w:val="auto"/>
              </w:rPr>
            </w:pPr>
          </w:p>
        </w:tc>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Underwritten Offering</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21,000,000</w:t>
            </w:r>
          </w:p>
        </w:tc>
        <w:tc>
          <w:tcPr>
            <w:tcW w:w="140" w:type="dxa"/>
            <w:vAlign w:val="bottom"/>
          </w:tcPr>
          <w:p>
            <w:pPr>
              <w:spacing w:after="0"/>
              <w:rPr>
                <w:sz w:val="18"/>
                <w:szCs w:val="18"/>
                <w:color w:val="auto"/>
              </w:rPr>
            </w:pP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1,041</w:t>
            </w:r>
          </w:p>
        </w:tc>
      </w:tr>
      <w:tr>
        <w:trPr>
          <w:trHeight w:val="210"/>
        </w:trPr>
        <w:tc>
          <w:tcPr>
            <w:tcW w:w="448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2015 Total</w:t>
            </w: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22,133,904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2014 Total</w:t>
            </w:r>
          </w:p>
        </w:tc>
        <w:tc>
          <w:tcPr>
            <w:tcW w:w="3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15,375,810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848</w:t>
            </w:r>
            <w:r>
              <w:rPr>
                <w:rFonts w:ascii="Arial" w:cs="Arial" w:eastAsia="Arial" w:hAnsi="Arial"/>
                <w:sz w:val="11"/>
                <w:szCs w:val="11"/>
                <w:color w:val="auto"/>
              </w:rPr>
              <w:t>(2)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2013 Total</w:t>
            </w:r>
          </w:p>
        </w:tc>
        <w:tc>
          <w:tcPr>
            <w:tcW w:w="3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8,644,807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22"/>
              <w:spacing w:after="0" w:line="216" w:lineRule="exact"/>
              <w:rPr>
                <w:sz w:val="20"/>
                <w:szCs w:val="20"/>
                <w:color w:val="auto"/>
              </w:rPr>
            </w:pPr>
            <w:r>
              <w:rPr>
                <w:rFonts w:ascii="Arial" w:cs="Arial" w:eastAsia="Arial" w:hAnsi="Arial"/>
                <w:sz w:val="25"/>
                <w:szCs w:val="25"/>
                <w:b w:val="1"/>
                <w:bCs w:val="1"/>
                <w:color w:val="auto"/>
                <w:vertAlign w:val="subscript"/>
              </w:rPr>
              <w:t>468</w:t>
            </w:r>
            <w:r>
              <w:rPr>
                <w:rFonts w:ascii="Arial" w:cs="Arial" w:eastAsia="Arial" w:hAnsi="Arial"/>
                <w:sz w:val="10"/>
                <w:szCs w:val="10"/>
                <w:color w:val="auto"/>
              </w:rPr>
              <w:t>(2)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PAA pays commissions to sales agents in connection with common unit issuances under its Continuous Offering Program. PAA paid $1 million, $9 million and $5 million of such commissions during 2015, 2014 and 2013, respectively.</w:t>
      </w:r>
    </w:p>
    <w:p>
      <w:pPr>
        <w:spacing w:after="0" w:line="170"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p>
      <w:pPr>
        <w:ind w:right="40" w:firstLine="720"/>
        <w:spacing w:after="0" w:line="259" w:lineRule="auto"/>
        <w:rPr>
          <w:sz w:val="20"/>
          <w:szCs w:val="20"/>
          <w:color w:val="auto"/>
        </w:rPr>
      </w:pPr>
      <w:r>
        <w:rPr>
          <w:rFonts w:ascii="Arial" w:cs="Arial" w:eastAsia="Arial" w:hAnsi="Arial"/>
          <w:sz w:val="18"/>
          <w:szCs w:val="18"/>
          <w:i w:val="1"/>
          <w:iCs w:val="1"/>
          <w:color w:val="auto"/>
        </w:rPr>
        <w:t xml:space="preserve">PAA Preferred Unit Issuance. </w:t>
      </w:r>
      <w:r>
        <w:rPr>
          <w:rFonts w:ascii="Arial" w:cs="Arial" w:eastAsia="Arial" w:hAnsi="Arial"/>
          <w:sz w:val="18"/>
          <w:szCs w:val="18"/>
          <w:color w:val="auto"/>
        </w:rPr>
        <w:t>In January 2016, PAA completed the private placement of approximately 61.0 million Series A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representing limited partner interests in PAA (the “PAA preferred units”), for a cash purchase price of $26.25 per unit (the “Issue Price”), resulting in total net proceeds, after deducting offering expenses and the 2% transaction fee due to the purchasers, of approximately $1.6 billion. Certain of the purchasers or their affiliates are related parties. See Note 14 for additional information.</w:t>
      </w:r>
    </w:p>
    <w:p>
      <w:pPr>
        <w:spacing w:after="0" w:line="187" w:lineRule="exact"/>
        <w:rPr>
          <w:sz w:val="20"/>
          <w:szCs w:val="20"/>
          <w:color w:val="auto"/>
        </w:rPr>
      </w:pPr>
    </w:p>
    <w:p>
      <w:pPr>
        <w:ind w:right="60" w:firstLine="720"/>
        <w:spacing w:after="0" w:line="263" w:lineRule="auto"/>
        <w:rPr>
          <w:sz w:val="20"/>
          <w:szCs w:val="20"/>
          <w:color w:val="auto"/>
        </w:rPr>
      </w:pPr>
      <w:r>
        <w:rPr>
          <w:rFonts w:ascii="Arial" w:cs="Arial" w:eastAsia="Arial" w:hAnsi="Arial"/>
          <w:sz w:val="18"/>
          <w:szCs w:val="18"/>
          <w:color w:val="auto"/>
        </w:rPr>
        <w:t xml:space="preserve">The PAA preferred units are a new class of equity security in PAA that rank senior to all classes or series of equity securities in PAA with respect to distribution rights and rights upon liquidation. </w:t>
      </w:r>
      <w:r>
        <w:rPr>
          <w:rFonts w:ascii="Arial" w:cs="Arial" w:eastAsia="Arial" w:hAnsi="Arial"/>
          <w:sz w:val="17"/>
          <w:szCs w:val="17"/>
          <w:color w:val="auto"/>
        </w:rPr>
        <w:t>The holders of the PAA preferred units will receive quarterly distributions, subject to customary anti-dilution</w:t>
      </w:r>
      <w:r>
        <w:rPr>
          <w:rFonts w:ascii="Arial" w:cs="Arial" w:eastAsia="Arial" w:hAnsi="Arial"/>
          <w:sz w:val="18"/>
          <w:szCs w:val="18"/>
          <w:color w:val="auto"/>
        </w:rPr>
        <w:t xml:space="preserve"> </w:t>
      </w:r>
      <w:r>
        <w:rPr>
          <w:rFonts w:ascii="Arial" w:cs="Arial" w:eastAsia="Arial" w:hAnsi="Arial"/>
          <w:sz w:val="17"/>
          <w:szCs w:val="17"/>
          <w:color w:val="auto"/>
        </w:rPr>
        <w:t>adjustments, equal to an annual rate of 8% of the Issue Price ($2.10 per unit annualized). AAP will be entitled to participate in distributions on the PAA preferred units equal to its 2% general partner interest.</w:t>
      </w:r>
    </w:p>
    <w:p>
      <w:pPr>
        <w:spacing w:after="0" w:line="186" w:lineRule="exact"/>
        <w:rPr>
          <w:sz w:val="20"/>
          <w:szCs w:val="20"/>
          <w:color w:val="auto"/>
        </w:rPr>
      </w:pPr>
    </w:p>
    <w:p>
      <w:pPr>
        <w:ind w:right="640" w:firstLine="720"/>
        <w:spacing w:after="0" w:line="277" w:lineRule="auto"/>
        <w:rPr>
          <w:sz w:val="20"/>
          <w:szCs w:val="20"/>
          <w:color w:val="auto"/>
        </w:rPr>
      </w:pPr>
      <w:r>
        <w:rPr>
          <w:rFonts w:ascii="Arial" w:cs="Arial" w:eastAsia="Arial" w:hAnsi="Arial"/>
          <w:sz w:val="18"/>
          <w:szCs w:val="18"/>
          <w:i w:val="1"/>
          <w:iCs w:val="1"/>
          <w:color w:val="auto"/>
        </w:rPr>
        <w:t xml:space="preserve">PNG Unit Issuances. </w:t>
      </w:r>
      <w:r>
        <w:rPr>
          <w:rFonts w:ascii="Arial" w:cs="Arial" w:eastAsia="Arial" w:hAnsi="Arial"/>
          <w:sz w:val="18"/>
          <w:szCs w:val="18"/>
          <w:color w:val="auto"/>
        </w:rPr>
        <w:t>PNG issued approximately 1.9 million common units during the year ended December 31, 2013. As a result of PNG’s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issuances, we recorded an increase in noncontrolling interest of $40 million in 2013.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Contributions from Noncontrolling Interests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Contributions from noncontrolling interests consists of contributions from the owners of AAP (other than us) to reimburse AAP for its capital contribution required to maintain its indirect 2% general partner interest in PAA following PAA’s issuance of common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derivatives for the purpose of speculating on commodity price changes. The material commodity-related risks inherent in our business activities can be divided into the following general categories:</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2015, net derivative positions related to these activities included:</w:t>
      </w:r>
    </w:p>
    <w:p>
      <w:pPr>
        <w:spacing w:after="0" w:line="147" w:lineRule="exact"/>
        <w:rPr>
          <w:sz w:val="20"/>
          <w:szCs w:val="20"/>
          <w:color w:val="auto"/>
        </w:rPr>
      </w:pPr>
    </w:p>
    <w:p>
      <w:pPr>
        <w:ind w:left="980" w:right="60" w:hanging="324"/>
        <w:spacing w:after="0" w:line="277" w:lineRule="auto"/>
        <w:tabs>
          <w:tab w:leader="none" w:pos="9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average of 92,100 barrels per day net long position (total of 2.9 million barrels) associated with our crude oil purchases, which was unwound ratably during January 2016 to match monthly average pricing.</w:t>
      </w:r>
    </w:p>
    <w:p>
      <w:pPr>
        <w:sectPr>
          <w:pgSz w:w="11900" w:h="16838" w:orient="portrait"/>
          <w:cols w:equalWidth="0" w:num="1">
            <w:col w:w="11420"/>
          </w:cols>
          <w:pgMar w:left="240" w:top="341" w:right="239" w:bottom="0" w:gutter="0" w:footer="0" w:header="0"/>
          <w:type w:val="continuous"/>
        </w:sectPr>
      </w:pPr>
    </w:p>
    <w:bookmarkStart w:id="132" w:name="page133"/>
    <w:bookmarkEnd w:id="132"/>
    <w:p>
      <w:pPr>
        <w:ind w:left="980" w:right="200" w:hanging="324"/>
        <w:spacing w:after="0" w:line="277" w:lineRule="auto"/>
        <w:tabs>
          <w:tab w:leader="none" w:pos="9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net short time spread position averaging 11,500 barrels per day (total of 5.6 million barrels), which hedges a portion of our anticipated crude oil lease gathering purchases through April 2017.</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average of 8,000 barrels per day (total of 3.7 million barrels) of crude oil grade spread positions through December 2016. These derivatives allow us to lock in grade basis differentials.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net short position of 18.9 Bcf through May 2016 related to anticipated sales of natural gas inventory and base gas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net short position of 29.7 million barrels through January 2018 related to anticipated net sales of our crude oil and NGL inventory.</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2015, our material PLA hedges included a long call option position of approximately 1.6 million barrels through December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we had a long natural gas position of 5.7 Bcf through December 2016, a short propane position of 1.2 million barrels through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0.4 million barrels through December 2016 and a short WTI position of 0.1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natural gas processing and fractionation plants through December 2018.</w:t>
      </w:r>
    </w:p>
    <w:p>
      <w:pPr>
        <w:spacing w:after="0" w:line="211" w:lineRule="exact"/>
        <w:rPr>
          <w:sz w:val="20"/>
          <w:szCs w:val="20"/>
          <w:color w:val="auto"/>
        </w:rPr>
      </w:pPr>
    </w:p>
    <w:p>
      <w:pPr>
        <w:jc w:val="both"/>
        <w:ind w:right="20" w:firstLine="693"/>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December 31, 2015, AOCI includes deferred losses of $183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December 31, 2015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Number and Types of</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Notional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Expected</w:t>
            </w:r>
          </w:p>
        </w:tc>
        <w:tc>
          <w:tcPr>
            <w:tcW w:w="14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Average Rate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Termination Date</w:t>
            </w:r>
          </w:p>
        </w:tc>
        <w:tc>
          <w:tcPr>
            <w:tcW w:w="14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Locked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3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8 forward starting swaps</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w:t>
            </w: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6/15/2016</w:t>
            </w: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3.06</w:t>
            </w:r>
          </w:p>
        </w:tc>
        <w:tc>
          <w:tcPr>
            <w:tcW w:w="28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74"/>
              </w:rPr>
              <w:t>%</w:t>
            </w:r>
          </w:p>
        </w:tc>
        <w:tc>
          <w:tcPr>
            <w:tcW w:w="14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(30-year)</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0"/>
              </w:rPr>
              <w:t>8 forward starting swaps</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280" w:type="dxa"/>
            <w:vAlign w:val="bottom"/>
          </w:tcPr>
          <w:p>
            <w:pPr>
              <w:spacing w:after="0"/>
              <w:rPr>
                <w:sz w:val="17"/>
                <w:szCs w:val="17"/>
                <w:color w:val="auto"/>
              </w:rPr>
            </w:pPr>
          </w:p>
        </w:tc>
        <w:tc>
          <w:tcPr>
            <w:tcW w:w="14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3.14%</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(30-year)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3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 forward starting swaps</w:t>
            </w: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3.20%</w:t>
            </w:r>
          </w:p>
        </w:tc>
        <w:tc>
          <w:tcPr>
            <w:tcW w:w="15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(30-year)</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0"/>
              </w:rPr>
              <w:t>8 forward starting swaps</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6/14/2019</w:t>
            </w:r>
          </w:p>
        </w:tc>
        <w:tc>
          <w:tcPr>
            <w:tcW w:w="280" w:type="dxa"/>
            <w:vAlign w:val="bottom"/>
          </w:tcPr>
          <w:p>
            <w:pPr>
              <w:spacing w:after="0"/>
              <w:rPr>
                <w:sz w:val="17"/>
                <w:szCs w:val="17"/>
                <w:color w:val="auto"/>
              </w:rPr>
            </w:pPr>
          </w:p>
        </w:tc>
        <w:tc>
          <w:tcPr>
            <w:tcW w:w="14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2.83%</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(30-year)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54"/>
        <w:spacing w:after="0" w:line="277" w:lineRule="auto"/>
        <w:rPr>
          <w:sz w:val="20"/>
          <w:szCs w:val="20"/>
          <w:color w:val="auto"/>
        </w:rPr>
      </w:pPr>
      <w:r>
        <w:rPr>
          <w:rFonts w:ascii="Arial" w:cs="Arial" w:eastAsia="Arial" w:hAnsi="Arial"/>
          <w:sz w:val="18"/>
          <w:szCs w:val="18"/>
          <w:color w:val="auto"/>
        </w:rPr>
        <w:t>The following table summarizes activity related to terminated interest rate derivatives (all of which were designated as cash flow hedges) for the years ended December 31, 2015, 2014 and 2013 (notional amounts and cash received/(paid)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80" w:type="dxa"/>
            <w:vAlign w:val="bottom"/>
            <w:vMerge w:val="restart"/>
          </w:tcPr>
          <w:p>
            <w:pPr>
              <w:spacing w:after="0"/>
              <w:rPr>
                <w:sz w:val="14"/>
                <w:szCs w:val="14"/>
                <w:color w:val="auto"/>
              </w:rPr>
            </w:pPr>
          </w:p>
        </w:tc>
        <w:tc>
          <w:tcPr>
            <w:tcW w:w="3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Cash</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Average Rate</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Terminated</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Received/(Paid)</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August 2015 PAA senior note issuance</w:t>
            </w: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forward starting swaps (30-year)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August 2015 PAA senior note issuance</w:t>
            </w:r>
          </w:p>
        </w:tc>
        <w:tc>
          <w:tcPr>
            <w:tcW w:w="3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7 forward starting swaps (30-year)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2014 PAA senior note issuance</w:t>
            </w:r>
          </w:p>
        </w:tc>
        <w:tc>
          <w:tcPr>
            <w:tcW w:w="3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5 treasury lock agreements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August 2013 PAA senior note issuance</w:t>
            </w:r>
          </w:p>
        </w:tc>
        <w:tc>
          <w:tcPr>
            <w:tcW w:w="3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5 forward starting swaps (30-year)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2015 (in millions):</w:t>
      </w:r>
    </w:p>
    <w:p>
      <w:pPr>
        <w:sectPr>
          <w:pgSz w:w="11900" w:h="16838" w:orient="portrait"/>
          <w:cols w:equalWidth="0" w:num="1">
            <w:col w:w="11420"/>
          </w:cols>
          <w:pgMar w:left="240" w:top="341" w:right="239" w:bottom="0" w:gutter="0" w:footer="0" w:header="0"/>
        </w:sectPr>
      </w:pPr>
    </w:p>
    <w:bookmarkStart w:id="133" w:name="page134"/>
    <w:bookmarkEnd w:id="1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CAD</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jc w:val="right"/>
              <w:ind w:right="20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$1.00 - $1.38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jc w:val="right"/>
              <w:ind w:right="20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2016</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 Ended December 31, 2015</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240" w:type="dxa"/>
            <w:vAlign w:val="bottom"/>
          </w:tcPr>
          <w:p>
            <w:pPr>
              <w:jc w:val="center"/>
              <w:ind w:left="30"/>
              <w:spacing w:after="0" w:line="119" w:lineRule="exact"/>
              <w:rPr>
                <w:sz w:val="20"/>
                <w:szCs w:val="20"/>
                <w:color w:val="auto"/>
              </w:rPr>
            </w:pPr>
            <w:r>
              <w:rPr>
                <w:rFonts w:ascii="Arial" w:cs="Arial" w:eastAsia="Arial" w:hAnsi="Arial"/>
                <w:sz w:val="13"/>
                <w:szCs w:val="13"/>
                <w:b w:val="1"/>
                <w:bCs w:val="1"/>
                <w:color w:val="auto"/>
              </w:rPr>
              <w:t>Derivatives in</w:t>
            </w:r>
          </w:p>
        </w:tc>
        <w:tc>
          <w:tcPr>
            <w:tcW w:w="2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Derivatives</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240" w:type="dxa"/>
            <w:vAlign w:val="bottom"/>
          </w:tcPr>
          <w:p>
            <w:pPr>
              <w:jc w:val="center"/>
              <w:ind w:left="30"/>
              <w:spacing w:after="0" w:line="149" w:lineRule="exact"/>
              <w:rPr>
                <w:sz w:val="20"/>
                <w:szCs w:val="20"/>
                <w:color w:val="auto"/>
              </w:rPr>
            </w:pPr>
            <w:r>
              <w:rPr>
                <w:rFonts w:ascii="Arial" w:cs="Arial" w:eastAsia="Arial" w:hAnsi="Arial"/>
                <w:sz w:val="14"/>
                <w:szCs w:val="14"/>
                <w:b w:val="1"/>
                <w:bCs w:val="1"/>
                <w:color w:val="auto"/>
                <w:w w:val="89"/>
              </w:rPr>
              <w:t>Hedging</w:t>
            </w:r>
          </w:p>
        </w:tc>
        <w:tc>
          <w:tcPr>
            <w:tcW w:w="232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1240" w:type="dxa"/>
            <w:vAlign w:val="bottom"/>
          </w:tcPr>
          <w:p>
            <w:pPr>
              <w:jc w:val="center"/>
              <w:ind w:left="70"/>
              <w:spacing w:after="0"/>
              <w:rPr>
                <w:sz w:val="20"/>
                <w:szCs w:val="20"/>
                <w:color w:val="auto"/>
              </w:rPr>
            </w:pPr>
            <w:r>
              <w:rPr>
                <w:rFonts w:ascii="Arial" w:cs="Arial" w:eastAsia="Arial" w:hAnsi="Arial"/>
                <w:sz w:val="14"/>
                <w:szCs w:val="14"/>
                <w:b w:val="1"/>
                <w:bCs w:val="1"/>
                <w:color w:val="auto"/>
                <w:w w:val="89"/>
              </w:rPr>
              <w:t>Relationships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as a Hedge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900" w:orient="portrait"/>
          <w:cols w:equalWidth="0" w:num="1">
            <w:col w:w="11420"/>
          </w:cols>
          <w:pgMar w:left="240" w:top="104" w:right="239" w:bottom="0" w:gutter="0" w:footer="0" w:header="0"/>
        </w:sectPr>
      </w:pPr>
    </w:p>
    <w:p>
      <w:pPr>
        <w:spacing w:after="0"/>
        <w:rPr>
          <w:sz w:val="20"/>
          <w:szCs w:val="20"/>
          <w:color w:val="auto"/>
        </w:rPr>
      </w:pPr>
      <w:r>
        <w:rPr>
          <w:rFonts w:ascii="Arial" w:cs="Arial" w:eastAsia="Arial" w:hAnsi="Arial"/>
          <w:sz w:val="18"/>
          <w:szCs w:val="18"/>
          <w:b w:val="1"/>
          <w:bCs w:val="1"/>
          <w:color w:val="auto"/>
        </w:rPr>
        <w:t>Commodity Derivatives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Transportation segment revenues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Field operating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Supply and Logistics segment revenues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 of Gain/(Loss)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1520" w:type="dxa"/>
            <w:vAlign w:val="bottom"/>
            <w:gridSpan w:val="2"/>
          </w:tcPr>
          <w:p>
            <w:pPr>
              <w:jc w:val="right"/>
              <w:ind w:right="156"/>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Year Ended 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122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Derivatives in</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Hedging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Relationships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as a Hedge</w:t>
            </w: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-2614930</wp:posOffset>
            </wp:positionV>
            <wp:extent cx="72466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-2340610</wp:posOffset>
            </wp:positionV>
            <wp:extent cx="72466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-2066290</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-1791970</wp:posOffset>
            </wp:positionV>
            <wp:extent cx="72466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-1517015</wp:posOffset>
            </wp:positionV>
            <wp:extent cx="72466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-1242695</wp:posOffset>
            </wp:positionV>
            <wp:extent cx="72466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-968375</wp:posOffset>
            </wp:positionV>
            <wp:extent cx="72466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-685165</wp:posOffset>
            </wp:positionV>
            <wp:extent cx="7246620"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900" w:orient="portrait"/>
          <w:cols w:equalWidth="0" w:num="2">
            <w:col w:w="5920" w:space="720"/>
            <w:col w:w="4780"/>
          </w:cols>
          <w:pgMar w:left="240" w:top="104" w:right="23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 Ended December 31, 2013</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Derivatives in</w:t>
            </w:r>
          </w:p>
        </w:tc>
        <w:tc>
          <w:tcPr>
            <w:tcW w:w="300" w:type="dxa"/>
            <w:vAlign w:val="bottom"/>
          </w:tcPr>
          <w:p>
            <w:pPr>
              <w:spacing w:after="0"/>
              <w:rPr>
                <w:sz w:val="10"/>
                <w:szCs w:val="10"/>
                <w:color w:val="auto"/>
              </w:rPr>
            </w:pPr>
          </w:p>
        </w:tc>
        <w:tc>
          <w:tcPr>
            <w:tcW w:w="16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Derivatives</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Hedging</w:t>
            </w:r>
          </w:p>
        </w:tc>
        <w:tc>
          <w:tcPr>
            <w:tcW w:w="300" w:type="dxa"/>
            <w:vAlign w:val="bottom"/>
          </w:tcPr>
          <w:p>
            <w:pPr>
              <w:spacing w:after="0"/>
              <w:rPr>
                <w:sz w:val="12"/>
                <w:szCs w:val="12"/>
                <w:color w:val="auto"/>
              </w:rPr>
            </w:pPr>
          </w:p>
        </w:tc>
        <w:tc>
          <w:tcPr>
            <w:tcW w:w="16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Relationships</w:t>
            </w:r>
          </w:p>
        </w:tc>
        <w:tc>
          <w:tcPr>
            <w:tcW w:w="300" w:type="dxa"/>
            <w:vAlign w:val="bottom"/>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as a Hedge</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3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type w:val="continuous"/>
        </w:sectPr>
      </w:pPr>
    </w:p>
    <w:bookmarkStart w:id="134" w:name="page135"/>
    <w:bookmarkEnd w:id="1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 segment revenues</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54"/>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Sheets on a gross basis as of December 31,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w w:val="99"/>
              </w:rPr>
              <w:t>Asset Derivatives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w w:val="97"/>
              </w:rPr>
              <w:t>Liability Derivatives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520" w:type="dxa"/>
            <w:vAlign w:val="bottom"/>
          </w:tcPr>
          <w:p>
            <w:pPr>
              <w:ind w:left="820"/>
              <w:spacing w:after="0" w:line="119" w:lineRule="exact"/>
              <w:rPr>
                <w:sz w:val="20"/>
                <w:szCs w:val="20"/>
                <w:color w:val="auto"/>
              </w:rPr>
            </w:pPr>
            <w:r>
              <w:rPr>
                <w:rFonts w:ascii="Arial" w:cs="Arial" w:eastAsia="Arial" w:hAnsi="Arial"/>
                <w:sz w:val="13"/>
                <w:szCs w:val="13"/>
                <w:b w:val="1"/>
                <w:bCs w:val="1"/>
                <w:color w:val="auto"/>
              </w:rPr>
              <w:t>Balance Sheet</w:t>
            </w:r>
          </w:p>
        </w:tc>
        <w:tc>
          <w:tcPr>
            <w:tcW w:w="1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20" w:type="dxa"/>
            <w:vAlign w:val="bottom"/>
          </w:tcPr>
          <w:p>
            <w:pPr>
              <w:ind w:left="98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20" w:type="dxa"/>
            <w:vAlign w:val="bottom"/>
          </w:tcPr>
          <w:p>
            <w:pPr>
              <w:spacing w:after="0"/>
              <w:rPr>
                <w:sz w:val="20"/>
                <w:szCs w:val="20"/>
                <w:color w:val="auto"/>
              </w:rPr>
            </w:pPr>
            <w:r>
              <w:rPr>
                <w:rFonts w:ascii="Arial" w:cs="Arial" w:eastAsia="Arial" w:hAnsi="Arial"/>
                <w:sz w:val="18"/>
                <w:szCs w:val="18"/>
                <w:color w:val="auto"/>
              </w:rPr>
              <w:t>Other current assets</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5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6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 hedging</w:t>
            </w: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740" w:type="dxa"/>
            <w:vAlign w:val="bottom"/>
            <w:vMerge w:val="restart"/>
          </w:tcPr>
          <w:p>
            <w:pPr>
              <w:jc w:val="right"/>
              <w:ind w:right="56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5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5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instruments:</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265</w:t>
            </w: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6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740" w:type="dxa"/>
            <w:vAlign w:val="bottom"/>
            <w:vMerge w:val="restart"/>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3"/>
              </w:rPr>
              <w:t>275</w:t>
            </w:r>
          </w:p>
        </w:tc>
        <w:tc>
          <w:tcPr>
            <w:tcW w:w="1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5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00" w:type="dxa"/>
            <w:vAlign w:val="bottom"/>
            <w:tcBorders>
              <w:right w:val="single" w:sz="8" w:color="auto"/>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5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280</w:t>
            </w:r>
          </w:p>
        </w:tc>
        <w:tc>
          <w:tcPr>
            <w:tcW w:w="1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1980"/>
              <w:spacing w:after="0"/>
              <w:rPr>
                <w:sz w:val="20"/>
                <w:szCs w:val="20"/>
                <w:color w:val="auto"/>
              </w:rPr>
            </w:pPr>
            <w:r>
              <w:rPr>
                <w:rFonts w:ascii="Arial" w:cs="Arial" w:eastAsia="Arial" w:hAnsi="Arial"/>
                <w:sz w:val="18"/>
                <w:szCs w:val="18"/>
                <w:color w:val="auto"/>
              </w:rPr>
              <w:t>F-34</w:t>
            </w: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Sheets on a gross basis as of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w w:val="99"/>
              </w:rPr>
              <w:t>Asset Derivatives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w w:val="97"/>
              </w:rPr>
              <w:t>Liability Derivatives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520" w:type="dxa"/>
            <w:vAlign w:val="bottom"/>
          </w:tcPr>
          <w:p>
            <w:pPr>
              <w:ind w:left="820"/>
              <w:spacing w:after="0" w:line="119" w:lineRule="exact"/>
              <w:rPr>
                <w:sz w:val="20"/>
                <w:szCs w:val="20"/>
                <w:color w:val="auto"/>
              </w:rPr>
            </w:pPr>
            <w:r>
              <w:rPr>
                <w:rFonts w:ascii="Arial" w:cs="Arial" w:eastAsia="Arial" w:hAnsi="Arial"/>
                <w:sz w:val="13"/>
                <w:szCs w:val="13"/>
                <w:b w:val="1"/>
                <w:bCs w:val="1"/>
                <w:color w:val="auto"/>
              </w:rPr>
              <w:t>Balance Sheet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296"/>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20" w:type="dxa"/>
            <w:vAlign w:val="bottom"/>
          </w:tcPr>
          <w:p>
            <w:pPr>
              <w:ind w:left="98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w:t>
            </w:r>
          </w:p>
        </w:tc>
        <w:tc>
          <w:tcPr>
            <w:tcW w:w="2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2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6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designated as hedging</w:t>
            </w:r>
          </w:p>
        </w:tc>
        <w:tc>
          <w:tcPr>
            <w:tcW w:w="2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5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tcBorders>
              <w:right w:val="single" w:sz="8" w:color="auto"/>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2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439</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6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40" w:right="19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180"/>
              <w:spacing w:after="0"/>
              <w:rPr>
                <w:sz w:val="20"/>
                <w:szCs w:val="20"/>
                <w:color w:val="auto"/>
              </w:rPr>
            </w:pPr>
            <w:r>
              <w:rPr>
                <w:rFonts w:ascii="Arial" w:cs="Arial" w:eastAsia="Arial" w:hAnsi="Arial"/>
                <w:sz w:val="18"/>
                <w:szCs w:val="18"/>
                <w:color w:val="auto"/>
              </w:rPr>
              <w:t>Total derivatives not designated</w:t>
            </w:r>
          </w:p>
        </w:tc>
        <w:tc>
          <w:tcPr>
            <w:tcW w:w="2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462</w:t>
            </w:r>
          </w:p>
        </w:tc>
        <w:tc>
          <w:tcPr>
            <w:tcW w:w="282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r>
      <w:tr>
        <w:trPr>
          <w:trHeight w:val="257"/>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as hedging instruments</w:t>
            </w:r>
          </w:p>
        </w:tc>
        <w:tc>
          <w:tcPr>
            <w:tcW w:w="18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 w:type="dxa"/>
            <w:vAlign w:val="bottom"/>
            <w:tcBorders>
              <w:bottom w:val="single" w:sz="8" w:color="CCEEFF"/>
              <w:right w:val="single" w:sz="8" w:color="auto"/>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2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493</w:t>
            </w:r>
          </w:p>
        </w:tc>
        <w:tc>
          <w:tcPr>
            <w:tcW w:w="2820" w:type="dxa"/>
            <w:vAlign w:val="bottom"/>
          </w:tcPr>
          <w:p>
            <w:pPr>
              <w:spacing w:after="0"/>
              <w:rPr>
                <w:sz w:val="21"/>
                <w:szCs w:val="21"/>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0"/>
        </w:trPr>
        <w:tc>
          <w:tcPr>
            <w:tcW w:w="4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2015, we had a net broker payable of $156 million (consisting of initial margin of $91 million reduced by $247 million of variation margin that had been returned to us). As of December 31, 2014, we had a net broker payable of $133 million (consisting of initial margin of $126 million reduced by $259 million of variation margin that had been returned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Asset Positions</w:t>
            </w:r>
          </w:p>
        </w:tc>
        <w:tc>
          <w:tcPr>
            <w:tcW w:w="1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79"/>
              </w:rPr>
              <w:t>76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79"/>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79"/>
              </w:rPr>
              <w:t>86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89"/>
        <w:spacing w:after="0" w:line="255" w:lineRule="auto"/>
        <w:rPr>
          <w:sz w:val="20"/>
          <w:szCs w:val="20"/>
          <w:color w:val="auto"/>
        </w:rPr>
      </w:pPr>
      <w:r>
        <w:rPr>
          <w:rFonts w:ascii="Arial" w:cs="Arial" w:eastAsia="Arial" w:hAnsi="Arial"/>
          <w:sz w:val="18"/>
          <w:szCs w:val="18"/>
          <w:color w:val="auto"/>
        </w:rPr>
        <w:t>As of December 31, 2015, there was a net loss of $203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2015, we expect to reclassify a net loss of $3 million to earnings in the next twelve months. The remaining deferred loss of $200 million is expected to be reclassified to earnings through 2049. A portion of these amounts is based on market prices as of December 31, 2015; thus, actual amounts to be reclassified will differ and could vary materially as a result of changes in market conditions.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derivatives,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-599440</wp:posOffset>
            </wp:positionV>
            <wp:extent cx="724662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-316865</wp:posOffset>
            </wp:positionV>
            <wp:extent cx="72466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34" w:right="239" w:bottom="0" w:gutter="0" w:footer="0" w:header="0"/>
          <w:type w:val="continuous"/>
        </w:sectPr>
      </w:pPr>
    </w:p>
    <w:p>
      <w:pPr>
        <w:spacing w:after="0" w:line="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At December 31,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Fair Value as of December 31, 2015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Fair Value as of December 31, 2014</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134" w:right="239" w:bottom="0" w:gutter="0" w:footer="0" w:header="0"/>
          <w:type w:val="continuous"/>
        </w:sectPr>
      </w:pPr>
    </w:p>
    <w:bookmarkStart w:id="136" w:name="page137"/>
    <w:bookmarkEnd w:id="136"/>
    <w:p>
      <w:pPr>
        <w:ind w:left="5540" w:right="2560" w:hanging="5532"/>
        <w:spacing w:after="0" w:line="461" w:lineRule="auto"/>
        <w:tabs>
          <w:tab w:leader="none" w:pos="640" w:val="left"/>
        </w:tabs>
        <w:numPr>
          <w:ilvl w:val="0"/>
          <w:numId w:val="13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Consolidated Statements of Operations as Supply and Logistics segment revenues.</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Gains for the period included in earnings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unrealized gains included in earnings relating to Level 3 derivatives still held at the end of the</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3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2015 and 2014,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 S. federal and state income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ectPr>
          <w:pgSz w:w="11900" w:h="16838" w:orient="portrait"/>
          <w:cols w:equalWidth="0" w:num="1">
            <w:col w:w="11420"/>
          </w:cols>
          <w:pgMar w:left="240" w:top="125" w:right="239" w:bottom="0" w:gutter="0" w:footer="0" w:header="0"/>
        </w:sectPr>
      </w:pPr>
    </w:p>
    <w:bookmarkStart w:id="137" w:name="page138"/>
    <w:bookmarkEnd w:id="137"/>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for the periods indicated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expense</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income tax expense/(benefit):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income tax</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9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expense</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for the periods indicated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Borders>
              <w:top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960" w:type="dxa"/>
            <w:vAlign w:val="bottom"/>
          </w:tcPr>
          <w:p>
            <w:pPr>
              <w:spacing w:after="0"/>
              <w:rPr>
                <w:sz w:val="18"/>
                <w:szCs w:val="18"/>
                <w:color w:val="auto"/>
              </w:rPr>
            </w:pPr>
          </w:p>
        </w:tc>
        <w:tc>
          <w:tcPr>
            <w:tcW w:w="920" w:type="dxa"/>
            <w:vAlign w:val="bottom"/>
            <w:tcBorders>
              <w:top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Federal benefit of state income tax</w:t>
            </w:r>
          </w:p>
        </w:tc>
        <w:tc>
          <w:tcPr>
            <w:tcW w:w="288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adjustment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State income tax</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88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withholding tax</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80" w:type="dxa"/>
            <w:vAlign w:val="bottom"/>
            <w:gridSpan w:val="2"/>
          </w:tcPr>
          <w:p>
            <w:pPr>
              <w:jc w:val="right"/>
              <w:ind w:right="1606"/>
              <w:spacing w:after="0"/>
              <w:rPr>
                <w:sz w:val="20"/>
                <w:szCs w:val="20"/>
                <w:color w:val="auto"/>
              </w:rPr>
            </w:pPr>
            <w:r>
              <w:rPr>
                <w:rFonts w:ascii="Arial" w:cs="Arial" w:eastAsia="Arial" w:hAnsi="Arial"/>
                <w:sz w:val="18"/>
                <w:szCs w:val="18"/>
                <w:color w:val="auto"/>
              </w:rPr>
              <w:t>F-38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Deferred tax assets and liabilities are aggregated by the applicable tax paying entity and jurisdiction and result from the following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Investment in partnerships</w:t>
            </w:r>
          </w:p>
        </w:tc>
        <w:tc>
          <w:tcPr>
            <w:tcW w:w="282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1,730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Book accruals in excess of current tax deductions</w:t>
            </w: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9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in excess of tax values</w:t>
            </w: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9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19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Balance sheet classification of deferred tax assets/(liabilities):</w:t>
            </w: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w:t>
            </w:r>
          </w:p>
        </w:tc>
        <w:tc>
          <w:tcPr>
            <w:tcW w:w="282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connection with the transfer of the ownership interest in AAP in connection with our IPO in October 2013 and subsequent transfers in 2013, 2014 and 2015, a deferred tax asset was created. 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w:t>
      </w:r>
    </w:p>
    <w:p>
      <w:pPr>
        <w:spacing w:after="0" w:line="17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December 31, 2015, we had net operating loss carryforwards for (i) U.S. federal income tax purposes of $264 million, which will expire from 2033 to 2035, (ii) state income tax purposes of $90 million, which will expire from 2018 to 2035, and (iii) foreign income tax purposes of $11 million, which</w:t>
      </w:r>
    </w:p>
    <w:p>
      <w:pPr>
        <w:sectPr>
          <w:pgSz w:w="11900" w:h="16881" w:orient="portrait"/>
          <w:cols w:equalWidth="0" w:num="1">
            <w:col w:w="11460"/>
          </w:cols>
          <w:pgMar w:left="240" w:top="125" w:right="199" w:bottom="0" w:gutter="0" w:footer="0" w:header="0"/>
        </w:sectPr>
      </w:pPr>
    </w:p>
    <w:bookmarkStart w:id="138" w:name="page139"/>
    <w:bookmarkEnd w:id="138"/>
    <w:p>
      <w:pPr>
        <w:ind w:right="140"/>
        <w:spacing w:after="0" w:line="277" w:lineRule="auto"/>
        <w:rPr>
          <w:sz w:val="20"/>
          <w:szCs w:val="20"/>
          <w:color w:val="auto"/>
        </w:rPr>
      </w:pPr>
      <w:r>
        <w:rPr>
          <w:rFonts w:ascii="Arial" w:cs="Arial" w:eastAsia="Arial" w:hAnsi="Arial"/>
          <w:sz w:val="18"/>
          <w:szCs w:val="18"/>
          <w:color w:val="auto"/>
        </w:rPr>
        <w:t>will expire from 2034 to 2035. As of December 31, 2015, we had foreign tax credits for U.S. federal income tax purposes of $6 million, which will expire in 2024.</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2015. Our U.S. and state tax years are generally open to examination from 2012 to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13—Major Customers and Concentration of Credit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Marathon Petroleum Corporation and its subsidiaries accounted for 17%, 17% and 15% of our revenues for the years ended December 31, 2015, 2014 and 2013, respectively. ExxonMobil Corporation and its subsidiaries accounted for 13%, 15% and 13% of our revenues for the years ended December 31, 2015, 2014 and 2013, respectively. Phillips 66 and its subsidiaries accounted for 11% of our revenues for the year ended December 31, 2013. No other customers accounted for 10% or more of our revenues during any of the three years ended December 31, 2015.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As of December 31, 2015, Oxy owned approximately 13% of the limited partner interests in AAP and had a representative on the board of directors of GP LLC and our general partner. During the three years ended December 31, 2015, we recognized sales and transportation revenues and purchased petroleum products from Oxy. These transactions were conducted at posted tariff rates or prices that we believe approximate market. </w:t>
      </w:r>
      <w:r>
        <w:rPr>
          <w:rFonts w:ascii="Arial" w:cs="Arial" w:eastAsia="Arial" w:hAnsi="Arial"/>
          <w:sz w:val="17"/>
          <w:szCs w:val="17"/>
          <w:color w:val="auto"/>
        </w:rPr>
        <w:t>A portion of these</w:t>
      </w:r>
      <w:r>
        <w:rPr>
          <w:rFonts w:ascii="Arial" w:cs="Arial" w:eastAsia="Arial" w:hAnsi="Arial"/>
          <w:sz w:val="18"/>
          <w:szCs w:val="18"/>
          <w:color w:val="auto"/>
        </w:rPr>
        <w:t xml:space="preserve"> </w:t>
      </w:r>
      <w:r>
        <w:rPr>
          <w:rFonts w:ascii="Arial" w:cs="Arial" w:eastAsia="Arial" w:hAnsi="Arial"/>
          <w:sz w:val="17"/>
          <w:szCs w:val="17"/>
          <w:color w:val="auto"/>
        </w:rPr>
        <w:t xml:space="preserve">transactions was conducted under a crude oil buy/sell agreement that includes a multi-year minimum volume commitment. </w:t>
      </w:r>
      <w:r>
        <w:rPr>
          <w:rFonts w:ascii="Arial" w:cs="Arial" w:eastAsia="Arial" w:hAnsi="Arial"/>
          <w:sz w:val="18"/>
          <w:szCs w:val="18"/>
          <w:color w:val="auto"/>
        </w:rPr>
        <w:t>The impact to our Consolidated</w:t>
      </w:r>
      <w:r>
        <w:rPr>
          <w:rFonts w:ascii="Arial" w:cs="Arial" w:eastAsia="Arial" w:hAnsi="Arial"/>
          <w:sz w:val="17"/>
          <w:szCs w:val="17"/>
          <w:color w:val="auto"/>
        </w:rPr>
        <w:t xml:space="preserve"> </w:t>
      </w:r>
      <w:r>
        <w:rPr>
          <w:rFonts w:ascii="Arial" w:cs="Arial" w:eastAsia="Arial" w:hAnsi="Arial"/>
          <w:sz w:val="18"/>
          <w:szCs w:val="18"/>
          <w:color w:val="auto"/>
        </w:rPr>
        <w:t>Statements of Operations from those transactions is included below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60" w:hanging="652"/>
        <w:spacing w:after="0" w:line="227" w:lineRule="auto"/>
        <w:tabs>
          <w:tab w:leader="none" w:pos="648" w:val="left"/>
        </w:tabs>
        <w:numPr>
          <w:ilvl w:val="0"/>
          <w:numId w:val="139"/>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Consolidated Statements of Operations.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Consolidated Balance Sheets were as follows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405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November 2014, we purchased Oxy’s 50% interest in BridgeTex. See Note 7 for further discussion. Also in November 2014, Oxy exercised its Exchange Right, pursuant to which Oxy received 69,000,000 Class A shares in exchange for an equal number of Class B shares, general partner units and AAP units. Immediately following the exercise of the Exchange Right, we completed an underwritten secondary public offering of the Class A shares received by Oxy. We did not receive any of the proceeds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(see Note 7 for information related to these investments). We recorded revenues of $17 million, $3 million and $33 million during the years ended December 31, 2015, 2014 and 2013, respectively. During the three years ended December 31, 2015, we utilized transportation services and purchased petroleum products provided by these companies. Costs related to these services totaled $164 million, $75 million and $79 million for the years ended December 31, 2015, 2014 and 2013, respectively. These transactions were conducted at posted tariff rates or contracted rates or prices that we believe approximate market. Receivables from our equity method investees totaled $14 million at December 31, 2015 and less than $1 million at December 31, 2014. Accounts payable to our equity method investees were $25 million and $6 million at December 31, 2015 and 2014, respectively.</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 Preferred Unit Issuance</w:t>
      </w:r>
    </w:p>
    <w:p>
      <w:pPr>
        <w:sectPr>
          <w:pgSz w:w="11900" w:h="16838" w:orient="portrait"/>
          <w:cols w:equalWidth="0" w:num="1">
            <w:col w:w="11420"/>
          </w:cols>
          <w:pgMar w:left="240" w:top="125" w:right="239" w:bottom="0" w:gutter="0" w:footer="0" w:header="0"/>
          <w:type w:val="continuous"/>
        </w:sectPr>
      </w:pPr>
    </w:p>
    <w:bookmarkStart w:id="139" w:name="page140"/>
    <w:bookmarkEnd w:id="139"/>
    <w:p>
      <w:pPr>
        <w:spacing w:after="0" w:line="6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January 2016, PAA completed a private placement of preferred units. Certain of the purchasers of the PAA preferred units or their affiliates are related parties. Kayne Anderson Capital Advisors, L.P. and certain of its affiliates and an affiliate of The Energy Minerals Group hold ownership interests in AAP. In addition, certain of the current directors of GP LLC and our general partner are affiliated with certain of the purchasers. See Note 10 for additional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Long-Term Incentive Plan Awards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In February 2014, an aggregate of 83,200 phantom Class A shares were issued to our directors. These awards vest annually in February in 25% increments and have an automatic re-grant feature such that as they vest, an equivalent amount is granted.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awards under the PAGP LTIP is summarized in the following table for the periods indicated (shares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3"/>
              </w:rPr>
              <w:t>PAGP Shares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0"/>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808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0.1</w:t>
            </w:r>
          </w:p>
        </w:tc>
        <w:tc>
          <w:tcPr>
            <w:tcW w:w="20" w:type="dxa"/>
            <w:vAlign w:val="bottom"/>
            <w:tcBorders>
              <w:bottom w:val="single" w:sz="8" w:color="CCEEFF"/>
            </w:tcBorders>
            <w:vMerge w:val="continue"/>
          </w:tcPr>
          <w:p>
            <w:pPr>
              <w:spacing w:after="0"/>
              <w:rPr>
                <w:sz w:val="17"/>
                <w:szCs w:val="17"/>
                <w:color w:val="auto"/>
              </w:rPr>
            </w:pPr>
          </w:p>
        </w:tc>
        <w:tc>
          <w:tcPr>
            <w:tcW w:w="400" w:type="dxa"/>
            <w:vAlign w:val="bottom"/>
            <w:tcBorders>
              <w:bottom w:val="single" w:sz="8" w:color="CCEEFF"/>
            </w:tcBorders>
            <w:gridSpan w:val="2"/>
            <w:vMerge w:val="continue"/>
          </w:tcPr>
          <w:p>
            <w:pPr>
              <w:spacing w:after="0"/>
              <w:rPr>
                <w:sz w:val="17"/>
                <w:szCs w:val="17"/>
                <w:color w:val="auto"/>
              </w:rPr>
            </w:pPr>
          </w:p>
        </w:tc>
        <w:tc>
          <w:tcPr>
            <w:tcW w:w="156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0"/>
              <w:spacing w:after="0" w:line="23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80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20" w:type="dxa"/>
            <w:vAlign w:val="bottom"/>
            <w:tcBorders>
              <w:bottom w:val="single" w:sz="8" w:color="auto"/>
            </w:tcBorders>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80" w:hanging="11"/>
        <w:spacing w:after="0" w:line="277" w:lineRule="auto"/>
        <w:rPr>
          <w:sz w:val="20"/>
          <w:szCs w:val="20"/>
          <w:color w:val="auto"/>
        </w:rPr>
      </w:pPr>
      <w:r>
        <w:rPr>
          <w:rFonts w:ascii="Arial" w:cs="Arial" w:eastAsia="Arial" w:hAnsi="Arial"/>
          <w:sz w:val="18"/>
          <w:szCs w:val="18"/>
          <w:color w:val="auto"/>
        </w:rPr>
        <w:t>During the year ended December 31, 2015, less than 0.1 million PAGP LTIP awards were granted under the automatic re-grant feature for awards issued to our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less than 0.1 million PAGP LTIP awards vested. These awards were settled in Class A shares.</w:t>
      </w:r>
    </w:p>
    <w:p>
      <w:pPr>
        <w:spacing w:after="0" w:line="200" w:lineRule="exact"/>
        <w:rPr>
          <w:sz w:val="20"/>
          <w:szCs w:val="20"/>
          <w:color w:val="auto"/>
        </w:rPr>
      </w:pPr>
    </w:p>
    <w:p>
      <w:pPr>
        <w:sectPr>
          <w:pgSz w:w="11900" w:h="16900" w:orient="portrait"/>
          <w:cols w:equalWidth="0" w:num="2">
            <w:col w:w="140" w:space="500"/>
            <w:col w:w="10780"/>
          </w:cols>
          <w:pgMar w:left="240" w:top="34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PAA’s common unitholders approved the Plains All American 2013 Long-Term Incentive Plan (the “PAA 2013 LTIP”), which consolidated PAA’s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In conjunction with the PNG Merger on December 31, 2013, PAA’s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 phantom units issued under the PNG 2010 LTIP were converted into comparable awards of phantom units representing the right to receive PAA common units by applying the Merger Exchange Ratio to each outstanding phantom unit and rounding down to the nearest PAA phantom unit for any fractions. See Note 1 for further discussion of the PNG Merger.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PAA’s general partner has adopted the Plains All American GP LLC</w:t>
      </w:r>
      <w:r>
        <w:rPr>
          <w:rFonts w:ascii="Arial" w:cs="Arial" w:eastAsia="Arial" w:hAnsi="Arial"/>
          <w:sz w:val="18"/>
          <w:szCs w:val="18"/>
          <w:i w:val="1"/>
          <w:iCs w:val="1"/>
          <w:color w:val="auto"/>
        </w:rPr>
        <w:t xml:space="preserve"> </w:t>
      </w:r>
      <w:r>
        <w:rPr>
          <w:rFonts w:ascii="Arial" w:cs="Arial" w:eastAsia="Arial" w:hAnsi="Arial"/>
          <w:sz w:val="18"/>
          <w:szCs w:val="18"/>
          <w:color w:val="auto"/>
        </w:rPr>
        <w:t>2006 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the following LTIP awards, denominated in PAA units, were outstanding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PAA</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Probable Awards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 Yet</w:t>
            </w:r>
          </w:p>
        </w:tc>
      </w:tr>
      <w:tr>
        <w:trPr>
          <w:trHeight w:val="171"/>
        </w:trPr>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LTIP Units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Distribution</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3"/>
              </w:rPr>
              <w:t>Estimated Unit Vesting Date</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Probable</w:t>
            </w:r>
          </w:p>
        </w:tc>
      </w:tr>
      <w:tr>
        <w:trPr>
          <w:trHeight w:val="142"/>
        </w:trPr>
        <w:tc>
          <w:tcPr>
            <w:tcW w:w="17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 xml:space="preserve">Outstanding </w:t>
            </w:r>
            <w:r>
              <w:rPr>
                <w:rFonts w:ascii="Arial" w:cs="Arial" w:eastAsia="Arial" w:hAnsi="Arial"/>
                <w:sz w:val="16"/>
                <w:szCs w:val="16"/>
                <w:b w:val="1"/>
                <w:bCs w:val="1"/>
                <w:color w:val="auto"/>
                <w:w w:val="88"/>
                <w:vertAlign w:val="superscript"/>
              </w:rPr>
              <w:t>(1)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 xml:space="preserve">Required </w:t>
            </w:r>
            <w:r>
              <w:rPr>
                <w:rFonts w:ascii="Arial" w:cs="Arial" w:eastAsia="Arial" w:hAnsi="Arial"/>
                <w:sz w:val="16"/>
                <w:szCs w:val="16"/>
                <w:b w:val="1"/>
                <w:bCs w:val="1"/>
                <w:color w:val="auto"/>
                <w:w w:val="92"/>
                <w:vertAlign w:val="superscript"/>
              </w:rPr>
              <w:t>(3)</w:t>
            </w: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92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2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1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Thereafter</w:t>
            </w:r>
          </w:p>
        </w:tc>
        <w:tc>
          <w:tcPr>
            <w:tcW w:w="9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6"/>
                <w:szCs w:val="16"/>
                <w:b w:val="1"/>
                <w:bCs w:val="1"/>
                <w:color w:val="auto"/>
                <w:w w:val="88"/>
                <w:vertAlign w:val="superscript"/>
              </w:rPr>
              <w:t>(4)</w:t>
            </w:r>
          </w:p>
        </w:tc>
      </w:tr>
      <w:tr>
        <w:trPr>
          <w:trHeight w:val="199"/>
        </w:trPr>
        <w:tc>
          <w:tcPr>
            <w:tcW w:w="16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2.075-$3.300</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0.8</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7"/>
                <w:szCs w:val="17"/>
                <w:color w:val="auto"/>
              </w:rPr>
            </w:pPr>
          </w:p>
        </w:tc>
      </w:tr>
    </w:tbl>
    <w:p>
      <w:pPr>
        <w:sectPr>
          <w:pgSz w:w="11900" w:h="16900" w:orient="portrait"/>
          <w:cols w:equalWidth="0" w:num="1">
            <w:col w:w="11420"/>
          </w:cols>
          <w:pgMar w:left="240" w:top="341" w:right="239" w:bottom="0" w:gutter="0" w:footer="0" w:header="0"/>
          <w:type w:val="continuous"/>
        </w:sectPr>
      </w:pPr>
    </w:p>
    <w:bookmarkStart w:id="140" w:name="page141"/>
    <w:bookmarkEnd w:id="140"/>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20" w:right="100" w:hanging="11"/>
        <w:spacing w:after="0" w:line="277" w:lineRule="auto"/>
        <w:rPr>
          <w:sz w:val="20"/>
          <w:szCs w:val="20"/>
          <w:color w:val="auto"/>
        </w:rPr>
      </w:pPr>
      <w:r>
        <w:rPr>
          <w:rFonts w:ascii="Arial" w:cs="Arial" w:eastAsia="Arial" w:hAnsi="Arial"/>
          <w:sz w:val="18"/>
          <w:szCs w:val="18"/>
          <w:color w:val="auto"/>
        </w:rPr>
        <w:t>Approximately 2.7 million of the 6.9 million outstanding PAA LTIP awards also include DERs, of which 2.4 million had vested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-602615</wp:posOffset>
            </wp:positionV>
            <wp:extent cx="724662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254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-370840</wp:posOffset>
            </wp:positionV>
            <wp:extent cx="1826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LTIP units outstanding do not include AAP Management Units or PAGP LTIP awards.</w:t>
      </w:r>
    </w:p>
    <w:p>
      <w:pPr>
        <w:spacing w:after="0" w:line="225" w:lineRule="exact"/>
        <w:rPr>
          <w:sz w:val="20"/>
          <w:szCs w:val="20"/>
          <w:color w:val="auto"/>
        </w:rPr>
      </w:pPr>
    </w:p>
    <w:p>
      <w:pPr>
        <w:ind w:left="20" w:hanging="11"/>
        <w:spacing w:after="0" w:line="255" w:lineRule="auto"/>
        <w:rPr>
          <w:sz w:val="20"/>
          <w:szCs w:val="20"/>
          <w:color w:val="auto"/>
        </w:rPr>
      </w:pPr>
      <w:r>
        <w:rPr>
          <w:rFonts w:ascii="Arial" w:cs="Arial" w:eastAsia="Arial" w:hAnsi="Arial"/>
          <w:sz w:val="18"/>
          <w:szCs w:val="18"/>
          <w:color w:val="auto"/>
        </w:rPr>
        <w:t>These LTIP awards have performance conditions requiring the attainment of an annualized PAA distribution of between $2.075 and $3.30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 As of December 31, 2015, a distribution of $2.90 per PAA common unit was deemed probable of occurring in the reasonably foreseeable future (and was initially determined to be probable in the fourth quarter of 2014).</w:t>
      </w:r>
    </w:p>
    <w:p>
      <w:pPr>
        <w:spacing w:after="0" w:line="193" w:lineRule="exact"/>
        <w:rPr>
          <w:sz w:val="20"/>
          <w:szCs w:val="20"/>
          <w:color w:val="auto"/>
        </w:rPr>
      </w:pPr>
    </w:p>
    <w:p>
      <w:pPr>
        <w:sectPr>
          <w:pgSz w:w="11900" w:h="16838" w:orient="portrait"/>
          <w:cols w:equalWidth="0" w:num="2">
            <w:col w:w="140" w:space="500"/>
            <w:col w:w="10760"/>
          </w:cols>
          <w:pgMar w:left="240" w:top="611" w:right="259" w:bottom="0" w:gutter="0" w:footer="0" w:header="0"/>
        </w:sectPr>
      </w:pPr>
    </w:p>
    <w:p>
      <w:pPr>
        <w:ind w:left="660" w:right="180" w:hanging="652"/>
        <w:spacing w:after="0" w:line="227" w:lineRule="auto"/>
        <w:tabs>
          <w:tab w:leader="none" w:pos="648" w:val="left"/>
        </w:tabs>
        <w:numPr>
          <w:ilvl w:val="0"/>
          <w:numId w:val="140"/>
        </w:numPr>
        <w:rPr>
          <w:rFonts w:ascii="Arial" w:cs="Arial" w:eastAsia="Arial" w:hAnsi="Arial"/>
          <w:sz w:val="23"/>
          <w:szCs w:val="23"/>
          <w:color w:val="auto"/>
          <w:vertAlign w:val="superscript"/>
        </w:rPr>
      </w:pPr>
      <w:r>
        <w:rPr>
          <w:rFonts w:ascii="Arial" w:cs="Arial" w:eastAsia="Arial" w:hAnsi="Arial"/>
          <w:sz w:val="18"/>
          <w:szCs w:val="18"/>
          <w:color w:val="auto"/>
        </w:rPr>
        <w:t>The achievement of the applicable performance conditions (distributions greater than $2.90 per PAA common unit) was not deemed to be probable as of December 31, 2015 and, therefore, no expense has been recognized related to these awards.</w:t>
      </w:r>
    </w:p>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PAA’s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PAA’s LTIP awards typically contain performance conditions based on the attainment of certain PAA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PAA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they are paid as a reduction of noncontrolling interest in partners’ capital.</w:t>
      </w:r>
    </w:p>
    <w:p>
      <w:pPr>
        <w:spacing w:after="0" w:line="18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accrued liability at December 31, 2015 related to all outstanding liability-classified PAA LTIP awards and DERs was $33 million, of which $20 million was classified as short-term and $13 million was classified as long-term. These short- and long-term accrued LTIP liabilities are reflected in “Accounts payable and accrued liabilities” and “Other long-term liabilities and deferred credits,” respectively, on our Consolidated Balance Sheets. These liabilities include accruals associated with our assessment that an annualized PAA distribution of $2.90 per unit is probable of occurring in the reasonably foreseeable future (which was initially determined to be probable in the fourth quarter of 2014). At December 31, 2014, the accrued liability was $101 million, of which $57 million was classified as short-term and $44 million was classified as long-term.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and PNG units is summarized in the following table for the periods indicated (units in millions):</w:t>
      </w:r>
    </w:p>
    <w:p>
      <w:pPr>
        <w:sectPr>
          <w:pgSz w:w="11900" w:h="16838" w:orient="portrait"/>
          <w:cols w:equalWidth="0" w:num="1">
            <w:col w:w="11400"/>
          </w:cols>
          <w:pgMar w:left="240" w:top="611"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right="1680" w:hanging="181"/>
        <w:spacing w:after="0" w:line="281" w:lineRule="auto"/>
        <w:rPr>
          <w:sz w:val="20"/>
          <w:szCs w:val="20"/>
          <w:color w:val="auto"/>
        </w:rPr>
      </w:pPr>
      <w:r>
        <w:rPr>
          <w:rFonts w:ascii="Arial" w:cs="Arial" w:eastAsia="Arial" w:hAnsi="Arial"/>
          <w:sz w:val="18"/>
          <w:szCs w:val="18"/>
          <w:color w:val="auto"/>
        </w:rPr>
        <w:t>Outstanding at December 31, 2012 Granted</w:t>
      </w:r>
    </w:p>
    <w:p>
      <w:pPr>
        <w:ind w:left="200"/>
        <w:spacing w:after="0" w:line="211" w:lineRule="auto"/>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(3)</w:t>
      </w:r>
    </w:p>
    <w:p>
      <w:pPr>
        <w:ind w:left="200"/>
        <w:spacing w:after="0" w:line="197" w:lineRule="auto"/>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(4)</w:t>
      </w:r>
    </w:p>
    <w:p>
      <w:pPr>
        <w:ind w:left="380" w:hanging="181"/>
        <w:spacing w:after="0" w:line="219" w:lineRule="auto"/>
        <w:rPr>
          <w:sz w:val="20"/>
          <w:szCs w:val="20"/>
          <w:color w:val="auto"/>
        </w:rPr>
      </w:pPr>
      <w:r>
        <w:rPr>
          <w:rFonts w:ascii="Arial" w:cs="Arial" w:eastAsia="Arial" w:hAnsi="Arial"/>
          <w:sz w:val="18"/>
          <w:szCs w:val="18"/>
          <w:color w:val="auto"/>
        </w:rPr>
        <w:t xml:space="preserve">Conversion of PNG unit-denominated awards into PAA unit-denominated awards </w:t>
      </w:r>
      <w:r>
        <w:rPr>
          <w:rFonts w:ascii="Arial" w:cs="Arial" w:eastAsia="Arial" w:hAnsi="Arial"/>
          <w:sz w:val="23"/>
          <w:szCs w:val="23"/>
          <w:color w:val="auto"/>
          <w:vertAlign w:val="superscript"/>
        </w:rPr>
        <w:t>(5)</w:t>
      </w:r>
    </w:p>
    <w:p>
      <w:pPr>
        <w:spacing w:after="0" w:line="2" w:lineRule="exact"/>
        <w:rPr>
          <w:sz w:val="20"/>
          <w:szCs w:val="20"/>
          <w:color w:val="auto"/>
        </w:rPr>
      </w:pPr>
    </w:p>
    <w:p>
      <w:pPr>
        <w:ind w:left="200" w:right="1680" w:hanging="181"/>
        <w:spacing w:after="0" w:line="272" w:lineRule="auto"/>
        <w:rPr>
          <w:sz w:val="20"/>
          <w:szCs w:val="20"/>
          <w:color w:val="auto"/>
        </w:rPr>
      </w:pPr>
      <w:r>
        <w:rPr>
          <w:rFonts w:ascii="Arial" w:cs="Arial" w:eastAsia="Arial" w:hAnsi="Arial"/>
          <w:sz w:val="18"/>
          <w:szCs w:val="18"/>
          <w:color w:val="auto"/>
        </w:rPr>
        <w:t>Outstanding at December 31, 2013 Granted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Vested</w:t>
      </w:r>
    </w:p>
    <w:p>
      <w:pPr>
        <w:spacing w:after="0" w:line="23" w:lineRule="exact"/>
        <w:rPr>
          <w:sz w:val="20"/>
          <w:szCs w:val="20"/>
          <w:color w:val="auto"/>
        </w:rPr>
      </w:pPr>
    </w:p>
    <w:p>
      <w:pPr>
        <w:ind w:right="1680" w:firstLine="182"/>
        <w:spacing w:after="0" w:line="290" w:lineRule="auto"/>
        <w:rPr>
          <w:sz w:val="20"/>
          <w:szCs w:val="20"/>
          <w:color w:val="auto"/>
        </w:rPr>
      </w:pPr>
      <w:r>
        <w:rPr>
          <w:rFonts w:ascii="Arial" w:cs="Arial" w:eastAsia="Arial" w:hAnsi="Arial"/>
          <w:sz w:val="16"/>
          <w:szCs w:val="16"/>
          <w:color w:val="auto"/>
        </w:rPr>
        <w:t>Cancelled or forfeited Outstanding at December 31, 2014</w:t>
      </w:r>
    </w:p>
    <w:p>
      <w:pPr>
        <w:ind w:left="20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Vested</w:t>
      </w:r>
    </w:p>
    <w:p>
      <w:pPr>
        <w:spacing w:after="0" w:line="23" w:lineRule="exact"/>
        <w:rPr>
          <w:sz w:val="20"/>
          <w:szCs w:val="20"/>
          <w:color w:val="auto"/>
        </w:rPr>
      </w:pPr>
    </w:p>
    <w:p>
      <w:pPr>
        <w:ind w:right="1680" w:firstLine="182"/>
        <w:spacing w:after="0" w:line="323" w:lineRule="auto"/>
        <w:rPr>
          <w:sz w:val="20"/>
          <w:szCs w:val="20"/>
          <w:color w:val="auto"/>
        </w:rPr>
      </w:pPr>
      <w:r>
        <w:rPr>
          <w:rFonts w:ascii="Arial" w:cs="Arial" w:eastAsia="Arial" w:hAnsi="Arial"/>
          <w:sz w:val="16"/>
          <w:szCs w:val="16"/>
          <w:color w:val="auto"/>
        </w:rPr>
        <w:t>Cancelled or forfeited Outstanding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826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1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17"/>
                <w:szCs w:val="17"/>
                <w:b w:val="1"/>
                <w:bCs w:val="1"/>
                <w:color w:val="auto"/>
                <w:vertAlign w:val="superscript"/>
              </w:rPr>
              <w:t>(1) (2)</w:t>
            </w:r>
          </w:p>
        </w:tc>
        <w:tc>
          <w:tcPr>
            <w:tcW w:w="280" w:type="dxa"/>
            <w:vAlign w:val="bottom"/>
          </w:tcPr>
          <w:p>
            <w:pPr>
              <w:spacing w:after="0"/>
              <w:rPr>
                <w:sz w:val="16"/>
                <w:szCs w:val="16"/>
                <w:color w:val="auto"/>
              </w:rPr>
            </w:pPr>
          </w:p>
        </w:tc>
        <w:tc>
          <w:tcPr>
            <w:tcW w:w="3140" w:type="dxa"/>
            <w:vAlign w:val="bottom"/>
            <w:gridSpan w:val="6"/>
          </w:tcPr>
          <w:p>
            <w:pPr>
              <w:ind w:left="1220"/>
              <w:spacing w:after="0"/>
              <w:rPr>
                <w:sz w:val="20"/>
                <w:szCs w:val="20"/>
                <w:color w:val="auto"/>
              </w:rPr>
            </w:pPr>
            <w:r>
              <w:rPr>
                <w:rFonts w:ascii="Arial" w:cs="Arial" w:eastAsia="Arial" w:hAnsi="Arial"/>
                <w:sz w:val="14"/>
                <w:szCs w:val="14"/>
                <w:b w:val="1"/>
                <w:bCs w:val="1"/>
                <w:color w:val="auto"/>
              </w:rPr>
              <w:t>PNG Units</w:t>
            </w:r>
          </w:p>
        </w:tc>
        <w:tc>
          <w:tcPr>
            <w:tcW w:w="0" w:type="dxa"/>
            <w:vAlign w:val="bottom"/>
          </w:tcPr>
          <w:p>
            <w:pPr>
              <w:spacing w:after="0"/>
              <w:rPr>
                <w:sz w:val="1"/>
                <w:szCs w:val="1"/>
                <w:color w:val="auto"/>
              </w:rPr>
            </w:pPr>
          </w:p>
        </w:tc>
      </w:tr>
      <w:tr>
        <w:trPr>
          <w:trHeight w:val="119"/>
        </w:trPr>
        <w:tc>
          <w:tcPr>
            <w:tcW w:w="1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80" w:type="dxa"/>
            <w:vAlign w:val="bottom"/>
          </w:tcPr>
          <w:p>
            <w:pPr>
              <w:spacing w:after="0"/>
              <w:rPr>
                <w:sz w:val="12"/>
                <w:szCs w:val="12"/>
                <w:color w:val="auto"/>
              </w:rPr>
            </w:pPr>
          </w:p>
        </w:tc>
        <w:tc>
          <w:tcPr>
            <w:tcW w:w="164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 per Unit</w:t>
            </w:r>
          </w:p>
        </w:tc>
        <w:tc>
          <w:tcPr>
            <w:tcW w:w="2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47.60</w:t>
            </w: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0.4</w:t>
            </w: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17.51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0"/>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432"/>
        </w:trPr>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40.54</w:t>
            </w:r>
          </w:p>
        </w:tc>
        <w:tc>
          <w:tcPr>
            <w:tcW w:w="19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47.68</w:t>
            </w:r>
          </w:p>
        </w:tc>
        <w:tc>
          <w:tcPr>
            <w:tcW w:w="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25.49</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41.45</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28.76</w:t>
            </w:r>
          </w:p>
        </w:tc>
        <w:tc>
          <w:tcPr>
            <w:tcW w:w="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44.56</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41.23</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-2194560</wp:posOffset>
            </wp:positionV>
            <wp:extent cx="72466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-1885950</wp:posOffset>
            </wp:positionV>
            <wp:extent cx="72466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-1611630</wp:posOffset>
            </wp:positionV>
            <wp:extent cx="7246620" cy="274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-1183005</wp:posOffset>
            </wp:positionV>
            <wp:extent cx="72466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-891540</wp:posOffset>
            </wp:positionV>
            <wp:extent cx="72466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-599440</wp:posOffset>
            </wp:positionV>
            <wp:extent cx="72466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-307975</wp:posOffset>
            </wp:positionV>
            <wp:extent cx="72466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200" w:space="560"/>
            <w:col w:w="6640"/>
          </w:cols>
          <w:pgMar w:left="240" w:top="611" w:right="259" w:bottom="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 or PAGP LTIP awards.</w:t>
      </w:r>
    </w:p>
    <w:p>
      <w:pPr>
        <w:spacing w:after="0" w:line="225" w:lineRule="exact"/>
        <w:rPr>
          <w:sz w:val="20"/>
          <w:szCs w:val="20"/>
          <w:color w:val="auto"/>
        </w:rPr>
      </w:pPr>
    </w:p>
    <w:p>
      <w:pPr>
        <w:jc w:val="both"/>
        <w:ind w:left="20" w:right="340" w:hanging="11"/>
        <w:spacing w:after="0" w:line="312" w:lineRule="auto"/>
        <w:rPr>
          <w:sz w:val="20"/>
          <w:szCs w:val="20"/>
          <w:color w:val="auto"/>
        </w:rPr>
      </w:pPr>
      <w:r>
        <w:rPr>
          <w:rFonts w:ascii="Arial" w:cs="Arial" w:eastAsia="Arial" w:hAnsi="Arial"/>
          <w:sz w:val="16"/>
          <w:szCs w:val="16"/>
          <w:color w:val="auto"/>
        </w:rPr>
        <w:t>Approximately 0.5 million, 0.6 million and 0.5 million PAA common units were issued, net of tax withholding of approximately 0.3 million, 0.3 million and 0.3 million units during 2015, 2014 and 2013, respectively, in connection with the settlement of vested awards. The remaining PAA awards (approximately 1.3 million, 1.0 million and 1.0 million units) that vested during 2015, 2014 and 2013, respectively, were settled in cash.</w:t>
      </w:r>
    </w:p>
    <w:p>
      <w:pPr>
        <w:sectPr>
          <w:pgSz w:w="11900" w:h="16838" w:orient="portrait"/>
          <w:cols w:equalWidth="0" w:num="2">
            <w:col w:w="140" w:space="500"/>
            <w:col w:w="10760"/>
          </w:cols>
          <w:pgMar w:left="240" w:top="611" w:right="259" w:bottom="0" w:gutter="0" w:footer="0" w:header="0"/>
          <w:type w:val="continuous"/>
        </w:sectPr>
      </w:pPr>
    </w:p>
    <w:bookmarkStart w:id="141" w:name="page142"/>
    <w:bookmarkEnd w:id="141"/>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0.1 million PNG units vested during the year ended December 31, 2013.</w:t>
      </w:r>
    </w:p>
    <w:p>
      <w:pPr>
        <w:spacing w:after="0" w:line="225"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The unvested portion of grants of PNG phantom unit awards other than those granted under the PNG 2010 LTIP was surrendered on December 31, 2013 in connection with the closing of the PNG Merger.</w:t>
      </w:r>
    </w:p>
    <w:p>
      <w:pPr>
        <w:spacing w:after="0" w:line="170" w:lineRule="exact"/>
        <w:rPr>
          <w:sz w:val="20"/>
          <w:szCs w:val="20"/>
          <w:color w:val="auto"/>
        </w:rPr>
      </w:pPr>
    </w:p>
    <w:p>
      <w:pPr>
        <w:jc w:val="both"/>
        <w:ind w:left="20" w:right="160" w:hanging="11"/>
        <w:spacing w:after="0" w:line="286" w:lineRule="auto"/>
        <w:rPr>
          <w:sz w:val="20"/>
          <w:szCs w:val="20"/>
          <w:color w:val="auto"/>
        </w:rPr>
      </w:pPr>
      <w:r>
        <w:rPr>
          <w:rFonts w:ascii="Arial" w:cs="Arial" w:eastAsia="Arial" w:hAnsi="Arial"/>
          <w:sz w:val="17"/>
          <w:szCs w:val="17"/>
          <w:color w:val="auto"/>
        </w:rPr>
        <w:t>As a result of the PNG Merger on December 31, 2013, outstanding awards of PNG phantom units issued under the PNG 2010 LTIP were converted into comparable awards of PAA phantom units representing the right to receive PAA common units by applying the Merger Exchange Ratio to each outstanding PNG phantom unit and rounding down to the nearest PAA phantom unit for any fractions.</w:t>
      </w:r>
    </w:p>
    <w:p>
      <w:pPr>
        <w:spacing w:after="0" w:line="166" w:lineRule="exact"/>
        <w:rPr>
          <w:sz w:val="20"/>
          <w:szCs w:val="20"/>
          <w:color w:val="auto"/>
        </w:rPr>
      </w:pPr>
    </w:p>
    <w:p>
      <w:pPr>
        <w:sectPr>
          <w:pgSz w:w="11900" w:h="16838" w:orient="portrait"/>
          <w:cols w:equalWidth="0" w:num="2">
            <w:col w:w="140" w:space="500"/>
            <w:col w:w="10820"/>
          </w:cols>
          <w:pgMar w:left="240" w:top="125" w:right="199" w:bottom="0" w:gutter="0" w:footer="0" w:header="0"/>
        </w:sect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In August 2007, the owners of AAP authorized the issuance of AAP Management Units (a profits interest) in order to provide additional long-term incentives and encourage retention for certain members of our senior management. AAP Management Units become earned in various increments upon the achievement of certain performance thresholds related to achievement of targeted PAA distribution levels. As of December 31, 2015, 2.2 million AAP Management Units were unearned; however, these unearned AAP Management Units will become earned in 25% increments upon or 180 days after the achievement of annualized PAA distribution levels of between $2.85 and $3.50. When earned, the AAP Management Units are entitled to participate in distributions paid by AAP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AAP’s distribution in excess of $11 million (as adjusted) each quarter.</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Additionally, beginning after December 31, 2015, a holder of vested AAP Management Units will be entitled to convert his or her AAP Management Units into AAP units and a like number of our Class B shares based on a conversion ratio calculated in accordance with the AAP limited partnership agreement. Following any such conversion, the holder will have the Exchange Right for our Class A shares. See Note 10 for additional information.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for the periods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Reserved for</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Future Grants</w:t>
            </w:r>
          </w:p>
        </w:tc>
        <w:tc>
          <w:tcPr>
            <w:tcW w:w="1660" w:type="dxa"/>
            <w:vAlign w:val="bottom"/>
            <w:gridSpan w:val="2"/>
            <w:vMerge w:val="continue"/>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Units Earned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93"/>
              </w:rPr>
              <w:t xml:space="preserve">AAP Management Units </w:t>
            </w:r>
            <w:r>
              <w:rPr>
                <w:rFonts w:ascii="Arial" w:cs="Arial" w:eastAsia="Arial" w:hAnsi="Arial"/>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Earned</w:t>
            </w:r>
          </w:p>
        </w:tc>
        <w:tc>
          <w:tcPr>
            <w:tcW w:w="16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Earned</w:t>
            </w:r>
          </w:p>
        </w:tc>
        <w:tc>
          <w:tcPr>
            <w:tcW w:w="168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40" w:hanging="652"/>
        <w:spacing w:after="0" w:line="267" w:lineRule="auto"/>
        <w:tabs>
          <w:tab w:leader="none" w:pos="648"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Of the $88 million grant date fair value, $56 million had been recognized through December 31, 2015 on a cumulative basis. Of this amount, $1 million, $7 million and $5 million was recognized as expense during the years ended December 31, 2015, 2014 and 2013, respectively.</w:t>
      </w:r>
    </w:p>
    <w:p>
      <w:pPr>
        <w:spacing w:after="0" w:line="17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the intent of the AAP Management Units is to provide a performance incentive and encourage retention for certain members of PAA’s senior management, we recognize the grant date fair value of the AAP Management Units as compensation expense over the service period, with a corresponding credit to noncontrolling interest in partners’ capital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our “equity-indexed compensation plans.” The table below summarizes the expense recognized and the value of vested LTIP awards (settled in PAA common units, PAGP shares and cash) under our equity-indexed compensation plans and includes both liability-classified and equity-classified awards for the periods indicated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2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LTIP unit- or share-settled vestings</w:t>
            </w:r>
          </w:p>
        </w:tc>
        <w:tc>
          <w:tcPr>
            <w:tcW w:w="350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3500" w:type="dxa"/>
            <w:vAlign w:val="bottom"/>
            <w:gridSpan w:val="2"/>
            <w:shd w:val="clear" w:color="auto" w:fill="CCEEFF"/>
          </w:tcPr>
          <w:p>
            <w:pPr>
              <w:jc w:val="right"/>
              <w:ind w:right="86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DER cash payments</w:t>
            </w:r>
          </w:p>
        </w:tc>
        <w:tc>
          <w:tcPr>
            <w:tcW w:w="350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r>
      <w:tr>
        <w:trPr>
          <w:trHeight w:val="418"/>
        </w:trPr>
        <w:tc>
          <w:tcPr>
            <w:tcW w:w="4160" w:type="dxa"/>
            <w:vAlign w:val="bottom"/>
          </w:tcPr>
          <w:p>
            <w:pPr>
              <w:spacing w:after="0"/>
              <w:rPr>
                <w:sz w:val="24"/>
                <w:szCs w:val="24"/>
                <w:color w:val="auto"/>
              </w:rPr>
            </w:pPr>
          </w:p>
        </w:tc>
        <w:tc>
          <w:tcPr>
            <w:tcW w:w="3500" w:type="dxa"/>
            <w:vAlign w:val="bottom"/>
            <w:gridSpan w:val="2"/>
          </w:tcPr>
          <w:p>
            <w:pPr>
              <w:jc w:val="right"/>
              <w:ind w:right="1707"/>
              <w:spacing w:after="0"/>
              <w:rPr>
                <w:sz w:val="20"/>
                <w:szCs w:val="20"/>
                <w:color w:val="auto"/>
              </w:rPr>
            </w:pPr>
            <w:r>
              <w:rPr>
                <w:rFonts w:ascii="Arial" w:cs="Arial" w:eastAsia="Arial" w:hAnsi="Arial"/>
                <w:sz w:val="18"/>
                <w:szCs w:val="18"/>
                <w:color w:val="auto"/>
              </w:rPr>
              <w:t>F-44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6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Based on the December 31, 2015 fair value measurement and probability assessment regarding future distributions, we expect to recognize $74 million of additional expense over the life of outstanding awards related to the remaining unrecognized fair value. Actual amounts may differ materially as a result of a change in the market price of PAA’s units and PAGP’s shares and/or probability assessments regarding future distributions. We estimate that the remaining fair value will be recognized in expense as shown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360" w:type="dxa"/>
            <w:vAlign w:val="bottom"/>
          </w:tcPr>
          <w:p>
            <w:pPr>
              <w:jc w:val="center"/>
              <w:ind w:left="4408"/>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6360" w:type="dxa"/>
            <w:vAlign w:val="bottom"/>
          </w:tcPr>
          <w:p>
            <w:pPr>
              <w:jc w:val="center"/>
              <w:ind w:left="4408"/>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6360" w:type="dxa"/>
            <w:vAlign w:val="bottom"/>
          </w:tcPr>
          <w:p>
            <w:pPr>
              <w:jc w:val="center"/>
              <w:ind w:left="4408"/>
              <w:spacing w:after="0" w:line="186" w:lineRule="exact"/>
              <w:rPr>
                <w:sz w:val="20"/>
                <w:szCs w:val="20"/>
                <w:color w:val="auto"/>
              </w:rPr>
            </w:pPr>
            <w:r>
              <w:rPr>
                <w:rFonts w:ascii="Arial" w:cs="Arial" w:eastAsia="Arial" w:hAnsi="Arial"/>
                <w:sz w:val="14"/>
                <w:szCs w:val="14"/>
                <w:b w:val="1"/>
                <w:bCs w:val="1"/>
                <w:color w:val="auto"/>
                <w:w w:val="89"/>
              </w:rPr>
              <w:t xml:space="preserve">Amortization </w:t>
            </w:r>
            <w:r>
              <w:rPr>
                <w:rFonts w:ascii="Arial" w:cs="Arial" w:eastAsia="Arial" w:hAnsi="Arial"/>
                <w:sz w:val="17"/>
                <w:szCs w:val="17"/>
                <w:b w:val="1"/>
                <w:bCs w:val="1"/>
                <w:color w:val="auto"/>
                <w:w w:val="89"/>
                <w:vertAlign w:val="superscript"/>
              </w:rPr>
              <w:t>(1)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p>
      <w:pPr>
        <w:spacing w:after="0"/>
        <w:tabs>
          <w:tab w:leader="none" w:pos="9020" w:val="left"/>
          <w:tab w:leader="none" w:pos="1112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w:t>
      </w:r>
    </w:p>
    <w:p>
      <w:pPr>
        <w:sectPr>
          <w:pgSz w:w="11900" w:h="16838" w:orient="portrait"/>
          <w:cols w:equalWidth="0" w:num="1">
            <w:col w:w="11460"/>
          </w:cols>
          <w:pgMar w:left="240" w:top="125" w:right="199"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9040" w:type="dxa"/>
            <w:vAlign w:val="bottom"/>
          </w:tcPr>
          <w:p>
            <w:pPr>
              <w:jc w:val="right"/>
              <w:ind w:right="8590"/>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16"/>
        </w:trPr>
        <w:tc>
          <w:tcPr>
            <w:tcW w:w="9040" w:type="dxa"/>
            <w:vAlign w:val="bottom"/>
            <w:shd w:val="clear" w:color="auto" w:fill="CCEEFF"/>
          </w:tcPr>
          <w:p>
            <w:pPr>
              <w:jc w:val="right"/>
              <w:ind w:right="8590"/>
              <w:spacing w:after="0"/>
              <w:rPr>
                <w:sz w:val="20"/>
                <w:szCs w:val="20"/>
                <w:color w:val="auto"/>
              </w:rPr>
            </w:pPr>
            <w:r>
              <w:rPr>
                <w:rFonts w:ascii="Arial" w:cs="Arial" w:eastAsia="Arial" w:hAnsi="Arial"/>
                <w:sz w:val="18"/>
                <w:szCs w:val="18"/>
                <w:color w:val="auto"/>
                <w:w w:val="84"/>
              </w:rPr>
              <w:t>2018</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9040" w:type="dxa"/>
            <w:vAlign w:val="bottom"/>
          </w:tcPr>
          <w:p>
            <w:pPr>
              <w:jc w:val="right"/>
              <w:ind w:right="8590"/>
              <w:spacing w:after="0"/>
              <w:rPr>
                <w:sz w:val="20"/>
                <w:szCs w:val="20"/>
                <w:color w:val="auto"/>
              </w:rPr>
            </w:pPr>
            <w:r>
              <w:rPr>
                <w:rFonts w:ascii="Arial" w:cs="Arial" w:eastAsia="Arial" w:hAnsi="Arial"/>
                <w:sz w:val="18"/>
                <w:szCs w:val="18"/>
                <w:color w:val="auto"/>
                <w:w w:val="84"/>
              </w:rPr>
              <w:t>2019</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9040" w:type="dxa"/>
            <w:vAlign w:val="bottom"/>
            <w:shd w:val="clear" w:color="auto" w:fill="CCEEFF"/>
          </w:tcPr>
          <w:p>
            <w:pPr>
              <w:jc w:val="right"/>
              <w:ind w:right="8590"/>
              <w:spacing w:after="0"/>
              <w:rPr>
                <w:sz w:val="20"/>
                <w:szCs w:val="20"/>
                <w:color w:val="auto"/>
              </w:rPr>
            </w:pPr>
            <w:r>
              <w:rPr>
                <w:rFonts w:ascii="Arial" w:cs="Arial" w:eastAsia="Arial" w:hAnsi="Arial"/>
                <w:sz w:val="18"/>
                <w:szCs w:val="18"/>
                <w:color w:val="auto"/>
                <w:w w:val="84"/>
              </w:rPr>
              <w:t>2020</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9040" w:type="dxa"/>
            <w:vAlign w:val="bottom"/>
          </w:tcPr>
          <w:p>
            <w:pPr>
              <w:jc w:val="right"/>
              <w:ind w:right="839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unamortized fair value associated with AAP Management Units and PAGP LTIP awards.</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2015, are summarized below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152</w:t>
            </w:r>
          </w:p>
        </w:tc>
        <w:tc>
          <w:tcPr>
            <w:tcW w:w="7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127</w:t>
            </w: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r>
      <w:tr>
        <w:trPr>
          <w:trHeight w:val="210"/>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350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80" w:hanging="11"/>
        <w:spacing w:after="0" w:line="277" w:lineRule="auto"/>
        <w:rPr>
          <w:sz w:val="20"/>
          <w:szCs w:val="20"/>
          <w:color w:val="auto"/>
        </w:rPr>
      </w:pPr>
      <w:r>
        <w:rPr>
          <w:rFonts w:ascii="Arial" w:cs="Arial" w:eastAsia="Arial" w:hAnsi="Arial"/>
          <w:sz w:val="18"/>
          <w:szCs w:val="18"/>
          <w:color w:val="auto"/>
        </w:rPr>
        <w:t>Includes capital and operating leases as defined by FASB guidance. Lease expense for 2015, 2014 and 2013 was $164 million, $145 million and $132 million, respectively.</w:t>
      </w:r>
    </w:p>
    <w:p>
      <w:pPr>
        <w:spacing w:after="0" w:line="170" w:lineRule="exact"/>
        <w:rPr>
          <w:sz w:val="20"/>
          <w:szCs w:val="20"/>
          <w:color w:val="auto"/>
        </w:rPr>
      </w:pPr>
    </w:p>
    <w:p>
      <w:pPr>
        <w:ind w:right="200" w:hanging="11"/>
        <w:spacing w:after="0" w:line="312" w:lineRule="auto"/>
        <w:rPr>
          <w:sz w:val="20"/>
          <w:szCs w:val="20"/>
          <w:color w:val="auto"/>
        </w:rPr>
      </w:pPr>
      <w:r>
        <w:rPr>
          <w:rFonts w:ascii="Arial" w:cs="Arial" w:eastAsia="Arial" w:hAnsi="Arial"/>
          <w:sz w:val="16"/>
          <w:szCs w:val="16"/>
          <w:color w:val="auto"/>
        </w:rPr>
        <w:t>Primarily includes third-party storage and transportation agreements and pipeline throughput agreements, as well as approximately $930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47"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w:t>
      </w:r>
      <w:r>
        <w:rPr>
          <w:rFonts w:ascii="Arial" w:cs="Arial" w:eastAsia="Arial" w:hAnsi="Arial"/>
          <w:sz w:val="16"/>
          <w:szCs w:val="16"/>
          <w:color w:val="auto"/>
        </w:rPr>
        <w:t>If a range of probable loss amounts can be reasonably estimated and no amount within the range is a better estimate than any other amount,</w:t>
      </w:r>
      <w:r>
        <w:rPr>
          <w:rFonts w:ascii="Arial" w:cs="Arial" w:eastAsia="Arial" w:hAnsi="Arial"/>
          <w:sz w:val="17"/>
          <w:szCs w:val="17"/>
          <w:color w:val="auto"/>
        </w:rPr>
        <w:t xml:space="preserve"> </w:t>
      </w:r>
      <w:r>
        <w:rPr>
          <w:rFonts w:ascii="Arial" w:cs="Arial" w:eastAsia="Arial" w:hAnsi="Arial"/>
          <w:sz w:val="16"/>
          <w:szCs w:val="16"/>
          <w:color w:val="auto"/>
        </w:rPr>
        <w:t>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ectPr>
          <w:pgSz w:w="11900" w:h="16838" w:orient="portrait"/>
          <w:cols w:equalWidth="0" w:num="1">
            <w:col w:w="11420"/>
          </w:cols>
          <w:pgMar w:left="240" w:top="125" w:right="239" w:bottom="0" w:gutter="0" w:footer="0" w:header="0"/>
          <w:type w:val="continuous"/>
        </w:sectPr>
      </w:pPr>
    </w:p>
    <w:bookmarkStart w:id="143" w:name="page144"/>
    <w:bookmarkEnd w:id="143"/>
    <w:p>
      <w:pPr>
        <w:spacing w:after="0" w:line="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2015, our estimated undiscounted reserve for environmental liabilities (including liabilities related to the Line 901 incident, as discussed further below) totaled $185 million, of which $81 million was classified as short-term and $104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Consolidated Balance Sheets. At December 31, 2015 and 2014, we had recorded receivables totaling $161 million and $8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 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ectPr>
          <w:pgSz w:w="11900" w:h="16863" w:orient="portrait"/>
          <w:cols w:equalWidth="0" w:num="1">
            <w:col w:w="11420"/>
          </w:cols>
          <w:pgMar w:left="240" w:top="125" w:right="239" w:bottom="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4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3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three unitholder derivative lawsuits have been filed by certain purported investors in PAA against PAA,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3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2015,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Consolidated Statement of Operations. As of December 31, 2015, we had a remaining undiscounted gross liability of $116 million related to this event, the majority of which is presented as a current liability in “Accounts payable and accrued liabilities” on our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2015, we had collected, subject to customary reservations, $31 million out of the approximate $186 million of release costs that we believe are probable of recovery from insurance carriers, net of deductibles. We recovered an additional $69 million of proceeds from insurance carriers in January 2016. As of December 31, 2015, we have recognized a receivable of approximately $155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Consolidated Balance Sheets with the offset reducing “Field operating costs” on our Consolidated Statement of Operations.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113" w:gutter="0" w:footer="0" w:header="0"/>
        </w:sectPr>
      </w:pPr>
    </w:p>
    <w:bookmarkStart w:id="145" w:name="page146"/>
    <w:bookmarkEnd w:id="145"/>
    <w:p>
      <w:pPr>
        <w:ind w:firstLine="648"/>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associated with this release will be less than $10 million.</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 of Probable Violation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In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December 31, 2015, we spent $9 million in connection with clean-up and remediation activities.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Bay Springs Pipeline Release. </w:t>
      </w:r>
      <w:r>
        <w:rPr>
          <w:rFonts w:ascii="Arial" w:cs="Arial" w:eastAsia="Arial" w:hAnsi="Arial"/>
          <w:sz w:val="18"/>
          <w:szCs w:val="18"/>
          <w:color w:val="auto"/>
        </w:rPr>
        <w:t>In February 2013, we experienced a crude oil release of approximately 120 barrels on a portion of one of our pipelines</w:t>
      </w:r>
      <w:r>
        <w:rPr>
          <w:rFonts w:ascii="Arial" w:cs="Arial" w:eastAsia="Arial" w:hAnsi="Arial"/>
          <w:sz w:val="18"/>
          <w:szCs w:val="18"/>
          <w:i w:val="1"/>
          <w:iCs w:val="1"/>
          <w:color w:val="auto"/>
        </w:rPr>
        <w:t xml:space="preserve"> </w:t>
      </w:r>
      <w:r>
        <w:rPr>
          <w:rFonts w:ascii="Arial" w:cs="Arial" w:eastAsia="Arial" w:hAnsi="Arial"/>
          <w:sz w:val="18"/>
          <w:szCs w:val="18"/>
          <w:color w:val="auto"/>
        </w:rPr>
        <w:t>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w:t>
      </w:r>
    </w:p>
    <w:p>
      <w:pPr>
        <w:sectPr>
          <w:pgSz w:w="11900" w:h="16838" w:orient="portrait"/>
          <w:cols w:equalWidth="0" w:num="1">
            <w:col w:w="11400"/>
          </w:cols>
          <w:pgMar w:left="240" w:top="125" w:right="259" w:bottom="0" w:gutter="0" w:footer="0" w:header="0"/>
        </w:sectPr>
      </w:pPr>
    </w:p>
    <w:bookmarkStart w:id="146" w:name="page147"/>
    <w:bookmarkEnd w:id="146"/>
    <w:p>
      <w:pPr>
        <w:spacing w:after="0" w:line="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coverage generally available in the industry, in certain circumstances our insurance policies provide limited coverage for losses or liabilities relating to gradual pollution, with broader coverage for sudden and accidental occurrences.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080" w:type="dxa"/>
            <w:vAlign w:val="bottom"/>
          </w:tcPr>
          <w:p>
            <w:pPr>
              <w:jc w:val="center"/>
              <w:ind w:right="272"/>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080" w:type="dxa"/>
            <w:vAlign w:val="bottom"/>
          </w:tcPr>
          <w:p>
            <w:pPr>
              <w:jc w:val="center"/>
              <w:ind w:right="252"/>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Pr>
          <w:p>
            <w:pPr>
              <w:spacing w:after="0"/>
              <w:rPr>
                <w:sz w:val="14"/>
                <w:szCs w:val="1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4"/>
          </w:tcPr>
          <w:p>
            <w:pPr>
              <w:jc w:val="center"/>
              <w:ind w:left="573"/>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2015</w:t>
            </w:r>
          </w:p>
        </w:tc>
        <w:tc>
          <w:tcPr>
            <w:tcW w:w="3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5,942</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6,663</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5,551</w:t>
            </w:r>
          </w:p>
        </w:tc>
        <w:tc>
          <w:tcPr>
            <w:tcW w:w="4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4,996</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 (3)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color w:val="auto"/>
                <w:vertAlign w:val="superscript"/>
              </w:rPr>
              <w:t>(3)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370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334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Diluted net income per Class A share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0.20300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0.22200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0.22700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0.23100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2014</w:t>
            </w:r>
          </w:p>
        </w:tc>
        <w:tc>
          <w:tcPr>
            <w:tcW w:w="3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11,684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11,195</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11,127</w:t>
            </w:r>
          </w:p>
        </w:tc>
        <w:tc>
          <w:tcPr>
            <w:tcW w:w="4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9,459</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 (3)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color w:val="auto"/>
                <w:vertAlign w:val="superscript"/>
              </w:rPr>
              <w:t>(3)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366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405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529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Diluted net income per Class A share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0.11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(4) (5)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0.12505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0.17055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0.18340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0.19075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Amounts reported in prior periods have been retroactively restated to reflect the impact of our adoption of revised debt issuance costs guidance issued by the FASB. See Note 2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in the period presented.</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distribution paid during the first quarter of 2014 was prorated for the partial quarter following the closing of our IPO on October 21, 2013.</w:t>
      </w:r>
    </w:p>
    <w:p>
      <w:pPr>
        <w:spacing w:after="0" w:line="200" w:lineRule="exact"/>
        <w:rPr>
          <w:sz w:val="20"/>
          <w:szCs w:val="20"/>
          <w:color w:val="auto"/>
        </w:rPr>
      </w:pPr>
    </w:p>
    <w:p>
      <w:pPr>
        <w:sectPr>
          <w:pgSz w:w="11900" w:h="16907" w:orient="portrait"/>
          <w:cols w:equalWidth="0" w:num="2">
            <w:col w:w="140" w:space="500"/>
            <w:col w:w="10780"/>
          </w:cols>
          <w:pgMar w:left="240" w:top="125" w:right="2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18—Operating Segments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ectPr>
          <w:pgSz w:w="11900" w:h="16907" w:orient="portrait"/>
          <w:cols w:equalWidth="0" w:num="1">
            <w:col w:w="11420"/>
          </w:cols>
          <w:pgMar w:left="240" w:top="125" w:right="239" w:bottom="0" w:gutter="0" w:footer="0" w:header="0"/>
          <w:type w:val="continuous"/>
        </w:sectPr>
      </w:pPr>
    </w:p>
    <w:bookmarkStart w:id="147" w:name="page148"/>
    <w:bookmarkEnd w:id="147"/>
    <w:p>
      <w:pPr>
        <w:spacing w:after="0" w:line="2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profit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11,272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5,225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10,441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7,137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6,345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7,726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6,741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6,944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0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left="20" w:right="360" w:hanging="11"/>
        <w:spacing w:after="0" w:line="264" w:lineRule="auto"/>
        <w:rPr>
          <w:sz w:val="20"/>
          <w:szCs w:val="20"/>
          <w:color w:val="auto"/>
        </w:rPr>
      </w:pPr>
      <w:r>
        <w:rPr>
          <w:rFonts w:ascii="Arial" w:cs="Arial" w:eastAsia="Arial" w:hAnsi="Arial"/>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 at the time the agreement is executed or renegotiated.</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F-52</w:t>
      </w:r>
    </w:p>
    <w:p>
      <w:pPr>
        <w:sectPr>
          <w:pgSz w:w="11900" w:h="16860" w:orient="portrait"/>
          <w:cols w:equalWidth="0" w:num="2">
            <w:col w:w="140" w:space="500"/>
            <w:col w:w="10780"/>
          </w:cols>
          <w:pgMar w:left="240" w:top="341" w:right="239" w:bottom="0" w:gutter="0" w:footer="0" w:header="0"/>
          <w:type w:val="continuous"/>
        </w:sectPr>
      </w:pPr>
    </w:p>
    <w:bookmarkStart w:id="148" w:name="page149"/>
    <w:bookmarkEnd w:id="148"/>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517" w:right="239"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$6 million, $12 million and $30 million for the years ended December 31,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PAGP (in millions):</w:t>
      </w:r>
    </w:p>
    <w:p>
      <w:pPr>
        <w:spacing w:after="0" w:line="200" w:lineRule="exact"/>
        <w:rPr>
          <w:sz w:val="20"/>
          <w:szCs w:val="20"/>
          <w:color w:val="auto"/>
        </w:rPr>
      </w:pPr>
    </w:p>
    <w:p>
      <w:pPr>
        <w:sectPr>
          <w:pgSz w:w="11900" w:h="16838" w:orient="portrait"/>
          <w:cols w:equalWidth="0" w:num="2">
            <w:col w:w="140" w:space="500"/>
            <w:col w:w="10780"/>
          </w:cols>
          <w:pgMar w:left="240" w:top="517" w:right="239" w:bottom="0" w:gutter="0" w:footer="0" w:header="0"/>
          <w:type w:val="continuous"/>
        </w:sectPr>
      </w:pP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(319)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Income before tax</w:t>
            </w:r>
          </w:p>
        </w:tc>
        <w:tc>
          <w:tcPr>
            <w:tcW w:w="10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(1,359)</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0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23"/>
          <w:szCs w:val="23"/>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17"/>
                <w:szCs w:val="17"/>
                <w:b w:val="1"/>
                <w:bCs w:val="1"/>
                <w:color w:val="auto"/>
                <w:vertAlign w:val="superscript"/>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3,368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5540" w:hanging="5532"/>
        <w:spacing w:after="0" w:line="549" w:lineRule="auto"/>
        <w:tabs>
          <w:tab w:leader="none" w:pos="640" w:val="left"/>
        </w:tabs>
        <w:numPr>
          <w:ilvl w:val="0"/>
          <w:numId w:val="144"/>
        </w:numPr>
        <w:rPr>
          <w:rFonts w:ascii="Arial" w:cs="Arial" w:eastAsia="Arial" w:hAnsi="Arial"/>
          <w:sz w:val="21"/>
          <w:szCs w:val="21"/>
          <w:color w:val="auto"/>
          <w:vertAlign w:val="superscript"/>
        </w:rPr>
      </w:pPr>
      <w:r>
        <w:rPr>
          <w:rFonts w:ascii="Arial" w:cs="Arial" w:eastAsia="Arial" w:hAnsi="Arial"/>
          <w:sz w:val="16"/>
          <w:szCs w:val="16"/>
          <w:color w:val="auto"/>
        </w:rPr>
        <w:t>Excludes long-term derivative assets and long-term deferred tax assets.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18"/>
                <w:szCs w:val="18"/>
                <w:color w:val="auto"/>
              </w:rPr>
            </w:pPr>
          </w:p>
        </w:tc>
        <w:tc>
          <w:tcPr>
            <w:tcW w:w="954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Share Purchase Agreement dated December 1, 2011 by and among Amoco Canada International Holdings B.V.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8"/>
              </w:rPr>
              <w:t>Midstream Canada ULC (the schedules and exhibits have been omitted pursuant to Item 601(b)(2) of Regulation S-K)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6"/>
              </w:rPr>
              <w:t>(incorporated by reference to Exhibit 2.1 to PAA’s Annual Report on Form 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9"/>
              </w:rPr>
              <w:t>Agreement and Plan of Merger dated as of October 21, 2013, by and among Plains All American Pipeline, L.P., PAA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Acquisition Company LLC, PAA Natural Gas Storage, L.P. and PNGS GP LLC (incorporated by reference to Exhibit 2.1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PAA’s Current Report on Form 8-K filed October 24,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Certificate of Limited Partnership of Plains GP Holdings, L.P. (incorporated by reference to Exhibit 3.1 to our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Statement on 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9"/>
              </w:rPr>
              <w:t>Amended and Restated Agreement of Limited Partnership of Plains GP Holdings, L.P. dated as of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(incorporated by reference to Exhibit 3.1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8"/>
              </w:rPr>
              <w:t>Amended and Restated Limited Liability Company Agreement of PAA GP Holdings LLC dated as of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40" w:type="dxa"/>
            <w:vAlign w:val="bottom"/>
          </w:tcPr>
          <w:p>
            <w:pPr>
              <w:ind w:left="300"/>
              <w:spacing w:after="0"/>
              <w:rPr>
                <w:sz w:val="20"/>
                <w:szCs w:val="20"/>
                <w:color w:val="auto"/>
              </w:rPr>
            </w:pPr>
            <w:r>
              <w:rPr>
                <w:rFonts w:ascii="Arial" w:cs="Arial" w:eastAsia="Arial" w:hAnsi="Arial"/>
                <w:sz w:val="18"/>
                <w:szCs w:val="18"/>
                <w:color w:val="auto"/>
                <w:w w:val="91"/>
              </w:rPr>
              <w:t>Amendment No. 1 dated as of December 31, 2013 to the Amended and Restated Limited Liability Company Agreement of PAA</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6"/>
              </w:rPr>
              <w:t>GP Holdings LLC (incorporated by reference to Exhibit 3.2 to our Current Report on Form 8-K filed December 31, 2013).</w:t>
            </w:r>
          </w:p>
        </w:tc>
      </w:tr>
    </w:tbl>
    <w:p>
      <w:pPr>
        <w:sectPr>
          <w:pgSz w:w="11900" w:h="16838" w:orient="portrait"/>
          <w:cols w:equalWidth="0" w:num="1">
            <w:col w:w="11420"/>
          </w:cols>
          <w:pgMar w:left="240" w:top="517" w:right="239" w:bottom="0" w:gutter="0" w:footer="0" w:header="0"/>
          <w:type w:val="continuous"/>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Fifth Amended and Restated Agreement of Limited Partnership of Plains All American Pipeline, L.P. dated as of January 28,</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2016 (incorporated by reference to Exhibit 3.2 to PAA’s Current Report on Form 8-K filed February 2,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Amendment No. 1 dated January 28, 2016 to the Sixth Amended and Restated Limited Liability Company Agreement of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All American GP LLC (incorporated by reference to Exhibit 3.1 to PAA’s Current Report on Form 8-K filed February 2,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Amendment No. 1 dated December 31, 2013 to the Seventh Amended and Restated Limited Partnership Agreement of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AAP, L.P. (incorporated by reference to Exhibit 3.1 to our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PAA’s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Indenture dated September 25, 2002 among Plains All American Pipeline, L.P., PAA Finance Corp. and Wachovia Bank,</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National Association, as trustee (incorporated by reference to Exhibit 4.1 to PAA’s Quarterly Report on Form 10-Q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quarter ended 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Association, as trustee (incorporated by reference to Exhibit 4.5 to PAA’s Registration Statement on Form S-4, File No. 333-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121168).</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Association, as trustee (incorporated by reference to Exhibit 4.1 to PAA’s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trustee (incorporated by reference to Exhibit 4.1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Thirteenth Supplemental Indenture (Series A and Series B 6.50% Senior Notes due 2018) dated April 23, 2008 among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All American Pipeline, L.P., PAA Finance Corp., the Subsidiary Guarantors named therein and U.S. Bank National Association,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as trustee (incorporated by reference to Exhibit 4.1 to PAA’s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Fifteenth Supplemental Indenture (8.75% Senior Notes due 2019) dated April 20, 2009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(incorporated by reference to Exhibit 4.1 to PAA’s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Nineteenth Supplemental Indenture (5.00% Senior Notes due 2021) dated January 14, 2011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(incorporated by reference to Exhibit 4.1 to PAA’s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L.P., PAA Finance Corp. and U.S. Bank National Association, as trustee (incorporated by reference to Exhibit 4.1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Twenty-First Supplemental Indenture (5.15% Senior Notes due 2042) dated March 22, 2012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PAA’s 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4.1 to PAA’s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Twenty-Fourth Supplemental Indenture (3.85% Senior Notes due 2023) dated August 15, 2013, by and among Plains 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-6699250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-6699250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4.1 to PAA’s Current Report on Form 8-K filed August 15,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our Current Report on Form 8-K filed April 29, 2014).</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Twenty-Sixth Supplemental Indenture (3.60% Senior Notes due 2024) dated September 9, 2014,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Twenty-Eighth Supplemental Indenture (4.90% Senior Notes due 2045) dated December 9, 2014,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Twenty-Ninth Supplemental Indenture (4.65% Senior Notes due 2025) dated August 24, 2015,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4.1 to PAA’s Current Report on Form 8-K filed August 26,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Shareholder and Registration Rights Agreement dated October 21, 2013 by and among Plains GP Holdings, L.P. and the other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parties signatory thereto (incorporated by reference to Exhibit 4.1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Credit Agreement dated as of August 19, 2011 among Plains All American Pipeline, L.P., as Borrower; certain subsidiaries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Plains All American Pipeline, L.P. from time to time party thereto, as Designated Borrowers; Bank of America, N.A.,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Administrative Agent; and the other Lenders party thereto (incorporated by reference to Exhibit 10.1 to PAA’s Current Report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on 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First Amendment to Credit Agreement dated as of June 27, 2012, among Plains All American Pipeline, L.P.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Midstream Canada ULC, as Borrowers; Bank of America, N.A., as Administrative Agent, Swing Line Lender and L/C Issuer;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Wells Fargo Bank, National Association, as an L/C Issuer; and the other Lenders party thereto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10.2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Second Amendment to Credit Agreement dated as of August 16, 2013, among Plains All American Pipeline, L.P.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Midstream Canada ULC, as Borrowers; Bank of America, N.A., as Administrative Agent, Swing Line Lender and L/C Issuer;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Wells Fargo Bank, National Association, as an L/C Issuer; and the other Lenders party thereto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10.2 to PAA’s Current Report on Form 8-K filed 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Contribution, Assignment and Amendment Agreement dated as of June 27, 2001, among Plains All American Pipeline, L.P.,</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Plains Marketing, L.P., All American Pipeline, L.P., Plains AAP, L.P., Plains All American GP LLC and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Marketing GP Inc. (incorporated by reference to Exhibit 10.1 to PAA’s Current Report on Form 8-K filed June 27,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Contribution, Assignment and Amendment Agreement dated as of June 8, 2001, among Plains All American Inc.,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AAP, L.P. and Plains All American GP LLC (incorporated by reference to Exhibit 10.1 to PAA’s Current Report on Form 8-K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Current Report 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Pension and Employee Benefits Assumption and Transition Agreement dated as of June 8, 2001 among Plains Resources Inc.,</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Plains All American Inc. and Plains All American GP LLC (incorporated by reference to Exhibit 10.3 to PAA’s Current Report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Plains All American GP LLC 2005 Long-Term Incentive Plan (incorporated by reference to Exhibit 10.1 to PAA’s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8-K filed January 26, 2005).</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Plains All American GP LLC 1998 Long-Term Incentive Plan (incorporated by reference to Exhibit 99.1 to Registration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Statement on Form S-8, File No. 333-74920) as amended June 27, 2003 (incorporated by reference to Exhibit 10.1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June 30, 2003).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Amended and Restated Employment Agreement between Plains All American GP LLC and Greg L. Armstrong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June 30, 2001 (incorporated by reference to Exhibit 10.1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September 30, 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-9349105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-9349105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6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Amended and Restated Employment Agreement between Plains All American GP LLC and Harry N. Pefanis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June 30, 2001 (incorporated by reference to Exhibit 10.2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Asset Purchase and Sale Agreement dated February 28, 2001 between Murphy Oil Company Ltd. and Plains Marketing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Canada, L.P. (incorporated by reference to Exhibit 99.1 to PAA’s Current Report on Form 8-K filed May 10,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Transportation Agreement dated July 30, 1993, between All American Pipeline Company and Exxon Company, U.S.A.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(incorporated by reference to Exhibit 10.9 to PAA’s Registration Statement on Form S-1 filed September 23, 1998, File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Transportation Agreement dated August 2, 1993, among All American Pipeline Company, Texaco Trading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Transportation Inc., Chevron U.S.A. and Sun Operating Limited Partnership (incorporated by reference to Exhibit 10.10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PAA’s Registration Statement on Form S-1 filed September 23, 1998, File 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Contribution, Conveyance and Assumption Agreement among Plains All American Pipeline, L.P. and certain other parties dated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as of November 23, 1998. (incorporated by reference to Exhibit 10.3 to PAA’s Annual Report on Form 10-K for the year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First Amendment to Contribution, Conveyance and Assumption Agreement dated as of December 15, 1998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10.13 to PAA’s Annual Report on 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Agreement for Purchase and Sale of Membership Interest in Scurlock Permian LLC between Marathon Ashland LLC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Plains Marketing, L.P. dated as of March 17, 1999 (incorporated by reference to Exhibit 10.16 to PAA’s Annual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PMC (Nova Scotia) Company Bonus Program (incorporated by reference to Exhibit 10.20 to PAA’s Annual Report on Form 10-</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K for the year ended December 31, 2004).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Quarterly Bonus Program Summary (incorporated by reference to Exhibit 10.21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Form of LTIP Grant Letter (independent directors) (incorporated by reference to Exhibit 10.3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Form of LTIP Grant Letter (designated directors) (incorporated by reference to Exhibit 10.4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LLC dated August 19, 2005 (incorporated by reference to Exhibit 1.2 to PAA’s Current Report on Form 8-K filed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September 19,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Waiver Agreement dated as of December 23, 2010 between Plains All American GP LLC and Greg L. Armstrong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by reference to Exhibit 10.31 to PAA’s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Harry N. Pefanis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by reference to Exhibit 10.32 to PAA’s Annual Report on Form 10-K for the year ended December 31, 2010).</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Employment Agreement between Plains All American GP LLC and John P. vonBerg dated December 18, 2001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by reference to Exhibit 10.40 to PAA’s Annual Report on Form 10-K for the 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Form of LTIP Grant Letter (audit committee members) (incorporated by reference to Exhibit 10.1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August 23,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Plains All American PPX Successor Long-Term Incentive Plan (incorporated by reference to Exhibit 10.45 to PAA’s Annual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Form of Plains AAP, L.P. Class B Restricted Units Agreement (incorporated by reference to Exhibit 10.1 to PAA’s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Third Amended and Restated Credit Agreement dated as of August 19, 2011 by and among Plains Marketing, L.P.,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Borrower, Plains All American Pipeline, L.P., as Guarantor, Bank of America, N.A., as Administrative Agent, and the other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Lenders party thereto (incorporated by reference to Exhibit 10.2 to PAA’s Current Report on 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First Amendment to Third Amended and Restated Credit Agreement dated as of June 27, 2012, among Plains Marketing, L.P.</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and 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Administrative Agent, Swing Line Lender and L/C Issuer; and the other Lenders and L/C Issuers party thereto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10.1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Second Amendment to Third Amended and Restated Credit Agreement dated as of August 16, 2013, among Plains Marketing,</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L.P. and Plains Midstream Canada ULC, as Borrowers; Plains All American Pipeline, L.P., as Guarantor; Bank of America,</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N.A., as Administrative Agent, Swing Line Lender and L/C Issuer; Wells Fargo Bank, National Association, as an L/C Issuer;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7" w:right="199"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and the other Lenders and L/C Issuers party thereto (incorporated by reference to Exhibit 10.1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Contribution and Assumption Agreement dated December 28, 2007, by and between Plains AAP, L.P. and PAA GP LLC</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10.2 to PAA’s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American GP LLC and Greg L. Armstrong (incorporated by reference to Exhibit 10.49 to PAA’s Annual Report on Form 10-K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American GP LLC and Harry N. Pefanis (incorporated by reference to Exhibit 10.50 to PAA’s Annual Report on Form 10-K for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First Amendment to Plains All American GP LLC 2005 Long-Term Incentive Plan dated December 4, 2008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10.51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Second Amendment to Plains All American GP LLC 1998 Long-Term Incentive Plan dated December 4, 2008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10.52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Form of Amendment to LTIP grant letters (executive officers) (incorporated by reference to Exhibit 10.53 to PAA’s Annual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Form of Amendment to LTIP grant letters (directors) (incorporated by reference to Exhibit 10.54 to PAA’s Annual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Contribution Agreement dated as of April 29, 2010 by and among PAA Natural Gas Storage, L.P., PNGS GP LLC,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American Pipeline, L.P., PAA Natural Gas Storage, LLC, PAA/Vulcan Gas Storage, LLC, Plains Marketing, L.P. and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Marketing GP Inc. (incorporated by reference to Exhibit 10.1 to PNG’s Current Report on Form 8-K filed May 4, 2010).</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Omnibus Agreement dated May 5, 2010 by and among Plains All American GP LLC, Plains All American Pipeline, L.P.,</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PNGS GP LLC and PAA Natural Gas Storage, L.P. (incorporated by reference to Exhibit 10.1 to PNG’s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10.41</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Form of 2010 LTIP Grant Letters (incorporated by reference to Exhibit 10.58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10.42</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Director Compensation Summary (incorporated by reference to Exhibit 10.45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Form of PAA LTIP Grant Letter for Officers (February 2013) (incorporated by reference to Exhibit 10.1 to PAA’s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March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Administrative Agreement dated October 21, 2013, by and among Plains GP Holdings, L.P., PAA GP Holdings LLC,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American Pipeline, L.P., PAA GP LLC, Plains AAP, L.P. and Plains All American GP LLC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Exhibit 10.1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1"/>
              </w:rPr>
              <w:t>Contribution Agreement dated October 21, 2013, by and among Plains GP Holdings, L.P., PAA GP Holdings LLC and the other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parties signatory thereto (incorporated by reference to Exhibit 10.2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10.46</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Plains GP Holdings, L.P. Long Term Incentive Plan, (incorporated by reference to Exhibit 10.3 to our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10.47</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Waiver Agreement dated October 21, 2013 to the Amended and Restated Employment Agreement dated June 30, 2001 of Greg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L. Armstrong (incorporated by reference to Exhibit 10.4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Waiver Agreement dated October 21, 2013 to the Amended and Restated Employment Agreement dated June 30, 2001 of Harry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N. Pefanis (incorporated by reference to Exhibit 10.5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10.49</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Form of Amendment to the Plains AAP, L.P. Class B Restricted Units Agreement, dated October 18,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10.6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Second Amended and Restated Credit Agreement among Plains AAP, L.P., as Borrower, Citibank, N.A. as Administrative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Agent, and the other Lenders party thereto (incorporated by reference to Exhibit 10.46 to our Registration Statement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Form S-1A (333-190227) filed October 2,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0"/>
              </w:rPr>
              <w:t>First Amendment to Second Amended and Restated Credit Agreement dated as of August 14, 2015 among Plains AAP, L.P.,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Borrower, Citibank, N.A. as Administrative Agent, and the other Lenders party thereto (incorporated by reference to Exhibit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10.1 to our Current Report on Form 8-K filed August 14,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10.52</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9"/>
              </w:rPr>
              <w:t>Plains All American 2013 Long-Term Incentive Plan (incorporated by reference to Exhibit A to PAA’s Definitive Proxy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Statement filed on October 3,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-6287770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-6287770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10.53</w:t>
            </w:r>
            <w:r>
              <w:rPr>
                <w:rFonts w:ascii="Arial" w:cs="Arial" w:eastAsia="Arial" w:hAnsi="Arial"/>
                <w:sz w:val="23"/>
                <w:szCs w:val="23"/>
                <w:color w:val="auto"/>
                <w:vertAlign w:val="superscript"/>
              </w:rPr>
              <w:t>**</w:t>
            </w:r>
          </w:p>
        </w:tc>
        <w:tc>
          <w:tcPr>
            <w:tcW w:w="6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Plains All American PNG Successor Long-Term Incentive Plan (incorporated by reference to Exhibit 4.4 to PAA’s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10.54</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PAA Natural Gas Storage, L.P. 2010 Long-Term Incentive Plan (incorporated by reference to Exhibit 10.2 to PNG’s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8-K filed 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364-Day Credit Agreement dated January 16, 2015 among Plains All American Pipeline, L.P., as Borrower; Bank of America,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N.A., as Administrative Agent; Citibank, N.A., JPMorgan Chase Bank N.A. and Wells Fargo Bank, National Association,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4"/>
              </w:rPr>
              <w:t>Co-Syndication Agents; DNB Bank ASA, New York Branch and Mizuho Bank, Ltd., as Co-Documentation Agents; the other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Lenders party thereto; and Merrill Lynch, Pierce, Fenner &amp; Smith Incorporated, Citigroup Global Markets Inc., DNB</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Markets, Inc., J.P. Morgan Securities LLC, Mizuho Bank, Ltd. and Wells Fargo Securities, LLC, as Joint Lead Arrangers and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Joint Bookrunners (incorporated by reference to Exhibit 10.1 to our Current Report on Form 8-K filed January 20, 2015).</w:t>
            </w:r>
          </w:p>
        </w:tc>
      </w:tr>
      <w:tr>
        <w:trPr>
          <w:trHeight w:val="348"/>
        </w:trPr>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2"/>
              </w:rPr>
              <w:t>First Amendment to 364-Day Credit Agreement dated August 14, 2015 among Plains All American Pipeline, L.P., as Borrower;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3"/>
              </w:rPr>
              <w:t>Bank of America, N.A., as Administrative Agent; Citibank, N.A., JPMorgan Chase Bank N.A. and Wells Fargo Bank, National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Association, as Co-Syndication Agents; DNB Bank ASA, New York Branch and Mizuho Bank, Ltd., as Co-Documentation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5"/>
              </w:rPr>
              <w:t>Agents; the other Lenders party thereto; and Merrill Lynch, Pierce, Fenner &amp; Smith Incorporated, Citigroup Global Markets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7"/>
              </w:rPr>
              <w:t>Inc., DNB Markets, Inc., J.P. Morgan Securities LLC, Mizuho Bank, Ltd. and Wells Fargo Securities, LLC, as Joint Lead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Arrangers and Joint Bookrunners (incorporated by reference to Exhibit 10.1 to PAA’s Current Report on Form 8-K filed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August 14,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10.57</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6"/>
              </w:rPr>
              <w:t>Form of LTIP Grant Letter (PAGP Audit Committee Members) (incorporated by reference to Exhibit 10.1 to our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March 31,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10.58</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w w:val="98"/>
              </w:rPr>
              <w:t>Employment Agreement between Plains All American GP LLC and Willie Chiang dated July 10, 2015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tcPr>
          <w:p>
            <w:pPr>
              <w:ind w:left="300"/>
              <w:spacing w:after="0"/>
              <w:rPr>
                <w:sz w:val="20"/>
                <w:szCs w:val="20"/>
                <w:color w:val="auto"/>
              </w:rPr>
            </w:pPr>
            <w:r>
              <w:rPr>
                <w:rFonts w:ascii="Arial" w:cs="Arial" w:eastAsia="Arial" w:hAnsi="Arial"/>
                <w:sz w:val="18"/>
                <w:szCs w:val="18"/>
                <w:color w:val="auto"/>
              </w:rPr>
              <w:t>reference to Exhibit 10.53 to PAA’s Annual Report on Form 10-K filed February 25, 2016).</w:t>
            </w:r>
          </w:p>
        </w:tc>
      </w:tr>
      <w:tr>
        <w:trPr>
          <w:trHeight w:val="514"/>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List of Subsidiaries of Plains GP Holdings, L.P.</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58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-5928360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-5928360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93" w:right="199"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20" w:right="380" w:hanging="8"/>
        <w:spacing w:after="0" w:line="308" w:lineRule="auto"/>
        <w:rPr>
          <w:sz w:val="20"/>
          <w:szCs w:val="20"/>
          <w:color w:val="auto"/>
        </w:rPr>
      </w:pPr>
      <w:r>
        <w:rPr>
          <w:rFonts w:ascii="Arial" w:cs="Arial" w:eastAsia="Arial" w:hAnsi="Arial"/>
          <w:sz w:val="17"/>
          <w:szCs w:val="17"/>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20" w:space="520"/>
            <w:col w:w="10820"/>
          </w:cols>
          <w:pgMar w:left="240" w:top="293" w:right="19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8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w w:val="96"/>
              </w:rPr>
              <w:t>noncontrolling interests and income from equity investees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Earnings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Charges</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vMerge w:val="continue"/>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2.74x</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4.19x</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4.34x</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Includes interest costs attributable to borrowings for hedged inventory purchases of $6 million, $12 million, $30 million, $12 million and $20 million for the years ended December 31, 2015, 2014,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2"/>
          </w:tcPr>
          <w:p>
            <w:pPr>
              <w:ind w:left="1900"/>
              <w:spacing w:after="0"/>
              <w:rPr>
                <w:sz w:val="20"/>
                <w:szCs w:val="20"/>
                <w:color w:val="auto"/>
              </w:rPr>
            </w:pPr>
            <w:r>
              <w:rPr>
                <w:rFonts w:ascii="Arial" w:cs="Arial" w:eastAsia="Arial" w:hAnsi="Arial"/>
                <w:sz w:val="18"/>
                <w:szCs w:val="18"/>
                <w:b w:val="1"/>
                <w:bCs w:val="1"/>
                <w:color w:val="auto"/>
                <w:w w:val="95"/>
              </w:rPr>
              <w:t>Exhibit 21.1</w:t>
            </w:r>
          </w:p>
        </w:tc>
      </w:tr>
      <w:tr>
        <w:trPr>
          <w:trHeight w:val="414"/>
        </w:trPr>
        <w:tc>
          <w:tcPr>
            <w:tcW w:w="4060" w:type="dxa"/>
            <w:vAlign w:val="bottom"/>
          </w:tcPr>
          <w:p>
            <w:pPr>
              <w:spacing w:after="0"/>
              <w:rPr>
                <w:sz w:val="24"/>
                <w:szCs w:val="24"/>
                <w:color w:val="auto"/>
              </w:rPr>
            </w:pPr>
          </w:p>
        </w:tc>
        <w:tc>
          <w:tcPr>
            <w:tcW w:w="740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60" w:type="dxa"/>
            <w:vAlign w:val="bottom"/>
          </w:tcPr>
          <w:p>
            <w:pPr>
              <w:spacing w:after="0"/>
              <w:rPr>
                <w:sz w:val="19"/>
                <w:szCs w:val="19"/>
                <w:color w:val="auto"/>
              </w:rPr>
            </w:pPr>
          </w:p>
        </w:tc>
        <w:tc>
          <w:tcPr>
            <w:tcW w:w="740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60" w:type="dxa"/>
            <w:vAlign w:val="bottom"/>
          </w:tcPr>
          <w:p>
            <w:pPr>
              <w:spacing w:after="0"/>
              <w:rPr>
                <w:sz w:val="20"/>
                <w:szCs w:val="20"/>
                <w:color w:val="auto"/>
              </w:rPr>
            </w:pPr>
          </w:p>
        </w:tc>
        <w:tc>
          <w:tcPr>
            <w:tcW w:w="7400" w:type="dxa"/>
            <w:vAlign w:val="bottom"/>
            <w:gridSpan w:val="4"/>
          </w:tcPr>
          <w:p>
            <w:pPr>
              <w:jc w:val="center"/>
              <w:ind w:right="4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As of 12/31/2015</w:t>
            </w:r>
            <w:r>
              <w:rPr>
                <w:rFonts w:ascii="Arial" w:cs="Arial" w:eastAsia="Arial" w:hAnsi="Arial"/>
                <w:sz w:val="18"/>
                <w:szCs w:val="18"/>
                <w:color w:val="auto"/>
                <w:w w:val="90"/>
              </w:rPr>
              <w:t>)</w:t>
            </w:r>
          </w:p>
        </w:tc>
      </w:tr>
      <w:tr>
        <w:trPr>
          <w:trHeight w:val="365"/>
        </w:trPr>
        <w:tc>
          <w:tcPr>
            <w:tcW w:w="406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4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Eagle Ford Crude Terminal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Hawks Oil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Lone Star Trucking,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Mountain Ridge Resources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Niobrara Crude Terminal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Finance Corp.</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GP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Luxembourg S.a.r.l.</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PAA/Vulcan Gas Storage,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Pacific Energy Group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Pacific L.A. Marine Terminal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PACONO1,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PACONO3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PICSCO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Emergency Relief Fund, Inc.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Bondholder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Canada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GP Inc.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L.P.</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Luxembourg S.a.r.l.</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Midstream Superior LLC</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Mobile Pipeline Inc.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Pipeline, L.P.</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348"/>
        </w:trPr>
        <w:tc>
          <w:tcPr>
            <w:tcW w:w="406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10"/>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Plains South Texas Gathering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Southcap Inc.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Plains Terminals North Dakota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Towing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PMC (Nova Scotia) Company</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Nova Scotia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PMDSE, Inc.</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Mississippi</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PNGS GP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Rancho LPG Holdings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SLC Pipeline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Southcap Pipe Line Company</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Sunrise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 Hook Crude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60"/>
          </w:cols>
          <w:pgMar w:left="240" w:top="121" w:right="199" w:bottom="0" w:gutter="0" w:footer="0" w:header="0"/>
        </w:sectPr>
      </w:pPr>
    </w:p>
    <w:bookmarkStart w:id="156" w:name="page157"/>
    <w:bookmarkEnd w:id="156"/>
    <w:p>
      <w:pPr>
        <w:spacing w:after="0"/>
        <w:tabs>
          <w:tab w:leader="none" w:pos="9640" w:val="left"/>
        </w:tabs>
        <w:rPr>
          <w:sz w:val="20"/>
          <w:szCs w:val="20"/>
          <w:color w:val="auto"/>
        </w:rPr>
      </w:pPr>
      <w:r>
        <w:rPr>
          <w:rFonts w:ascii="Arial" w:cs="Arial" w:eastAsia="Arial" w:hAnsi="Arial"/>
          <w:sz w:val="18"/>
          <w:szCs w:val="18"/>
          <w:color w:val="auto"/>
        </w:rPr>
        <w:t>VirKel Backhoe Services LLLP</w:t>
      </w:r>
      <w:r>
        <w:rPr>
          <w:sz w:val="20"/>
          <w:szCs w:val="20"/>
          <w:color w:val="auto"/>
        </w:rPr>
        <w:tab/>
      </w:r>
      <w:r>
        <w:rPr>
          <w:rFonts w:ascii="Arial" w:cs="Arial" w:eastAsia="Arial" w:hAnsi="Arial"/>
          <w:sz w:val="16"/>
          <w:szCs w:val="16"/>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40"/>
          </w:cols>
          <w:pgMar w:left="240" w:top="125" w:right="1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333-193141) and on Form S-3 (No. 333-200596) of Plains GP Holdings, L.P. of our report dated February 25, 2016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o"/>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1)"/>
      <w:numFmt w:val="decimal"/>
      <w:start w:val="5"/>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1)"/>
      <w:numFmt w:val="decimal"/>
      <w:start w:val="1"/>
    </w:lvl>
  </w:abstractNum>
  <w:abstractNum w:abstractNumId="11">
    <w:nsid w:val="1A27709E"/>
    <w:multiLevelType w:val="hybridMultilevel"/>
    <w:lvl w:ilvl="0">
      <w:lvlJc w:val="left"/>
      <w:lvlText w:val="(%1)"/>
      <w:numFmt w:val="decimal"/>
    </w:lvl>
    <w:lvl w:ilvl="1">
      <w:lvlJc w:val="left"/>
      <w:lvlText w:val="$"/>
      <w:numFmt w:val="bullet"/>
      <w:start w:val="1"/>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1)"/>
      <w:numFmt w:val="lowerRoman"/>
      <w:start w:val="1"/>
    </w:lvl>
  </w:abstractNum>
  <w:abstractNum w:abstractNumId="16">
    <w:nsid w:val="6F6DD9AC"/>
    <w:multiLevelType w:val="hybridMultilevel"/>
    <w:lvl w:ilvl="0">
      <w:lvlJc w:val="left"/>
      <w:lvlText w:val="(%1)"/>
      <w:numFmt w:val="lowerRoman"/>
      <w:start w:val="2"/>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1)"/>
      <w:numFmt w:val="lowerRoman"/>
      <w:start w:val="3"/>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lowerRoman"/>
      <w:start w:val="3"/>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lvl w:ilvl="1">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1)"/>
      <w:numFmt w:val="lowerRoman"/>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1)"/>
      <w:numFmt w:val="decimal"/>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
      <w:numFmt w:val="bullet"/>
      <w:start w:val="1"/>
    </w:lvl>
    <w:lvl w:ilvl="1">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lvl w:ilvl="1">
      <w:lvlJc w:val="left"/>
      <w:lvlText w:val="·"/>
      <w:numFmt w:val="bullet"/>
      <w:start w:val="1"/>
    </w:lvl>
  </w:abstractNum>
  <w:abstractNum w:abstractNumId="63">
    <w:nsid w:val="1D9F6E5F"/>
    <w:multiLevelType w:val="hybridMultilevel"/>
    <w:lvl w:ilvl="0">
      <w:lvlJc w:val="left"/>
      <w:lvlText w:val="(%1)"/>
      <w:numFmt w:val="lowerRoman"/>
      <w:start w:val="2"/>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lvl w:ilvl="1">
      <w:lvlJc w:val="left"/>
      <w:lvlText w:val="(%2)"/>
      <w:numFmt w:val="decimal"/>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1)"/>
      <w:numFmt w:val="lowerRoman"/>
      <w:start w:val="2"/>
    </w:lvl>
  </w:abstractNum>
  <w:abstractNum w:abstractNumId="76">
    <w:nsid w:val="78DF6A55"/>
    <w:multiLevelType w:val="hybridMultilevel"/>
    <w:lvl w:ilvl="0">
      <w:lvlJc w:val="left"/>
      <w:lvlText w:val="(%1)"/>
      <w:numFmt w:val="decimal"/>
      <w:start w:val="3"/>
    </w:lvl>
  </w:abstractNum>
  <w:abstractNum w:abstractNumId="77">
    <w:nsid w:val="39B7AAA2"/>
    <w:multiLevelType w:val="hybridMultilevel"/>
    <w:lvl w:ilvl="0">
      <w:lvlJc w:val="left"/>
      <w:lvlText w:val="(%1)"/>
      <w:numFmt w:val="decimal"/>
      <w:start w:val="1"/>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1)"/>
      <w:numFmt w:val="decimal"/>
      <w:start w:val="4"/>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1)"/>
      <w:numFmt w:val="decimal"/>
      <w:start w:val="2"/>
    </w:lvl>
  </w:abstractNum>
  <w:abstractNum w:abstractNumId="86">
    <w:nsid w:val="5675FF36"/>
    <w:multiLevelType w:val="hybridMultilevel"/>
    <w:lvl w:ilvl="0">
      <w:lvlJc w:val="left"/>
      <w:lvlText w:val="(%1)"/>
      <w:numFmt w:val="lowerRoman"/>
      <w:start w:val="1"/>
    </w:lvl>
  </w:abstractNum>
  <w:abstractNum w:abstractNumId="87">
    <w:nsid w:val="3DD15094"/>
    <w:multiLevelType w:val="hybridMultilevel"/>
    <w:lvl w:ilvl="0">
      <w:lvlJc w:val="left"/>
      <w:lvlText w:val="%1."/>
      <w:numFmt w:val="decimal"/>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1)"/>
      <w:numFmt w:val="lowerRoman"/>
      <w:start w:val="4"/>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1)"/>
      <w:numFmt w:val="decimal"/>
      <w:start w:val="2"/>
    </w:lvl>
  </w:abstractNum>
  <w:abstractNum w:abstractNumId="94">
    <w:nsid w:val="34FD6B4F"/>
    <w:multiLevelType w:val="hybridMultilevel"/>
    <w:lvl w:ilvl="0">
      <w:lvlJc w:val="left"/>
      <w:lvlText w:val="(%1)"/>
      <w:numFmt w:val="decimal"/>
      <w:start w:val="1"/>
    </w:lvl>
  </w:abstractNum>
  <w:abstractNum w:abstractNumId="95">
    <w:nsid w:val="5915FF32"/>
    <w:multiLevelType w:val="hybridMultilevel"/>
    <w:lvl w:ilvl="0">
      <w:lvlJc w:val="left"/>
      <w:lvlText w:val="(%1)"/>
      <w:numFmt w:val="lowerRoman"/>
      <w:start w:val="3"/>
    </w:lvl>
  </w:abstractNum>
  <w:abstractNum w:abstractNumId="96">
    <w:nsid w:val="56438D15"/>
    <w:multiLevelType w:val="hybridMultilevel"/>
    <w:lvl w:ilvl="0">
      <w:lvlJc w:val="left"/>
      <w:lvlText w:val="(%1)"/>
      <w:numFmt w:val="decimal"/>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lowerRoman"/>
      <w:start w:val="2"/>
    </w:lvl>
  </w:abstractNum>
  <w:abstractNum w:abstractNumId="99">
    <w:nsid w:val="17A1B582"/>
    <w:multiLevelType w:val="hybridMultilevel"/>
    <w:lvl w:ilvl="0">
      <w:lvlJc w:val="left"/>
      <w:lvlText w:val="(%1)"/>
      <w:numFmt w:val="decimal"/>
      <w:start w:val="2"/>
    </w:lvl>
  </w:abstractNum>
  <w:abstractNum w:abstractNumId="100">
    <w:nsid w:val="4DF72E4E"/>
    <w:multiLevelType w:val="hybridMultilevel"/>
    <w:lvl w:ilvl="0">
      <w:lvlJc w:val="left"/>
      <w:lvlText w:val="(%1)"/>
      <w:numFmt w:val="decimal"/>
      <w:start w:val="3"/>
    </w:lvl>
  </w:abstractNum>
  <w:abstractNum w:abstractNumId="101">
    <w:nsid w:val="5046B5A9"/>
    <w:multiLevelType w:val="hybridMultilevel"/>
    <w:lvl w:ilvl="0">
      <w:lvlJc w:val="left"/>
      <w:lvlText w:val="(%1)"/>
      <w:numFmt w:val="decimal"/>
      <w:start w:val="4"/>
    </w:lvl>
  </w:abstractNum>
  <w:abstractNum w:abstractNumId="102">
    <w:nsid w:val="5D888A08"/>
    <w:multiLevelType w:val="hybridMultilevel"/>
    <w:lvl w:ilvl="0">
      <w:lvlJc w:val="left"/>
      <w:lvlText w:val="(%1)"/>
      <w:numFmt w:val="decimal"/>
      <w:start w:val="5"/>
    </w:lvl>
  </w:abstractNum>
  <w:abstractNum w:abstractNumId="103">
    <w:nsid w:val="2A082C70"/>
    <w:multiLevelType w:val="hybridMultilevel"/>
    <w:lvl w:ilvl="0">
      <w:lvlJc w:val="left"/>
      <w:lvlText w:val="(%1)"/>
      <w:numFmt w:val="decimal"/>
      <w:start w:val="6"/>
    </w:lvl>
    <w:lvl w:ilvl="1">
      <w:lvlJc w:val="left"/>
      <w:lvlText w:val="(%2)"/>
      <w:numFmt w:val="decimal"/>
      <w:start w:val="7"/>
    </w:lvl>
  </w:abstractNum>
  <w:abstractNum w:abstractNumId="104">
    <w:nsid w:val="5EC6AFD4"/>
    <w:multiLevelType w:val="hybridMultilevel"/>
    <w:lvl w:ilvl="0">
      <w:lvlJc w:val="left"/>
      <w:lvlText w:val="(%1)"/>
      <w:numFmt w:val="decimal"/>
      <w:start w:val="8"/>
    </w:lvl>
  </w:abstractNum>
  <w:abstractNum w:abstractNumId="105">
    <w:nsid w:val="19E21BB2"/>
    <w:multiLevelType w:val="hybridMultilevel"/>
    <w:lvl w:ilvl="0">
      <w:lvlJc w:val="left"/>
      <w:lvlText w:val="(%1)"/>
      <w:numFmt w:val="decimal"/>
      <w:start w:val="9"/>
    </w:lvl>
  </w:abstractNum>
  <w:abstractNum w:abstractNumId="106">
    <w:nsid w:val="75E0858A"/>
    <w:multiLevelType w:val="hybridMultilevel"/>
    <w:lvl w:ilvl="0">
      <w:lvlJc w:val="left"/>
      <w:lvlText w:val="(%1)"/>
      <w:numFmt w:val="lowerRoman"/>
      <w:start w:val="1"/>
    </w:lvl>
  </w:abstractNum>
  <w:abstractNum w:abstractNumId="107">
    <w:nsid w:val="57A61A29"/>
    <w:multiLevelType w:val="hybridMultilevel"/>
    <w:lvl w:ilvl="0">
      <w:lvlJc w:val="left"/>
      <w:lvlText w:val="(%1)"/>
      <w:numFmt w:val="decimal"/>
      <w:start w:val="10"/>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5"/>
    </w:lvl>
  </w:abstractNum>
  <w:abstractNum w:abstractNumId="113">
    <w:nsid w:val="704E1DD5"/>
    <w:multiLevelType w:val="hybridMultilevel"/>
    <w:lvl w:ilvl="0">
      <w:lvlJc w:val="left"/>
      <w:lvlText w:val="(%1)"/>
      <w:numFmt w:val="decimal"/>
      <w:start w:val="6"/>
    </w:lvl>
  </w:abstractNum>
  <w:abstractNum w:abstractNumId="114">
    <w:nsid w:val="57D2F10E"/>
    <w:multiLevelType w:val="hybridMultilevel"/>
    <w:lvl w:ilvl="0">
      <w:lvlJc w:val="left"/>
      <w:lvlText w:val="(%1)"/>
      <w:numFmt w:val="decimal"/>
      <w:start w:val="13"/>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lowerLetter"/>
      <w:start w:val="1"/>
    </w:lvl>
    <w:lvl w:ilvl="1">
      <w:lvlJc w:val="left"/>
      <w:lvlText w:val="(%2)"/>
      <w:numFmt w:val="decimal"/>
      <w:start w:val="2"/>
    </w:lvl>
  </w:abstractNum>
  <w:abstractNum w:abstractNumId="118">
    <w:nsid w:val="49D0FEAC"/>
    <w:multiLevelType w:val="hybridMultilevel"/>
    <w:lvl w:ilvl="0">
      <w:lvlJc w:val="left"/>
      <w:lvlText w:val="(%1)"/>
      <w:numFmt w:val="decimal"/>
      <w:start w:val="3"/>
    </w:lvl>
  </w:abstractNum>
  <w:abstractNum w:abstractNumId="119">
    <w:nsid w:val="4BEE5A5B"/>
    <w:multiLevelType w:val="hybridMultilevel"/>
    <w:lvl w:ilvl="0">
      <w:lvlJc w:val="left"/>
      <w:lvlText w:val="(%1)"/>
      <w:numFmt w:val="decimal"/>
      <w:start w:val="1"/>
    </w:lvl>
  </w:abstractNum>
  <w:abstractNum w:abstractNumId="120">
    <w:nsid w:val="5551B9F3"/>
    <w:multiLevelType w:val="hybridMultilevel"/>
    <w:lvl w:ilvl="0">
      <w:lvlJc w:val="left"/>
      <w:lvlText w:val="(%1)"/>
      <w:numFmt w:val="lowerRoman"/>
      <w:start w:val="5"/>
    </w:lvl>
  </w:abstractNum>
  <w:abstractNum w:abstractNumId="121">
    <w:nsid w:val="24F6AB8E"/>
    <w:multiLevelType w:val="hybridMultilevel"/>
    <w:lvl w:ilvl="0">
      <w:lvlJc w:val="left"/>
      <w:lvlText w:val="(%1)"/>
      <w:numFmt w:val="lowerRoman"/>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1"/>
    </w:lvl>
  </w:abstractNum>
  <w:abstractNum w:abstractNumId="129">
    <w:nsid w:val="2A6DE806"/>
    <w:multiLevelType w:val="hybridMultilevel"/>
    <w:lvl w:ilvl="0">
      <w:lvlJc w:val="left"/>
      <w:lvlText w:val="(%1)"/>
      <w:numFmt w:val="decimal"/>
      <w:start w:val="3"/>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1)"/>
      <w:numFmt w:val="decimal"/>
      <w:start w:val="1"/>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4"/>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5"/>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1"/>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lowerLetter"/>
      <w:start w:val="1"/>
    </w:lvl>
  </w:abstractNum>
  <w:abstractNum w:abstractNumId="146">
    <w:nsid w:val="260D8C4A"/>
    <w:multiLevelType w:val="hybridMultilevel"/>
    <w:lvl w:ilvl="0">
      <w:lvlJc w:val="left"/>
      <w:lvlText w:val="%1."/>
      <w:numFmt w:val="decimal"/>
      <w:start w:val="5"/>
    </w:lvl>
  </w:abstractNum>
  <w:abstractNum w:abstractNumId="147">
    <w:nsid w:val="73D4D3C4"/>
    <w:multiLevelType w:val="hybridMultilevel"/>
    <w:lvl w:ilvl="0">
      <w:lvlJc w:val="left"/>
      <w:lvlText w:val="(%1)"/>
      <w:numFmt w:val="lowerLetter"/>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lowerLetter"/>
      <w:start w:val="1"/>
    </w:lvl>
  </w:abstractNum>
  <w:abstractNum w:abstractNumId="150">
    <w:nsid w:val="3FC32E20"/>
    <w:multiLevelType w:val="hybridMultilevel"/>
    <w:lvl w:ilvl="0">
      <w:lvlJc w:val="left"/>
      <w:lvlText w:val="%1."/>
      <w:numFmt w:val="decimal"/>
      <w:start w:val="5"/>
    </w:lvl>
  </w:abstractNum>
  <w:abstractNum w:abstractNumId="151">
    <w:nsid w:val="49C0E823"/>
    <w:multiLevelType w:val="hybridMultilevel"/>
    <w:lvl w:ilvl="0">
      <w:lvlJc w:val="left"/>
      <w:lvlText w:val="(%1)"/>
      <w:numFmt w:val="lowerLetter"/>
      <w:start w:val="1"/>
    </w:lvl>
  </w:abstractNum>
  <w:abstractNum w:abstractNumId="152">
    <w:nsid w:val="14D53685"/>
    <w:multiLevelType w:val="hybridMultilevel"/>
    <w:lvl w:ilvl="0">
      <w:lvlJc w:val="left"/>
      <w:lvlText w:val="(%1)"/>
      <w:numFmt w:val="lowerRoman"/>
      <w:start w:val="1"/>
    </w:lvl>
  </w:abstractNum>
  <w:abstractNum w:abstractNumId="153">
    <w:nsid w:val="230F856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2020-01-19T16:13:08Z</dcterms:created>
  <dcterms:modified xsi:type="dcterms:W3CDTF">2020-01-19T16:13:08Z</dcterms:modified>
</cp:coreProperties>
</file>