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453762d8k.htm"/>
      <w:bookmarkStart w:id="1" w:name="ksd453762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December 10,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(State or other jurisdiction of</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w:t>
            </w:r>
          </w:p>
        </w:tc>
      </w:tr>
      <w:tr>
        <w:trPr/>
        <w:tc>
          <w:tcPr>
            <w:tcW w:w="346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Identification No.)</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Houston, Texas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6837"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 646-4100 </w:t>
      </w:r>
    </w:p>
    <w:p>
      <w:pPr>
        <w:pStyle w:val="TextBody"/>
        <w:spacing w:before="180" w:after="0"/>
        <w:jc w:val="center"/>
        <w:rPr>
          <w:rFonts w:ascii="Times New Roman" w:hAnsi="Times New Roman"/>
          <w:b/>
          <w:sz w:val="20"/>
        </w:rPr>
      </w:pPr>
      <w:r>
        <w:rPr>
          <w:rFonts w:ascii="Times New Roman" w:hAnsi="Times New Roman"/>
          <w:b/>
          <w:sz w:val="20"/>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49"/>
        <w:gridCol w:w="9256"/>
      </w:tblGrid>
      <w:tr>
        <w:trPr/>
        <w:tc>
          <w:tcPr>
            <w:tcW w:w="94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925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sz w:val="20"/>
        </w:rPr>
      </w:pPr>
      <w:r>
        <w:rPr>
          <w:rFonts w:ascii="Times New Roman" w:hAnsi="Times New Roman"/>
          <w:sz w:val="20"/>
        </w:rPr>
        <w:t xml:space="preserve">On December 10, 2012 Plains All American Pipeline, L.P. (the Partnership) and PAA Finance Corp. (together with the Partnership, the Issuers) completed the public offering of $400 million aggregate principal amount of 2.85% Senior Notes due 2023 (the 2023 Notes) and $350 million aggregate principal amount of 4.30% Senior Notes due 2043 (the 2043 Notes, and together with the 2023 Notes, the Notes). </w:t>
      </w:r>
    </w:p>
    <w:p>
      <w:pPr>
        <w:pStyle w:val="TextBody"/>
        <w:pBdr/>
        <w:spacing w:before="180" w:after="0"/>
        <w:rPr/>
      </w:pPr>
      <w:r>
        <w:rPr>
          <w:rFonts w:ascii="Times New Roman" w:hAnsi="Times New Roman"/>
          <w:sz w:val="20"/>
        </w:rPr>
        <w:t>The terms of the Notes are governed by the indenture (the Base Indenture, and as amended and supplemented by the Supplemental Indentures (defined below), the Indenture) dated as of September 25, 2002 by and among the Issuers and U.S. Bank National Association, as trustee (the Trustee), as supplemented by the Twenty-Second Supplemental Indenture between the Issuers and the Trustee (the 22</w:t>
      </w:r>
      <w:r>
        <w:rPr>
          <w:rFonts w:ascii="Times New Roman" w:hAnsi="Times New Roman"/>
          <w:sz w:val="14"/>
        </w:rPr>
        <w:t>nd</w:t>
      </w:r>
      <w:r>
        <w:rPr/>
        <w:t xml:space="preserve"> </w:t>
      </w:r>
      <w:r>
        <w:rPr>
          <w:rFonts w:ascii="Times New Roman" w:hAnsi="Times New Roman"/>
          <w:sz w:val="20"/>
        </w:rPr>
        <w:t>Supplemental Indenture) relating to the issuance of the 2023 Notes and the Twenty-Third Supplemental Indenture between the Issuers and the Trustee (the 23</w:t>
      </w:r>
      <w:r>
        <w:rPr>
          <w:rFonts w:ascii="Times New Roman" w:hAnsi="Times New Roman"/>
          <w:sz w:val="14"/>
        </w:rPr>
        <w:t>rd</w:t>
      </w:r>
      <w:r>
        <w:rPr/>
        <w:t xml:space="preserve"> </w:t>
      </w:r>
      <w:r>
        <w:rPr>
          <w:rFonts w:ascii="Times New Roman" w:hAnsi="Times New Roman"/>
          <w:sz w:val="20"/>
        </w:rPr>
        <w:t>Supplemental Indenture, and together with the 22</w:t>
      </w:r>
      <w:r>
        <w:rPr>
          <w:rFonts w:ascii="Times New Roman" w:hAnsi="Times New Roman"/>
          <w:sz w:val="14"/>
        </w:rPr>
        <w:t>nd</w:t>
      </w:r>
      <w:r>
        <w:rPr/>
        <w:t xml:space="preserve"> </w:t>
      </w:r>
      <w:r>
        <w:rPr>
          <w:rFonts w:ascii="Times New Roman" w:hAnsi="Times New Roman"/>
          <w:sz w:val="20"/>
        </w:rPr>
        <w:t xml:space="preserve">Supplemental Indenture, the Supplemental Indentures) relating to the issuance of the 2043 Notes. </w:t>
      </w:r>
    </w:p>
    <w:p>
      <w:pPr>
        <w:pStyle w:val="TextBody"/>
        <w:spacing w:before="180" w:after="0"/>
        <w:rPr>
          <w:rFonts w:ascii="Times New Roman" w:hAnsi="Times New Roman"/>
          <w:sz w:val="20"/>
        </w:rPr>
      </w:pPr>
      <w:r>
        <w:rPr>
          <w:rFonts w:ascii="Times New Roman" w:hAnsi="Times New Roman"/>
          <w:sz w:val="20"/>
        </w:rPr>
        <w:t xml:space="preserve">The 2023 Notes will mature on January 31, 2023, and the 2043 Notes will mature on January 31, 2043. Interest is payable on the Notes on each January 31 and July 31, commencing on July 31, 2013. The Issuers may redeem some or all of the Notes at any time and from time to time prior to maturity at the redemption prices specified in the Indenture. </w:t>
      </w:r>
    </w:p>
    <w:p>
      <w:pPr>
        <w:pStyle w:val="TextBody"/>
        <w:spacing w:before="180" w:after="0"/>
        <w:rPr>
          <w:rFonts w:ascii="Times New Roman" w:hAnsi="Times New Roman"/>
          <w:sz w:val="20"/>
        </w:rPr>
      </w:pPr>
      <w:r>
        <w:rPr>
          <w:rFonts w:ascii="Times New Roman" w:hAnsi="Times New Roman"/>
          <w:sz w:val="20"/>
        </w:rPr>
        <w:t xml:space="preserve">The Notes are the Partnerships senior unsecured obligations, will rank equally in right of payment with all of the Partnerships existing and future senior debt, and will rank senior in right of payment to all of the Partnerships future subordinated debt. The Notes will be effectively subordinated to all of the Partnerships existing and future secured debt to the extent of the value of the collateral securing such indebtedness. </w:t>
      </w:r>
    </w:p>
    <w:p>
      <w:pPr>
        <w:pStyle w:val="TextBody"/>
        <w:spacing w:before="180" w:after="0"/>
        <w:rPr>
          <w:rFonts w:ascii="Times New Roman" w:hAnsi="Times New Roman"/>
          <w:sz w:val="20"/>
        </w:rPr>
      </w:pPr>
      <w:r>
        <w:rPr>
          <w:rFonts w:ascii="Times New Roman" w:hAnsi="Times New Roman"/>
          <w:sz w:val="20"/>
        </w:rPr>
        <w:t xml:space="preserve">In certain circumstances, the Indenture restricts the Partnerships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 </w:t>
      </w:r>
    </w:p>
    <w:p>
      <w:pPr>
        <w:pStyle w:val="TextBody"/>
        <w:spacing w:before="180" w:after="0"/>
        <w:rPr>
          <w:rFonts w:ascii="Times New Roman" w:hAnsi="Times New Roman"/>
          <w:sz w:val="20"/>
        </w:rPr>
      </w:pPr>
      <w:r>
        <w:rPr>
          <w:rFonts w:ascii="Times New Roman" w:hAnsi="Times New Roman"/>
          <w:sz w:val="20"/>
        </w:rPr>
        <w:t xml:space="preserve">The Indenture contains customary events of default with respect to the Notes of either series,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in any payment of interest on any Note of that series when due, continued for 60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in the payment of principal of or premium, if any, on any Note of that series when due;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by the Partnership to comply with its obligations under the Indenture, in certain cases subject to notice and grace periods;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payment defaults and accelerations with respect to other indebtedness of the Partnership and its Subsidiaries (as defined in the Indenture) in the aggregate principal amount of $25.0 million or more;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the Partnership or, if and so long as the Notes of that series are guaranteed by a subsidiary guarantor, by such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and so long as the Notes of that series are guaranteed by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ceases to be in full force and effect, except as otherwise provided in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is declared null and void in a judicial proceeding;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2"/>
        <w:gridCol w:w="8879"/>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subsidiary guarantor denies or disaffirms its obligations under the Indenture or its guarantee. </w:t>
            </w:r>
          </w:p>
        </w:tc>
      </w:tr>
    </w:tbl>
    <w:p>
      <w:pPr>
        <w:pStyle w:val="TextBody"/>
        <w:spacing w:before="180" w:after="0"/>
        <w:rPr>
          <w:rFonts w:ascii="Times New Roman" w:hAnsi="Times New Roman"/>
          <w:sz w:val="20"/>
        </w:rPr>
      </w:pPr>
      <w:r>
        <w:rPr>
          <w:rFonts w:ascii="Times New Roman" w:hAnsi="Times New Roman"/>
          <w:sz w:val="20"/>
        </w:rPr>
        <w:t xml:space="preserve">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pBdr/>
        <w:spacing w:before="0" w:after="0"/>
        <w:rPr/>
      </w:pPr>
      <w:r>
        <w:rPr>
          <w:rFonts w:ascii="Times New Roman" w:hAnsi="Times New Roman"/>
          <w:sz w:val="20"/>
        </w:rPr>
        <w:t>Other material terms of the Notes, the Base Indenture and the Supplemental Indentures are described in the prospectus supplement, dated December 3, 2012, as filed by the Partnership with the Commission on December 4, 2012. The foregoing descriptions of the Indenture and the Notes are qualified in their entirety by reference to such Indenture (including the forms of Notes attached thereto). Copies of the 22</w:t>
      </w:r>
      <w:r>
        <w:rPr>
          <w:rFonts w:ascii="Times New Roman" w:hAnsi="Times New Roman"/>
          <w:sz w:val="14"/>
        </w:rPr>
        <w:t>nd</w:t>
      </w:r>
      <w:r>
        <w:rPr/>
        <w:t xml:space="preserve"> </w:t>
      </w:r>
      <w:r>
        <w:rPr>
          <w:rFonts w:ascii="Times New Roman" w:hAnsi="Times New Roman"/>
          <w:sz w:val="20"/>
        </w:rPr>
        <w:t>Supplemental Indenture and the 23</w:t>
      </w:r>
      <w:r>
        <w:rPr>
          <w:rFonts w:ascii="Times New Roman" w:hAnsi="Times New Roman"/>
          <w:sz w:val="14"/>
        </w:rPr>
        <w:t>rd</w:t>
      </w:r>
      <w:r>
        <w:rPr/>
        <w:t xml:space="preserve"> </w:t>
      </w:r>
      <w:r>
        <w:rPr>
          <w:rFonts w:ascii="Times New Roman" w:hAnsi="Times New Roman"/>
          <w:sz w:val="20"/>
        </w:rPr>
        <w:t xml:space="preserve">Supplemental Indenture are filed herewith as Exhibits 4.1 and 4.3, respectively, and are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91"/>
        <w:gridCol w:w="9214"/>
      </w:tblGrid>
      <w:tr>
        <w:trPr/>
        <w:tc>
          <w:tcPr>
            <w:tcW w:w="99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14"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2"/>
        <w:gridCol w:w="616"/>
        <w:gridCol w:w="9087"/>
      </w:tblGrid>
      <w:tr>
        <w:trPr/>
        <w:tc>
          <w:tcPr>
            <w:tcW w:w="502"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bottom"/>
          </w:tcPr>
          <w:p>
            <w:pPr>
              <w:pStyle w:val="TableContents"/>
              <w:spacing w:before="0" w:after="283"/>
              <w:rPr>
                <w:sz w:val="4"/>
                <w:szCs w:val="4"/>
              </w:rPr>
            </w:pPr>
            <w:r>
              <w:rPr>
                <w:sz w:val="4"/>
                <w:szCs w:val="4"/>
              </w:rPr>
            </w:r>
          </w:p>
        </w:tc>
        <w:tc>
          <w:tcPr>
            <w:tcW w:w="9087" w:type="dxa"/>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Exhibit</w:t>
              <w:br/>
              <w:t>Number</w:t>
            </w:r>
          </w:p>
        </w:tc>
        <w:tc>
          <w:tcPr>
            <w:tcW w:w="616" w:type="dxa"/>
            <w:tcBorders/>
            <w:shd w:fill="auto" w:val="clear"/>
            <w:vAlign w:val="bottom"/>
          </w:tcPr>
          <w:p>
            <w:pPr>
              <w:pStyle w:val="TableContents"/>
              <w:spacing w:before="0" w:after="283"/>
              <w:rPr/>
            </w:pPr>
            <w:r>
              <w:rPr/>
              <w:t>  </w:t>
            </w:r>
          </w:p>
        </w:tc>
        <w:tc>
          <w:tcPr>
            <w:tcW w:w="908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Times New Roman" w:hAnsi="Times New Roman"/>
                <w:sz w:val="20"/>
              </w:rPr>
            </w:pPr>
            <w:r>
              <w:rPr>
                <w:rFonts w:ascii="Times New Roman" w:hAnsi="Times New Roman"/>
                <w:sz w:val="20"/>
              </w:rPr>
              <w:t>4.1</w:t>
            </w:r>
          </w:p>
        </w:tc>
        <w:tc>
          <w:tcPr>
            <w:tcW w:w="616" w:type="dxa"/>
            <w:tcBorders/>
            <w:shd w:fill="auto" w:val="clear"/>
            <w:vAlign w:val="bottom"/>
          </w:tcPr>
          <w:p>
            <w:pPr>
              <w:pStyle w:val="TableContents"/>
              <w:spacing w:before="0" w:after="283"/>
              <w:rPr/>
            </w:pPr>
            <w:r>
              <w:rPr/>
              <w:t>  </w:t>
            </w:r>
          </w:p>
        </w:tc>
        <w:tc>
          <w:tcPr>
            <w:tcW w:w="9087" w:type="dxa"/>
            <w:tcBorders/>
            <w:shd w:fill="auto" w:val="clear"/>
          </w:tcPr>
          <w:p>
            <w:pPr>
              <w:pStyle w:val="TableContents"/>
              <w:spacing w:before="0" w:after="283"/>
              <w:rPr>
                <w:rFonts w:ascii="Times New Roman" w:hAnsi="Times New Roman"/>
                <w:sz w:val="20"/>
              </w:rPr>
            </w:pPr>
            <w:r>
              <w:rPr>
                <w:rFonts w:ascii="Times New Roman" w:hAnsi="Times New Roman"/>
                <w:sz w:val="20"/>
              </w:rPr>
              <w:t>Twenty-Second Supplemental Indenture, dated December 10, 2012, by and among Plains All American Pipeline, L.P., PAA Finance Corp., and U.S. Bank National Association, as trustee.</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Times New Roman" w:hAnsi="Times New Roman"/>
                <w:sz w:val="20"/>
              </w:rPr>
            </w:pPr>
            <w:r>
              <w:rPr>
                <w:rFonts w:ascii="Times New Roman" w:hAnsi="Times New Roman"/>
                <w:sz w:val="20"/>
              </w:rPr>
              <w:t>4.2</w:t>
            </w:r>
          </w:p>
        </w:tc>
        <w:tc>
          <w:tcPr>
            <w:tcW w:w="616" w:type="dxa"/>
            <w:tcBorders/>
            <w:shd w:fill="auto" w:val="clear"/>
            <w:vAlign w:val="bottom"/>
          </w:tcPr>
          <w:p>
            <w:pPr>
              <w:pStyle w:val="TableContents"/>
              <w:spacing w:before="0" w:after="283"/>
              <w:rPr/>
            </w:pPr>
            <w:r>
              <w:rPr/>
              <w:t>  </w:t>
            </w:r>
          </w:p>
        </w:tc>
        <w:tc>
          <w:tcPr>
            <w:tcW w:w="9087" w:type="dxa"/>
            <w:tcBorders/>
            <w:shd w:fill="auto" w:val="clear"/>
          </w:tcPr>
          <w:p>
            <w:pPr>
              <w:pStyle w:val="TableContents"/>
              <w:spacing w:before="0" w:after="283"/>
              <w:rPr>
                <w:rFonts w:ascii="Times New Roman" w:hAnsi="Times New Roman"/>
                <w:sz w:val="20"/>
              </w:rPr>
            </w:pPr>
            <w:r>
              <w:rPr>
                <w:rFonts w:ascii="Times New Roman" w:hAnsi="Times New Roman"/>
                <w:sz w:val="20"/>
              </w:rPr>
              <w:t>Form of 2.85% Senior Notes due 2023 (included in Exhibit 4.1).</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Times New Roman" w:hAnsi="Times New Roman"/>
                <w:sz w:val="20"/>
              </w:rPr>
            </w:pPr>
            <w:r>
              <w:rPr>
                <w:rFonts w:ascii="Times New Roman" w:hAnsi="Times New Roman"/>
                <w:sz w:val="20"/>
              </w:rPr>
              <w:t>4.3</w:t>
            </w:r>
          </w:p>
        </w:tc>
        <w:tc>
          <w:tcPr>
            <w:tcW w:w="616" w:type="dxa"/>
            <w:tcBorders/>
            <w:shd w:fill="auto" w:val="clear"/>
            <w:vAlign w:val="bottom"/>
          </w:tcPr>
          <w:p>
            <w:pPr>
              <w:pStyle w:val="TableContents"/>
              <w:spacing w:before="0" w:after="283"/>
              <w:rPr/>
            </w:pPr>
            <w:r>
              <w:rPr/>
              <w:t>  </w:t>
            </w:r>
          </w:p>
        </w:tc>
        <w:tc>
          <w:tcPr>
            <w:tcW w:w="9087" w:type="dxa"/>
            <w:tcBorders/>
            <w:shd w:fill="auto" w:val="clear"/>
          </w:tcPr>
          <w:p>
            <w:pPr>
              <w:pStyle w:val="TableContents"/>
              <w:spacing w:before="0" w:after="283"/>
              <w:rPr>
                <w:rFonts w:ascii="Times New Roman" w:hAnsi="Times New Roman"/>
                <w:sz w:val="20"/>
              </w:rPr>
            </w:pPr>
            <w:r>
              <w:rPr>
                <w:rFonts w:ascii="Times New Roman" w:hAnsi="Times New Roman"/>
                <w:sz w:val="20"/>
              </w:rPr>
              <w:t>Twenty-Third Supplemental Indenture, dated December 10, 2012, by and among Plains All American Pipeline, L.P., PAA Finance Corp., and U.S. Bank National Association, as trustee.</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Times New Roman" w:hAnsi="Times New Roman"/>
                <w:sz w:val="20"/>
              </w:rPr>
            </w:pPr>
            <w:r>
              <w:rPr>
                <w:rFonts w:ascii="Times New Roman" w:hAnsi="Times New Roman"/>
                <w:sz w:val="20"/>
              </w:rPr>
              <w:t>4.4</w:t>
            </w:r>
          </w:p>
        </w:tc>
        <w:tc>
          <w:tcPr>
            <w:tcW w:w="616" w:type="dxa"/>
            <w:tcBorders/>
            <w:shd w:fill="auto" w:val="clear"/>
            <w:vAlign w:val="bottom"/>
          </w:tcPr>
          <w:p>
            <w:pPr>
              <w:pStyle w:val="TableContents"/>
              <w:spacing w:before="0" w:after="283"/>
              <w:rPr/>
            </w:pPr>
            <w:r>
              <w:rPr/>
              <w:t>  </w:t>
            </w:r>
          </w:p>
        </w:tc>
        <w:tc>
          <w:tcPr>
            <w:tcW w:w="9087" w:type="dxa"/>
            <w:tcBorders/>
            <w:shd w:fill="auto" w:val="clear"/>
          </w:tcPr>
          <w:p>
            <w:pPr>
              <w:pStyle w:val="TableContents"/>
              <w:spacing w:before="0" w:after="283"/>
              <w:rPr>
                <w:rFonts w:ascii="Times New Roman" w:hAnsi="Times New Roman"/>
                <w:sz w:val="20"/>
              </w:rPr>
            </w:pPr>
            <w:r>
              <w:rPr>
                <w:rFonts w:ascii="Times New Roman" w:hAnsi="Times New Roman"/>
                <w:sz w:val="20"/>
              </w:rPr>
              <w:t>Form of 4.30% Senior Notes due 2043 (included in Exhibit 4.3).</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53"/>
        <w:gridCol w:w="155"/>
        <w:gridCol w:w="3274"/>
      </w:tblGrid>
      <w:tr>
        <w:trPr/>
        <w:tc>
          <w:tcPr>
            <w:tcW w:w="6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27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653" w:type="dxa"/>
            <w:tcBorders/>
            <w:shd w:fill="auto" w:val="clear"/>
            <w:vAlign w:val="center"/>
          </w:tcPr>
          <w:p>
            <w:pPr>
              <w:pStyle w:val="TableContents"/>
              <w:spacing w:before="0" w:after="283"/>
              <w:rPr>
                <w:sz w:val="4"/>
                <w:szCs w:val="4"/>
              </w:rPr>
            </w:pPr>
            <w:r>
              <w:rPr>
                <w:sz w:val="4"/>
                <w:szCs w:val="4"/>
              </w:rPr>
            </w:r>
          </w:p>
        </w:tc>
        <w:tc>
          <w:tcPr>
            <w:tcW w:w="3429" w:type="dxa"/>
            <w:gridSpan w:val="2"/>
            <w:tcBorders/>
            <w:shd w:fill="auto" w:val="clear"/>
            <w:vAlign w:val="center"/>
          </w:tcPr>
          <w:p>
            <w:pPr>
              <w:pStyle w:val="TableContents"/>
              <w:spacing w:before="0" w:after="283"/>
              <w:rPr>
                <w:sz w:val="4"/>
                <w:szCs w:val="4"/>
              </w:rPr>
            </w:pPr>
            <w:r>
              <w:rPr>
                <w:sz w:val="4"/>
                <w:szCs w:val="4"/>
              </w:rPr>
            </w:r>
          </w:p>
        </w:tc>
      </w:tr>
      <w:tr>
        <w:trPr/>
        <w:tc>
          <w:tcPr>
            <w:tcW w:w="65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55" w:type="dxa"/>
            <w:tcBorders/>
            <w:shd w:fill="auto" w:val="clear"/>
            <w:vAlign w:val="bottom"/>
          </w:tcPr>
          <w:p>
            <w:pPr>
              <w:pStyle w:val="TableContents"/>
              <w:spacing w:before="0" w:after="283"/>
              <w:rPr/>
            </w:pPr>
            <w:r>
              <w:rPr/>
              <w:t> </w:t>
            </w:r>
          </w:p>
        </w:tc>
        <w:tc>
          <w:tcPr>
            <w:tcW w:w="32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653" w:type="dxa"/>
            <w:tcBorders/>
            <w:shd w:fill="auto" w:val="clear"/>
            <w:vAlign w:val="center"/>
          </w:tcPr>
          <w:p>
            <w:pPr>
              <w:pStyle w:val="TableContents"/>
              <w:spacing w:before="0" w:after="283"/>
              <w:rPr>
                <w:sz w:val="4"/>
                <w:szCs w:val="4"/>
              </w:rPr>
            </w:pPr>
            <w:r>
              <w:rPr>
                <w:sz w:val="4"/>
                <w:szCs w:val="4"/>
              </w:rPr>
            </w:r>
          </w:p>
        </w:tc>
        <w:tc>
          <w:tcPr>
            <w:tcW w:w="3429" w:type="dxa"/>
            <w:gridSpan w:val="2"/>
            <w:tcBorders/>
            <w:shd w:fill="auto" w:val="clear"/>
            <w:vAlign w:val="center"/>
          </w:tcPr>
          <w:p>
            <w:pPr>
              <w:pStyle w:val="TableContents"/>
              <w:spacing w:before="0" w:after="283"/>
              <w:rPr>
                <w:sz w:val="4"/>
                <w:szCs w:val="4"/>
              </w:rPr>
            </w:pPr>
            <w:r>
              <w:rPr>
                <w:sz w:val="4"/>
                <w:szCs w:val="4"/>
              </w:rPr>
            </w:r>
          </w:p>
        </w:tc>
      </w:tr>
      <w:tr>
        <w:trPr/>
        <w:tc>
          <w:tcPr>
            <w:tcW w:w="65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55" w:type="dxa"/>
            <w:tcBorders/>
            <w:shd w:fill="auto" w:val="clear"/>
            <w:vAlign w:val="bottom"/>
          </w:tcPr>
          <w:p>
            <w:pPr>
              <w:pStyle w:val="TableContents"/>
              <w:spacing w:before="0" w:after="283"/>
              <w:rPr/>
            </w:pPr>
            <w:r>
              <w:rPr/>
              <w:t> </w:t>
            </w:r>
          </w:p>
        </w:tc>
        <w:tc>
          <w:tcPr>
            <w:tcW w:w="32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653" w:type="dxa"/>
            <w:tcBorders/>
            <w:shd w:fill="auto" w:val="clear"/>
            <w:vAlign w:val="center"/>
          </w:tcPr>
          <w:p>
            <w:pPr>
              <w:pStyle w:val="TableContents"/>
              <w:spacing w:before="0" w:after="283"/>
              <w:rPr>
                <w:sz w:val="4"/>
                <w:szCs w:val="4"/>
              </w:rPr>
            </w:pPr>
            <w:r>
              <w:rPr>
                <w:sz w:val="4"/>
                <w:szCs w:val="4"/>
              </w:rPr>
            </w:r>
          </w:p>
        </w:tc>
        <w:tc>
          <w:tcPr>
            <w:tcW w:w="3429" w:type="dxa"/>
            <w:gridSpan w:val="2"/>
            <w:tcBorders/>
            <w:shd w:fill="auto" w:val="clear"/>
            <w:vAlign w:val="center"/>
          </w:tcPr>
          <w:p>
            <w:pPr>
              <w:pStyle w:val="TableContents"/>
              <w:spacing w:before="0" w:after="283"/>
              <w:rPr>
                <w:sz w:val="4"/>
                <w:szCs w:val="4"/>
              </w:rPr>
            </w:pPr>
            <w:r>
              <w:rPr>
                <w:sz w:val="4"/>
                <w:szCs w:val="4"/>
              </w:rPr>
            </w:r>
          </w:p>
        </w:tc>
      </w:tr>
      <w:tr>
        <w:trPr/>
        <w:tc>
          <w:tcPr>
            <w:tcW w:w="65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55" w:type="dxa"/>
            <w:tcBorders/>
            <w:shd w:fill="auto" w:val="clear"/>
            <w:vAlign w:val="bottom"/>
          </w:tcPr>
          <w:p>
            <w:pPr>
              <w:pStyle w:val="TableContents"/>
              <w:spacing w:before="0" w:after="283"/>
              <w:rPr/>
            </w:pPr>
            <w:r>
              <w:rPr/>
              <w:t> </w:t>
            </w:r>
          </w:p>
        </w:tc>
        <w:tc>
          <w:tcPr>
            <w:tcW w:w="32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653" w:type="dxa"/>
            <w:tcBorders/>
            <w:shd w:fill="auto" w:val="clea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32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653" w:type="dxa"/>
            <w:tcBorders/>
            <w:shd w:fill="auto" w:val="clear"/>
            <w:vAlign w:val="center"/>
          </w:tcPr>
          <w:p>
            <w:pPr>
              <w:pStyle w:val="TableContents"/>
              <w:spacing w:before="0" w:after="283"/>
              <w:rPr>
                <w:sz w:val="4"/>
                <w:szCs w:val="4"/>
              </w:rPr>
            </w:pPr>
            <w:r>
              <w:rPr>
                <w:sz w:val="4"/>
                <w:szCs w:val="4"/>
              </w:rPr>
            </w:r>
          </w:p>
        </w:tc>
        <w:tc>
          <w:tcPr>
            <w:tcW w:w="3429" w:type="dxa"/>
            <w:gridSpan w:val="2"/>
            <w:tcBorders/>
            <w:shd w:fill="auto" w:val="clear"/>
            <w:vAlign w:val="center"/>
          </w:tcPr>
          <w:p>
            <w:pPr>
              <w:pStyle w:val="TableContents"/>
              <w:spacing w:before="0" w:after="283"/>
              <w:rPr>
                <w:sz w:val="4"/>
                <w:szCs w:val="4"/>
              </w:rPr>
            </w:pPr>
            <w:r>
              <w:rPr>
                <w:sz w:val="4"/>
                <w:szCs w:val="4"/>
              </w:rPr>
            </w:r>
          </w:p>
        </w:tc>
      </w:tr>
      <w:tr>
        <w:trPr/>
        <w:tc>
          <w:tcPr>
            <w:tcW w:w="65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55" w:type="dxa"/>
            <w:tcBorders/>
            <w:shd w:fill="auto" w:val="clear"/>
            <w:vAlign w:val="bottom"/>
          </w:tcPr>
          <w:p>
            <w:pPr>
              <w:pStyle w:val="TableContents"/>
              <w:spacing w:before="0" w:after="283"/>
              <w:rPr/>
            </w:pPr>
            <w:r>
              <w:rPr/>
              <w:t> </w:t>
            </w:r>
          </w:p>
        </w:tc>
        <w:tc>
          <w:tcPr>
            <w:tcW w:w="32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Richard K. McGee</w:t>
            </w:r>
          </w:p>
        </w:tc>
      </w:tr>
      <w:tr>
        <w:trPr/>
        <w:tc>
          <w:tcPr>
            <w:tcW w:w="65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3274" w:type="dxa"/>
            <w:tcBorders/>
            <w:shd w:fill="auto" w:val="clear"/>
            <w:vAlign w:val="bottom"/>
          </w:tcPr>
          <w:p>
            <w:pPr>
              <w:pStyle w:val="TableContents"/>
              <w:pBdr>
                <w:top w:val="single" w:sz="2" w:space="1" w:color="000000"/>
              </w:pBdr>
              <w:spacing w:before="0" w:after="283"/>
              <w:rPr/>
            </w:pPr>
            <w:r>
              <w:rPr/>
              <w:t> </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Name: Richard K. McGee</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270" w:after="0"/>
        <w:rPr>
          <w:rFonts w:ascii="Times New Roman" w:hAnsi="Times New Roman"/>
          <w:sz w:val="20"/>
        </w:rPr>
      </w:pPr>
      <w:r>
        <w:rPr>
          <w:rFonts w:ascii="Times New Roman" w:hAnsi="Times New Roman"/>
          <w:sz w:val="20"/>
        </w:rPr>
        <w:t xml:space="preserve">Date: December 12, 2012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9"/>
        <w:gridCol w:w="616"/>
        <w:gridCol w:w="9120"/>
      </w:tblGrid>
      <w:tr>
        <w:trPr/>
        <w:tc>
          <w:tcPr>
            <w:tcW w:w="46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bottom"/>
          </w:tcPr>
          <w:p>
            <w:pPr>
              <w:pStyle w:val="TableContents"/>
              <w:spacing w:before="0" w:after="283"/>
              <w:rPr>
                <w:sz w:val="4"/>
                <w:szCs w:val="4"/>
              </w:rPr>
            </w:pPr>
            <w:r>
              <w:rPr>
                <w:sz w:val="4"/>
                <w:szCs w:val="4"/>
              </w:rPr>
            </w:r>
          </w:p>
        </w:tc>
        <w:tc>
          <w:tcPr>
            <w:tcW w:w="9120" w:type="dxa"/>
            <w:tcBorders/>
            <w:shd w:fill="auto" w:val="clear"/>
            <w:vAlign w:val="center"/>
          </w:tcPr>
          <w:p>
            <w:pPr>
              <w:pStyle w:val="TableContents"/>
              <w:spacing w:before="0" w:after="283"/>
              <w:rPr>
                <w:sz w:val="4"/>
                <w:szCs w:val="4"/>
              </w:rPr>
            </w:pPr>
            <w:r>
              <w:rPr>
                <w:sz w:val="4"/>
                <w:szCs w:val="4"/>
              </w:rPr>
            </w:r>
          </w:p>
        </w:tc>
      </w:tr>
      <w:tr>
        <w:trPr/>
        <w:tc>
          <w:tcPr>
            <w:tcW w:w="469"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616" w:type="dxa"/>
            <w:tcBorders/>
            <w:shd w:fill="auto" w:val="clear"/>
            <w:vAlign w:val="bottom"/>
          </w:tcPr>
          <w:p>
            <w:pPr>
              <w:pStyle w:val="TableContents"/>
              <w:spacing w:before="0" w:after="283"/>
              <w:rPr/>
            </w:pPr>
            <w:r>
              <w:rPr/>
              <w:t>  </w:t>
            </w:r>
          </w:p>
        </w:tc>
        <w:tc>
          <w:tcPr>
            <w:tcW w:w="9120"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w:t>
            </w:r>
          </w:p>
        </w:tc>
      </w:tr>
      <w:tr>
        <w:trPr>
          <w:trHeight w:val="120" w:hRule="atLeast"/>
        </w:trPr>
        <w:tc>
          <w:tcPr>
            <w:tcW w:w="469" w:type="dxa"/>
            <w:tcBorders/>
            <w:shd w:fill="auto" w:val="clear"/>
            <w:vAlign w:val="center"/>
          </w:tcPr>
          <w:p>
            <w:pPr>
              <w:pStyle w:val="TableContents"/>
              <w:spacing w:before="0" w:after="283"/>
              <w:rPr>
                <w:sz w:val="4"/>
                <w:szCs w:val="4"/>
              </w:rPr>
            </w:pPr>
            <w:r>
              <w:rPr>
                <w:sz w:val="4"/>
                <w:szCs w:val="4"/>
              </w:rPr>
            </w:r>
          </w:p>
        </w:tc>
        <w:tc>
          <w:tcPr>
            <w:tcW w:w="9736" w:type="dxa"/>
            <w:gridSpan w:val="2"/>
            <w:tcBorders/>
            <w:shd w:fill="auto" w:val="clear"/>
            <w:vAlign w:val="center"/>
          </w:tcPr>
          <w:p>
            <w:pPr>
              <w:pStyle w:val="TableContents"/>
              <w:spacing w:before="0" w:after="283"/>
              <w:rPr>
                <w:sz w:val="4"/>
                <w:szCs w:val="4"/>
              </w:rPr>
            </w:pPr>
            <w:r>
              <w:rPr>
                <w:sz w:val="4"/>
                <w:szCs w:val="4"/>
              </w:rPr>
            </w:r>
          </w:p>
        </w:tc>
      </w:tr>
      <w:tr>
        <w:trPr/>
        <w:tc>
          <w:tcPr>
            <w:tcW w:w="469" w:type="dxa"/>
            <w:tcBorders/>
            <w:shd w:fill="auto" w:val="clear"/>
          </w:tcPr>
          <w:p>
            <w:pPr>
              <w:pStyle w:val="TableContents"/>
              <w:spacing w:before="0" w:after="283"/>
              <w:rPr>
                <w:rFonts w:ascii="Times New Roman" w:hAnsi="Times New Roman"/>
                <w:sz w:val="20"/>
              </w:rPr>
            </w:pPr>
            <w:r>
              <w:rPr>
                <w:rFonts w:ascii="Times New Roman" w:hAnsi="Times New Roman"/>
                <w:sz w:val="20"/>
              </w:rPr>
              <w:t>4.1</w:t>
            </w:r>
          </w:p>
        </w:tc>
        <w:tc>
          <w:tcPr>
            <w:tcW w:w="616" w:type="dxa"/>
            <w:tcBorders/>
            <w:shd w:fill="auto" w:val="clear"/>
            <w:vAlign w:val="bottom"/>
          </w:tcPr>
          <w:p>
            <w:pPr>
              <w:pStyle w:val="TableContents"/>
              <w:spacing w:before="0" w:after="283"/>
              <w:rPr/>
            </w:pPr>
            <w:r>
              <w:rPr/>
              <w:t>  </w:t>
            </w:r>
          </w:p>
        </w:tc>
        <w:tc>
          <w:tcPr>
            <w:tcW w:w="9120" w:type="dxa"/>
            <w:tcBorders/>
            <w:shd w:fill="auto" w:val="clear"/>
          </w:tcPr>
          <w:p>
            <w:pPr>
              <w:pStyle w:val="TableContents"/>
              <w:spacing w:before="0" w:after="283"/>
              <w:rPr>
                <w:rFonts w:ascii="Times New Roman" w:hAnsi="Times New Roman"/>
                <w:sz w:val="20"/>
              </w:rPr>
            </w:pPr>
            <w:r>
              <w:rPr>
                <w:rFonts w:ascii="Times New Roman" w:hAnsi="Times New Roman"/>
                <w:sz w:val="20"/>
              </w:rPr>
              <w:t>Twenty-Second Supplemental Indenture, dated December 10, 2012, by and among Plains All American Pipeline, L.P., PAA Finance Corp., and U.S. Bank National Association, as trustee.</w:t>
            </w:r>
          </w:p>
        </w:tc>
      </w:tr>
      <w:tr>
        <w:trPr>
          <w:trHeight w:val="120" w:hRule="atLeast"/>
        </w:trPr>
        <w:tc>
          <w:tcPr>
            <w:tcW w:w="469" w:type="dxa"/>
            <w:tcBorders/>
            <w:shd w:fill="auto" w:val="clear"/>
            <w:vAlign w:val="center"/>
          </w:tcPr>
          <w:p>
            <w:pPr>
              <w:pStyle w:val="TableContents"/>
              <w:spacing w:before="0" w:after="283"/>
              <w:rPr>
                <w:sz w:val="4"/>
                <w:szCs w:val="4"/>
              </w:rPr>
            </w:pPr>
            <w:r>
              <w:rPr>
                <w:sz w:val="4"/>
                <w:szCs w:val="4"/>
              </w:rPr>
            </w:r>
          </w:p>
        </w:tc>
        <w:tc>
          <w:tcPr>
            <w:tcW w:w="9736" w:type="dxa"/>
            <w:gridSpan w:val="2"/>
            <w:tcBorders/>
            <w:shd w:fill="auto" w:val="clear"/>
            <w:vAlign w:val="center"/>
          </w:tcPr>
          <w:p>
            <w:pPr>
              <w:pStyle w:val="TableContents"/>
              <w:spacing w:before="0" w:after="283"/>
              <w:rPr>
                <w:sz w:val="4"/>
                <w:szCs w:val="4"/>
              </w:rPr>
            </w:pPr>
            <w:r>
              <w:rPr>
                <w:sz w:val="4"/>
                <w:szCs w:val="4"/>
              </w:rPr>
            </w:r>
          </w:p>
        </w:tc>
      </w:tr>
      <w:tr>
        <w:trPr/>
        <w:tc>
          <w:tcPr>
            <w:tcW w:w="469" w:type="dxa"/>
            <w:tcBorders/>
            <w:shd w:fill="auto" w:val="clear"/>
          </w:tcPr>
          <w:p>
            <w:pPr>
              <w:pStyle w:val="TableContents"/>
              <w:spacing w:before="0" w:after="283"/>
              <w:rPr>
                <w:rFonts w:ascii="Times New Roman" w:hAnsi="Times New Roman"/>
                <w:sz w:val="20"/>
              </w:rPr>
            </w:pPr>
            <w:r>
              <w:rPr>
                <w:rFonts w:ascii="Times New Roman" w:hAnsi="Times New Roman"/>
                <w:sz w:val="20"/>
              </w:rPr>
              <w:t>4.2</w:t>
            </w:r>
          </w:p>
        </w:tc>
        <w:tc>
          <w:tcPr>
            <w:tcW w:w="616" w:type="dxa"/>
            <w:tcBorders/>
            <w:shd w:fill="auto" w:val="clear"/>
            <w:vAlign w:val="bottom"/>
          </w:tcPr>
          <w:p>
            <w:pPr>
              <w:pStyle w:val="TableContents"/>
              <w:spacing w:before="0" w:after="283"/>
              <w:rPr/>
            </w:pPr>
            <w:r>
              <w:rPr/>
              <w:t>  </w:t>
            </w:r>
          </w:p>
        </w:tc>
        <w:tc>
          <w:tcPr>
            <w:tcW w:w="91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2.85% Senior Notes due 2023 (included in Exhibit 4.1).</w:t>
            </w:r>
          </w:p>
        </w:tc>
      </w:tr>
      <w:tr>
        <w:trPr>
          <w:trHeight w:val="120" w:hRule="atLeast"/>
        </w:trPr>
        <w:tc>
          <w:tcPr>
            <w:tcW w:w="469" w:type="dxa"/>
            <w:tcBorders/>
            <w:shd w:fill="auto" w:val="clear"/>
            <w:vAlign w:val="center"/>
          </w:tcPr>
          <w:p>
            <w:pPr>
              <w:pStyle w:val="TableContents"/>
              <w:spacing w:before="0" w:after="283"/>
              <w:rPr>
                <w:sz w:val="4"/>
                <w:szCs w:val="4"/>
              </w:rPr>
            </w:pPr>
            <w:r>
              <w:rPr>
                <w:sz w:val="4"/>
                <w:szCs w:val="4"/>
              </w:rPr>
            </w:r>
          </w:p>
        </w:tc>
        <w:tc>
          <w:tcPr>
            <w:tcW w:w="9736" w:type="dxa"/>
            <w:gridSpan w:val="2"/>
            <w:tcBorders/>
            <w:shd w:fill="auto" w:val="clear"/>
            <w:vAlign w:val="center"/>
          </w:tcPr>
          <w:p>
            <w:pPr>
              <w:pStyle w:val="TableContents"/>
              <w:spacing w:before="0" w:after="283"/>
              <w:rPr>
                <w:sz w:val="4"/>
                <w:szCs w:val="4"/>
              </w:rPr>
            </w:pPr>
            <w:r>
              <w:rPr>
                <w:sz w:val="4"/>
                <w:szCs w:val="4"/>
              </w:rPr>
            </w:r>
          </w:p>
        </w:tc>
      </w:tr>
      <w:tr>
        <w:trPr/>
        <w:tc>
          <w:tcPr>
            <w:tcW w:w="469" w:type="dxa"/>
            <w:tcBorders/>
            <w:shd w:fill="auto" w:val="clear"/>
          </w:tcPr>
          <w:p>
            <w:pPr>
              <w:pStyle w:val="TableContents"/>
              <w:spacing w:before="0" w:after="283"/>
              <w:rPr>
                <w:rFonts w:ascii="Times New Roman" w:hAnsi="Times New Roman"/>
                <w:sz w:val="20"/>
              </w:rPr>
            </w:pPr>
            <w:r>
              <w:rPr>
                <w:rFonts w:ascii="Times New Roman" w:hAnsi="Times New Roman"/>
                <w:sz w:val="20"/>
              </w:rPr>
              <w:t>4.3</w:t>
            </w:r>
          </w:p>
        </w:tc>
        <w:tc>
          <w:tcPr>
            <w:tcW w:w="616" w:type="dxa"/>
            <w:tcBorders/>
            <w:shd w:fill="auto" w:val="clear"/>
            <w:vAlign w:val="bottom"/>
          </w:tcPr>
          <w:p>
            <w:pPr>
              <w:pStyle w:val="TableContents"/>
              <w:spacing w:before="0" w:after="283"/>
              <w:rPr/>
            </w:pPr>
            <w:r>
              <w:rPr/>
              <w:t>  </w:t>
            </w:r>
          </w:p>
        </w:tc>
        <w:tc>
          <w:tcPr>
            <w:tcW w:w="9120" w:type="dxa"/>
            <w:tcBorders/>
            <w:shd w:fill="auto" w:val="clear"/>
          </w:tcPr>
          <w:p>
            <w:pPr>
              <w:pStyle w:val="TableContents"/>
              <w:spacing w:before="0" w:after="283"/>
              <w:rPr>
                <w:rFonts w:ascii="Times New Roman" w:hAnsi="Times New Roman"/>
                <w:sz w:val="20"/>
              </w:rPr>
            </w:pPr>
            <w:r>
              <w:rPr>
                <w:rFonts w:ascii="Times New Roman" w:hAnsi="Times New Roman"/>
                <w:sz w:val="20"/>
              </w:rPr>
              <w:t>Twenty-Third Supplemental Indenture, dated December 10, 2012, by and among Plains All American Pipeline, L.P., PAA Finance Corp., and U.S. Bank National Association, as trustee.</w:t>
            </w:r>
          </w:p>
        </w:tc>
      </w:tr>
      <w:tr>
        <w:trPr>
          <w:trHeight w:val="120" w:hRule="atLeast"/>
        </w:trPr>
        <w:tc>
          <w:tcPr>
            <w:tcW w:w="469" w:type="dxa"/>
            <w:tcBorders/>
            <w:shd w:fill="auto" w:val="clear"/>
            <w:vAlign w:val="center"/>
          </w:tcPr>
          <w:p>
            <w:pPr>
              <w:pStyle w:val="TableContents"/>
              <w:spacing w:before="0" w:after="283"/>
              <w:rPr>
                <w:sz w:val="4"/>
                <w:szCs w:val="4"/>
              </w:rPr>
            </w:pPr>
            <w:r>
              <w:rPr>
                <w:sz w:val="4"/>
                <w:szCs w:val="4"/>
              </w:rPr>
            </w:r>
          </w:p>
        </w:tc>
        <w:tc>
          <w:tcPr>
            <w:tcW w:w="9736" w:type="dxa"/>
            <w:gridSpan w:val="2"/>
            <w:tcBorders/>
            <w:shd w:fill="auto" w:val="clear"/>
            <w:vAlign w:val="center"/>
          </w:tcPr>
          <w:p>
            <w:pPr>
              <w:pStyle w:val="TableContents"/>
              <w:spacing w:before="0" w:after="283"/>
              <w:rPr>
                <w:sz w:val="4"/>
                <w:szCs w:val="4"/>
              </w:rPr>
            </w:pPr>
            <w:r>
              <w:rPr>
                <w:sz w:val="4"/>
                <w:szCs w:val="4"/>
              </w:rPr>
            </w:r>
          </w:p>
        </w:tc>
      </w:tr>
      <w:tr>
        <w:trPr/>
        <w:tc>
          <w:tcPr>
            <w:tcW w:w="469" w:type="dxa"/>
            <w:tcBorders/>
            <w:shd w:fill="auto" w:val="clear"/>
          </w:tcPr>
          <w:p>
            <w:pPr>
              <w:pStyle w:val="TableContents"/>
              <w:spacing w:before="0" w:after="283"/>
              <w:rPr>
                <w:rFonts w:ascii="Times New Roman" w:hAnsi="Times New Roman"/>
                <w:sz w:val="20"/>
              </w:rPr>
            </w:pPr>
            <w:r>
              <w:rPr>
                <w:rFonts w:ascii="Times New Roman" w:hAnsi="Times New Roman"/>
                <w:sz w:val="20"/>
              </w:rPr>
              <w:t>4.4</w:t>
            </w:r>
          </w:p>
        </w:tc>
        <w:tc>
          <w:tcPr>
            <w:tcW w:w="616" w:type="dxa"/>
            <w:tcBorders/>
            <w:shd w:fill="auto" w:val="clear"/>
            <w:vAlign w:val="bottom"/>
          </w:tcPr>
          <w:p>
            <w:pPr>
              <w:pStyle w:val="TableContents"/>
              <w:spacing w:before="0" w:after="283"/>
              <w:rPr/>
            </w:pPr>
            <w:r>
              <w:rPr/>
              <w:t>  </w:t>
            </w:r>
          </w:p>
        </w:tc>
        <w:tc>
          <w:tcPr>
            <w:tcW w:w="9120" w:type="dxa"/>
            <w:tcBorders/>
            <w:shd w:fill="auto" w:val="clear"/>
          </w:tcPr>
          <w:p>
            <w:pPr>
              <w:pStyle w:val="TableContents"/>
              <w:spacing w:before="0" w:after="283"/>
              <w:rPr>
                <w:rFonts w:ascii="Times New Roman" w:hAnsi="Times New Roman"/>
                <w:sz w:val="20"/>
              </w:rPr>
            </w:pPr>
            <w:r>
              <w:rPr>
                <w:rFonts w:ascii="Times New Roman" w:hAnsi="Times New Roman"/>
                <w:sz w:val="20"/>
              </w:rPr>
              <w:t>Form of 4.30% Senior Notes due 2043 (included in Exhibit 4.3).</w:t>
            </w:r>
          </w:p>
        </w:tc>
      </w:tr>
    </w:tbl>
    <w:p>
      <w:pPr>
        <w:pStyle w:val="TextBody"/>
        <w:spacing w:before="0" w:after="0"/>
        <w:jc w:val="right"/>
        <w:rPr>
          <w:rFonts w:ascii="Times New Roman" w:hAnsi="Times New Roman"/>
          <w:b/>
          <w:sz w:val="20"/>
        </w:rPr>
      </w:pPr>
      <w:r>
        <w:br w:type="page"/>
      </w:r>
      <w:bookmarkStart w:id="2" w:name="d453762dex41.htm"/>
      <w:bookmarkStart w:id="3" w:name="ksd453762dex41"/>
      <w:bookmarkEnd w:id="2"/>
      <w:bookmarkEnd w:id="3"/>
      <w:r>
        <w:rPr>
          <w:rFonts w:ascii="Times New Roman" w:hAnsi="Times New Roman"/>
          <w:b/>
          <w:sz w:val="20"/>
        </w:rPr>
        <w:t xml:space="preserve">Exhibit 4.1 </w:t>
      </w:r>
    </w:p>
    <w:p>
      <w:pPr>
        <w:pStyle w:val="TextBody"/>
        <w:spacing w:before="18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jc w:val="center"/>
        <w:rPr>
          <w:rFonts w:ascii="Times New Roman" w:hAnsi="Times New Roman"/>
          <w:sz w:val="28"/>
        </w:rPr>
      </w:pPr>
      <w:r>
        <w:rPr>
          <w:rFonts w:ascii="Times New Roman" w:hAnsi="Times New Roman"/>
          <w:sz w:val="28"/>
        </w:rPr>
        <w:t xml:space="preserve">PLAINS ALL AMERICAN PIPELINE, L.P. </w:t>
      </w:r>
    </w:p>
    <w:p>
      <w:pPr>
        <w:pStyle w:val="TextBody"/>
        <w:spacing w:before="0" w:after="0"/>
        <w:jc w:val="center"/>
        <w:rPr>
          <w:rFonts w:ascii="Times New Roman" w:hAnsi="Times New Roman"/>
          <w:sz w:val="28"/>
        </w:rPr>
      </w:pPr>
      <w:r>
        <w:rPr>
          <w:rFonts w:ascii="Times New Roman" w:hAnsi="Times New Roman"/>
          <w:sz w:val="28"/>
        </w:rPr>
        <w:t xml:space="preserve">PAA FINANCE CORP. </w:t>
      </w:r>
    </w:p>
    <w:p>
      <w:pPr>
        <w:pStyle w:val="TextBody"/>
        <w:spacing w:before="0" w:after="0"/>
        <w:jc w:val="center"/>
        <w:rPr>
          <w:rFonts w:ascii="Times New Roman" w:hAnsi="Times New Roman"/>
          <w:sz w:val="28"/>
        </w:rPr>
      </w:pPr>
      <w:r>
        <w:rPr>
          <w:rFonts w:ascii="Times New Roman" w:hAnsi="Times New Roman"/>
          <w:sz w:val="28"/>
        </w:rPr>
        <w:t xml:space="preserve">as Issuers </w:t>
      </w:r>
    </w:p>
    <w:p>
      <w:pPr>
        <w:pStyle w:val="TextBody"/>
        <w:spacing w:before="0" w:after="0"/>
        <w:jc w:val="center"/>
        <w:rPr>
          <w:rFonts w:ascii="Times New Roman" w:hAnsi="Times New Roman"/>
          <w:sz w:val="36"/>
        </w:rPr>
      </w:pPr>
      <w:r>
        <w:rPr>
          <w:rFonts w:ascii="Times New Roman" w:hAnsi="Times New Roman"/>
          <w:sz w:val="36"/>
        </w:rPr>
        <w:t xml:space="preserve">$400,000,000 </w:t>
      </w:r>
    </w:p>
    <w:p>
      <w:pPr>
        <w:pStyle w:val="TextBody"/>
        <w:spacing w:before="360" w:after="0"/>
        <w:jc w:val="center"/>
        <w:rPr>
          <w:rFonts w:ascii="Times New Roman" w:hAnsi="Times New Roman"/>
          <w:sz w:val="20"/>
        </w:rPr>
      </w:pPr>
      <w:r>
        <w:rPr>
          <w:rFonts w:ascii="Times New Roman" w:hAnsi="Times New Roman"/>
          <w:sz w:val="20"/>
        </w:rPr>
        <w:t xml:space="preserve">2.85% SENIOR NOTES DUE 2023 </w:t>
      </w:r>
    </w:p>
    <w:p>
      <w:pPr>
        <w:pStyle w:val="TextBody"/>
        <w:spacing w:before="180" w:after="0"/>
        <w:jc w:val="center"/>
        <w:rPr>
          <w:rFonts w:ascii="Times New Roman" w:hAnsi="Times New Roman"/>
          <w:sz w:val="28"/>
        </w:rPr>
      </w:pPr>
      <w:r>
        <w:rPr>
          <w:rFonts w:ascii="Times New Roman" w:hAnsi="Times New Roman"/>
          <w:sz w:val="28"/>
        </w:rPr>
        <w:t xml:space="preserve">TWENTY-SECOND </w:t>
      </w:r>
    </w:p>
    <w:p>
      <w:pPr>
        <w:pStyle w:val="TextBody"/>
        <w:spacing w:before="180" w:after="0"/>
        <w:jc w:val="center"/>
        <w:rPr>
          <w:rFonts w:ascii="Times New Roman" w:hAnsi="Times New Roman"/>
          <w:sz w:val="28"/>
        </w:rPr>
      </w:pPr>
      <w:r>
        <w:rPr>
          <w:rFonts w:ascii="Times New Roman" w:hAnsi="Times New Roman"/>
          <w:sz w:val="28"/>
        </w:rPr>
        <w:t xml:space="preserve">SUPPLEMENTAL </w:t>
      </w:r>
    </w:p>
    <w:p>
      <w:pPr>
        <w:pStyle w:val="TextBody"/>
        <w:spacing w:before="180" w:after="0"/>
        <w:jc w:val="center"/>
        <w:rPr>
          <w:rFonts w:ascii="Times New Roman" w:hAnsi="Times New Roman"/>
          <w:sz w:val="28"/>
        </w:rPr>
      </w:pPr>
      <w:r>
        <w:rPr>
          <w:rFonts w:ascii="Times New Roman" w:hAnsi="Times New Roman"/>
          <w:sz w:val="28"/>
        </w:rPr>
        <w:t xml:space="preserve">INDENTURE </w:t>
      </w:r>
    </w:p>
    <w:p>
      <w:pPr>
        <w:pStyle w:val="TextBody"/>
        <w:spacing w:before="360" w:after="0"/>
        <w:jc w:val="center"/>
        <w:rPr>
          <w:rFonts w:ascii="Times New Roman" w:hAnsi="Times New Roman"/>
          <w:sz w:val="20"/>
        </w:rPr>
      </w:pPr>
      <w:r>
        <w:rPr>
          <w:rFonts w:ascii="Times New Roman" w:hAnsi="Times New Roman"/>
          <w:sz w:val="20"/>
        </w:rPr>
        <w:t xml:space="preserve">Dated as of December 10, 2012 </w:t>
      </w:r>
    </w:p>
    <w:p>
      <w:pPr>
        <w:pStyle w:val="TextBody"/>
        <w:spacing w:before="360" w:after="0"/>
        <w:jc w:val="center"/>
        <w:rPr>
          <w:rFonts w:ascii="Times New Roman" w:hAnsi="Times New Roman"/>
          <w:sz w:val="20"/>
        </w:rPr>
      </w:pPr>
      <w:r>
        <w:rPr>
          <w:rFonts w:ascii="Times New Roman" w:hAnsi="Times New Roman"/>
          <w:sz w:val="20"/>
        </w:rPr>
        <w:t xml:space="preserve">U.S. BANK NATIONAL ASSOCIATION </w:t>
      </w:r>
    </w:p>
    <w:p>
      <w:pPr>
        <w:pStyle w:val="TextBody"/>
        <w:spacing w:before="0" w:after="0"/>
        <w:jc w:val="center"/>
        <w:rPr>
          <w:rFonts w:ascii="Times New Roman" w:hAnsi="Times New Roman"/>
          <w:sz w:val="20"/>
        </w:rPr>
      </w:pPr>
      <w:r>
        <w:rPr>
          <w:rFonts w:ascii="Times New Roman" w:hAnsi="Times New Roman"/>
          <w:sz w:val="20"/>
        </w:rPr>
        <w:t xml:space="preserve">as Trustee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44"/>
        <w:gridCol w:w="210"/>
        <w:gridCol w:w="8328"/>
        <w:gridCol w:w="210"/>
        <w:gridCol w:w="60"/>
        <w:gridCol w:w="230"/>
        <w:gridCol w:w="123"/>
      </w:tblGrid>
      <w:tr>
        <w:trPr/>
        <w:tc>
          <w:tcPr>
            <w:tcW w:w="104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832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1.01</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Establishment</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rHeight w:val="120" w:hRule="atLeast"/>
        </w:trPr>
        <w:tc>
          <w:tcPr>
            <w:tcW w:w="9582" w:type="dxa"/>
            <w:gridSpan w:val="3"/>
            <w:tcBorders/>
            <w:shd w:fill="auto" w:val="clear"/>
            <w:vAlign w:val="center"/>
          </w:tcPr>
          <w:p>
            <w:pPr>
              <w:pStyle w:val="TableContents"/>
              <w:spacing w:before="0" w:after="283"/>
              <w:rPr>
                <w:sz w:val="4"/>
                <w:szCs w:val="4"/>
              </w:rPr>
            </w:pPr>
            <w:r>
              <w:rPr>
                <w:sz w:val="4"/>
                <w:szCs w:val="4"/>
              </w:rPr>
            </w:r>
          </w:p>
        </w:tc>
        <w:tc>
          <w:tcPr>
            <w:tcW w:w="623" w:type="dxa"/>
            <w:gridSpan w:val="4"/>
            <w:tcBorders/>
            <w:shd w:fill="auto" w:val="clear"/>
            <w:vAlign w:val="center"/>
          </w:tcPr>
          <w:p>
            <w:pPr>
              <w:pStyle w:val="TableContents"/>
              <w:spacing w:before="0" w:after="283"/>
              <w:rPr>
                <w:sz w:val="4"/>
                <w:szCs w:val="4"/>
              </w:rPr>
            </w:pPr>
            <w:r>
              <w:rPr>
                <w:sz w:val="4"/>
                <w:szCs w:val="4"/>
              </w:rPr>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II DEFINITIONS AND INCORPORATION BY REFERENCE</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2.01</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Definitions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2.02</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Other Definitions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rHeight w:val="120" w:hRule="atLeast"/>
        </w:trPr>
        <w:tc>
          <w:tcPr>
            <w:tcW w:w="9582" w:type="dxa"/>
            <w:gridSpan w:val="3"/>
            <w:tcBorders/>
            <w:shd w:fill="auto" w:val="clear"/>
            <w:vAlign w:val="center"/>
          </w:tcPr>
          <w:p>
            <w:pPr>
              <w:pStyle w:val="TableContents"/>
              <w:spacing w:before="0" w:after="283"/>
              <w:rPr>
                <w:sz w:val="4"/>
                <w:szCs w:val="4"/>
              </w:rPr>
            </w:pPr>
            <w:r>
              <w:rPr>
                <w:sz w:val="4"/>
                <w:szCs w:val="4"/>
              </w:rPr>
            </w:r>
          </w:p>
        </w:tc>
        <w:tc>
          <w:tcPr>
            <w:tcW w:w="623" w:type="dxa"/>
            <w:gridSpan w:val="4"/>
            <w:tcBorders/>
            <w:shd w:fill="auto" w:val="clear"/>
            <w:vAlign w:val="center"/>
          </w:tcPr>
          <w:p>
            <w:pPr>
              <w:pStyle w:val="TableContents"/>
              <w:spacing w:before="0" w:after="283"/>
              <w:rPr>
                <w:sz w:val="4"/>
                <w:szCs w:val="4"/>
              </w:rPr>
            </w:pPr>
            <w:r>
              <w:rPr>
                <w:sz w:val="4"/>
                <w:szCs w:val="4"/>
              </w:rPr>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III THE NOTES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3.01</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3.02</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Issuance of Additional Notes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3.03</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Global Security Legend</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rHeight w:val="120" w:hRule="atLeast"/>
        </w:trPr>
        <w:tc>
          <w:tcPr>
            <w:tcW w:w="9582" w:type="dxa"/>
            <w:gridSpan w:val="3"/>
            <w:tcBorders/>
            <w:shd w:fill="auto" w:val="clear"/>
            <w:vAlign w:val="center"/>
          </w:tcPr>
          <w:p>
            <w:pPr>
              <w:pStyle w:val="TableContents"/>
              <w:spacing w:before="0" w:after="283"/>
              <w:rPr>
                <w:sz w:val="4"/>
                <w:szCs w:val="4"/>
              </w:rPr>
            </w:pPr>
            <w:r>
              <w:rPr>
                <w:sz w:val="4"/>
                <w:szCs w:val="4"/>
              </w:rPr>
            </w:r>
          </w:p>
        </w:tc>
        <w:tc>
          <w:tcPr>
            <w:tcW w:w="623" w:type="dxa"/>
            <w:gridSpan w:val="4"/>
            <w:tcBorders/>
            <w:shd w:fill="auto" w:val="clear"/>
            <w:vAlign w:val="center"/>
          </w:tcPr>
          <w:p>
            <w:pPr>
              <w:pStyle w:val="TableContents"/>
              <w:spacing w:before="0" w:after="283"/>
              <w:rPr>
                <w:sz w:val="4"/>
                <w:szCs w:val="4"/>
              </w:rPr>
            </w:pPr>
            <w:r>
              <w:rPr>
                <w:sz w:val="4"/>
                <w:szCs w:val="4"/>
              </w:rPr>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IV REDEMPTION AND PREPAYMENT</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4.01</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Optional Redemption</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rHeight w:val="120" w:hRule="atLeast"/>
        </w:trPr>
        <w:tc>
          <w:tcPr>
            <w:tcW w:w="9582" w:type="dxa"/>
            <w:gridSpan w:val="3"/>
            <w:tcBorders/>
            <w:shd w:fill="auto" w:val="clear"/>
            <w:vAlign w:val="center"/>
          </w:tcPr>
          <w:p>
            <w:pPr>
              <w:pStyle w:val="TableContents"/>
              <w:spacing w:before="0" w:after="283"/>
              <w:rPr>
                <w:sz w:val="4"/>
                <w:szCs w:val="4"/>
              </w:rPr>
            </w:pPr>
            <w:r>
              <w:rPr>
                <w:sz w:val="4"/>
                <w:szCs w:val="4"/>
              </w:rPr>
            </w:r>
          </w:p>
        </w:tc>
        <w:tc>
          <w:tcPr>
            <w:tcW w:w="623" w:type="dxa"/>
            <w:gridSpan w:val="4"/>
            <w:tcBorders/>
            <w:shd w:fill="auto" w:val="clear"/>
            <w:vAlign w:val="center"/>
          </w:tcPr>
          <w:p>
            <w:pPr>
              <w:pStyle w:val="TableContents"/>
              <w:spacing w:before="0" w:after="283"/>
              <w:rPr>
                <w:sz w:val="4"/>
                <w:szCs w:val="4"/>
              </w:rPr>
            </w:pPr>
            <w:r>
              <w:rPr>
                <w:sz w:val="4"/>
                <w:szCs w:val="4"/>
              </w:rPr>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 COVENANTS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5.01.</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Compliance Certificate</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5.02.</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Limitations on Liens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5.03.</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Restriction of Sale-leaseback Transactions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5.04.</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 Reports; Financial Statements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5.05.</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Subsidiary Guarantees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3" w:type="dxa"/>
            <w:tcBorders/>
            <w:shd w:fill="auto" w:val="clear"/>
            <w:vAlign w:val="bottom"/>
          </w:tcPr>
          <w:p>
            <w:pPr>
              <w:pStyle w:val="TableContents"/>
              <w:spacing w:before="0" w:after="283"/>
              <w:rPr/>
            </w:pPr>
            <w:r>
              <w:rPr/>
              <w:t>  </w:t>
            </w:r>
          </w:p>
        </w:tc>
      </w:tr>
      <w:tr>
        <w:trPr>
          <w:trHeight w:val="120" w:hRule="atLeast"/>
        </w:trPr>
        <w:tc>
          <w:tcPr>
            <w:tcW w:w="9582" w:type="dxa"/>
            <w:gridSpan w:val="3"/>
            <w:tcBorders/>
            <w:shd w:fill="auto" w:val="clear"/>
            <w:vAlign w:val="center"/>
          </w:tcPr>
          <w:p>
            <w:pPr>
              <w:pStyle w:val="TableContents"/>
              <w:spacing w:before="0" w:after="283"/>
              <w:rPr>
                <w:sz w:val="4"/>
                <w:szCs w:val="4"/>
              </w:rPr>
            </w:pPr>
            <w:r>
              <w:rPr>
                <w:sz w:val="4"/>
                <w:szCs w:val="4"/>
              </w:rPr>
            </w:r>
          </w:p>
        </w:tc>
        <w:tc>
          <w:tcPr>
            <w:tcW w:w="623" w:type="dxa"/>
            <w:gridSpan w:val="4"/>
            <w:tcBorders/>
            <w:shd w:fill="auto" w:val="clear"/>
            <w:vAlign w:val="center"/>
          </w:tcPr>
          <w:p>
            <w:pPr>
              <w:pStyle w:val="TableContents"/>
              <w:spacing w:before="0" w:after="283"/>
              <w:rPr>
                <w:sz w:val="4"/>
                <w:szCs w:val="4"/>
              </w:rPr>
            </w:pPr>
            <w:r>
              <w:rPr>
                <w:sz w:val="4"/>
                <w:szCs w:val="4"/>
              </w:rPr>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 SUCCESSORS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6.01.</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Consolidation and Mergers of the Issuers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6.02.</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Rights and Duties of Successor</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6.03.</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Supplemental Indenture</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3" w:type="dxa"/>
            <w:tcBorders/>
            <w:shd w:fill="auto" w:val="clear"/>
            <w:vAlign w:val="bottom"/>
          </w:tcPr>
          <w:p>
            <w:pPr>
              <w:pStyle w:val="TableContents"/>
              <w:spacing w:before="0" w:after="283"/>
              <w:rPr/>
            </w:pPr>
            <w:r>
              <w:rPr/>
              <w:t>  </w:t>
            </w:r>
          </w:p>
        </w:tc>
      </w:tr>
      <w:tr>
        <w:trPr>
          <w:trHeight w:val="120" w:hRule="atLeast"/>
        </w:trPr>
        <w:tc>
          <w:tcPr>
            <w:tcW w:w="9582" w:type="dxa"/>
            <w:gridSpan w:val="3"/>
            <w:tcBorders/>
            <w:shd w:fill="auto" w:val="clear"/>
            <w:vAlign w:val="center"/>
          </w:tcPr>
          <w:p>
            <w:pPr>
              <w:pStyle w:val="TableContents"/>
              <w:spacing w:before="0" w:after="283"/>
              <w:rPr>
                <w:sz w:val="4"/>
                <w:szCs w:val="4"/>
              </w:rPr>
            </w:pPr>
            <w:r>
              <w:rPr>
                <w:sz w:val="4"/>
                <w:szCs w:val="4"/>
              </w:rPr>
            </w:r>
          </w:p>
        </w:tc>
        <w:tc>
          <w:tcPr>
            <w:tcW w:w="623" w:type="dxa"/>
            <w:gridSpan w:val="4"/>
            <w:tcBorders/>
            <w:shd w:fill="auto" w:val="clear"/>
            <w:vAlign w:val="center"/>
          </w:tcPr>
          <w:p>
            <w:pPr>
              <w:pStyle w:val="TableContents"/>
              <w:spacing w:before="0" w:after="283"/>
              <w:rPr>
                <w:sz w:val="4"/>
                <w:szCs w:val="4"/>
              </w:rPr>
            </w:pPr>
            <w:r>
              <w:rPr>
                <w:sz w:val="4"/>
                <w:szCs w:val="4"/>
              </w:rPr>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VII DEFAULTS AND REMEDIES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7.01.</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Events of Default</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3" w:type="dxa"/>
            <w:tcBorders/>
            <w:shd w:fill="auto" w:val="clear"/>
            <w:vAlign w:val="bottom"/>
          </w:tcPr>
          <w:p>
            <w:pPr>
              <w:pStyle w:val="TableContents"/>
              <w:spacing w:before="0" w:after="283"/>
              <w:rPr/>
            </w:pPr>
            <w:r>
              <w:rPr/>
              <w:t>  </w:t>
            </w:r>
          </w:p>
        </w:tc>
      </w:tr>
      <w:tr>
        <w:trPr>
          <w:trHeight w:val="120" w:hRule="atLeast"/>
        </w:trPr>
        <w:tc>
          <w:tcPr>
            <w:tcW w:w="9582" w:type="dxa"/>
            <w:gridSpan w:val="3"/>
            <w:tcBorders/>
            <w:shd w:fill="auto" w:val="clear"/>
            <w:vAlign w:val="center"/>
          </w:tcPr>
          <w:p>
            <w:pPr>
              <w:pStyle w:val="TableContents"/>
              <w:spacing w:before="0" w:after="283"/>
              <w:rPr>
                <w:sz w:val="4"/>
                <w:szCs w:val="4"/>
              </w:rPr>
            </w:pPr>
            <w:r>
              <w:rPr>
                <w:sz w:val="4"/>
                <w:szCs w:val="4"/>
              </w:rPr>
            </w:r>
          </w:p>
        </w:tc>
        <w:tc>
          <w:tcPr>
            <w:tcW w:w="623" w:type="dxa"/>
            <w:gridSpan w:val="4"/>
            <w:tcBorders/>
            <w:shd w:fill="auto" w:val="clear"/>
            <w:vAlign w:val="center"/>
          </w:tcPr>
          <w:p>
            <w:pPr>
              <w:pStyle w:val="TableContents"/>
              <w:spacing w:before="0" w:after="283"/>
              <w:rPr>
                <w:sz w:val="4"/>
                <w:szCs w:val="4"/>
              </w:rPr>
            </w:pPr>
            <w:r>
              <w:rPr>
                <w:sz w:val="4"/>
                <w:szCs w:val="4"/>
              </w:rPr>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VIII LEGAL DEFEASANCE AND COVENANT DEFEASANCE</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8.01.</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Option to Effect Legal Defeasance or Covenant Defeasance</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8.02.</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Legal Defeasance and Discharge</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8.03.</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Covenant Defeasance</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8.04.</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Conditions to Legal or Covenant Defeasance</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8.05.</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Deposited Money and U.S. Government Obligations to be Held in Trust; Other Miscellaneous Provisions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8.06.</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Repayment to Issuers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8.07.</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Reinstatement</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auto" w:val="clear"/>
            <w:vAlign w:val="bottom"/>
          </w:tcPr>
          <w:p>
            <w:pPr>
              <w:pStyle w:val="TableContents"/>
              <w:spacing w:before="0" w:after="283"/>
              <w:rPr/>
            </w:pPr>
            <w:r>
              <w:rPr/>
              <w:t>  </w:t>
            </w:r>
          </w:p>
        </w:tc>
      </w:tr>
      <w:tr>
        <w:trPr>
          <w:trHeight w:val="120" w:hRule="atLeast"/>
        </w:trPr>
        <w:tc>
          <w:tcPr>
            <w:tcW w:w="9582" w:type="dxa"/>
            <w:gridSpan w:val="3"/>
            <w:tcBorders/>
            <w:shd w:fill="auto" w:val="clear"/>
            <w:vAlign w:val="center"/>
          </w:tcPr>
          <w:p>
            <w:pPr>
              <w:pStyle w:val="TableContents"/>
              <w:spacing w:before="0" w:after="283"/>
              <w:rPr>
                <w:sz w:val="4"/>
                <w:szCs w:val="4"/>
              </w:rPr>
            </w:pPr>
            <w:r>
              <w:rPr>
                <w:sz w:val="4"/>
                <w:szCs w:val="4"/>
              </w:rPr>
            </w:r>
          </w:p>
        </w:tc>
        <w:tc>
          <w:tcPr>
            <w:tcW w:w="623" w:type="dxa"/>
            <w:gridSpan w:val="4"/>
            <w:tcBorders/>
            <w:shd w:fill="auto" w:val="clear"/>
            <w:vAlign w:val="center"/>
          </w:tcPr>
          <w:p>
            <w:pPr>
              <w:pStyle w:val="TableContents"/>
              <w:spacing w:before="0" w:after="283"/>
              <w:rPr>
                <w:sz w:val="4"/>
                <w:szCs w:val="4"/>
              </w:rPr>
            </w:pPr>
            <w:r>
              <w:rPr>
                <w:sz w:val="4"/>
                <w:szCs w:val="4"/>
              </w:rPr>
            </w:r>
          </w:p>
        </w:tc>
      </w:tr>
      <w:tr>
        <w:trPr/>
        <w:tc>
          <w:tcPr>
            <w:tcW w:w="95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IX SUBSIDIARY GUARANTEES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9.01.</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Subsidiary Guarantees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9.02.</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Limitation on Liability</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1044"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9.03.</w:t>
            </w:r>
          </w:p>
        </w:tc>
        <w:tc>
          <w:tcPr>
            <w:tcW w:w="210" w:type="dxa"/>
            <w:tcBorders/>
            <w:shd w:fill="auto" w:val="clear"/>
            <w:vAlign w:val="bottom"/>
          </w:tcPr>
          <w:p>
            <w:pPr>
              <w:pStyle w:val="TableContents"/>
              <w:spacing w:before="0" w:after="283"/>
              <w:rPr/>
            </w:pPr>
            <w:r>
              <w:rPr/>
              <w:t>  </w:t>
            </w:r>
          </w:p>
        </w:tc>
        <w:tc>
          <w:tcPr>
            <w:tcW w:w="8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Successors and Assigns</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168"/>
        <w:gridCol w:w="211"/>
        <w:gridCol w:w="8201"/>
        <w:gridCol w:w="211"/>
        <w:gridCol w:w="60"/>
        <w:gridCol w:w="230"/>
        <w:gridCol w:w="124"/>
      </w:tblGrid>
      <w:tr>
        <w:trPr/>
        <w:tc>
          <w:tcPr>
            <w:tcW w:w="11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82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168"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9.04.</w:t>
            </w:r>
          </w:p>
        </w:tc>
        <w:tc>
          <w:tcPr>
            <w:tcW w:w="211" w:type="dxa"/>
            <w:tcBorders/>
            <w:shd w:fill="auto" w:val="clear"/>
            <w:vAlign w:val="bottom"/>
          </w:tcPr>
          <w:p>
            <w:pPr>
              <w:pStyle w:val="TableContents"/>
              <w:spacing w:before="0" w:after="283"/>
              <w:rPr/>
            </w:pPr>
            <w:r>
              <w:rPr/>
              <w:t>  </w:t>
            </w:r>
          </w:p>
        </w:tc>
        <w:tc>
          <w:tcPr>
            <w:tcW w:w="82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 Waiver</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4" w:type="dxa"/>
            <w:tcBorders/>
            <w:shd w:fill="auto" w:val="clear"/>
            <w:vAlign w:val="bottom"/>
          </w:tcPr>
          <w:p>
            <w:pPr>
              <w:pStyle w:val="TableContents"/>
              <w:spacing w:before="0" w:after="283"/>
              <w:rPr/>
            </w:pPr>
            <w:r>
              <w:rPr/>
              <w:t>  </w:t>
            </w:r>
          </w:p>
        </w:tc>
      </w:tr>
      <w:tr>
        <w:trPr/>
        <w:tc>
          <w:tcPr>
            <w:tcW w:w="1168"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9.05.</w:t>
            </w:r>
          </w:p>
        </w:tc>
        <w:tc>
          <w:tcPr>
            <w:tcW w:w="211" w:type="dxa"/>
            <w:tcBorders/>
            <w:shd w:fill="auto" w:val="clear"/>
            <w:vAlign w:val="bottom"/>
          </w:tcPr>
          <w:p>
            <w:pPr>
              <w:pStyle w:val="TableContents"/>
              <w:spacing w:before="0" w:after="283"/>
              <w:rPr/>
            </w:pPr>
            <w:r>
              <w:rPr/>
              <w:t>  </w:t>
            </w:r>
          </w:p>
        </w:tc>
        <w:tc>
          <w:tcPr>
            <w:tcW w:w="82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Modification</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4" w:type="dxa"/>
            <w:tcBorders/>
            <w:shd w:fill="auto" w:val="clear"/>
            <w:vAlign w:val="bottom"/>
          </w:tcPr>
          <w:p>
            <w:pPr>
              <w:pStyle w:val="TableContents"/>
              <w:spacing w:before="0" w:after="283"/>
              <w:rPr/>
            </w:pPr>
            <w:r>
              <w:rPr/>
              <w:t>  </w:t>
            </w:r>
          </w:p>
        </w:tc>
      </w:tr>
      <w:tr>
        <w:trPr/>
        <w:tc>
          <w:tcPr>
            <w:tcW w:w="1168"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9.06.</w:t>
            </w:r>
          </w:p>
        </w:tc>
        <w:tc>
          <w:tcPr>
            <w:tcW w:w="211" w:type="dxa"/>
            <w:tcBorders/>
            <w:shd w:fill="auto" w:val="clear"/>
            <w:vAlign w:val="bottom"/>
          </w:tcPr>
          <w:p>
            <w:pPr>
              <w:pStyle w:val="TableContents"/>
              <w:spacing w:before="0" w:after="283"/>
              <w:rPr/>
            </w:pPr>
            <w:r>
              <w:rPr/>
              <w:t>  </w:t>
            </w:r>
          </w:p>
        </w:tc>
        <w:tc>
          <w:tcPr>
            <w:tcW w:w="82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Execution of Supplemental Indenture for Future Subsidiary Guarantors</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4" w:type="dxa"/>
            <w:tcBorders/>
            <w:shd w:fill="auto" w:val="clear"/>
            <w:vAlign w:val="bottom"/>
          </w:tcPr>
          <w:p>
            <w:pPr>
              <w:pStyle w:val="TableContents"/>
              <w:spacing w:before="0" w:after="283"/>
              <w:rPr/>
            </w:pPr>
            <w:r>
              <w:rPr/>
              <w:t>  </w:t>
            </w:r>
          </w:p>
        </w:tc>
      </w:tr>
      <w:tr>
        <w:trPr/>
        <w:tc>
          <w:tcPr>
            <w:tcW w:w="1168"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9.07.</w:t>
            </w:r>
          </w:p>
        </w:tc>
        <w:tc>
          <w:tcPr>
            <w:tcW w:w="211" w:type="dxa"/>
            <w:tcBorders/>
            <w:shd w:fill="auto" w:val="clear"/>
            <w:vAlign w:val="bottom"/>
          </w:tcPr>
          <w:p>
            <w:pPr>
              <w:pStyle w:val="TableContents"/>
              <w:spacing w:before="0" w:after="283"/>
              <w:rPr/>
            </w:pPr>
            <w:r>
              <w:rPr/>
              <w:t>  </w:t>
            </w:r>
          </w:p>
        </w:tc>
        <w:tc>
          <w:tcPr>
            <w:tcW w:w="82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Release of Guarantee</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4" w:type="dxa"/>
            <w:tcBorders/>
            <w:shd w:fill="auto" w:val="clear"/>
            <w:vAlign w:val="bottom"/>
          </w:tcPr>
          <w:p>
            <w:pPr>
              <w:pStyle w:val="TableContents"/>
              <w:spacing w:before="0" w:after="283"/>
              <w:rPr/>
            </w:pPr>
            <w:r>
              <w:rPr/>
              <w:t>  </w:t>
            </w:r>
          </w:p>
        </w:tc>
      </w:tr>
      <w:tr>
        <w:trPr>
          <w:trHeight w:val="120" w:hRule="atLeast"/>
        </w:trPr>
        <w:tc>
          <w:tcPr>
            <w:tcW w:w="9580" w:type="dxa"/>
            <w:gridSpan w:val="3"/>
            <w:tcBorders/>
            <w:shd w:fill="auto" w:val="clear"/>
            <w:vAlign w:val="center"/>
          </w:tcPr>
          <w:p>
            <w:pPr>
              <w:pStyle w:val="TableContents"/>
              <w:spacing w:before="0" w:after="283"/>
              <w:rPr>
                <w:sz w:val="4"/>
                <w:szCs w:val="4"/>
              </w:rPr>
            </w:pPr>
            <w:r>
              <w:rPr>
                <w:sz w:val="4"/>
                <w:szCs w:val="4"/>
              </w:rPr>
            </w:r>
          </w:p>
        </w:tc>
        <w:tc>
          <w:tcPr>
            <w:tcW w:w="625" w:type="dxa"/>
            <w:gridSpan w:val="4"/>
            <w:tcBorders/>
            <w:shd w:fill="auto" w:val="clear"/>
            <w:vAlign w:val="center"/>
          </w:tcPr>
          <w:p>
            <w:pPr>
              <w:pStyle w:val="TableContents"/>
              <w:spacing w:before="0" w:after="283"/>
              <w:rPr>
                <w:sz w:val="4"/>
                <w:szCs w:val="4"/>
              </w:rPr>
            </w:pPr>
            <w:r>
              <w:rPr>
                <w:sz w:val="4"/>
                <w:szCs w:val="4"/>
              </w:rPr>
            </w:r>
          </w:p>
        </w:tc>
      </w:tr>
      <w:tr>
        <w:trPr/>
        <w:tc>
          <w:tcPr>
            <w:tcW w:w="958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X MISCELLANEOUS</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4" w:type="dxa"/>
            <w:tcBorders/>
            <w:shd w:fill="auto" w:val="clear"/>
            <w:vAlign w:val="bottom"/>
          </w:tcPr>
          <w:p>
            <w:pPr>
              <w:pStyle w:val="TableContents"/>
              <w:spacing w:before="0" w:after="283"/>
              <w:rPr/>
            </w:pPr>
            <w:r>
              <w:rPr/>
              <w:t>  </w:t>
            </w:r>
          </w:p>
        </w:tc>
      </w:tr>
      <w:tr>
        <w:trPr/>
        <w:tc>
          <w:tcPr>
            <w:tcW w:w="1168"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10.01.</w:t>
            </w:r>
          </w:p>
        </w:tc>
        <w:tc>
          <w:tcPr>
            <w:tcW w:w="211" w:type="dxa"/>
            <w:tcBorders/>
            <w:shd w:fill="auto" w:val="clear"/>
            <w:vAlign w:val="bottom"/>
          </w:tcPr>
          <w:p>
            <w:pPr>
              <w:pStyle w:val="TableContents"/>
              <w:spacing w:before="0" w:after="283"/>
              <w:rPr/>
            </w:pPr>
            <w:r>
              <w:rPr/>
              <w:t>  </w:t>
            </w:r>
          </w:p>
        </w:tc>
        <w:tc>
          <w:tcPr>
            <w:tcW w:w="82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Additional Amendments</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4" w:type="dxa"/>
            <w:tcBorders/>
            <w:shd w:fill="auto" w:val="clear"/>
            <w:vAlign w:val="bottom"/>
          </w:tcPr>
          <w:p>
            <w:pPr>
              <w:pStyle w:val="TableContents"/>
              <w:spacing w:before="0" w:after="283"/>
              <w:rPr/>
            </w:pPr>
            <w:r>
              <w:rPr/>
              <w:t>  </w:t>
            </w:r>
          </w:p>
        </w:tc>
      </w:tr>
      <w:tr>
        <w:trPr/>
        <w:tc>
          <w:tcPr>
            <w:tcW w:w="1168"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10.02.</w:t>
            </w:r>
          </w:p>
        </w:tc>
        <w:tc>
          <w:tcPr>
            <w:tcW w:w="211" w:type="dxa"/>
            <w:tcBorders/>
            <w:shd w:fill="auto" w:val="clear"/>
            <w:vAlign w:val="bottom"/>
          </w:tcPr>
          <w:p>
            <w:pPr>
              <w:pStyle w:val="TableContents"/>
              <w:spacing w:before="0" w:after="283"/>
              <w:rPr/>
            </w:pPr>
            <w:r>
              <w:rPr/>
              <w:t>  </w:t>
            </w:r>
          </w:p>
        </w:tc>
        <w:tc>
          <w:tcPr>
            <w:tcW w:w="82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Integral Part</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4" w:type="dxa"/>
            <w:tcBorders/>
            <w:shd w:fill="auto" w:val="clear"/>
            <w:vAlign w:val="bottom"/>
          </w:tcPr>
          <w:p>
            <w:pPr>
              <w:pStyle w:val="TableContents"/>
              <w:spacing w:before="0" w:after="283"/>
              <w:rPr/>
            </w:pPr>
            <w:r>
              <w:rPr/>
              <w:t>  </w:t>
            </w:r>
          </w:p>
        </w:tc>
      </w:tr>
      <w:tr>
        <w:trPr/>
        <w:tc>
          <w:tcPr>
            <w:tcW w:w="1168"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10.03.</w:t>
            </w:r>
          </w:p>
        </w:tc>
        <w:tc>
          <w:tcPr>
            <w:tcW w:w="211" w:type="dxa"/>
            <w:tcBorders/>
            <w:shd w:fill="auto" w:val="clear"/>
            <w:vAlign w:val="bottom"/>
          </w:tcPr>
          <w:p>
            <w:pPr>
              <w:pStyle w:val="TableContents"/>
              <w:spacing w:before="0" w:after="283"/>
              <w:rPr/>
            </w:pPr>
            <w:r>
              <w:rPr/>
              <w:t>  </w:t>
            </w:r>
          </w:p>
        </w:tc>
        <w:tc>
          <w:tcPr>
            <w:tcW w:w="82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Adoption, Ratification and Confirmation</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4" w:type="dxa"/>
            <w:tcBorders/>
            <w:shd w:fill="auto" w:val="clear"/>
            <w:vAlign w:val="bottom"/>
          </w:tcPr>
          <w:p>
            <w:pPr>
              <w:pStyle w:val="TableContents"/>
              <w:spacing w:before="0" w:after="283"/>
              <w:rPr/>
            </w:pPr>
            <w:r>
              <w:rPr/>
              <w:t>  </w:t>
            </w:r>
          </w:p>
        </w:tc>
      </w:tr>
      <w:tr>
        <w:trPr/>
        <w:tc>
          <w:tcPr>
            <w:tcW w:w="1168"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10.04.</w:t>
            </w:r>
          </w:p>
        </w:tc>
        <w:tc>
          <w:tcPr>
            <w:tcW w:w="211" w:type="dxa"/>
            <w:tcBorders/>
            <w:shd w:fill="auto" w:val="clear"/>
            <w:vAlign w:val="bottom"/>
          </w:tcPr>
          <w:p>
            <w:pPr>
              <w:pStyle w:val="TableContents"/>
              <w:spacing w:before="0" w:after="283"/>
              <w:rPr/>
            </w:pPr>
            <w:r>
              <w:rPr/>
              <w:t>  </w:t>
            </w:r>
          </w:p>
        </w:tc>
        <w:tc>
          <w:tcPr>
            <w:tcW w:w="82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Counterparts</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4" w:type="dxa"/>
            <w:tcBorders/>
            <w:shd w:fill="auto" w:val="clear"/>
            <w:vAlign w:val="bottom"/>
          </w:tcPr>
          <w:p>
            <w:pPr>
              <w:pStyle w:val="TableContents"/>
              <w:spacing w:before="0" w:after="283"/>
              <w:rPr/>
            </w:pPr>
            <w:r>
              <w:rPr/>
              <w:t>  </w:t>
            </w:r>
          </w:p>
        </w:tc>
      </w:tr>
      <w:tr>
        <w:trPr/>
        <w:tc>
          <w:tcPr>
            <w:tcW w:w="1168"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10.05.</w:t>
            </w:r>
          </w:p>
        </w:tc>
        <w:tc>
          <w:tcPr>
            <w:tcW w:w="211" w:type="dxa"/>
            <w:tcBorders/>
            <w:shd w:fill="auto" w:val="clear"/>
            <w:vAlign w:val="bottom"/>
          </w:tcPr>
          <w:p>
            <w:pPr>
              <w:pStyle w:val="TableContents"/>
              <w:spacing w:before="0" w:after="283"/>
              <w:rPr/>
            </w:pPr>
            <w:r>
              <w:rPr/>
              <w:t>  </w:t>
            </w:r>
          </w:p>
        </w:tc>
        <w:tc>
          <w:tcPr>
            <w:tcW w:w="82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Governing Law</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4" w:type="dxa"/>
            <w:tcBorders/>
            <w:shd w:fill="auto" w:val="clear"/>
            <w:vAlign w:val="bottom"/>
          </w:tcPr>
          <w:p>
            <w:pPr>
              <w:pStyle w:val="TableContents"/>
              <w:spacing w:before="0" w:after="283"/>
              <w:rPr/>
            </w:pPr>
            <w:r>
              <w:rPr/>
              <w:t>  </w:t>
            </w:r>
          </w:p>
        </w:tc>
      </w:tr>
      <w:tr>
        <w:trPr>
          <w:trHeight w:val="480" w:hRule="atLeast"/>
        </w:trPr>
        <w:tc>
          <w:tcPr>
            <w:tcW w:w="1168" w:type="dxa"/>
            <w:tcBorders/>
            <w:shd w:fill="auto" w:val="clear"/>
            <w:vAlign w:val="center"/>
          </w:tcPr>
          <w:p>
            <w:pPr>
              <w:pStyle w:val="TableContents"/>
              <w:spacing w:before="0" w:after="283"/>
              <w:rPr>
                <w:sz w:val="4"/>
                <w:szCs w:val="4"/>
              </w:rPr>
            </w:pPr>
            <w:r>
              <w:rPr>
                <w:sz w:val="4"/>
                <w:szCs w:val="4"/>
              </w:rPr>
            </w:r>
          </w:p>
        </w:tc>
        <w:tc>
          <w:tcPr>
            <w:tcW w:w="8412" w:type="dxa"/>
            <w:gridSpan w:val="2"/>
            <w:tcBorders/>
            <w:shd w:fill="auto" w:val="clear"/>
            <w:vAlign w:val="center"/>
          </w:tcPr>
          <w:p>
            <w:pPr>
              <w:pStyle w:val="TableContents"/>
              <w:spacing w:before="0" w:after="283"/>
              <w:rPr>
                <w:sz w:val="4"/>
                <w:szCs w:val="4"/>
              </w:rPr>
            </w:pPr>
            <w:r>
              <w:rPr>
                <w:sz w:val="4"/>
                <w:szCs w:val="4"/>
              </w:rPr>
            </w:r>
          </w:p>
        </w:tc>
        <w:tc>
          <w:tcPr>
            <w:tcW w:w="625" w:type="dxa"/>
            <w:gridSpan w:val="4"/>
            <w:tcBorders/>
            <w:shd w:fill="auto" w:val="clear"/>
            <w:vAlign w:val="center"/>
          </w:tcPr>
          <w:p>
            <w:pPr>
              <w:pStyle w:val="TableContents"/>
              <w:spacing w:before="0" w:after="283"/>
              <w:rPr>
                <w:sz w:val="4"/>
                <w:szCs w:val="4"/>
              </w:rPr>
            </w:pPr>
            <w:r>
              <w:rPr>
                <w:sz w:val="4"/>
                <w:szCs w:val="4"/>
              </w:rPr>
            </w:r>
          </w:p>
        </w:tc>
      </w:tr>
      <w:tr>
        <w:trPr/>
        <w:tc>
          <w:tcPr>
            <w:tcW w:w="1168" w:type="dxa"/>
            <w:tcBorders/>
            <w:shd w:fill="auto" w:val="clear"/>
          </w:tcPr>
          <w:p>
            <w:pPr>
              <w:pStyle w:val="TableContents"/>
              <w:spacing w:before="0" w:after="283"/>
              <w:rPr>
                <w:rFonts w:ascii="Times New Roman" w:hAnsi="Times New Roman"/>
                <w:sz w:val="20"/>
              </w:rPr>
            </w:pPr>
            <w:r>
              <w:rPr>
                <w:rFonts w:ascii="Times New Roman" w:hAnsi="Times New Roman"/>
                <w:sz w:val="20"/>
              </w:rPr>
              <w:t>EXHIBIT A:</w:t>
            </w:r>
          </w:p>
        </w:tc>
        <w:tc>
          <w:tcPr>
            <w:tcW w:w="211" w:type="dxa"/>
            <w:tcBorders/>
            <w:shd w:fill="auto" w:val="clear"/>
            <w:vAlign w:val="bottom"/>
          </w:tcPr>
          <w:p>
            <w:pPr>
              <w:pStyle w:val="TableContents"/>
              <w:spacing w:before="0" w:after="283"/>
              <w:rPr/>
            </w:pPr>
            <w:r>
              <w:rPr/>
              <w:t>  </w:t>
            </w:r>
          </w:p>
        </w:tc>
        <w:tc>
          <w:tcPr>
            <w:tcW w:w="8201" w:type="dxa"/>
            <w:tcBorders/>
            <w:shd w:fill="auto" w:val="clear"/>
            <w:vAlign w:val="bottom"/>
          </w:tcPr>
          <w:p>
            <w:pPr>
              <w:pStyle w:val="TableContents"/>
              <w:spacing w:before="0" w:after="283"/>
              <w:rPr/>
            </w:pPr>
            <w:r>
              <w:rPr/>
              <w:t>    </w:t>
            </w:r>
            <w:r>
              <w:rPr>
                <w:rFonts w:ascii="Times New Roman" w:hAnsi="Times New Roman"/>
                <w:sz w:val="20"/>
              </w:rPr>
              <w:t>Form of Note</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1168" w:type="dxa"/>
            <w:tcBorders/>
            <w:shd w:fill="auto" w:val="clear"/>
          </w:tcPr>
          <w:p>
            <w:pPr>
              <w:pStyle w:val="TableContents"/>
              <w:spacing w:before="0" w:after="283"/>
              <w:rPr>
                <w:rFonts w:ascii="Times New Roman" w:hAnsi="Times New Roman"/>
                <w:sz w:val="20"/>
              </w:rPr>
            </w:pPr>
            <w:r>
              <w:rPr>
                <w:rFonts w:ascii="Times New Roman" w:hAnsi="Times New Roman"/>
                <w:sz w:val="20"/>
              </w:rPr>
              <w:t>EXHIBIT B:</w:t>
            </w:r>
          </w:p>
        </w:tc>
        <w:tc>
          <w:tcPr>
            <w:tcW w:w="211" w:type="dxa"/>
            <w:tcBorders/>
            <w:shd w:fill="auto" w:val="clear"/>
            <w:vAlign w:val="bottom"/>
          </w:tcPr>
          <w:p>
            <w:pPr>
              <w:pStyle w:val="TableContents"/>
              <w:spacing w:before="0" w:after="283"/>
              <w:rPr/>
            </w:pPr>
            <w:r>
              <w:rPr/>
              <w:t>  </w:t>
            </w:r>
          </w:p>
        </w:tc>
        <w:tc>
          <w:tcPr>
            <w:tcW w:w="8201" w:type="dxa"/>
            <w:tcBorders/>
            <w:shd w:fill="auto" w:val="clear"/>
            <w:vAlign w:val="bottom"/>
          </w:tcPr>
          <w:p>
            <w:pPr>
              <w:pStyle w:val="TableContents"/>
              <w:spacing w:before="0" w:after="283"/>
              <w:rPr/>
            </w:pPr>
            <w:r>
              <w:rPr/>
              <w:t>    </w:t>
            </w:r>
            <w:r>
              <w:rPr>
                <w:rFonts w:ascii="Times New Roman" w:hAnsi="Times New Roman"/>
                <w:sz w:val="20"/>
              </w:rPr>
              <w:t>Form of Supplemental Indenture</w:t>
            </w:r>
          </w:p>
        </w:tc>
        <w:tc>
          <w:tcPr>
            <w:tcW w:w="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TWENTY-SECOND SUPPLEMENTAL INDENTURE dated as of December 10, 2012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 </w:t>
      </w:r>
    </w:p>
    <w:p>
      <w:pPr>
        <w:pStyle w:val="TextBody"/>
        <w:spacing w:before="27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 xml:space="preserve">WHEREAS, the Issuers have heretofore entered into an Indenture, dated as of September 25, 2002 (the Original Indenture), with U.S. Bank National Association (successor to Wachovia Bank, National Association), as trustee; </w:t>
      </w:r>
    </w:p>
    <w:p>
      <w:pPr>
        <w:pStyle w:val="TextBody"/>
        <w:spacing w:before="180" w:after="0"/>
        <w:rPr>
          <w:rFonts w:ascii="Times New Roman" w:hAnsi="Times New Roman"/>
          <w:sz w:val="20"/>
        </w:rPr>
      </w:pPr>
      <w:r>
        <w:rPr>
          <w:rFonts w:ascii="Times New Roman" w:hAnsi="Times New Roman"/>
          <w:sz w:val="20"/>
        </w:rPr>
        <w:t xml:space="preserve">WHEREAS, the Original Indenture, as supplemented by this Supplemental Indenture, is herein called the Indenture; </w:t>
      </w:r>
    </w:p>
    <w:p>
      <w:pPr>
        <w:pStyle w:val="TextBody"/>
        <w:spacing w:before="180" w:after="0"/>
        <w:rPr>
          <w:rFonts w:ascii="Times New Roman" w:hAnsi="Times New Roman"/>
          <w:sz w:val="20"/>
        </w:rPr>
      </w:pPr>
      <w:r>
        <w:rPr>
          <w:rFonts w:ascii="Times New Roman" w:hAnsi="Times New Roman"/>
          <w:sz w:val="20"/>
        </w:rPr>
        <w:t xml:space="preserve">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 </w:t>
      </w:r>
    </w:p>
    <w:p>
      <w:pPr>
        <w:pStyle w:val="TextBody"/>
        <w:spacing w:before="180" w:after="0"/>
        <w:rPr>
          <w:rFonts w:ascii="Times New Roman" w:hAnsi="Times New Roman"/>
          <w:sz w:val="20"/>
        </w:rPr>
      </w:pPr>
      <w:r>
        <w:rPr>
          <w:rFonts w:ascii="Times New Roman" w:hAnsi="Times New Roman"/>
          <w:sz w:val="20"/>
        </w:rPr>
        <w:t xml:space="preserve">WHEREAS, the Issuers propose to create under the Indenture a new series of Debt Securities; </w:t>
      </w:r>
    </w:p>
    <w:p>
      <w:pPr>
        <w:pStyle w:val="TextBody"/>
        <w:spacing w:before="180" w:after="0"/>
        <w:rPr>
          <w:rFonts w:ascii="Times New Roman" w:hAnsi="Times New Roman"/>
          <w:sz w:val="20"/>
        </w:rPr>
      </w:pPr>
      <w:r>
        <w:rPr>
          <w:rFonts w:ascii="Times New Roman" w:hAnsi="Times New Roman"/>
          <w:sz w:val="20"/>
        </w:rPr>
        <w:t xml:space="preserve">WHEREAS, additional Debt Securities of other series hereafter established, except as may be limited in the Original Indenture as at the time supplemented and modified, may be issued from time to time pursuant to the Original Indenture as at the time supplemented and modified; and </w:t>
      </w:r>
    </w:p>
    <w:p>
      <w:pPr>
        <w:pStyle w:val="TextBody"/>
        <w:spacing w:before="180" w:after="0"/>
        <w:rPr>
          <w:rFonts w:ascii="Times New Roman" w:hAnsi="Times New Roman"/>
          <w:sz w:val="20"/>
        </w:rPr>
      </w:pPr>
      <w:r>
        <w:rPr>
          <w:rFonts w:ascii="Times New Roman" w:hAnsi="Times New Roman"/>
          <w:sz w:val="20"/>
        </w:rPr>
        <w:t xml:space="preserve">WHEREAS, all conditions necessary to authorize the execution and delivery of this Supplemental Indenture and to make it a valid and binding obligation of the Issuers have been done or performed. </w:t>
      </w:r>
    </w:p>
    <w:p>
      <w:pPr>
        <w:pStyle w:val="TextBody"/>
        <w:spacing w:before="180" w:after="0"/>
        <w:rPr>
          <w:rFonts w:ascii="Times New Roman" w:hAnsi="Times New Roman"/>
          <w:sz w:val="20"/>
        </w:rPr>
      </w:pPr>
      <w:r>
        <w:rPr>
          <w:rFonts w:ascii="Times New Roman" w:hAnsi="Times New Roman"/>
          <w:sz w:val="20"/>
        </w:rPr>
        <w:t xml:space="preserve">NOW, THEREFORE, in consideration of the agreements and obligations set forth herein and for other good and valuable consideration, the sufficiency of which is hereby acknowledged, the parties hereto hereby agree as follows: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I </w:t>
      </w:r>
    </w:p>
    <w:p>
      <w:pPr>
        <w:pStyle w:val="TextBody"/>
        <w:spacing w:before="180" w:after="0"/>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Establishment.</w:t>
      </w:r>
      <w:r>
        <w:rPr>
          <w:rFonts w:ascii="Times New Roman" w:hAnsi="Times New Roman"/>
          <w:sz w:val="20"/>
        </w:rPr>
        <w:t xml:space="preserve"> There is hereby established a new series of Debt Securities to be issued under the Indenture, to be designated as the Issuers 2.85% Senior Notes due 2023 (the Notes). Initially, there will be no Subsidiary Guarantors for the Notes. </w:t>
      </w:r>
    </w:p>
    <w:p>
      <w:pPr>
        <w:pStyle w:val="TextBody"/>
        <w:spacing w:before="0" w:after="0"/>
        <w:rPr>
          <w:rFonts w:ascii="Times New Roman" w:hAnsi="Times New Roman"/>
          <w:sz w:val="20"/>
        </w:rPr>
      </w:pPr>
      <w:r>
        <w:rPr>
          <w:rFonts w:ascii="Times New Roman" w:hAnsi="Times New Roman"/>
          <w:sz w:val="20"/>
        </w:rPr>
        <w:t xml:space="preserve">(a) There are to be authenticated and delivered $400,000,000 principal amount of Notes on the Issue Date, and from time to time thereafter there may be authenticated and delivered an unlimited principal amount of Additional Notes. </w:t>
      </w:r>
    </w:p>
    <w:p>
      <w:pPr>
        <w:pStyle w:val="TextBody"/>
        <w:spacing w:before="180" w:after="0"/>
        <w:rPr>
          <w:rFonts w:ascii="Times New Roman" w:hAnsi="Times New Roman"/>
          <w:sz w:val="20"/>
        </w:rPr>
      </w:pPr>
      <w:r>
        <w:rPr>
          <w:rFonts w:ascii="Times New Roman" w:hAnsi="Times New Roman"/>
          <w:sz w:val="20"/>
        </w:rPr>
        <w:t xml:space="preserve">(b) The Notes shall be issued initially in the form of one or more Global Securities in substantially the form set out in Exhibit A hereto. The Depositary with respect to the Notes shall be The Depository Trust Company. </w:t>
      </w:r>
    </w:p>
    <w:p>
      <w:pPr>
        <w:pStyle w:val="TextBody"/>
        <w:spacing w:before="180" w:after="0"/>
        <w:rPr>
          <w:rFonts w:ascii="Times New Roman" w:hAnsi="Times New Roman"/>
          <w:sz w:val="20"/>
        </w:rPr>
      </w:pPr>
      <w:r>
        <w:rPr>
          <w:rFonts w:ascii="Times New Roman" w:hAnsi="Times New Roman"/>
          <w:sz w:val="20"/>
        </w:rPr>
        <w:t xml:space="preserve">(c) Each Note shall be dated the date of authentication thereof and shall bear interest from the date of original issuance thereof or from the most recent date to which interest has been paid or duly provided for. </w:t>
      </w:r>
    </w:p>
    <w:p>
      <w:pPr>
        <w:pStyle w:val="TextBody"/>
        <w:spacing w:before="180" w:after="0"/>
        <w:rPr>
          <w:rFonts w:ascii="Times New Roman" w:hAnsi="Times New Roman"/>
          <w:sz w:val="20"/>
        </w:rPr>
      </w:pPr>
      <w:r>
        <w:rPr>
          <w:rFonts w:ascii="Times New Roman" w:hAnsi="Times New Roman"/>
          <w:sz w:val="20"/>
        </w:rPr>
        <w:t xml:space="preserve">(d) If and to the extent that the provisions of the Original Indenture are duplicative of, or in contradiction with, the provisions of this Supplemental Indenture, the provisions of this Supplemental Indenture shall govern. </w:t>
      </w:r>
    </w:p>
    <w:p>
      <w:pPr>
        <w:pStyle w:val="TextBody"/>
        <w:spacing w:before="270" w:after="0"/>
        <w:jc w:val="center"/>
        <w:rPr>
          <w:rFonts w:ascii="Times New Roman" w:hAnsi="Times New Roman"/>
          <w:sz w:val="20"/>
        </w:rPr>
      </w:pPr>
      <w:r>
        <w:rPr>
          <w:rFonts w:ascii="Times New Roman" w:hAnsi="Times New Roman"/>
          <w:sz w:val="20"/>
        </w:rPr>
        <w:t xml:space="preserve">ARTICLE II </w:t>
      </w:r>
    </w:p>
    <w:p>
      <w:pPr>
        <w:pStyle w:val="TextBody"/>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spacing w:before="180" w:after="0"/>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Definitions.</w:t>
      </w:r>
      <w:r>
        <w:rPr>
          <w:rFonts w:ascii="Times New Roman" w:hAnsi="Times New Roman"/>
          <w:sz w:val="20"/>
        </w:rPr>
        <w:t xml:space="preserve"> All capitalized terms used herein and not otherwise defined below shall have the meanings ascribed thereto in the Original Indenture. The following are additional definitions used in this Supplemental Indenture: </w:t>
      </w:r>
    </w:p>
    <w:p>
      <w:pPr>
        <w:pStyle w:val="TextBody"/>
        <w:spacing w:before="180" w:after="0"/>
        <w:rPr>
          <w:rFonts w:ascii="Times New Roman" w:hAnsi="Times New Roman"/>
          <w:sz w:val="20"/>
        </w:rPr>
      </w:pPr>
      <w:r>
        <w:rPr>
          <w:rFonts w:ascii="Times New Roman" w:hAnsi="Times New Roman"/>
          <w:sz w:val="20"/>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 </w:t>
      </w:r>
    </w:p>
    <w:p>
      <w:pPr>
        <w:pStyle w:val="TextBody"/>
        <w:spacing w:before="180" w:after="0"/>
        <w:rPr>
          <w:rFonts w:ascii="Times New Roman" w:hAnsi="Times New Roman"/>
          <w:sz w:val="20"/>
        </w:rPr>
      </w:pPr>
      <w:r>
        <w:rPr>
          <w:rFonts w:ascii="Times New Roman" w:hAnsi="Times New Roman"/>
          <w:sz w:val="20"/>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80" w:after="0"/>
        <w:rPr>
          <w:rFonts w:ascii="Times New Roman" w:hAnsi="Times New Roman"/>
          <w:sz w:val="20"/>
        </w:rPr>
      </w:pPr>
      <w:r>
        <w:rPr>
          <w:rFonts w:ascii="Times New Roman" w:hAnsi="Times New Roman"/>
          <w:sz w:val="20"/>
        </w:rPr>
        <w:t xml:space="preserve">Consolidated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 </w:t>
      </w:r>
    </w:p>
    <w:p>
      <w:pPr>
        <w:pStyle w:val="TextBody"/>
        <w:spacing w:before="180" w:after="0"/>
        <w:rPr>
          <w:rFonts w:ascii="Times New Roman" w:hAnsi="Times New Roman"/>
          <w:sz w:val="20"/>
        </w:rPr>
      </w:pPr>
      <w:r>
        <w:rPr>
          <w:rFonts w:ascii="Times New Roman" w:hAnsi="Times New Roman"/>
          <w:sz w:val="20"/>
        </w:rPr>
        <w:t xml:space="preserve">Debt means any obligation created or assumed by any Person for the repayment of money borrowed, any purchase money obligation created or assumed by such Person, and any guarantee of the foregoing. </w:t>
      </w:r>
    </w:p>
    <w:p>
      <w:pPr>
        <w:pStyle w:val="TextBody"/>
        <w:spacing w:before="180" w:after="0"/>
        <w:rPr>
          <w:rFonts w:ascii="Times New Roman" w:hAnsi="Times New Roman"/>
          <w:sz w:val="20"/>
        </w:rPr>
      </w:pPr>
      <w:r>
        <w:rPr>
          <w:rFonts w:ascii="Times New Roman" w:hAnsi="Times New Roman"/>
          <w:sz w:val="20"/>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80" w:after="0"/>
        <w:rPr>
          <w:rFonts w:ascii="Times New Roman" w:hAnsi="Times New Roman"/>
          <w:sz w:val="20"/>
        </w:rPr>
      </w:pPr>
      <w:r>
        <w:rPr>
          <w:rFonts w:ascii="Times New Roman" w:hAnsi="Times New Roman"/>
          <w:sz w:val="20"/>
        </w:rPr>
        <w:t xml:space="preserve">Guarantee means a guarantee of the Notes given by a Subsidiary Guarantor pursuant to the Indenture, including any future obligations under Article IX hereof. </w:t>
      </w:r>
    </w:p>
    <w:p>
      <w:pPr>
        <w:pStyle w:val="TextBody"/>
        <w:spacing w:before="180" w:after="0"/>
        <w:rPr>
          <w:rFonts w:ascii="Times New Roman" w:hAnsi="Times New Roman"/>
          <w:sz w:val="20"/>
        </w:rPr>
      </w:pPr>
      <w:r>
        <w:rPr>
          <w:rFonts w:ascii="Times New Roman" w:hAnsi="Times New Roman"/>
          <w:sz w:val="20"/>
        </w:rPr>
        <w:t xml:space="preserve">General Partner means PAA GP LLC, a Delaware limited liability company, and its successors and permitted assigns as general partner of the Partnership. </w:t>
      </w:r>
    </w:p>
    <w:p>
      <w:pPr>
        <w:pStyle w:val="TextBody"/>
        <w:spacing w:before="180" w:after="0"/>
        <w:rPr>
          <w:rFonts w:ascii="Times New Roman" w:hAnsi="Times New Roman"/>
          <w:sz w:val="20"/>
        </w:rPr>
      </w:pPr>
      <w:r>
        <w:rPr>
          <w:rFonts w:ascii="Times New Roman" w:hAnsi="Times New Roman"/>
          <w:sz w:val="20"/>
        </w:rPr>
        <w:t xml:space="preserve">Issue Date means, with respect to the Notes, the date on which the Notes are initially issued. </w:t>
      </w:r>
    </w:p>
    <w:p>
      <w:pPr>
        <w:pStyle w:val="TextBody"/>
        <w:spacing w:before="180" w:after="0"/>
        <w:rPr>
          <w:rFonts w:ascii="Times New Roman" w:hAnsi="Times New Roman"/>
          <w:sz w:val="20"/>
        </w:rPr>
      </w:pPr>
      <w:r>
        <w:rPr>
          <w:rFonts w:ascii="Times New Roman" w:hAnsi="Times New Roman"/>
          <w:sz w:val="20"/>
        </w:rPr>
        <w:t xml:space="preserve">Managing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 </w:t>
      </w:r>
    </w:p>
    <w:p>
      <w:pPr>
        <w:pStyle w:val="TextBody"/>
        <w:spacing w:before="180" w:after="0"/>
        <w:rPr>
          <w:rFonts w:ascii="Times New Roman" w:hAnsi="Times New Roman"/>
          <w:sz w:val="20"/>
        </w:rPr>
      </w:pPr>
      <w:r>
        <w:rPr>
          <w:rFonts w:ascii="Times New Roman" w:hAnsi="Times New Roman"/>
          <w:sz w:val="20"/>
        </w:rPr>
        <w:t xml:space="preserve">Notes has the meaning assigned to it in Section 1.01(a) hereof, and includes both the Notes issued on the Issue Date and any Additional Notes issued thereafter.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Obligations means any principal, interest, liquidated damages, penalties, fees, indemnifications, reimbursement obligations, damages and other liabilities payable under the documentation governing any Debt. </w:t>
      </w:r>
    </w:p>
    <w:p>
      <w:pPr>
        <w:pStyle w:val="TextBody"/>
        <w:spacing w:before="180" w:after="0"/>
        <w:rPr>
          <w:rFonts w:ascii="Times New Roman" w:hAnsi="Times New Roman"/>
          <w:sz w:val="20"/>
        </w:rPr>
      </w:pPr>
      <w:r>
        <w:rPr>
          <w:rFonts w:ascii="Times New Roman" w:hAnsi="Times New Roman"/>
          <w:sz w:val="20"/>
        </w:rPr>
        <w:t xml:space="preserve">Pari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80" w:after="0"/>
        <w:rPr>
          <w:rFonts w:ascii="Times New Roman" w:hAnsi="Times New Roman"/>
          <w:sz w:val="20"/>
        </w:rPr>
      </w:pPr>
      <w:r>
        <w:rPr>
          <w:rFonts w:ascii="Times New Roman" w:hAnsi="Times New Roman"/>
          <w:sz w:val="20"/>
        </w:rPr>
        <w:t xml:space="preserve">Partnership Agreement means the Fourth Amended and Restated Agreement of Limited Partnership of Plains All American Pipeline, L.P., dated as of May 17, 2012, as amended by Amendment No. 1 thereto dated as of October 1, 2012, and as such may be otherwise amended, modified or supplemented from time to time. </w:t>
      </w:r>
    </w:p>
    <w:p>
      <w:pPr>
        <w:pStyle w:val="TextBody"/>
        <w:spacing w:before="180" w:after="0"/>
        <w:rPr>
          <w:rFonts w:ascii="Times New Roman" w:hAnsi="Times New Roman"/>
          <w:sz w:val="20"/>
        </w:rPr>
      </w:pPr>
      <w:r>
        <w:rPr>
          <w:rFonts w:ascii="Times New Roman" w:hAnsi="Times New Roman"/>
          <w:sz w:val="20"/>
        </w:rPr>
        <w:t xml:space="preserve">Permitted Liens means: </w:t>
      </w:r>
    </w:p>
    <w:p>
      <w:pPr>
        <w:pStyle w:val="TextBody"/>
        <w:spacing w:before="90" w:after="0"/>
        <w:rPr>
          <w:rFonts w:ascii="Times New Roman" w:hAnsi="Times New Roman"/>
          <w:sz w:val="20"/>
        </w:rPr>
      </w:pPr>
      <w:r>
        <w:rPr>
          <w:rFonts w:ascii="Times New Roman" w:hAnsi="Times New Roman"/>
          <w:sz w:val="20"/>
        </w:rPr>
        <w:t xml:space="preserve">(1) Liens upon rights-of-way for pipeline purposes; </w:t>
      </w:r>
    </w:p>
    <w:p>
      <w:pPr>
        <w:pStyle w:val="TextBody"/>
        <w:spacing w:before="90" w:after="0"/>
        <w:rPr>
          <w:rFonts w:ascii="Times New Roman" w:hAnsi="Times New Roman"/>
          <w:sz w:val="20"/>
        </w:rPr>
      </w:pPr>
      <w:r>
        <w:rPr>
          <w:rFonts w:ascii="Times New Roman" w:hAnsi="Times New Roman"/>
          <w:sz w:val="20"/>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90" w:after="0"/>
        <w:rPr>
          <w:rFonts w:ascii="Times New Roman" w:hAnsi="Times New Roman"/>
          <w:sz w:val="20"/>
        </w:rPr>
      </w:pPr>
      <w:r>
        <w:rPr>
          <w:rFonts w:ascii="Times New Roman" w:hAnsi="Times New Roman"/>
          <w:sz w:val="20"/>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90" w:after="0"/>
        <w:rPr>
          <w:rFonts w:ascii="Times New Roman" w:hAnsi="Times New Roman"/>
          <w:sz w:val="20"/>
        </w:rPr>
      </w:pPr>
      <w:r>
        <w:rPr>
          <w:rFonts w:ascii="Times New Roman" w:hAnsi="Times New Roman"/>
          <w:sz w:val="20"/>
        </w:rPr>
        <w:t xml:space="preserve">(4) Liens of taxes and assessments which are (A) for the then current year, (B) not at the time delinquent, or (C) delinquent but the validity of which is being contested at the time by an Issuer or any Restricted Subsidiary in good faith; </w:t>
      </w:r>
    </w:p>
    <w:p>
      <w:pPr>
        <w:pStyle w:val="TextBody"/>
        <w:spacing w:before="90" w:after="0"/>
        <w:rPr>
          <w:rFonts w:ascii="Times New Roman" w:hAnsi="Times New Roman"/>
          <w:sz w:val="20"/>
        </w:rPr>
      </w:pPr>
      <w:r>
        <w:rPr>
          <w:rFonts w:ascii="Times New Roman" w:hAnsi="Times New Roman"/>
          <w:sz w:val="20"/>
        </w:rPr>
        <w:t xml:space="preserve">(5) Liens of, or to secure performance of, leases, other than capital leases; </w:t>
      </w:r>
    </w:p>
    <w:p>
      <w:pPr>
        <w:pStyle w:val="TextBody"/>
        <w:spacing w:before="90" w:after="0"/>
        <w:rPr>
          <w:rFonts w:ascii="Times New Roman" w:hAnsi="Times New Roman"/>
          <w:sz w:val="20"/>
        </w:rPr>
      </w:pPr>
      <w:r>
        <w:rPr>
          <w:rFonts w:ascii="Times New Roman" w:hAnsi="Times New Roman"/>
          <w:sz w:val="20"/>
        </w:rPr>
        <w:t xml:space="preserve">(6) any Lien upon, or deposits of, any assets in favor of any surety company or clerk of court for the purpose of obtaining indemnity or stay of judicial proceedings; </w:t>
      </w:r>
    </w:p>
    <w:p>
      <w:pPr>
        <w:pStyle w:val="TextBody"/>
        <w:spacing w:before="90" w:after="0"/>
        <w:rPr>
          <w:rFonts w:ascii="Times New Roman" w:hAnsi="Times New Roman"/>
          <w:sz w:val="20"/>
        </w:rPr>
      </w:pPr>
      <w:r>
        <w:rPr>
          <w:rFonts w:ascii="Times New Roman" w:hAnsi="Times New Roman"/>
          <w:sz w:val="20"/>
        </w:rPr>
        <w:t xml:space="preserve">(7) any Lien upon property or assets acquired or sold by an Issuer or any Restricted Subsidiary resulting from the exercise of any rights arising out of defaults on receivables; </w:t>
      </w:r>
    </w:p>
    <w:p>
      <w:pPr>
        <w:pStyle w:val="TextBody"/>
        <w:spacing w:before="90" w:after="0"/>
        <w:rPr>
          <w:rFonts w:ascii="Times New Roman" w:hAnsi="Times New Roman"/>
          <w:sz w:val="20"/>
        </w:rPr>
      </w:pPr>
      <w:r>
        <w:rPr>
          <w:rFonts w:ascii="Times New Roman" w:hAnsi="Times New Roman"/>
          <w:sz w:val="20"/>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(9) any Lien in favor of an Issuer or any Restricted Subsidiary; </w:t>
      </w:r>
    </w:p>
    <w:p>
      <w:pPr>
        <w:pStyle w:val="TextBody"/>
        <w:spacing w:before="90" w:after="0"/>
        <w:rPr>
          <w:rFonts w:ascii="Times New Roman" w:hAnsi="Times New Roman"/>
          <w:sz w:val="20"/>
        </w:rPr>
      </w:pPr>
      <w:r>
        <w:rPr>
          <w:rFonts w:ascii="Times New Roman" w:hAnsi="Times New Roman"/>
          <w:sz w:val="20"/>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 </w:t>
      </w:r>
    </w:p>
    <w:p>
      <w:pPr>
        <w:pStyle w:val="TextBody"/>
        <w:spacing w:before="90" w:after="0"/>
        <w:rPr>
          <w:rFonts w:ascii="Times New Roman" w:hAnsi="Times New Roman"/>
          <w:sz w:val="20"/>
        </w:rPr>
      </w:pPr>
      <w:r>
        <w:rPr>
          <w:rFonts w:ascii="Times New Roman" w:hAnsi="Times New Roman"/>
          <w:sz w:val="20"/>
        </w:rPr>
        <w:t xml:space="preserve">(11) any Lien securing industrial development, pollution control or similar revenue bonds; </w:t>
      </w:r>
    </w:p>
    <w:p>
      <w:pPr>
        <w:pStyle w:val="TextBody"/>
        <w:spacing w:before="90" w:after="0"/>
        <w:rPr>
          <w:rFonts w:ascii="Times New Roman" w:hAnsi="Times New Roman"/>
          <w:sz w:val="20"/>
        </w:rPr>
      </w:pPr>
      <w:r>
        <w:rPr>
          <w:rFonts w:ascii="Times New Roman" w:hAnsi="Times New Roman"/>
          <w:sz w:val="20"/>
        </w:rPr>
        <w:t xml:space="preserve">(12)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 </w:t>
      </w:r>
    </w:p>
    <w:p>
      <w:pPr>
        <w:pStyle w:val="TextBody"/>
        <w:spacing w:before="90" w:after="0"/>
        <w:rPr>
          <w:rFonts w:ascii="Times New Roman" w:hAnsi="Times New Roman"/>
          <w:sz w:val="20"/>
        </w:rPr>
      </w:pPr>
      <w:r>
        <w:rPr>
          <w:rFonts w:ascii="Times New Roman" w:hAnsi="Times New Roman"/>
          <w:sz w:val="20"/>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90" w:after="0"/>
        <w:rPr>
          <w:rFonts w:ascii="Times New Roman" w:hAnsi="Times New Roman"/>
          <w:sz w:val="20"/>
        </w:rPr>
      </w:pPr>
      <w:r>
        <w:rPr>
          <w:rFonts w:ascii="Times New Roman" w:hAnsi="Times New Roman"/>
          <w:sz w:val="20"/>
        </w:rPr>
        <w:t xml:space="preserve">(14) any Lien upon or deposits of any assets to secure performance of bids, trade contracts, leases or statutory obligations; </w:t>
      </w:r>
    </w:p>
    <w:p>
      <w:pPr>
        <w:pStyle w:val="TextBody"/>
        <w:spacing w:before="90" w:after="0"/>
        <w:rPr>
          <w:rFonts w:ascii="Times New Roman" w:hAnsi="Times New Roman"/>
          <w:sz w:val="20"/>
        </w:rPr>
      </w:pPr>
      <w:r>
        <w:rPr>
          <w:rFonts w:ascii="Times New Roman" w:hAnsi="Times New Roman"/>
          <w:sz w:val="20"/>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90" w:after="0"/>
        <w:rPr>
          <w:rFonts w:ascii="Times New Roman" w:hAnsi="Times New Roman"/>
          <w:sz w:val="20"/>
        </w:rPr>
      </w:pPr>
      <w:r>
        <w:rPr>
          <w:rFonts w:ascii="Times New Roman" w:hAnsi="Times New Roman"/>
          <w:sz w:val="20"/>
        </w:rPr>
        <w:t xml:space="preserve">(16)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 </w:t>
      </w:r>
    </w:p>
    <w:p>
      <w:pPr>
        <w:pStyle w:val="TextBody"/>
        <w:spacing w:before="90" w:after="0"/>
        <w:rPr>
          <w:rFonts w:ascii="Times New Roman" w:hAnsi="Times New Roman"/>
          <w:sz w:val="20"/>
        </w:rPr>
      </w:pPr>
      <w:r>
        <w:rPr>
          <w:rFonts w:ascii="Times New Roman" w:hAnsi="Times New Roman"/>
          <w:sz w:val="20"/>
        </w:rPr>
        <w:t xml:space="preserve">(17) Liens arising under operating agreements, joint venture agreements, partnership agreements, oil and gas leases, farmout agreements, division orders, contracts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 </w:t>
      </w:r>
    </w:p>
    <w:p>
      <w:pPr>
        <w:pStyle w:val="TextBody"/>
        <w:spacing w:before="90" w:after="0"/>
        <w:rPr>
          <w:rFonts w:ascii="Times New Roman" w:hAnsi="Times New Roman"/>
          <w:sz w:val="20"/>
        </w:rPr>
      </w:pPr>
      <w:r>
        <w:rPr>
          <w:rFonts w:ascii="Times New Roman" w:hAnsi="Times New Roman"/>
          <w:sz w:val="20"/>
        </w:rPr>
        <w:t xml:space="preserve">(18) any obligations or duties to any municipality or public authority with respect to any lease, easement, right-of-way, license, franchise, privilege, permit or grant. </w:t>
      </w:r>
    </w:p>
    <w:p>
      <w:pPr>
        <w:pStyle w:val="TextBody"/>
        <w:spacing w:before="180" w:after="0"/>
        <w:rPr>
          <w:rFonts w:ascii="Times New Roman" w:hAnsi="Times New Roman"/>
          <w:sz w:val="20"/>
        </w:rPr>
      </w:pPr>
      <w:r>
        <w:rPr>
          <w:rFonts w:ascii="Times New Roman" w:hAnsi="Times New Roman"/>
          <w:sz w:val="20"/>
        </w:rPr>
        <w:t xml:space="preserve">Principal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 </w:t>
      </w:r>
    </w:p>
    <w:p>
      <w:pPr>
        <w:pStyle w:val="TextBody"/>
        <w:spacing w:before="180" w:after="0"/>
        <w:rPr>
          <w:rFonts w:ascii="Times New Roman" w:hAnsi="Times New Roman"/>
          <w:sz w:val="20"/>
        </w:rPr>
      </w:pPr>
      <w:r>
        <w:rPr>
          <w:rFonts w:ascii="Times New Roman" w:hAnsi="Times New Roman"/>
          <w:sz w:val="20"/>
        </w:rPr>
        <w:t xml:space="preserve">Restricted Subsidiary means any Subsidiary of the Partnership owning or leasing, directly or indirectly through ownership in another Subsidiary, any Principal Property. </w:t>
      </w:r>
    </w:p>
    <w:p>
      <w:pPr>
        <w:pStyle w:val="TextBody"/>
        <w:spacing w:before="180" w:after="0"/>
        <w:rPr>
          <w:rFonts w:ascii="Times New Roman" w:hAnsi="Times New Roman"/>
          <w:sz w:val="20"/>
        </w:rPr>
      </w:pPr>
      <w:r>
        <w:rPr>
          <w:rFonts w:ascii="Times New Roman" w:hAnsi="Times New Roman"/>
          <w:sz w:val="20"/>
        </w:rPr>
        <w:t xml:space="preserve">Sale-leaseback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 </w:t>
      </w:r>
    </w:p>
    <w:p>
      <w:pPr>
        <w:pStyle w:val="TextBody"/>
        <w:spacing w:before="180" w:after="0"/>
        <w:rPr>
          <w:rFonts w:ascii="Times New Roman" w:hAnsi="Times New Roman"/>
          <w:sz w:val="20"/>
        </w:rPr>
      </w:pPr>
      <w:r>
        <w:rPr>
          <w:rFonts w:ascii="Times New Roman" w:hAnsi="Times New Roman"/>
          <w:sz w:val="20"/>
        </w:rPr>
        <w:t xml:space="preserve">Subsidiary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180" w:after="0"/>
        <w:rPr>
          <w:rFonts w:ascii="Times New Roman" w:hAnsi="Times New Roman"/>
          <w:sz w:val="20"/>
        </w:rPr>
      </w:pPr>
      <w:r>
        <w:rPr>
          <w:rFonts w:ascii="Times New Roman" w:hAnsi="Times New Roman"/>
          <w:sz w:val="20"/>
        </w:rPr>
        <w:t xml:space="preserve">Subsidiary Guarantors means each of: </w:t>
      </w:r>
    </w:p>
    <w:p>
      <w:pPr>
        <w:pStyle w:val="TextBody"/>
        <w:spacing w:before="90" w:after="0"/>
        <w:rPr>
          <w:rFonts w:ascii="Times New Roman" w:hAnsi="Times New Roman"/>
          <w:sz w:val="20"/>
        </w:rPr>
      </w:pPr>
      <w:r>
        <w:rPr>
          <w:rFonts w:ascii="Times New Roman" w:hAnsi="Times New Roman"/>
          <w:sz w:val="20"/>
        </w:rPr>
        <w:t xml:space="preserve">(1) any Subsidiary that executes a supplemental Indenture to provide a Guarantee in accordance with the provisions of the Indenture; and </w:t>
      </w:r>
    </w:p>
    <w:p>
      <w:pPr>
        <w:pStyle w:val="TextBody"/>
        <w:spacing w:before="90" w:after="0"/>
        <w:rPr>
          <w:rFonts w:ascii="Times New Roman" w:hAnsi="Times New Roman"/>
          <w:sz w:val="20"/>
        </w:rPr>
      </w:pPr>
      <w:r>
        <w:rPr>
          <w:rFonts w:ascii="Times New Roman" w:hAnsi="Times New Roman"/>
          <w:sz w:val="20"/>
        </w:rPr>
        <w:t xml:space="preserve">(2) their respective successors and assigns.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Other Definitions.</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932"/>
        <w:gridCol w:w="527"/>
        <w:gridCol w:w="84"/>
        <w:gridCol w:w="539"/>
        <w:gridCol w:w="123"/>
      </w:tblGrid>
      <w:tr>
        <w:trPr/>
        <w:tc>
          <w:tcPr>
            <w:tcW w:w="8932"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93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Term</w:t>
            </w:r>
          </w:p>
        </w:tc>
        <w:tc>
          <w:tcPr>
            <w:tcW w:w="527" w:type="dxa"/>
            <w:tcBorders/>
            <w:shd w:fill="auto" w:val="clear"/>
            <w:vAlign w:val="bottom"/>
          </w:tcPr>
          <w:p>
            <w:pPr>
              <w:pStyle w:val="TableContents"/>
              <w:spacing w:before="0" w:after="283"/>
              <w:rPr/>
            </w:pPr>
            <w:r>
              <w:rPr/>
              <w:t>  </w:t>
            </w:r>
          </w:p>
        </w:tc>
        <w:tc>
          <w:tcPr>
            <w:tcW w:w="6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Defined in</w:t>
              <w:br/>
              <w:t>Section</w:t>
            </w:r>
          </w:p>
        </w:tc>
        <w:tc>
          <w:tcPr>
            <w:tcW w:w="123" w:type="dxa"/>
            <w:tcBorders/>
            <w:shd w:fill="auto" w:val="clear"/>
            <w:vAlign w:val="bottom"/>
          </w:tcPr>
          <w:p>
            <w:pPr>
              <w:pStyle w:val="TableContents"/>
              <w:spacing w:before="0" w:after="283"/>
              <w:rPr/>
            </w:pPr>
            <w:r>
              <w:rPr/>
              <w:t> </w:t>
            </w:r>
          </w:p>
        </w:tc>
      </w:tr>
      <w:tr>
        <w:trPr/>
        <w:tc>
          <w:tcPr>
            <w:tcW w:w="8932"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Notes</w:t>
            </w:r>
          </w:p>
        </w:tc>
        <w:tc>
          <w:tcPr>
            <w:tcW w:w="5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123" w:type="dxa"/>
            <w:tcBorders/>
            <w:shd w:fill="CCEEFF" w:val="clear"/>
            <w:vAlign w:val="bottom"/>
          </w:tcPr>
          <w:p>
            <w:pPr>
              <w:pStyle w:val="TableContents"/>
              <w:spacing w:before="0" w:after="283"/>
              <w:rPr/>
            </w:pPr>
            <w:r>
              <w:rPr/>
              <w:t>  </w:t>
            </w:r>
          </w:p>
        </w:tc>
      </w:tr>
      <w:tr>
        <w:trPr/>
        <w:tc>
          <w:tcPr>
            <w:tcW w:w="8932" w:type="dxa"/>
            <w:tcBorders/>
            <w:shd w:fill="auto" w:val="clear"/>
          </w:tcPr>
          <w:p>
            <w:pPr>
              <w:pStyle w:val="TableContents"/>
              <w:spacing w:before="0" w:after="283"/>
              <w:rPr>
                <w:rFonts w:ascii="Times New Roman" w:hAnsi="Times New Roman"/>
                <w:sz w:val="20"/>
              </w:rPr>
            </w:pPr>
            <w:r>
              <w:rPr>
                <w:rFonts w:ascii="Times New Roman" w:hAnsi="Times New Roman"/>
                <w:sz w:val="20"/>
              </w:rPr>
              <w:t>Covenant Defeasance</w:t>
            </w:r>
          </w:p>
        </w:tc>
        <w:tc>
          <w:tcPr>
            <w:tcW w:w="5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8.03</w:t>
            </w:r>
          </w:p>
        </w:tc>
        <w:tc>
          <w:tcPr>
            <w:tcW w:w="123" w:type="dxa"/>
            <w:tcBorders/>
            <w:shd w:fill="auto" w:val="clear"/>
            <w:vAlign w:val="bottom"/>
          </w:tcPr>
          <w:p>
            <w:pPr>
              <w:pStyle w:val="TableContents"/>
              <w:spacing w:before="0" w:after="283"/>
              <w:rPr/>
            </w:pPr>
            <w:r>
              <w:rPr/>
              <w:t>  </w:t>
            </w:r>
          </w:p>
        </w:tc>
      </w:tr>
      <w:tr>
        <w:trPr/>
        <w:tc>
          <w:tcPr>
            <w:tcW w:w="8932" w:type="dxa"/>
            <w:tcBorders/>
            <w:shd w:fill="CCEEFF" w:val="clear"/>
          </w:tcPr>
          <w:p>
            <w:pPr>
              <w:pStyle w:val="TableContents"/>
              <w:spacing w:before="0" w:after="283"/>
              <w:rPr>
                <w:rFonts w:ascii="Times New Roman" w:hAnsi="Times New Roman"/>
                <w:sz w:val="20"/>
              </w:rPr>
            </w:pPr>
            <w:r>
              <w:rPr>
                <w:rFonts w:ascii="Times New Roman" w:hAnsi="Times New Roman"/>
                <w:sz w:val="20"/>
              </w:rPr>
              <w:t>Event of Default</w:t>
            </w:r>
          </w:p>
        </w:tc>
        <w:tc>
          <w:tcPr>
            <w:tcW w:w="5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23" w:type="dxa"/>
            <w:tcBorders/>
            <w:shd w:fill="CCEEFF" w:val="clear"/>
            <w:vAlign w:val="bottom"/>
          </w:tcPr>
          <w:p>
            <w:pPr>
              <w:pStyle w:val="TableContents"/>
              <w:spacing w:before="0" w:after="283"/>
              <w:rPr/>
            </w:pPr>
            <w:r>
              <w:rPr/>
              <w:t>  </w:t>
            </w:r>
          </w:p>
        </w:tc>
      </w:tr>
      <w:tr>
        <w:trPr/>
        <w:tc>
          <w:tcPr>
            <w:tcW w:w="8932" w:type="dxa"/>
            <w:tcBorders/>
            <w:shd w:fill="auto" w:val="clear"/>
          </w:tcPr>
          <w:p>
            <w:pPr>
              <w:pStyle w:val="TableContents"/>
              <w:spacing w:before="0" w:after="283"/>
              <w:rPr>
                <w:rFonts w:ascii="Times New Roman" w:hAnsi="Times New Roman"/>
                <w:sz w:val="20"/>
              </w:rPr>
            </w:pPr>
            <w:r>
              <w:rPr>
                <w:rFonts w:ascii="Times New Roman" w:hAnsi="Times New Roman"/>
                <w:sz w:val="20"/>
              </w:rPr>
              <w:t>Legal Defeasance</w:t>
            </w:r>
          </w:p>
        </w:tc>
        <w:tc>
          <w:tcPr>
            <w:tcW w:w="5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23" w:type="dxa"/>
            <w:tcBorders/>
            <w:shd w:fill="auto" w:val="clear"/>
            <w:vAlign w:val="bottom"/>
          </w:tcPr>
          <w:p>
            <w:pPr>
              <w:pStyle w:val="TableContents"/>
              <w:spacing w:before="0" w:after="283"/>
              <w:rPr/>
            </w:pPr>
            <w:r>
              <w:rPr/>
              <w:t>  </w:t>
            </w:r>
          </w:p>
        </w:tc>
      </w:tr>
      <w:tr>
        <w:trPr/>
        <w:tc>
          <w:tcPr>
            <w:tcW w:w="8932" w:type="dxa"/>
            <w:tcBorders/>
            <w:shd w:fill="CCEEFF" w:val="clear"/>
          </w:tcPr>
          <w:p>
            <w:pPr>
              <w:pStyle w:val="TableContents"/>
              <w:spacing w:before="0" w:after="283"/>
              <w:rPr>
                <w:rFonts w:ascii="Times New Roman" w:hAnsi="Times New Roman"/>
                <w:sz w:val="20"/>
              </w:rPr>
            </w:pPr>
            <w:r>
              <w:rPr>
                <w:rFonts w:ascii="Times New Roman" w:hAnsi="Times New Roman"/>
                <w:sz w:val="20"/>
              </w:rPr>
              <w:t>Note Obligations</w:t>
            </w:r>
          </w:p>
        </w:tc>
        <w:tc>
          <w:tcPr>
            <w:tcW w:w="5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9.01</w:t>
            </w:r>
          </w:p>
        </w:tc>
        <w:tc>
          <w:tcPr>
            <w:tcW w:w="123" w:type="dxa"/>
            <w:tcBorders/>
            <w:shd w:fill="CCEEFF" w:val="clear"/>
            <w:vAlign w:val="bottom"/>
          </w:tcPr>
          <w:p>
            <w:pPr>
              <w:pStyle w:val="TableContents"/>
              <w:spacing w:before="0" w:after="283"/>
              <w:rPr/>
            </w:pPr>
            <w:r>
              <w:rPr/>
              <w:t>  </w:t>
            </w:r>
          </w:p>
        </w:tc>
      </w:tr>
      <w:tr>
        <w:trPr/>
        <w:tc>
          <w:tcPr>
            <w:tcW w:w="8932" w:type="dxa"/>
            <w:tcBorders/>
            <w:shd w:fill="auto" w:val="clear"/>
          </w:tcPr>
          <w:p>
            <w:pPr>
              <w:pStyle w:val="TableContents"/>
              <w:spacing w:before="0" w:after="283"/>
              <w:rPr>
                <w:rFonts w:ascii="Times New Roman" w:hAnsi="Times New Roman"/>
                <w:sz w:val="20"/>
              </w:rPr>
            </w:pPr>
            <w:r>
              <w:rPr>
                <w:rFonts w:ascii="Times New Roman" w:hAnsi="Times New Roman"/>
                <w:sz w:val="20"/>
              </w:rPr>
              <w:t>Payment Default</w:t>
            </w:r>
          </w:p>
        </w:tc>
        <w:tc>
          <w:tcPr>
            <w:tcW w:w="5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23" w:type="dxa"/>
            <w:tcBorders/>
            <w:shd w:fill="auto" w:val="clear"/>
            <w:vAlign w:val="bottom"/>
          </w:tcPr>
          <w:p>
            <w:pPr>
              <w:pStyle w:val="TableContents"/>
              <w:spacing w:before="0" w:after="283"/>
              <w:rPr/>
            </w:pPr>
            <w:r>
              <w:rPr/>
              <w:t>  </w:t>
            </w:r>
          </w:p>
        </w:tc>
      </w:tr>
      <w:tr>
        <w:trPr/>
        <w:tc>
          <w:tcPr>
            <w:tcW w:w="8932" w:type="dxa"/>
            <w:tcBorders/>
            <w:shd w:fill="CCEEFF" w:val="clear"/>
          </w:tcPr>
          <w:p>
            <w:pPr>
              <w:pStyle w:val="TableContents"/>
              <w:spacing w:before="0" w:after="283"/>
              <w:rPr>
                <w:rFonts w:ascii="Times New Roman" w:hAnsi="Times New Roman"/>
                <w:sz w:val="20"/>
              </w:rPr>
            </w:pPr>
            <w:r>
              <w:rPr>
                <w:rFonts w:ascii="Times New Roman" w:hAnsi="Times New Roman"/>
                <w:sz w:val="20"/>
              </w:rPr>
              <w:t>Required Filing Dates</w:t>
            </w:r>
          </w:p>
        </w:tc>
        <w:tc>
          <w:tcPr>
            <w:tcW w:w="5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123" w:type="dxa"/>
            <w:tcBorders/>
            <w:shd w:fill="CCEEFF" w:val="clear"/>
            <w:vAlign w:val="bottom"/>
          </w:tcPr>
          <w:p>
            <w:pPr>
              <w:pStyle w:val="TableContents"/>
              <w:spacing w:before="0" w:after="283"/>
              <w:rPr/>
            </w:pPr>
            <w:r>
              <w:rPr/>
              <w:t>  </w:t>
            </w:r>
          </w:p>
        </w:tc>
      </w:tr>
      <w:tr>
        <w:trPr/>
        <w:tc>
          <w:tcPr>
            <w:tcW w:w="8932" w:type="dxa"/>
            <w:tcBorders/>
            <w:shd w:fill="auto" w:val="clear"/>
          </w:tcPr>
          <w:p>
            <w:pPr>
              <w:pStyle w:val="TableContents"/>
              <w:spacing w:before="0" w:after="283"/>
              <w:rPr>
                <w:rFonts w:ascii="Times New Roman" w:hAnsi="Times New Roman"/>
                <w:sz w:val="20"/>
              </w:rPr>
            </w:pPr>
            <w:r>
              <w:rPr>
                <w:rFonts w:ascii="Times New Roman" w:hAnsi="Times New Roman"/>
                <w:sz w:val="20"/>
              </w:rPr>
              <w:t>Successor Company</w:t>
            </w:r>
          </w:p>
        </w:tc>
        <w:tc>
          <w:tcPr>
            <w:tcW w:w="5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23" w:type="dxa"/>
            <w:tcBorders/>
            <w:shd w:fill="auto" w:val="clear"/>
            <w:vAlign w:val="bottom"/>
          </w:tcPr>
          <w:p>
            <w:pPr>
              <w:pStyle w:val="TableContents"/>
              <w:spacing w:before="0" w:after="283"/>
              <w:rPr/>
            </w:pPr>
            <w:r>
              <w:rPr/>
              <w:t>  </w:t>
            </w:r>
          </w:p>
        </w:tc>
      </w:tr>
    </w:tbl>
    <w:p>
      <w:pPr>
        <w:pStyle w:val="TextBody"/>
        <w:spacing w:before="270" w:after="0"/>
        <w:jc w:val="center"/>
        <w:rPr>
          <w:rFonts w:ascii="Times New Roman" w:hAnsi="Times New Roman"/>
          <w:sz w:val="20"/>
        </w:rPr>
      </w:pPr>
      <w:r>
        <w:rPr>
          <w:rFonts w:ascii="Times New Roman" w:hAnsi="Times New Roman"/>
          <w:sz w:val="20"/>
        </w:rPr>
        <w:t xml:space="preserve">ARTICLE III </w:t>
      </w:r>
    </w:p>
    <w:p>
      <w:pPr>
        <w:pStyle w:val="TextBody"/>
        <w:spacing w:before="0" w:after="0"/>
        <w:jc w:val="center"/>
        <w:rPr>
          <w:rFonts w:ascii="Times New Roman" w:hAnsi="Times New Roman"/>
          <w:sz w:val="20"/>
        </w:rPr>
      </w:pPr>
      <w:r>
        <w:rPr>
          <w:rFonts w:ascii="Times New Roman" w:hAnsi="Times New Roman"/>
          <w:sz w:val="20"/>
        </w:rPr>
        <w:t xml:space="preserve">THE NOTES </w:t>
      </w:r>
    </w:p>
    <w:p>
      <w:pPr>
        <w:pStyle w:val="TextBody"/>
        <w:spacing w:before="180" w:after="0"/>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Form.</w:t>
      </w:r>
      <w:r>
        <w:rPr>
          <w:rFonts w:ascii="Times New Roman" w:hAnsi="Times New Roman"/>
          <w:sz w:val="20"/>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w:t>
      </w:r>
    </w:p>
    <w:p>
      <w:pPr>
        <w:pStyle w:val="TextBody"/>
        <w:spacing w:before="180" w:after="0"/>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Issuance of Additional Notes.</w:t>
      </w:r>
      <w:r>
        <w:rPr>
          <w:rFonts w:ascii="Times New Roman" w:hAnsi="Times New Roman"/>
          <w:sz w:val="20"/>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$400,000,000. The Notes issued on the Issue Date and any Additional Notes subsequently issued shall be treated as a single series for all purposes under the Indenture, including waivers, amendments, redemptions and offers to purchase. </w:t>
      </w:r>
    </w:p>
    <w:p>
      <w:pPr>
        <w:pStyle w:val="TextBody"/>
        <w:spacing w:before="180" w:after="0"/>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Global Security Legend.</w:t>
      </w:r>
      <w:r>
        <w:rPr>
          <w:rFonts w:ascii="Times New Roman" w:hAnsi="Times New Roman"/>
          <w:sz w:val="20"/>
        </w:rPr>
        <w:t xml:space="preserve"> Each of the Global Securities shall bear a legend in substantially the following form: </w:t>
      </w:r>
    </w:p>
    <w:p>
      <w:pPr>
        <w:pStyle w:val="TextBody"/>
        <w:spacing w:before="180" w:after="0"/>
        <w:rPr>
          <w:rFonts w:ascii="Times New Roman" w:hAnsi="Times New Roman"/>
          <w:sz w:val="20"/>
        </w:rPr>
      </w:pPr>
      <w:r>
        <w:rPr>
          <w:rFonts w:ascii="Times New Roman" w:hAnsi="Times New Roman"/>
          <w:sz w:val="20"/>
        </w:rPr>
        <w:t xml:space="preserve">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DELIVERED TO THE TRUSTEE FOR CANCELLATION PURSUANT TO SECTION 2.10 OF THE ORIGINAL INDENTURE AND (D) THIS GLOBAL SECURITY MAY BE TRANSFERRED TO A SUCCESSOR DEPOSITARY OR ITS NOMINEE WITH THE PRIOR WRITTEN CONSENT OF THE ISSUERS. </w:t>
      </w:r>
    </w:p>
    <w:p>
      <w:pPr>
        <w:pStyle w:val="TextBody"/>
        <w:spacing w:before="270" w:after="0"/>
        <w:jc w:val="center"/>
        <w:rPr>
          <w:rFonts w:ascii="Times New Roman" w:hAnsi="Times New Roman"/>
          <w:sz w:val="20"/>
        </w:rPr>
      </w:pPr>
      <w:r>
        <w:rPr>
          <w:rFonts w:ascii="Times New Roman" w:hAnsi="Times New Roman"/>
          <w:sz w:val="20"/>
        </w:rPr>
        <w:t xml:space="preserve">ARTICLE IV </w:t>
      </w:r>
    </w:p>
    <w:p>
      <w:pPr>
        <w:pStyle w:val="TextBody"/>
        <w:spacing w:before="0" w:after="0"/>
        <w:jc w:val="center"/>
        <w:rPr>
          <w:rFonts w:ascii="Times New Roman" w:hAnsi="Times New Roman"/>
          <w:sz w:val="20"/>
        </w:rPr>
      </w:pPr>
      <w:r>
        <w:rPr>
          <w:rFonts w:ascii="Times New Roman" w:hAnsi="Times New Roman"/>
          <w:sz w:val="20"/>
        </w:rPr>
        <w:t xml:space="preserve">REDEMPTION AND PREPAYMENT </w:t>
      </w:r>
    </w:p>
    <w:p>
      <w:pPr>
        <w:pStyle w:val="TextBody"/>
        <w:spacing w:before="180" w:after="0"/>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Optional Redemption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At their option at any time prior to maturity, the Issuers may choose to redeem all or any portion of the Notes, at once or from time to time. </w:t>
      </w:r>
    </w:p>
    <w:p>
      <w:pPr>
        <w:pStyle w:val="TextBody"/>
        <w:spacing w:before="180" w:after="0"/>
        <w:rPr>
          <w:rFonts w:ascii="Times New Roman" w:hAnsi="Times New Roman"/>
          <w:sz w:val="20"/>
        </w:rPr>
      </w:pPr>
      <w:r>
        <w:rPr>
          <w:rFonts w:ascii="Times New Roman" w:hAnsi="Times New Roman"/>
          <w:sz w:val="20"/>
        </w:rPr>
        <w:t xml:space="preserve">(b) 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 </w:t>
      </w:r>
    </w:p>
    <w:p>
      <w:pPr>
        <w:pStyle w:val="TextBody"/>
        <w:spacing w:before="180" w:after="0"/>
        <w:rPr>
          <w:rFonts w:ascii="Times New Roman" w:hAnsi="Times New Roman"/>
          <w:sz w:val="20"/>
        </w:rPr>
      </w:pPr>
      <w:r>
        <w:rPr>
          <w:rFonts w:ascii="Times New Roman" w:hAnsi="Times New Roman"/>
          <w:sz w:val="20"/>
        </w:rPr>
        <w:t xml:space="preserve">(c) 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 </w:t>
      </w:r>
    </w:p>
    <w:p>
      <w:pPr>
        <w:pStyle w:val="TextBody"/>
        <w:spacing w:before="270" w:after="0"/>
        <w:jc w:val="center"/>
        <w:rPr>
          <w:rFonts w:ascii="Times New Roman" w:hAnsi="Times New Roman"/>
          <w:sz w:val="20"/>
        </w:rPr>
      </w:pPr>
      <w:r>
        <w:rPr>
          <w:rFonts w:ascii="Times New Roman" w:hAnsi="Times New Roman"/>
          <w:sz w:val="20"/>
        </w:rPr>
        <w:t xml:space="preserve">ARTICLE V </w:t>
      </w:r>
    </w:p>
    <w:p>
      <w:pPr>
        <w:pStyle w:val="TextBody"/>
        <w:spacing w:before="0" w:after="0"/>
        <w:jc w:val="center"/>
        <w:rPr>
          <w:rFonts w:ascii="Times New Roman" w:hAnsi="Times New Roman"/>
          <w:sz w:val="20"/>
        </w:rPr>
      </w:pPr>
      <w:r>
        <w:rPr>
          <w:rFonts w:ascii="Times New Roman" w:hAnsi="Times New Roman"/>
          <w:sz w:val="20"/>
        </w:rPr>
        <w:t xml:space="preserve">COVENANTS </w:t>
      </w:r>
    </w:p>
    <w:p>
      <w:pPr>
        <w:pStyle w:val="TextBody"/>
        <w:spacing w:before="180" w:after="0"/>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Compliance Certificate</w:t>
      </w:r>
      <w:r>
        <w:rPr>
          <w:rFonts w:ascii="Times New Roman" w:hAnsi="Times New Roman"/>
          <w:sz w:val="20"/>
        </w:rPr>
        <w:t xml:space="preserve">.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w:t>
      </w:r>
    </w:p>
    <w:p>
      <w:pPr>
        <w:pStyle w:val="TextBody"/>
        <w:spacing w:before="180" w:after="0"/>
        <w:rPr>
          <w:rFonts w:ascii="Times New Roman" w:hAnsi="Times New Roman"/>
          <w:sz w:val="20"/>
        </w:rPr>
      </w:pPr>
      <w:r>
        <w:rPr>
          <w:rFonts w:ascii="Times New Roman" w:hAnsi="Times New Roman"/>
          <w:sz w:val="20"/>
        </w:rPr>
        <w:t xml:space="preserve">(b)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Limitations on Liens</w:t>
      </w:r>
      <w:r>
        <w:rPr>
          <w:rFonts w:ascii="Times New Roman" w:hAnsi="Times New Roman"/>
          <w:sz w:val="20"/>
        </w:rPr>
        <w:t xml:space="preserve">.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 </w:t>
      </w:r>
    </w:p>
    <w:p>
      <w:pPr>
        <w:pStyle w:val="TextBody"/>
        <w:spacing w:before="180" w:after="0"/>
        <w:rPr>
          <w:rFonts w:ascii="Times New Roman" w:hAnsi="Times New Roman"/>
          <w:sz w:val="20"/>
        </w:rPr>
      </w:pPr>
      <w:r>
        <w:rPr>
          <w:rFonts w:ascii="Times New Roman" w:hAnsi="Times New Roman"/>
          <w:sz w:val="20"/>
        </w:rPr>
        <w:t xml:space="preserve">(a) Permitted Liens; </w:t>
      </w:r>
    </w:p>
    <w:p>
      <w:pPr>
        <w:pStyle w:val="TextBody"/>
        <w:spacing w:before="180" w:after="0"/>
        <w:rPr>
          <w:rFonts w:ascii="Times New Roman" w:hAnsi="Times New Roman"/>
          <w:sz w:val="20"/>
        </w:rPr>
      </w:pPr>
      <w:r>
        <w:rPr>
          <w:rFonts w:ascii="Times New Roman" w:hAnsi="Times New Roman"/>
          <w:sz w:val="20"/>
        </w:rPr>
        <w:t xml:space="preserve">(b)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spacing w:before="180" w:after="0"/>
        <w:rPr>
          <w:rFonts w:ascii="Times New Roman" w:hAnsi="Times New Roman"/>
          <w:sz w:val="20"/>
        </w:rPr>
      </w:pPr>
      <w:r>
        <w:rPr>
          <w:rFonts w:ascii="Times New Roman" w:hAnsi="Times New Roman"/>
          <w:sz w:val="20"/>
        </w:rPr>
        <w:t xml:space="preserve">(c)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p>
      <w:pPr>
        <w:pStyle w:val="TextBody"/>
        <w:spacing w:before="180" w:after="0"/>
        <w:rPr>
          <w:rFonts w:ascii="Times New Roman" w:hAnsi="Times New Roman"/>
          <w:sz w:val="20"/>
        </w:rPr>
      </w:pPr>
      <w:r>
        <w:rPr>
          <w:rFonts w:ascii="Times New Roman" w:hAnsi="Times New Roman"/>
          <w:sz w:val="20"/>
        </w:rPr>
        <w:t xml:space="preserve">(d)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 </w:t>
      </w:r>
    </w:p>
    <w:p>
      <w:pPr>
        <w:pStyle w:val="TextBody"/>
        <w:spacing w:before="180" w:after="0"/>
        <w:rPr>
          <w:rFonts w:ascii="Times New Roman" w:hAnsi="Times New Roman"/>
          <w:sz w:val="20"/>
        </w:rPr>
      </w:pPr>
      <w:r>
        <w:rPr>
          <w:rFonts w:ascii="Times New Roman" w:hAnsi="Times New Roman"/>
          <w:sz w:val="20"/>
        </w:rPr>
        <w:t xml:space="preserve">(e)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p>
      <w:pPr>
        <w:pStyle w:val="TextBody"/>
        <w:spacing w:before="180" w:after="0"/>
        <w:rPr>
          <w:rFonts w:ascii="Times New Roman" w:hAnsi="Times New Roman"/>
          <w:sz w:val="20"/>
        </w:rPr>
      </w:pPr>
      <w:r>
        <w:rPr>
          <w:rFonts w:ascii="Times New Roman" w:hAnsi="Times New Roman"/>
          <w:sz w:val="20"/>
        </w:rPr>
        <w:t xml:space="preserve">(f) any Lien upon any property or assets of an Issuer or any Restricted Subsidiary in existence on December 10, 2003 or provided for pursuant to agreements existing on December 10, 2003; </w:t>
      </w:r>
    </w:p>
    <w:p>
      <w:pPr>
        <w:pStyle w:val="TextBody"/>
        <w:spacing w:before="180" w:after="0"/>
        <w:rPr>
          <w:rFonts w:ascii="Times New Roman" w:hAnsi="Times New Roman"/>
          <w:sz w:val="20"/>
        </w:rPr>
      </w:pPr>
      <w:r>
        <w:rPr>
          <w:rFonts w:ascii="Times New Roman" w:hAnsi="Times New Roman"/>
          <w:sz w:val="20"/>
        </w:rPr>
        <w:t xml:space="preserve">(g)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 </w:t>
      </w:r>
    </w:p>
    <w:p>
      <w:pPr>
        <w:pStyle w:val="TextBody"/>
        <w:spacing w:before="180" w:after="0"/>
        <w:rPr>
          <w:rFonts w:ascii="Times New Roman" w:hAnsi="Times New Roman"/>
          <w:sz w:val="20"/>
        </w:rPr>
      </w:pPr>
      <w:r>
        <w:rPr>
          <w:rFonts w:ascii="Times New Roman" w:hAnsi="Times New Roman"/>
          <w:sz w:val="20"/>
        </w:rPr>
        <w:t xml:space="preserve">(h)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 </w:t>
      </w:r>
    </w:p>
    <w:p>
      <w:pPr>
        <w:pStyle w:val="TextBody"/>
        <w:spacing w:before="180" w:after="0"/>
        <w:rPr>
          <w:rFonts w:ascii="Times New Roman" w:hAnsi="Times New Roman"/>
          <w:sz w:val="20"/>
        </w:rPr>
      </w:pPr>
      <w:r>
        <w:rPr>
          <w:rFonts w:ascii="Times New Roman" w:hAnsi="Times New Roman"/>
          <w:sz w:val="20"/>
        </w:rPr>
        <w:t xml:space="preserve">(i) any Lien resulting from the deposit of moneys or evidence of indebtedness in trust for the purpose of defeasing Debt of an Issuer or any Restricted Subsidiary. </w:t>
      </w:r>
    </w:p>
    <w:p>
      <w:pPr>
        <w:pStyle w:val="TextBody"/>
        <w:spacing w:before="180" w:after="0"/>
        <w:rPr>
          <w:rFonts w:ascii="Times New Roman" w:hAnsi="Times New Roman"/>
          <w:sz w:val="20"/>
        </w:rPr>
      </w:pPr>
      <w:r>
        <w:rPr>
          <w:rFonts w:ascii="Times New Roman" w:hAnsi="Times New Roman"/>
          <w:sz w:val="20"/>
        </w:rPr>
        <w:t xml:space="preserve">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 </w:t>
      </w:r>
    </w:p>
    <w:p>
      <w:pPr>
        <w:pStyle w:val="TextBody"/>
        <w:spacing w:before="180" w:after="0"/>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Restriction of Sale-leaseback Transactions</w:t>
      </w:r>
      <w:r>
        <w:rPr>
          <w:rFonts w:ascii="Times New Roman" w:hAnsi="Times New Roman"/>
          <w:sz w:val="20"/>
        </w:rPr>
        <w:t xml:space="preserve">. The Issuers will not, and will not permit any Subsidiary of the Partnership to, engage in a Sale-leaseback Transaction, unless: </w:t>
      </w:r>
    </w:p>
    <w:p>
      <w:pPr>
        <w:pStyle w:val="TextBody"/>
        <w:spacing w:before="180" w:after="0"/>
        <w:rPr>
          <w:rFonts w:ascii="Times New Roman" w:hAnsi="Times New Roman"/>
          <w:sz w:val="20"/>
        </w:rPr>
      </w:pPr>
      <w:r>
        <w:rPr>
          <w:rFonts w:ascii="Times New Roman" w:hAnsi="Times New Roman"/>
          <w:sz w:val="20"/>
        </w:rPr>
        <w:t xml:space="preserve">(a)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spacing w:before="180" w:after="0"/>
        <w:rPr>
          <w:rFonts w:ascii="Times New Roman" w:hAnsi="Times New Roman"/>
          <w:sz w:val="20"/>
        </w:rPr>
      </w:pPr>
      <w:r>
        <w:rPr>
          <w:rFonts w:ascii="Times New Roman" w:hAnsi="Times New Roman"/>
          <w:sz w:val="20"/>
        </w:rPr>
        <w:t xml:space="preserve">(b) the Sale-leaseback Transaction involves a lease for a period, including renewals, of not more than three years; </w:t>
      </w:r>
    </w:p>
    <w:p>
      <w:pPr>
        <w:pStyle w:val="TextBody"/>
        <w:spacing w:before="180" w:after="0"/>
        <w:rPr>
          <w:rFonts w:ascii="Times New Roman" w:hAnsi="Times New Roman"/>
          <w:sz w:val="20"/>
        </w:rPr>
      </w:pPr>
      <w:r>
        <w:rPr>
          <w:rFonts w:ascii="Times New Roman" w:hAnsi="Times New Roman"/>
          <w:sz w:val="20"/>
        </w:rPr>
        <w:t xml:space="preserve">(c)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 </w:t>
      </w:r>
    </w:p>
    <w:p>
      <w:pPr>
        <w:pStyle w:val="TextBody"/>
        <w:spacing w:before="180" w:after="0"/>
        <w:rPr>
          <w:rFonts w:ascii="Times New Roman" w:hAnsi="Times New Roman"/>
          <w:sz w:val="20"/>
        </w:rPr>
      </w:pPr>
      <w:r>
        <w:rPr>
          <w:rFonts w:ascii="Times New Roman" w:hAnsi="Times New Roman"/>
          <w:sz w:val="20"/>
        </w:rPr>
        <w:t xml:space="preserve">(d)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 </w:t>
      </w:r>
    </w:p>
    <w:p>
      <w:pPr>
        <w:pStyle w:val="TextBody"/>
        <w:spacing w:before="180" w:after="0"/>
        <w:rPr>
          <w:rFonts w:ascii="Times New Roman" w:hAnsi="Times New Roman"/>
          <w:sz w:val="20"/>
        </w:rPr>
      </w:pPr>
      <w:r>
        <w:rPr>
          <w:rFonts w:ascii="Times New Roman" w:hAnsi="Times New Roman"/>
          <w:sz w:val="20"/>
        </w:rPr>
        <w:t xml:space="preserve">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SEC Reports; Financial Statements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 </w:t>
      </w:r>
    </w:p>
    <w:p>
      <w:pPr>
        <w:pStyle w:val="TextBody"/>
        <w:spacing w:before="180" w:after="0"/>
        <w:rPr>
          <w:rFonts w:ascii="Times New Roman" w:hAnsi="Times New Roman"/>
          <w:sz w:val="20"/>
        </w:rPr>
      </w:pPr>
      <w:r>
        <w:rPr>
          <w:rFonts w:ascii="Times New Roman" w:hAnsi="Times New Roman"/>
          <w:sz w:val="20"/>
        </w:rPr>
        <w:t xml:space="preserve">(b)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 </w:t>
      </w:r>
    </w:p>
    <w:p>
      <w:pPr>
        <w:pStyle w:val="TextBody"/>
        <w:spacing w:before="180" w:after="0"/>
        <w:rPr>
          <w:rFonts w:ascii="Times New Roman" w:hAnsi="Times New Roman"/>
          <w:sz w:val="20"/>
        </w:rPr>
      </w:pPr>
      <w:r>
        <w:rPr>
          <w:rFonts w:ascii="Times New Roman" w:hAnsi="Times New Roman"/>
          <w:sz w:val="20"/>
        </w:rPr>
        <w:t xml:space="preserve">(c) [Intentionally omitted.] </w:t>
      </w:r>
    </w:p>
    <w:p>
      <w:pPr>
        <w:pStyle w:val="TextBody"/>
        <w:spacing w:before="180" w:after="0"/>
        <w:rPr>
          <w:rFonts w:ascii="Times New Roman" w:hAnsi="Times New Roman"/>
          <w:sz w:val="20"/>
        </w:rPr>
      </w:pPr>
      <w:r>
        <w:rPr>
          <w:rFonts w:ascii="Times New Roman" w:hAnsi="Times New Roman"/>
          <w:sz w:val="20"/>
        </w:rPr>
        <w:t xml:space="preserve">(d) The Partnership shall provide the Trustee with a sufficient number of copies of all reports and other documents and information that the Trustee may be required to deliver to Holders of Notes under clause (b) of this Section 5.04. </w:t>
      </w:r>
    </w:p>
    <w:p>
      <w:pPr>
        <w:pStyle w:val="TextBody"/>
        <w:spacing w:before="180" w:after="0"/>
        <w:rPr>
          <w:rFonts w:ascii="Times New Roman" w:hAnsi="Times New Roman"/>
          <w:sz w:val="20"/>
        </w:rPr>
      </w:pPr>
      <w:r>
        <w:rPr>
          <w:rFonts w:ascii="Times New Roman" w:hAnsi="Times New Roman"/>
          <w:sz w:val="20"/>
        </w:rPr>
        <w:t xml:space="preserve">(e)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 </w:t>
      </w:r>
    </w:p>
    <w:p>
      <w:pPr>
        <w:pStyle w:val="TextBody"/>
        <w:spacing w:before="180" w:after="0"/>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Subsidiary Guarantees</w:t>
      </w:r>
      <w:r>
        <w:rPr>
          <w:rFonts w:ascii="Times New Roman" w:hAnsi="Times New Roman"/>
          <w:sz w:val="20"/>
        </w:rPr>
        <w:t xml:space="preserve">.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 </w:t>
      </w:r>
    </w:p>
    <w:p>
      <w:pPr>
        <w:pStyle w:val="TextBody"/>
        <w:spacing w:before="270" w:after="0"/>
        <w:jc w:val="center"/>
        <w:rPr>
          <w:rFonts w:ascii="Times New Roman" w:hAnsi="Times New Roman"/>
          <w:sz w:val="20"/>
        </w:rPr>
      </w:pPr>
      <w:r>
        <w:rPr>
          <w:rFonts w:ascii="Times New Roman" w:hAnsi="Times New Roman"/>
          <w:sz w:val="20"/>
        </w:rPr>
        <w:t xml:space="preserve">ARTICLE VI </w:t>
      </w:r>
    </w:p>
    <w:p>
      <w:pPr>
        <w:pStyle w:val="TextBody"/>
        <w:spacing w:before="0" w:after="0"/>
        <w:jc w:val="center"/>
        <w:rPr>
          <w:rFonts w:ascii="Times New Roman" w:hAnsi="Times New Roman"/>
          <w:sz w:val="20"/>
        </w:rPr>
      </w:pPr>
      <w:r>
        <w:rPr>
          <w:rFonts w:ascii="Times New Roman" w:hAnsi="Times New Roman"/>
          <w:sz w:val="20"/>
        </w:rPr>
        <w:t xml:space="preserve">SUCCESSORS </w:t>
      </w:r>
    </w:p>
    <w:p>
      <w:pPr>
        <w:pStyle w:val="TextBody"/>
        <w:spacing w:before="180" w:after="0"/>
        <w:rPr>
          <w:rFonts w:ascii="Times New Roman" w:hAnsi="Times New Roman"/>
          <w:sz w:val="20"/>
        </w:rPr>
      </w:pPr>
      <w:r>
        <w:rPr>
          <w:rFonts w:ascii="Times New Roman" w:hAnsi="Times New Roman"/>
          <w:sz w:val="20"/>
        </w:rPr>
        <w:t xml:space="preserve">With respect to the Notes, the provisions of this Article VI shall preempt the provisions of Article X of the Original Indenture in their entirety.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Consolidation and Mergers of the Issuers</w:t>
      </w:r>
      <w:r>
        <w:rPr>
          <w:rFonts w:ascii="Times New Roman" w:hAnsi="Times New Roman"/>
          <w:sz w:val="20"/>
        </w:rPr>
        <w:t xml:space="preserve">.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 </w:t>
      </w:r>
    </w:p>
    <w:p>
      <w:pPr>
        <w:pStyle w:val="TextBody"/>
        <w:spacing w:before="180" w:after="0"/>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Rights and Duties of Successor</w:t>
      </w:r>
      <w:r>
        <w:rPr>
          <w:rFonts w:ascii="Times New Roman" w:hAnsi="Times New Roman"/>
          <w:sz w:val="20"/>
        </w:rPr>
        <w:t xml:space="preserve">.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 </w:t>
      </w:r>
    </w:p>
    <w:p>
      <w:pPr>
        <w:pStyle w:val="TextBody"/>
        <w:spacing w:before="180" w:after="0"/>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Supplemental Indenture</w:t>
      </w:r>
      <w:r>
        <w:rPr>
          <w:rFonts w:ascii="Times New Roman" w:hAnsi="Times New Roman"/>
          <w:sz w:val="20"/>
        </w:rPr>
        <w:t xml:space="preserve">. Section 9.01 of the Original Indenture is hereby amended, with respect to the Notes, by adding the words or the confirmation of a Subsidiary Guarantors immediately after the word Issuers in Section 9.01(c). </w:t>
      </w:r>
    </w:p>
    <w:p>
      <w:pPr>
        <w:pStyle w:val="TextBody"/>
        <w:spacing w:before="270" w:after="0"/>
        <w:jc w:val="center"/>
        <w:rPr>
          <w:rFonts w:ascii="Times New Roman" w:hAnsi="Times New Roman"/>
          <w:sz w:val="20"/>
        </w:rPr>
      </w:pPr>
      <w:r>
        <w:rPr>
          <w:rFonts w:ascii="Times New Roman" w:hAnsi="Times New Roman"/>
          <w:sz w:val="20"/>
        </w:rPr>
        <w:t xml:space="preserve">ARTICLE VII </w:t>
      </w:r>
    </w:p>
    <w:p>
      <w:pPr>
        <w:pStyle w:val="TextBody"/>
        <w:spacing w:before="0" w:after="0"/>
        <w:jc w:val="center"/>
        <w:rPr>
          <w:rFonts w:ascii="Times New Roman" w:hAnsi="Times New Roman"/>
          <w:sz w:val="20"/>
        </w:rPr>
      </w:pPr>
      <w:r>
        <w:rPr>
          <w:rFonts w:ascii="Times New Roman" w:hAnsi="Times New Roman"/>
          <w:sz w:val="20"/>
        </w:rPr>
        <w:t xml:space="preserve">DEFAULTS AND REMEDIES </w:t>
      </w:r>
    </w:p>
    <w:p>
      <w:pPr>
        <w:pStyle w:val="TextBody"/>
        <w:spacing w:before="180" w:after="0"/>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xml:space="preserve">. With respect to the Notes, the provisions of this Section 7.01 shall preempt the provisions of the first and final paragraphs of Section 6.01 of the Original Indenture in their entirety. </w:t>
      </w:r>
    </w:p>
    <w:p>
      <w:pPr>
        <w:pStyle w:val="TextBody"/>
        <w:spacing w:before="180" w:after="0"/>
        <w:rPr>
          <w:rFonts w:ascii="Times New Roman" w:hAnsi="Times New Roman"/>
          <w:sz w:val="20"/>
        </w:rPr>
      </w:pPr>
      <w:r>
        <w:rPr>
          <w:rFonts w:ascii="Times New Roman" w:hAnsi="Times New Roman"/>
          <w:sz w:val="20"/>
        </w:rPr>
        <w:t xml:space="preserve">(a) An Event of Default occurs if: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 the Issuers default for 60 days in the payment when due of interest on the Notes; </w:t>
      </w:r>
    </w:p>
    <w:p>
      <w:pPr>
        <w:pStyle w:val="TextBody"/>
        <w:spacing w:before="90" w:after="0"/>
        <w:rPr>
          <w:rFonts w:ascii="Times New Roman" w:hAnsi="Times New Roman"/>
          <w:sz w:val="20"/>
        </w:rPr>
      </w:pPr>
      <w:r>
        <w:rPr>
          <w:rFonts w:ascii="Times New Roman" w:hAnsi="Times New Roman"/>
          <w:sz w:val="20"/>
        </w:rPr>
        <w:t xml:space="preserve">(ii) the Issuers default in the payment when due of principal of or premium, if any, on the Notes at maturity, upon redemption or otherwise; </w:t>
      </w:r>
    </w:p>
    <w:p>
      <w:pPr>
        <w:pStyle w:val="TextBody"/>
        <w:spacing w:before="90" w:after="0"/>
        <w:rPr>
          <w:rFonts w:ascii="Times New Roman" w:hAnsi="Times New Roman"/>
          <w:sz w:val="20"/>
        </w:rPr>
      </w:pPr>
      <w:r>
        <w:rPr>
          <w:rFonts w:ascii="Times New Roman" w:hAnsi="Times New Roman"/>
          <w:sz w:val="20"/>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hAnsi="Times New Roman"/>
          <w:sz w:val="20"/>
          <w:u w:val="single"/>
        </w:rPr>
        <w:t>provided</w:t>
      </w:r>
      <w:r>
        <w:rPr>
          <w:rFonts w:ascii="Times New Roman" w:hAnsi="Times New Roman"/>
          <w:sz w:val="20"/>
        </w:rPr>
        <w:t xml:space="preserve"> that notice need not be given, and an Event of Default shall occur, 90 days after any breach of the provisions of Section 6.01 hereof); </w:t>
      </w:r>
    </w:p>
    <w:p>
      <w:pPr>
        <w:pStyle w:val="TextBody"/>
        <w:spacing w:before="90" w:after="0"/>
        <w:rPr>
          <w:rFonts w:ascii="Times New Roman" w:hAnsi="Times New Roman"/>
          <w:sz w:val="20"/>
        </w:rPr>
      </w:pPr>
      <w:r>
        <w:rPr>
          <w:rFonts w:ascii="Times New Roman" w:hAnsi="Times New Roman"/>
          <w:sz w:val="20"/>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90" w:after="0"/>
        <w:rPr>
          <w:rFonts w:ascii="Times New Roman" w:hAnsi="Times New Roman"/>
          <w:sz w:val="20"/>
        </w:rPr>
      </w:pPr>
      <w:r>
        <w:rPr>
          <w:rFonts w:ascii="Times New Roman" w:hAnsi="Times New Roman"/>
          <w:sz w:val="20"/>
        </w:rPr>
        <w:t xml:space="preserve">(v)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w:t>
      </w:r>
    </w:p>
    <w:p>
      <w:pPr>
        <w:pStyle w:val="TextBody"/>
        <w:spacing w:before="90" w:after="0"/>
        <w:rPr>
          <w:rFonts w:ascii="Times New Roman" w:hAnsi="Times New Roman"/>
          <w:sz w:val="20"/>
        </w:rPr>
      </w:pPr>
      <w:r>
        <w:rPr>
          <w:rFonts w:ascii="Times New Roman" w:hAnsi="Times New Roman"/>
          <w:sz w:val="20"/>
        </w:rPr>
        <w:t xml:space="preserve">(vi) an Issuer or any Subsidiary Guarantor pursuant to or within the meaning of any Bankruptcy Law: </w:t>
      </w:r>
    </w:p>
    <w:p>
      <w:pPr>
        <w:pStyle w:val="TextBody"/>
        <w:spacing w:before="90" w:after="0"/>
        <w:rPr>
          <w:rFonts w:ascii="Times New Roman" w:hAnsi="Times New Roman"/>
          <w:sz w:val="20"/>
        </w:rPr>
      </w:pPr>
      <w:r>
        <w:rPr>
          <w:rFonts w:ascii="Times New Roman" w:hAnsi="Times New Roman"/>
          <w:sz w:val="20"/>
        </w:rPr>
        <w:t xml:space="preserve">(A) commences a voluntary case, </w:t>
      </w:r>
    </w:p>
    <w:p>
      <w:pPr>
        <w:pStyle w:val="TextBody"/>
        <w:spacing w:before="90" w:after="0"/>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spacing w:before="90" w:after="0"/>
        <w:rPr>
          <w:rFonts w:ascii="Times New Roman" w:hAnsi="Times New Roman"/>
          <w:sz w:val="20"/>
        </w:rPr>
      </w:pPr>
      <w:r>
        <w:rPr>
          <w:rFonts w:ascii="Times New Roman" w:hAnsi="Times New Roman"/>
          <w:sz w:val="20"/>
        </w:rPr>
        <w:t xml:space="preserve">(C) consents to the appointment of a custodian of it or for all or substantially all of its property,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makes a general assignment for the benefit of its creditors, or </w:t>
      </w:r>
    </w:p>
    <w:p>
      <w:pPr>
        <w:pStyle w:val="TextBody"/>
        <w:spacing w:before="90" w:after="0"/>
        <w:rPr>
          <w:rFonts w:ascii="Times New Roman" w:hAnsi="Times New Roman"/>
          <w:sz w:val="20"/>
        </w:rPr>
      </w:pPr>
      <w:r>
        <w:rPr>
          <w:rFonts w:ascii="Times New Roman" w:hAnsi="Times New Roman"/>
          <w:sz w:val="20"/>
        </w:rPr>
        <w:t xml:space="preserve">(E) generally is not paying its debts as they become due; or </w:t>
      </w:r>
    </w:p>
    <w:p>
      <w:pPr>
        <w:pStyle w:val="TextBody"/>
        <w:spacing w:before="90" w:after="0"/>
        <w:rPr>
          <w:rFonts w:ascii="Times New Roman" w:hAnsi="Times New Roman"/>
          <w:sz w:val="20"/>
        </w:rPr>
      </w:pPr>
      <w:r>
        <w:rPr>
          <w:rFonts w:ascii="Times New Roman" w:hAnsi="Times New Roman"/>
          <w:sz w:val="20"/>
        </w:rPr>
        <w:t xml:space="preserve">(vii) a court of competent jurisdiction enters an order or decree under any Bankruptcy Law that: </w:t>
      </w:r>
    </w:p>
    <w:p>
      <w:pPr>
        <w:pStyle w:val="TextBody"/>
        <w:spacing w:before="90" w:after="0"/>
        <w:rPr>
          <w:rFonts w:ascii="Times New Roman" w:hAnsi="Times New Roman"/>
          <w:sz w:val="20"/>
        </w:rPr>
      </w:pPr>
      <w:r>
        <w:rPr>
          <w:rFonts w:ascii="Times New Roman" w:hAnsi="Times New Roman"/>
          <w:sz w:val="20"/>
        </w:rPr>
        <w:t xml:space="preserve">(A) is for relief against an Issuer or any Subsidiary Guarantor in an involuntary case; </w:t>
      </w:r>
    </w:p>
    <w:p>
      <w:pPr>
        <w:pStyle w:val="TextBody"/>
        <w:spacing w:before="90" w:after="0"/>
        <w:rPr>
          <w:rFonts w:ascii="Times New Roman" w:hAnsi="Times New Roman"/>
          <w:sz w:val="20"/>
        </w:rPr>
      </w:pPr>
      <w:r>
        <w:rPr>
          <w:rFonts w:ascii="Times New Roman" w:hAnsi="Times New Roman"/>
          <w:sz w:val="20"/>
        </w:rPr>
        <w:t xml:space="preserve">(B) appoints a custodian of an Issuer or any Subsidiary Guarantor or for all or substantially all of the property of an Issuer or any Subsidiary Guarantor; or </w:t>
      </w:r>
    </w:p>
    <w:p>
      <w:pPr>
        <w:pStyle w:val="TextBody"/>
        <w:spacing w:before="90" w:after="0"/>
        <w:rPr>
          <w:rFonts w:ascii="Times New Roman" w:hAnsi="Times New Roman"/>
          <w:sz w:val="20"/>
        </w:rPr>
      </w:pPr>
      <w:r>
        <w:rPr>
          <w:rFonts w:ascii="Times New Roman" w:hAnsi="Times New Roman"/>
          <w:sz w:val="20"/>
        </w:rPr>
        <w:t xml:space="preserve">(C) orders the liquidation of an Issuer or any Subsidiary Guarantor; </w:t>
      </w:r>
    </w:p>
    <w:p>
      <w:pPr>
        <w:pStyle w:val="TextBody"/>
        <w:spacing w:before="90" w:after="0"/>
        <w:rPr>
          <w:rFonts w:ascii="Times New Roman" w:hAnsi="Times New Roman"/>
          <w:sz w:val="20"/>
        </w:rPr>
      </w:pPr>
      <w:r>
        <w:rPr>
          <w:rFonts w:ascii="Times New Roman" w:hAnsi="Times New Roman"/>
          <w:sz w:val="20"/>
        </w:rPr>
        <w:t xml:space="preserve">and the order or decree remains unstayed and in effect for 60 consecutive days. </w:t>
      </w:r>
    </w:p>
    <w:p>
      <w:pPr>
        <w:pStyle w:val="TextBody"/>
        <w:spacing w:before="180" w:after="0"/>
        <w:rPr>
          <w:rFonts w:ascii="Times New Roman" w:hAnsi="Times New Roman"/>
          <w:sz w:val="20"/>
        </w:rPr>
      </w:pPr>
      <w:r>
        <w:rPr>
          <w:rFonts w:ascii="Times New Roman" w:hAnsi="Times New Roman"/>
          <w:sz w:val="20"/>
        </w:rPr>
        <w:t xml:space="preserve">(b)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 </w:t>
      </w:r>
    </w:p>
    <w:p>
      <w:pPr>
        <w:pStyle w:val="TextBody"/>
        <w:spacing w:before="270" w:after="0"/>
        <w:jc w:val="center"/>
        <w:rPr>
          <w:rFonts w:ascii="Times New Roman" w:hAnsi="Times New Roman"/>
          <w:sz w:val="20"/>
        </w:rPr>
      </w:pPr>
      <w:r>
        <w:rPr>
          <w:rFonts w:ascii="Times New Roman" w:hAnsi="Times New Roman"/>
          <w:sz w:val="20"/>
        </w:rPr>
        <w:t xml:space="preserve">ARTICLE VIII </w:t>
      </w:r>
    </w:p>
    <w:p>
      <w:pPr>
        <w:pStyle w:val="TextBody"/>
        <w:spacing w:before="0" w:after="0"/>
        <w:jc w:val="center"/>
        <w:rPr>
          <w:rFonts w:ascii="Times New Roman" w:hAnsi="Times New Roman"/>
          <w:sz w:val="20"/>
        </w:rPr>
      </w:pPr>
      <w:r>
        <w:rPr>
          <w:rFonts w:ascii="Times New Roman" w:hAnsi="Times New Roman"/>
          <w:sz w:val="20"/>
        </w:rPr>
        <w:t xml:space="preserve">LEGAL DEFEASANCE AND COVENANT DEFEASANCE </w:t>
      </w:r>
    </w:p>
    <w:p>
      <w:pPr>
        <w:pStyle w:val="TextBody"/>
        <w:spacing w:before="180" w:after="0"/>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Option to Effect Legal Defeasance or Covenant Defeasance</w:t>
      </w:r>
      <w:r>
        <w:rPr>
          <w:rFonts w:ascii="Times New Roman" w:hAnsi="Times New Roman"/>
          <w:sz w:val="20"/>
        </w:rPr>
        <w:t xml:space="preserve">.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 </w:t>
      </w:r>
    </w:p>
    <w:p>
      <w:pPr>
        <w:pStyle w:val="TextBody"/>
        <w:spacing w:before="180" w:after="0"/>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Legal Defeasance and Discharge</w:t>
      </w:r>
      <w:r>
        <w:rPr>
          <w:rFonts w:ascii="Times New Roman" w:hAnsi="Times New Roman"/>
          <w:sz w:val="20"/>
        </w:rPr>
        <w:t xml:space="preserve">.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 </w:t>
      </w:r>
    </w:p>
    <w:p>
      <w:pPr>
        <w:pStyle w:val="TextBody"/>
        <w:spacing w:before="180" w:after="0"/>
        <w:rPr>
          <w:rFonts w:ascii="Times New Roman" w:hAnsi="Times New Roman"/>
          <w:sz w:val="20"/>
        </w:rPr>
      </w:pPr>
      <w:r>
        <w:rPr>
          <w:rFonts w:ascii="Times New Roman" w:hAnsi="Times New Roman"/>
          <w:sz w:val="20"/>
        </w:rPr>
        <w:t xml:space="preserve">(a) the rights of Holders of Outstanding Notes to receive solely from the trust fund described in Section 8.04 hereof, and as more fully set forth in such Section, payments in respect of the principal of, premium on, if any, and interest on such Notes when such payments are due, </w:t>
      </w:r>
    </w:p>
    <w:p>
      <w:pPr>
        <w:pStyle w:val="TextBody"/>
        <w:spacing w:before="180" w:after="0"/>
        <w:rPr>
          <w:rFonts w:ascii="Times New Roman" w:hAnsi="Times New Roman"/>
          <w:sz w:val="20"/>
        </w:rPr>
      </w:pPr>
      <w:r>
        <w:rPr>
          <w:rFonts w:ascii="Times New Roman" w:hAnsi="Times New Roman"/>
          <w:sz w:val="20"/>
        </w:rPr>
        <w:t xml:space="preserve">(b) the Issuers obligations with respect to such Notes under Sections 2.07, 2.08, 2.09 and 4.02 of the Original Indenture, </w:t>
      </w:r>
    </w:p>
    <w:p>
      <w:pPr>
        <w:pStyle w:val="TextBody"/>
        <w:spacing w:before="180" w:after="0"/>
        <w:rPr>
          <w:rFonts w:ascii="Times New Roman" w:hAnsi="Times New Roman"/>
          <w:sz w:val="20"/>
        </w:rPr>
      </w:pPr>
      <w:r>
        <w:rPr>
          <w:rFonts w:ascii="Times New Roman" w:hAnsi="Times New Roman"/>
          <w:sz w:val="20"/>
        </w:rPr>
        <w:t xml:space="preserve">(c) the rights, powers, trusts, duties and immunities of the Trustee hereunder and the Issuers obligations in connection therewith, </w:t>
      </w:r>
    </w:p>
    <w:p>
      <w:pPr>
        <w:pStyle w:val="TextBody"/>
        <w:spacing w:before="180" w:after="0"/>
        <w:rPr>
          <w:rFonts w:ascii="Times New Roman" w:hAnsi="Times New Roman"/>
          <w:sz w:val="20"/>
        </w:rPr>
      </w:pPr>
      <w:r>
        <w:rPr>
          <w:rFonts w:ascii="Times New Roman" w:hAnsi="Times New Roman"/>
          <w:sz w:val="20"/>
        </w:rPr>
        <w:t xml:space="preserve">(d) this Article VIII, and </w:t>
      </w:r>
    </w:p>
    <w:p>
      <w:pPr>
        <w:pStyle w:val="TextBody"/>
        <w:spacing w:before="180" w:after="0"/>
        <w:rPr>
          <w:rFonts w:ascii="Times New Roman" w:hAnsi="Times New Roman"/>
          <w:sz w:val="20"/>
        </w:rPr>
      </w:pPr>
      <w:r>
        <w:rPr>
          <w:rFonts w:ascii="Times New Roman" w:hAnsi="Times New Roman"/>
          <w:sz w:val="20"/>
        </w:rPr>
        <w:t xml:space="preserve">(e) the Issuers rights of optional redemption under Section 4.01 hereof. </w:t>
      </w:r>
    </w:p>
    <w:p>
      <w:pPr>
        <w:pStyle w:val="TextBody"/>
        <w:spacing w:before="180" w:after="0"/>
        <w:rPr>
          <w:rFonts w:ascii="Times New Roman" w:hAnsi="Times New Roman"/>
          <w:sz w:val="20"/>
        </w:rPr>
      </w:pPr>
      <w:r>
        <w:rPr>
          <w:rFonts w:ascii="Times New Roman" w:hAnsi="Times New Roman"/>
          <w:sz w:val="20"/>
        </w:rPr>
        <w:t xml:space="preserve">Subject to compliance with this Article VIII, the Issuers may exercise their option under this Section 8.02 notwithstanding the prior exercise of their option under Section 8.03 hereof. </w:t>
      </w:r>
    </w:p>
    <w:p>
      <w:pPr>
        <w:pStyle w:val="TextBody"/>
        <w:spacing w:before="180" w:after="0"/>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Covenant Defeasance</w:t>
      </w:r>
      <w:r>
        <w:rPr>
          <w:rFonts w:ascii="Times New Roman" w:hAnsi="Times New Roman"/>
          <w:sz w:val="20"/>
        </w:rPr>
        <w:t xml:space="preserve">.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Conditions to Legal or Covenant Defeasance</w:t>
      </w:r>
      <w:r>
        <w:rPr>
          <w:rFonts w:ascii="Times New Roman" w:hAnsi="Times New Roman"/>
          <w:sz w:val="20"/>
        </w:rPr>
        <w:t xml:space="preserve">. The following shall be the conditions to the application of either Section 8.02 or 8.03 hereof to the Outstanding Notes: </w:t>
      </w:r>
    </w:p>
    <w:p>
      <w:pPr>
        <w:pStyle w:val="TextBody"/>
        <w:spacing w:before="180" w:after="0"/>
        <w:rPr>
          <w:rFonts w:ascii="Times New Roman" w:hAnsi="Times New Roman"/>
          <w:sz w:val="20"/>
        </w:rPr>
      </w:pPr>
      <w:r>
        <w:rPr>
          <w:rFonts w:ascii="Times New Roman" w:hAnsi="Times New Roman"/>
          <w:sz w:val="20"/>
        </w:rPr>
        <w:t xml:space="preserve">In order to exercise either Legal Defeasance or Covenant Defeasance: </w:t>
      </w:r>
    </w:p>
    <w:p>
      <w:pPr>
        <w:pStyle w:val="TextBody"/>
        <w:spacing w:before="180" w:after="0"/>
        <w:rPr>
          <w:rFonts w:ascii="Times New Roman" w:hAnsi="Times New Roman"/>
          <w:sz w:val="20"/>
        </w:rPr>
      </w:pPr>
      <w:r>
        <w:rPr>
          <w:rFonts w:ascii="Times New Roman" w:hAnsi="Times New Roman"/>
          <w:sz w:val="20"/>
        </w:rPr>
        <w:t xml:space="preserve">(a)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 </w:t>
      </w:r>
    </w:p>
    <w:p>
      <w:pPr>
        <w:pStyle w:val="TextBody"/>
        <w:spacing w:before="180" w:after="0"/>
        <w:rPr>
          <w:rFonts w:ascii="Times New Roman" w:hAnsi="Times New Roman"/>
          <w:sz w:val="20"/>
        </w:rPr>
      </w:pPr>
      <w:r>
        <w:rPr>
          <w:rFonts w:ascii="Times New Roman" w:hAnsi="Times New Roman"/>
          <w:sz w:val="20"/>
        </w:rPr>
        <w:t xml:space="preserve">(b)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 </w:t>
      </w:r>
    </w:p>
    <w:p>
      <w:pPr>
        <w:pStyle w:val="TextBody"/>
        <w:spacing w:before="180" w:after="0"/>
        <w:rPr>
          <w:rFonts w:ascii="Times New Roman" w:hAnsi="Times New Roman"/>
          <w:sz w:val="20"/>
        </w:rPr>
      </w:pPr>
      <w:r>
        <w:rPr>
          <w:rFonts w:ascii="Times New Roman" w:hAnsi="Times New Roman"/>
          <w:sz w:val="20"/>
        </w:rPr>
        <w:t xml:space="preserve">(c)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 </w:t>
      </w:r>
    </w:p>
    <w:p>
      <w:pPr>
        <w:pStyle w:val="TextBody"/>
        <w:spacing w:before="180" w:after="0"/>
        <w:rPr>
          <w:rFonts w:ascii="Times New Roman" w:hAnsi="Times New Roman"/>
          <w:sz w:val="20"/>
        </w:rPr>
      </w:pPr>
      <w:r>
        <w:rPr>
          <w:rFonts w:ascii="Times New Roman" w:hAnsi="Times New Roman"/>
          <w:sz w:val="20"/>
        </w:rPr>
        <w:t xml:space="preserve">(d)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 </w:t>
      </w:r>
    </w:p>
    <w:p>
      <w:pPr>
        <w:pStyle w:val="TextBody"/>
        <w:spacing w:before="180" w:after="0"/>
        <w:rPr>
          <w:rFonts w:ascii="Times New Roman" w:hAnsi="Times New Roman"/>
          <w:sz w:val="20"/>
        </w:rPr>
      </w:pPr>
      <w:r>
        <w:rPr>
          <w:rFonts w:ascii="Times New Roman" w:hAnsi="Times New Roman"/>
          <w:sz w:val="20"/>
        </w:rPr>
        <w:t xml:space="preserve">(e)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 </w:t>
      </w:r>
    </w:p>
    <w:p>
      <w:pPr>
        <w:pStyle w:val="TextBody"/>
        <w:spacing w:before="180" w:after="0"/>
        <w:rPr>
          <w:rFonts w:ascii="Times New Roman" w:hAnsi="Times New Roman"/>
          <w:sz w:val="20"/>
        </w:rPr>
      </w:pPr>
      <w:r>
        <w:rPr>
          <w:rFonts w:ascii="Times New Roman" w:hAnsi="Times New Roman"/>
          <w:sz w:val="20"/>
        </w:rPr>
        <w:t xml:space="preserve">(f)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 </w:t>
      </w:r>
    </w:p>
    <w:p>
      <w:pPr>
        <w:pStyle w:val="TextBody"/>
        <w:spacing w:before="180" w:after="0"/>
        <w:rPr>
          <w:rFonts w:ascii="Times New Roman" w:hAnsi="Times New Roman"/>
          <w:sz w:val="20"/>
        </w:rPr>
      </w:pPr>
      <w:r>
        <w:rPr>
          <w:rFonts w:ascii="Times New Roman" w:hAnsi="Times New Roman"/>
          <w:sz w:val="20"/>
        </w:rPr>
        <w:t xml:space="preserve">(h) the Issuers shall have delivered to the Trustee an Officers Certificate and an Opinion of Counsel, each stating that all conditions precedent provided for or relating to the Legal Defeasance or the Covenant Defeasance have been complied with. </w:t>
      </w:r>
    </w:p>
    <w:p>
      <w:pPr>
        <w:pStyle w:val="TextBody"/>
        <w:spacing w:before="180" w:after="0"/>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Deposited Money and U.S. Government Obligations to be Held in Trust; Other Miscellaneous Provisions</w:t>
      </w:r>
      <w:r>
        <w:rPr>
          <w:rFonts w:ascii="Times New Roman" w:hAnsi="Times New Roman"/>
          <w:sz w:val="20"/>
        </w:rPr>
        <w:t xml:space="preserve">.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 </w:t>
      </w:r>
    </w:p>
    <w:p>
      <w:pPr>
        <w:pStyle w:val="TextBody"/>
        <w:spacing w:before="180" w:after="0"/>
        <w:rPr>
          <w:rFonts w:ascii="Times New Roman" w:hAnsi="Times New Roman"/>
          <w:sz w:val="20"/>
        </w:rPr>
      </w:pPr>
      <w:r>
        <w:rPr>
          <w:rFonts w:ascii="Times New Roman" w:hAnsi="Times New Roman"/>
          <w:sz w:val="20"/>
        </w:rPr>
        <w:t xml:space="preserve">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 </w:t>
      </w:r>
    </w:p>
    <w:p>
      <w:pPr>
        <w:pStyle w:val="TextBody"/>
        <w:spacing w:before="180" w:after="0"/>
        <w:rPr>
          <w:rFonts w:ascii="Times New Roman" w:hAnsi="Times New Roman"/>
          <w:sz w:val="20"/>
        </w:rPr>
      </w:pPr>
      <w:r>
        <w:rPr>
          <w:rFonts w:ascii="Times New Roman" w:hAnsi="Times New Roman"/>
          <w:sz w:val="20"/>
        </w:rPr>
        <w:t xml:space="preserve">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spacing w:before="180" w:after="0"/>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Repayment to Issuers</w:t>
      </w:r>
      <w:r>
        <w:rPr>
          <w:rFonts w:ascii="Times New Roman" w:hAnsi="Times New Roman"/>
          <w:sz w:val="20"/>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before being required to make any such repayment, may at the expense of the Issuers cause to be published once, in the </w:t>
      </w:r>
      <w:r>
        <w:rPr>
          <w:rFonts w:ascii="Times New Roman" w:hAnsi="Times New Roman"/>
          <w:i/>
          <w:sz w:val="20"/>
        </w:rPr>
        <w:t>New York Times</w:t>
      </w:r>
      <w:r>
        <w:rPr>
          <w:rFonts w:ascii="Times New Roman" w:hAnsi="Times New Roman"/>
          <w:sz w:val="20"/>
        </w:rPr>
        <w:t xml:space="preserve"> and </w:t>
      </w:r>
      <w:r>
        <w:rPr>
          <w:rFonts w:ascii="Times New Roman" w:hAnsi="Times New Roman"/>
          <w:i/>
          <w:sz w:val="20"/>
        </w:rPr>
        <w:t xml:space="preserve">The Wall Street Journal </w:t>
      </w:r>
      <w:r>
        <w:rPr>
          <w:rFonts w:ascii="Times New Roman" w:hAnsi="Times New Roman"/>
          <w:sz w:val="20"/>
        </w:rPr>
        <w:t xml:space="preserve">(national edition), notice that such money remains unclaimed and that, after a date specified therein, which shall not be less than 30 days from the date of such notification or publication, any unclaimed balance of such money then remaining shall be repaid to the Issuers.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Reinstatement</w:t>
      </w:r>
      <w:r>
        <w:rPr>
          <w:rFonts w:ascii="Times New Roman" w:hAnsi="Times New Roman"/>
          <w:sz w:val="20"/>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 </w:t>
      </w:r>
    </w:p>
    <w:p>
      <w:pPr>
        <w:pStyle w:val="TextBody"/>
        <w:spacing w:before="270" w:after="0"/>
        <w:jc w:val="center"/>
        <w:rPr>
          <w:rFonts w:ascii="Times New Roman" w:hAnsi="Times New Roman"/>
          <w:sz w:val="20"/>
        </w:rPr>
      </w:pPr>
      <w:r>
        <w:rPr>
          <w:rFonts w:ascii="Times New Roman" w:hAnsi="Times New Roman"/>
          <w:sz w:val="20"/>
        </w:rPr>
        <w:t xml:space="preserve">ARTICLE IX </w:t>
      </w:r>
    </w:p>
    <w:p>
      <w:pPr>
        <w:pStyle w:val="TextBody"/>
        <w:spacing w:before="0" w:after="0"/>
        <w:jc w:val="center"/>
        <w:rPr>
          <w:rFonts w:ascii="Times New Roman" w:hAnsi="Times New Roman"/>
          <w:sz w:val="20"/>
        </w:rPr>
      </w:pPr>
      <w:r>
        <w:rPr>
          <w:rFonts w:ascii="Times New Roman" w:hAnsi="Times New Roman"/>
          <w:sz w:val="20"/>
        </w:rPr>
        <w:t xml:space="preserve">SUBSIDIARY GUARANTEES </w:t>
      </w:r>
    </w:p>
    <w:p>
      <w:pPr>
        <w:pStyle w:val="TextBody"/>
        <w:spacing w:before="180" w:after="0"/>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Subsidiary Guarantees</w:t>
      </w:r>
      <w:r>
        <w:rPr>
          <w:rFonts w:ascii="Times New Roman" w:hAnsi="Times New Roman"/>
          <w:sz w:val="20"/>
        </w:rPr>
        <w:t xml:space="preserve">.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 </w:t>
      </w:r>
    </w:p>
    <w:p>
      <w:pPr>
        <w:pStyle w:val="TextBody"/>
        <w:spacing w:before="180" w:after="0"/>
        <w:rPr>
          <w:rFonts w:ascii="Times New Roman" w:hAnsi="Times New Roman"/>
          <w:sz w:val="20"/>
        </w:rPr>
      </w:pPr>
      <w:r>
        <w:rPr>
          <w:rFonts w:ascii="Times New Roman" w:hAnsi="Times New Roman"/>
          <w:sz w:val="20"/>
        </w:rPr>
        <w:t xml:space="preserve">(b)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 </w:t>
      </w:r>
    </w:p>
    <w:p>
      <w:pPr>
        <w:pStyle w:val="TextBody"/>
        <w:spacing w:before="180" w:after="0"/>
        <w:rPr>
          <w:rFonts w:ascii="Times New Roman" w:hAnsi="Times New Roman"/>
          <w:sz w:val="20"/>
        </w:rPr>
      </w:pPr>
      <w:r>
        <w:rPr>
          <w:rFonts w:ascii="Times New Roman" w:hAnsi="Times New Roman"/>
          <w:sz w:val="20"/>
        </w:rPr>
        <w:t xml:space="preserve">(d)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 </w:t>
      </w:r>
    </w:p>
    <w:p>
      <w:pPr>
        <w:pStyle w:val="TextBody"/>
        <w:spacing w:before="180" w:after="0"/>
        <w:rPr>
          <w:rFonts w:ascii="Times New Roman" w:hAnsi="Times New Roman"/>
          <w:sz w:val="20"/>
        </w:rPr>
      </w:pPr>
      <w:r>
        <w:rPr>
          <w:rFonts w:ascii="Times New Roman" w:hAnsi="Times New Roman"/>
          <w:sz w:val="20"/>
        </w:rPr>
        <w:t xml:space="preserve">(e)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 </w:t>
      </w:r>
    </w:p>
    <w:p>
      <w:pPr>
        <w:pStyle w:val="TextBody"/>
        <w:spacing w:before="180" w:after="0"/>
        <w:rPr>
          <w:rFonts w:ascii="Times New Roman" w:hAnsi="Times New Roman"/>
          <w:sz w:val="20"/>
        </w:rPr>
      </w:pPr>
      <w:r>
        <w:rPr>
          <w:rFonts w:ascii="Times New Roman" w:hAnsi="Times New Roman"/>
          <w:sz w:val="20"/>
        </w:rPr>
        <w:t xml:space="preserve">(f)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 </w:t>
      </w:r>
    </w:p>
    <w:p>
      <w:pPr>
        <w:pStyle w:val="TextBody"/>
        <w:spacing w:before="180" w:after="0"/>
        <w:rPr>
          <w:rFonts w:ascii="Times New Roman" w:hAnsi="Times New Roman"/>
          <w:sz w:val="20"/>
        </w:rPr>
      </w:pPr>
      <w:r>
        <w:rPr>
          <w:rFonts w:ascii="Times New Roman" w:hAnsi="Times New Roman"/>
          <w:sz w:val="20"/>
        </w:rPr>
        <w:t xml:space="preserve">(g)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(h) Each Subsidiary Guarantor also agrees to pay any and all costs and expenses (including reasonable attorneys fees) incurred by the Trustee or any Holder in enforcing any rights under this Section 9.01. </w:t>
      </w:r>
    </w:p>
    <w:p>
      <w:pPr>
        <w:pStyle w:val="TextBody"/>
        <w:spacing w:before="180" w:after="0"/>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Limitation on Liability</w:t>
      </w:r>
      <w:r>
        <w:rPr>
          <w:rFonts w:ascii="Times New Roman" w:hAnsi="Times New Roman"/>
          <w:sz w:val="20"/>
        </w:rPr>
        <w:t xml:space="preserve">.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 </w:t>
      </w:r>
    </w:p>
    <w:p>
      <w:pPr>
        <w:pStyle w:val="TextBody"/>
        <w:spacing w:before="180" w:after="0"/>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Successors and Assigns</w:t>
      </w:r>
      <w:r>
        <w:rPr>
          <w:rFonts w:ascii="Times New Roman" w:hAnsi="Times New Roman"/>
          <w:sz w:val="20"/>
        </w:rPr>
        <w:t xml:space="preserve">.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 </w:t>
      </w:r>
    </w:p>
    <w:p>
      <w:pPr>
        <w:pStyle w:val="TextBody"/>
        <w:spacing w:before="180" w:after="0"/>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No Waiver</w:t>
      </w:r>
      <w:r>
        <w:rPr>
          <w:rFonts w:ascii="Times New Roman" w:hAnsi="Times New Roman"/>
          <w:sz w:val="20"/>
        </w:rPr>
        <w:t xml:space="preserve">.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 </w:t>
      </w:r>
    </w:p>
    <w:p>
      <w:pPr>
        <w:pStyle w:val="TextBody"/>
        <w:spacing w:before="180" w:after="0"/>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Modification</w:t>
      </w:r>
      <w:r>
        <w:rPr>
          <w:rFonts w:ascii="Times New Roman" w:hAnsi="Times New Roman"/>
          <w:sz w:val="20"/>
        </w:rPr>
        <w:t xml:space="preserve">.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 </w:t>
      </w:r>
    </w:p>
    <w:p>
      <w:pPr>
        <w:pStyle w:val="TextBody"/>
        <w:spacing w:before="180" w:after="0"/>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Execution of Supplemental Indenture for Future Subsidiary Guarantors</w:t>
      </w:r>
      <w:r>
        <w:rPr>
          <w:rFonts w:ascii="Times New Roman" w:hAnsi="Times New Roman"/>
          <w:sz w:val="20"/>
        </w:rPr>
        <w:t xml:space="preserve">.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 </w:t>
      </w:r>
    </w:p>
    <w:p>
      <w:pPr>
        <w:pStyle w:val="TextBody"/>
        <w:spacing w:before="180" w:after="0"/>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Release of Guarantee</w:t>
      </w:r>
      <w:r>
        <w:rPr>
          <w:rFonts w:ascii="Times New Roman" w:hAnsi="Times New Roman"/>
          <w:sz w:val="20"/>
        </w:rPr>
        <w:t xml:space="preserve">.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 </w:t>
      </w:r>
    </w:p>
    <w:p>
      <w:pPr>
        <w:pStyle w:val="TextBody"/>
        <w:spacing w:before="180" w:after="0"/>
        <w:rPr>
          <w:rFonts w:ascii="Times New Roman" w:hAnsi="Times New Roman"/>
          <w:sz w:val="20"/>
        </w:rPr>
      </w:pPr>
      <w:r>
        <w:rPr>
          <w:rFonts w:ascii="Times New Roman" w:hAnsi="Times New Roman"/>
          <w:sz w:val="20"/>
        </w:rPr>
        <w:t xml:space="preserve">(a)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 </w:t>
      </w:r>
    </w:p>
    <w:p>
      <w:pPr>
        <w:pStyle w:val="TextBody"/>
        <w:spacing w:before="180" w:after="0"/>
        <w:rPr>
          <w:rFonts w:ascii="Times New Roman" w:hAnsi="Times New Roman"/>
          <w:sz w:val="20"/>
        </w:rPr>
      </w:pPr>
      <w:r>
        <w:rPr>
          <w:rFonts w:ascii="Times New Roman" w:hAnsi="Times New Roman"/>
          <w:sz w:val="20"/>
        </w:rPr>
        <w:t xml:space="preserve">(b) upon any sale or other disposition of all of the Equity Interests of a Subsidiary Guarantor, to any Person that is not an Affiliate of either of the Issuers; or </w:t>
      </w:r>
    </w:p>
    <w:p>
      <w:pPr>
        <w:pStyle w:val="TextBody"/>
        <w:spacing w:before="180" w:after="0"/>
        <w:rPr>
          <w:rFonts w:ascii="Times New Roman" w:hAnsi="Times New Roman"/>
          <w:sz w:val="20"/>
        </w:rPr>
      </w:pPr>
      <w:r>
        <w:rPr>
          <w:rFonts w:ascii="Times New Roman" w:hAnsi="Times New Roman"/>
          <w:sz w:val="20"/>
        </w:rPr>
        <w:t xml:space="preserve">(c) following the release or discharge of all guarantees by such Subsidiary Guarantor of any Debt of the Issuers (other than any Debt Securities), upon delivery by the Issuers to the Trustee of a written notice of such release or discharge from the guarantees. </w:t>
      </w:r>
    </w:p>
    <w:p>
      <w:pPr>
        <w:pStyle w:val="TextBody"/>
        <w:spacing w:before="270" w:after="0"/>
        <w:jc w:val="center"/>
        <w:rPr>
          <w:rFonts w:ascii="Times New Roman" w:hAnsi="Times New Roman"/>
          <w:sz w:val="20"/>
        </w:rPr>
      </w:pPr>
      <w:r>
        <w:rPr>
          <w:rFonts w:ascii="Times New Roman" w:hAnsi="Times New Roman"/>
          <w:sz w:val="20"/>
        </w:rPr>
        <w:t xml:space="preserve">ARTICLE X </w:t>
      </w:r>
    </w:p>
    <w:p>
      <w:pPr>
        <w:pStyle w:val="TextBody"/>
        <w:spacing w:before="0" w:after="0"/>
        <w:jc w:val="center"/>
        <w:rPr>
          <w:rFonts w:ascii="Times New Roman" w:hAnsi="Times New Roman"/>
          <w:sz w:val="20"/>
        </w:rPr>
      </w:pPr>
      <w:r>
        <w:rPr>
          <w:rFonts w:ascii="Times New Roman" w:hAnsi="Times New Roman"/>
          <w:sz w:val="20"/>
        </w:rPr>
        <w:t xml:space="preserve">MISCELLANEOUS </w:t>
      </w:r>
    </w:p>
    <w:p>
      <w:pPr>
        <w:pStyle w:val="TextBody"/>
        <w:spacing w:before="180" w:after="0"/>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Additional Amendments</w:t>
      </w:r>
      <w:r>
        <w:rPr>
          <w:rFonts w:ascii="Times New Roman" w:hAnsi="Times New Roman"/>
          <w:sz w:val="20"/>
        </w:rPr>
        <w:t xml:space="preserve">.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w:t>
      </w:r>
    </w:p>
    <w:p>
      <w:pPr>
        <w:pStyle w:val="TextBody"/>
        <w:spacing w:before="180" w:after="0"/>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Integral Part</w:t>
      </w:r>
      <w:r>
        <w:rPr>
          <w:rFonts w:ascii="Times New Roman" w:hAnsi="Times New Roman"/>
          <w:sz w:val="20"/>
        </w:rPr>
        <w:t xml:space="preserve">. This Supplemental Indenture constitutes an integral part of the Indenture. </w:t>
      </w:r>
    </w:p>
    <w:p>
      <w:pPr>
        <w:pStyle w:val="TextBody"/>
        <w:spacing w:before="180" w:after="0"/>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Adoption, Ratification and Confirmation</w:t>
      </w:r>
      <w:r>
        <w:rPr>
          <w:rFonts w:ascii="Times New Roman" w:hAnsi="Times New Roman"/>
          <w:sz w:val="20"/>
        </w:rPr>
        <w:t xml:space="preserve">. The Original Indenture, as supplemented and amended by this Supplemental Indenture, is in all respects hereby adopted, ratified and confirmed. </w:t>
      </w:r>
    </w:p>
    <w:p>
      <w:pPr>
        <w:pStyle w:val="TextBody"/>
        <w:spacing w:before="180" w:after="0"/>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Counterparts</w:t>
      </w:r>
      <w:r>
        <w:rPr>
          <w:rFonts w:ascii="Times New Roman" w:hAnsi="Times New Roman"/>
          <w:sz w:val="20"/>
        </w:rPr>
        <w:t xml:space="preserve">. This Supplemental Indenture may be executed in any number of counterparts, each of which when so executed shall be deemed an original; and all such counterparts shall together constitute but one and the same instrument.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Governing Law</w:t>
      </w:r>
      <w:r>
        <w:rPr>
          <w:rFonts w:ascii="Times New Roman" w:hAnsi="Times New Roman"/>
          <w:sz w:val="20"/>
        </w:rPr>
        <w:t xml:space="preserve">. </w:t>
      </w:r>
      <w:r>
        <w:rPr>
          <w:rFonts w:ascii="Times New Roman" w:hAnsi="Times New Roman"/>
          <w:b/>
          <w:sz w:val="20"/>
        </w:rPr>
        <w:t>THIS SUPPLEMENTAL INDENTURE AND THE NOTES SHALL BE GOVERNED BY AND CONSTRUED IN ACCORDANCE WITH THE LAWS OF THE STATE OF NEW YORK.</w:t>
      </w:r>
      <w:r>
        <w:rPr>
          <w:rFonts w:ascii="Times New Roman" w:hAnsi="Times New Roman"/>
          <w:sz w:val="20"/>
        </w:rPr>
        <w:t xml:space="preserve"> </w:t>
      </w:r>
    </w:p>
    <w:p>
      <w:pPr>
        <w:pStyle w:val="TextBody"/>
        <w:spacing w:before="360" w:after="0"/>
        <w:jc w:val="center"/>
        <w:rPr>
          <w:rFonts w:ascii="Times New Roman" w:hAnsi="Times New Roman"/>
          <w:sz w:val="20"/>
        </w:rPr>
      </w:pPr>
      <w:r>
        <w:rPr>
          <w:rFonts w:ascii="Times New Roman" w:hAnsi="Times New Roman"/>
          <w:sz w:val="20"/>
        </w:rPr>
        <w:t xml:space="preserve">[Signatures on following pages]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SIGNATURES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5"/>
        <w:gridCol w:w="60"/>
        <w:gridCol w:w="314"/>
        <w:gridCol w:w="60"/>
        <w:gridCol w:w="3243"/>
      </w:tblGrid>
      <w:tr>
        <w:trPr/>
        <w:tc>
          <w:tcPr>
            <w:tcW w:w="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43"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ISSUERS</w:t>
            </w:r>
            <w:r>
              <w:rPr>
                <w:rFonts w:ascii="Times New Roman" w:hAnsi="Times New Roman"/>
                <w:b/>
                <w:sz w:val="20"/>
              </w:rPr>
              <w:t>:</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405" w:type="dxa"/>
            <w:tcBorders/>
            <w:shd w:fill="auto" w:val="clear"/>
            <w:vAlign w:val="center"/>
          </w:tcPr>
          <w:p>
            <w:pPr>
              <w:pStyle w:val="TableContents"/>
              <w:spacing w:before="0" w:after="283"/>
              <w:rPr>
                <w:sz w:val="4"/>
                <w:szCs w:val="4"/>
              </w:rPr>
            </w:pPr>
            <w:r>
              <w:rPr>
                <w:sz w:val="4"/>
                <w:szCs w:val="4"/>
              </w:rPr>
            </w:r>
          </w:p>
        </w:tc>
        <w:tc>
          <w:tcPr>
            <w:tcW w:w="3677" w:type="dxa"/>
            <w:gridSpan w:val="4"/>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405" w:type="dxa"/>
            <w:tcBorders/>
            <w:shd w:fill="auto" w:val="clear"/>
            <w:vAlign w:val="center"/>
          </w:tcPr>
          <w:p>
            <w:pPr>
              <w:pStyle w:val="TableContents"/>
              <w:spacing w:before="0" w:after="283"/>
              <w:rPr>
                <w:sz w:val="4"/>
                <w:szCs w:val="4"/>
              </w:rPr>
            </w:pPr>
            <w:r>
              <w:rPr>
                <w:sz w:val="4"/>
                <w:szCs w:val="4"/>
              </w:rPr>
            </w:r>
          </w:p>
        </w:tc>
        <w:tc>
          <w:tcPr>
            <w:tcW w:w="3677" w:type="dxa"/>
            <w:gridSpan w:val="4"/>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405" w:type="dxa"/>
            <w:tcBorders/>
            <w:shd w:fill="auto" w:val="clear"/>
            <w:vAlign w:val="center"/>
          </w:tcPr>
          <w:p>
            <w:pPr>
              <w:pStyle w:val="TableContents"/>
              <w:spacing w:before="0" w:after="283"/>
              <w:rPr>
                <w:sz w:val="4"/>
                <w:szCs w:val="4"/>
              </w:rPr>
            </w:pPr>
            <w:r>
              <w:rPr>
                <w:sz w:val="4"/>
                <w:szCs w:val="4"/>
              </w:rPr>
            </w:r>
          </w:p>
        </w:tc>
        <w:tc>
          <w:tcPr>
            <w:tcW w:w="3677" w:type="dxa"/>
            <w:gridSpan w:val="4"/>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480" w:hRule="atLeast"/>
        </w:trPr>
        <w:tc>
          <w:tcPr>
            <w:tcW w:w="405"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3303" w:type="dxa"/>
            <w:gridSpan w:val="2"/>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243" w:type="dxa"/>
            <w:tcBorders/>
            <w:shd w:fill="auto" w:val="clear"/>
            <w:vAlign w:val="bottom"/>
          </w:tcPr>
          <w:p>
            <w:pPr>
              <w:pStyle w:val="TableContents"/>
              <w:pBdr>
                <w:bottom w:val="single" w:sz="2" w:space="1" w:color="000000"/>
              </w:pBdr>
              <w:spacing w:before="0" w:after="15"/>
              <w:rPr/>
            </w:pPr>
            <w:r>
              <w:rPr/>
              <w:t>    </w:t>
            </w:r>
            <w:r>
              <w:rPr>
                <w:rFonts w:ascii="Times New Roman" w:hAnsi="Times New Roman"/>
                <w:sz w:val="20"/>
              </w:rPr>
              <w:t>/s/ Charles Kingswell-Smith</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Charles Kingswell-Smith</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 and Treasurer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PAA FINANCE CORP.</w:t>
            </w:r>
          </w:p>
        </w:tc>
      </w:tr>
      <w:tr>
        <w:trPr>
          <w:trHeight w:val="480" w:hRule="atLeast"/>
        </w:trPr>
        <w:tc>
          <w:tcPr>
            <w:tcW w:w="405"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3303" w:type="dxa"/>
            <w:gridSpan w:val="2"/>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243" w:type="dxa"/>
            <w:tcBorders/>
            <w:shd w:fill="auto" w:val="clear"/>
            <w:vAlign w:val="bottom"/>
          </w:tcPr>
          <w:p>
            <w:pPr>
              <w:pStyle w:val="TableContents"/>
              <w:pBdr>
                <w:bottom w:val="single" w:sz="2" w:space="1" w:color="000000"/>
              </w:pBdr>
              <w:spacing w:before="0" w:after="15"/>
              <w:rPr/>
            </w:pPr>
            <w:r>
              <w:rPr/>
              <w:t>    </w:t>
            </w:r>
            <w:r>
              <w:rPr>
                <w:rFonts w:ascii="Times New Roman" w:hAnsi="Times New Roman"/>
                <w:sz w:val="20"/>
              </w:rPr>
              <w:t>/s/ Charles Kingswell-Smith</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Charles Kingswell-Smith</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 and Treasurer</w:t>
            </w:r>
          </w:p>
        </w:tc>
      </w:tr>
    </w:tbl>
    <w:p>
      <w:pPr>
        <w:pStyle w:val="TextBody"/>
        <w:spacing w:before="180" w:after="0"/>
        <w:jc w:val="center"/>
        <w:rPr>
          <w:rFonts w:ascii="Times New Roman" w:hAnsi="Times New Roman"/>
          <w:i/>
          <w:sz w:val="14"/>
        </w:rPr>
      </w:pPr>
      <w:r>
        <w:rPr>
          <w:rFonts w:ascii="Times New Roman" w:hAnsi="Times New Roman"/>
          <w:i/>
          <w:sz w:val="14"/>
        </w:rPr>
        <w:t xml:space="preserve">Signature Page to Twenty-Second Supplemental Indenture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TRUSTEE</w:t>
            </w:r>
            <w:r>
              <w:rPr>
                <w:rFonts w:ascii="Times New Roman" w:hAnsi="Times New Roman"/>
                <w:b/>
                <w:sz w:val="20"/>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U.S. BANK NATIONAL ASSOCIATION,</w:t>
            </w:r>
          </w:p>
          <w:p>
            <w:pPr>
              <w:pStyle w:val="TableContents"/>
              <w:spacing w:before="0" w:after="15"/>
              <w:rPr>
                <w:rFonts w:ascii="Times New Roman" w:hAnsi="Times New Roman"/>
                <w:sz w:val="20"/>
              </w:rPr>
            </w:pPr>
            <w:r>
              <w:rPr>
                <w:rFonts w:ascii="Times New Roman" w:hAnsi="Times New Roman"/>
                <w:sz w:val="20"/>
              </w:rPr>
              <w:t>as Trustee</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pBdr>
                <w:bottom w:val="single" w:sz="2" w:space="1" w:color="000000"/>
              </w:pBdr>
              <w:spacing w:before="0" w:after="15"/>
              <w:rPr/>
            </w:pPr>
            <w:r>
              <w:rPr/>
              <w:t>    </w:t>
            </w:r>
            <w:r>
              <w:rPr>
                <w:rFonts w:ascii="Times New Roman" w:hAnsi="Times New Roman"/>
                <w:sz w:val="20"/>
              </w:rPr>
              <w:t>/s/ Steven Finklea</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Steven Finklea</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180" w:after="0"/>
        <w:jc w:val="center"/>
        <w:rPr>
          <w:rFonts w:ascii="Times New Roman" w:hAnsi="Times New Roman"/>
          <w:i/>
          <w:sz w:val="14"/>
        </w:rPr>
      </w:pPr>
      <w:r>
        <w:rPr>
          <w:rFonts w:ascii="Times New Roman" w:hAnsi="Times New Roman"/>
          <w:i/>
          <w:sz w:val="14"/>
        </w:rPr>
        <w:t xml:space="preserve">Signature Page to Twenty-Second Supplemental Indenture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u w:val="single"/>
        </w:rPr>
      </w:pPr>
      <w:r>
        <w:rPr>
          <w:rFonts w:ascii="Times New Roman" w:hAnsi="Times New Roman"/>
          <w:sz w:val="20"/>
          <w:u w:val="single"/>
        </w:rPr>
        <w:t xml:space="preserve">EXHIBIT A </w:t>
      </w:r>
    </w:p>
    <w:p>
      <w:pPr>
        <w:pStyle w:val="TextBody"/>
        <w:spacing w:before="180" w:after="0"/>
        <w:jc w:val="center"/>
        <w:rPr>
          <w:rFonts w:ascii="Times New Roman" w:hAnsi="Times New Roman"/>
          <w:sz w:val="20"/>
        </w:rPr>
      </w:pPr>
      <w:r>
        <w:rPr>
          <w:rFonts w:ascii="Times New Roman" w:hAnsi="Times New Roman"/>
          <w:sz w:val="20"/>
        </w:rPr>
        <w:t xml:space="preserve">(Form of Face of Note)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674"/>
        <w:gridCol w:w="531"/>
      </w:tblGrid>
      <w:tr>
        <w:trPr/>
        <w:tc>
          <w:tcPr>
            <w:tcW w:w="9674"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CUSIP 72650RBB7 </w:t>
            </w:r>
          </w:p>
        </w:tc>
        <w:tc>
          <w:tcPr>
            <w:tcW w:w="531" w:type="dxa"/>
            <w:tcBorders/>
            <w:shd w:fill="auto" w:val="clear"/>
          </w:tcPr>
          <w:p>
            <w:pPr>
              <w:pStyle w:val="TableContents"/>
              <w:spacing w:before="0" w:after="15"/>
              <w:jc w:val="right"/>
              <w:rPr>
                <w:rFonts w:ascii="Times New Roman" w:hAnsi="Times New Roman"/>
                <w:sz w:val="20"/>
              </w:rPr>
            </w:pPr>
            <w:r>
              <w:rPr>
                <w:rFonts w:ascii="Times New Roman" w:hAnsi="Times New Roman"/>
                <w:sz w:val="20"/>
              </w:rPr>
              <w:t>No. </w:t>
            </w:r>
            <w:r>
              <w:rPr>
                <w:rFonts w:ascii="Times New Roman" w:hAnsi="Times New Roman"/>
                <w:sz w:val="20"/>
                <w:u w:val="single"/>
              </w:rPr>
              <w:t>    </w:t>
            </w:r>
            <w:r>
              <w:rPr>
                <w:rFonts w:ascii="Times New Roman" w:hAnsi="Times New Roman"/>
                <w:sz w:val="20"/>
              </w:rPr>
              <w:t xml:space="preserve"> </w:t>
            </w:r>
          </w:p>
        </w:tc>
      </w:tr>
    </w:tbl>
    <w:tbl>
      <w:tblPr>
        <w:tblW w:w="5000" w:type="pct"/>
        <w:jc w:val="left"/>
        <w:tblInd w:w="0" w:type="dxa"/>
        <w:tblCellMar>
          <w:top w:w="0" w:type="dxa"/>
          <w:left w:w="0" w:type="dxa"/>
          <w:bottom w:w="0" w:type="dxa"/>
          <w:right w:w="0" w:type="dxa"/>
        </w:tblCellMar>
      </w:tblPr>
      <w:tblGrid>
        <w:gridCol w:w="9179"/>
        <w:gridCol w:w="1026"/>
      </w:tblGrid>
      <w:tr>
        <w:trPr/>
        <w:tc>
          <w:tcPr>
            <w:tcW w:w="9179"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ISIN US72650RBB78 </w:t>
            </w:r>
          </w:p>
        </w:tc>
        <w:tc>
          <w:tcPr>
            <w:tcW w:w="1026" w:type="dxa"/>
            <w:tcBorders/>
            <w:shd w:fill="auto" w:val="clear"/>
          </w:tcPr>
          <w:p>
            <w:pPr>
              <w:pStyle w:val="TableContents"/>
              <w:spacing w:before="0" w:after="15"/>
              <w:jc w:val="righ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w:t>
            </w:r>
          </w:p>
        </w:tc>
      </w:tr>
    </w:tbl>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PAA FINANCE CORP. </w:t>
      </w:r>
    </w:p>
    <w:p>
      <w:pPr>
        <w:pStyle w:val="TextBody"/>
        <w:spacing w:before="180" w:after="0"/>
        <w:jc w:val="center"/>
        <w:rPr>
          <w:rFonts w:ascii="Times New Roman" w:hAnsi="Times New Roman"/>
          <w:sz w:val="20"/>
        </w:rPr>
      </w:pPr>
      <w:r>
        <w:rPr>
          <w:rFonts w:ascii="Times New Roman" w:hAnsi="Times New Roman"/>
          <w:sz w:val="20"/>
        </w:rPr>
        <w:t xml:space="preserve">2.85% Senior Notes due 2023 </w:t>
      </w:r>
    </w:p>
    <w:p>
      <w:pPr>
        <w:pStyle w:val="TextBody"/>
        <w:spacing w:before="180" w:after="0"/>
        <w:rPr/>
      </w:pPr>
      <w:r>
        <w:rPr>
          <w:rFonts w:ascii="Times New Roman" w:hAnsi="Times New Roman"/>
          <w:sz w:val="20"/>
        </w:rPr>
        <w:t xml:space="preserve">Plains All American Pipeline, L.P., a Delaware limited partnership, and PAA Finance Corp., a Delaware corporation, jointly and severally promise to pay to </w:t>
      </w:r>
      <w:r>
        <w:rPr>
          <w:rFonts w:ascii="Times New Roman" w:hAnsi="Times New Roman"/>
          <w:sz w:val="20"/>
          <w:u w:val="single"/>
        </w:rPr>
        <w:t>                    </w:t>
      </w:r>
      <w:r>
        <w:rPr>
          <w:rFonts w:ascii="Times New Roman" w:hAnsi="Times New Roman"/>
          <w:sz w:val="20"/>
        </w:rPr>
        <w:t xml:space="preserve">, or registered assigns, the principal sum of </w:t>
      </w:r>
      <w:r>
        <w:rPr>
          <w:rFonts w:ascii="Times New Roman" w:hAnsi="Times New Roman"/>
          <w:sz w:val="20"/>
          <w:u w:val="single"/>
        </w:rPr>
        <w:t>                    </w:t>
      </w:r>
      <w:r>
        <w:rPr>
          <w:rFonts w:ascii="Times New Roman" w:hAnsi="Times New Roman"/>
          <w:sz w:val="20"/>
        </w:rPr>
        <w:t xml:space="preserve"> Dollars [or such greater or lesser amount as may be endorsed on the Schedule attached hereto]</w:t>
      </w:r>
      <w:r>
        <w:rPr>
          <w:rFonts w:ascii="Times New Roman" w:hAnsi="Times New Roman"/>
          <w:sz w:val="14"/>
        </w:rPr>
        <w:t>1</w:t>
      </w:r>
      <w:r>
        <w:rPr/>
        <w:t xml:space="preserve"> </w:t>
      </w:r>
      <w:r>
        <w:rPr>
          <w:rFonts w:ascii="Times New Roman" w:hAnsi="Times New Roman"/>
          <w:sz w:val="20"/>
        </w:rPr>
        <w:t xml:space="preserve">on January 31, 2023. </w:t>
      </w:r>
    </w:p>
    <w:p>
      <w:pPr>
        <w:pStyle w:val="TextBody"/>
        <w:spacing w:before="180" w:after="0"/>
        <w:rPr>
          <w:rFonts w:ascii="Times New Roman" w:hAnsi="Times New Roman"/>
          <w:sz w:val="20"/>
        </w:rPr>
      </w:pPr>
      <w:r>
        <w:rPr>
          <w:rFonts w:ascii="Times New Roman" w:hAnsi="Times New Roman"/>
          <w:sz w:val="20"/>
        </w:rPr>
        <w:t xml:space="preserve">Interest Payment Dates: January 31 and July 31 </w:t>
      </w:r>
    </w:p>
    <w:p>
      <w:pPr>
        <w:pStyle w:val="TextBody"/>
        <w:spacing w:before="0" w:after="0"/>
        <w:rPr>
          <w:rFonts w:ascii="Times New Roman" w:hAnsi="Times New Roman"/>
          <w:sz w:val="20"/>
        </w:rPr>
      </w:pPr>
      <w:r>
        <w:rPr>
          <w:rFonts w:ascii="Times New Roman" w:hAnsi="Times New Roman"/>
          <w:sz w:val="20"/>
        </w:rPr>
        <w:t xml:space="preserve">Record Dates: January 15 and July 15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6"/>
        <w:gridCol w:w="60"/>
        <w:gridCol w:w="710"/>
        <w:gridCol w:w="60"/>
        <w:gridCol w:w="2626"/>
      </w:tblGrid>
      <w:tr>
        <w:trPr/>
        <w:tc>
          <w:tcPr>
            <w:tcW w:w="6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626"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626" w:type="dxa"/>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2686" w:type="dxa"/>
            <w:gridSpan w:val="2"/>
            <w:tcBorders/>
            <w:shd w:fill="auto" w:val="clear"/>
            <w:vAlign w:val="center"/>
          </w:tcPr>
          <w:p>
            <w:pPr>
              <w:pStyle w:val="TableContents"/>
              <w:spacing w:before="0" w:after="283"/>
              <w:rPr>
                <w:sz w:val="4"/>
                <w:szCs w:val="4"/>
              </w:rPr>
            </w:pPr>
            <w:r>
              <w:rPr>
                <w:sz w:val="4"/>
                <w:szCs w:val="4"/>
              </w:rPr>
            </w:r>
          </w:p>
        </w:tc>
      </w:tr>
      <w:tr>
        <w:trPr/>
        <w:tc>
          <w:tcPr>
            <w:tcW w:w="6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2626" w:type="dxa"/>
            <w:tcBorders/>
            <w:shd w:fill="auto" w:val="clear"/>
            <w:vAlign w:val="bottom"/>
          </w:tcPr>
          <w:p>
            <w:pPr>
              <w:pStyle w:val="TableContents"/>
              <w:pBdr>
                <w:bottom w:val="single" w:sz="2" w:space="1" w:color="000000"/>
              </w:pBdr>
              <w:spacing w:before="0" w:after="15"/>
              <w:rPr/>
            </w:pPr>
            <w:r>
              <w:rPr/>
              <w:t> </w:t>
            </w:r>
          </w:p>
        </w:tc>
      </w:tr>
      <w:tr>
        <w:trPr/>
        <w:tc>
          <w:tcPr>
            <w:tcW w:w="6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2626" w:type="dxa"/>
            <w:tcBorders/>
            <w:shd w:fill="auto" w:val="clear"/>
            <w:vAlign w:val="bottom"/>
          </w:tcPr>
          <w:p>
            <w:pPr>
              <w:pStyle w:val="TableContents"/>
              <w:spacing w:before="0" w:after="283"/>
              <w:rPr>
                <w:sz w:val="4"/>
                <w:szCs w:val="4"/>
              </w:rPr>
            </w:pPr>
            <w:r>
              <w:rPr>
                <w:sz w:val="4"/>
                <w:szCs w:val="4"/>
              </w:rPr>
            </w:r>
          </w:p>
        </w:tc>
      </w:tr>
      <w:tr>
        <w:trPr/>
        <w:tc>
          <w:tcPr>
            <w:tcW w:w="6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2626"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PAA FINANCE CORP.</w:t>
            </w:r>
          </w:p>
        </w:tc>
      </w:tr>
      <w:tr>
        <w:trPr>
          <w:trHeight w:val="240" w:hRule="atLeast"/>
        </w:trPr>
        <w:tc>
          <w:tcPr>
            <w:tcW w:w="626" w:type="dxa"/>
            <w:tcBorders/>
            <w:shd w:fill="auto" w:val="clear"/>
            <w:vAlign w:val="center"/>
          </w:tcPr>
          <w:p>
            <w:pPr>
              <w:pStyle w:val="TableContents"/>
              <w:spacing w:before="0" w:after="283"/>
              <w:rPr>
                <w:sz w:val="4"/>
                <w:szCs w:val="4"/>
              </w:rPr>
            </w:pPr>
            <w:r>
              <w:rPr>
                <w:sz w:val="4"/>
                <w:szCs w:val="4"/>
              </w:rPr>
            </w:r>
          </w:p>
        </w:tc>
        <w:tc>
          <w:tcPr>
            <w:tcW w:w="3456" w:type="dxa"/>
            <w:gridSpan w:val="4"/>
            <w:tcBorders/>
            <w:shd w:fill="auto" w:val="clear"/>
            <w:vAlign w:val="center"/>
          </w:tcPr>
          <w:p>
            <w:pPr>
              <w:pStyle w:val="TableContents"/>
              <w:spacing w:before="0" w:after="283"/>
              <w:rPr>
                <w:sz w:val="4"/>
                <w:szCs w:val="4"/>
              </w:rPr>
            </w:pPr>
            <w:r>
              <w:rPr>
                <w:sz w:val="4"/>
                <w:szCs w:val="4"/>
              </w:rPr>
            </w:r>
          </w:p>
        </w:tc>
      </w:tr>
      <w:tr>
        <w:trPr/>
        <w:tc>
          <w:tcPr>
            <w:tcW w:w="6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pBdr>
                <w:bottom w:val="single" w:sz="2" w:space="1" w:color="000000"/>
              </w:pBdr>
              <w:spacing w:before="0" w:after="15"/>
              <w:rPr/>
            </w:pPr>
            <w:r>
              <w:rPr/>
              <w:t> </w:t>
            </w:r>
          </w:p>
        </w:tc>
      </w:tr>
      <w:tr>
        <w:trPr/>
        <w:tc>
          <w:tcPr>
            <w:tcW w:w="6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spacing w:before="0" w:after="283"/>
              <w:rPr>
                <w:sz w:val="4"/>
                <w:szCs w:val="4"/>
              </w:rPr>
            </w:pPr>
            <w:r>
              <w:rPr>
                <w:sz w:val="4"/>
                <w:szCs w:val="4"/>
              </w:rPr>
            </w:r>
          </w:p>
        </w:tc>
      </w:tr>
      <w:tr>
        <w:trPr/>
        <w:tc>
          <w:tcPr>
            <w:tcW w:w="6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TRUSTEES CERTIFICATE OF </w:t>
      </w:r>
    </w:p>
    <w:p>
      <w:pPr>
        <w:pStyle w:val="TextBody"/>
        <w:spacing w:before="0" w:after="0"/>
        <w:rPr>
          <w:rFonts w:ascii="Times New Roman" w:hAnsi="Times New Roman"/>
          <w:sz w:val="20"/>
        </w:rPr>
      </w:pPr>
      <w:r>
        <w:rPr>
          <w:rFonts w:ascii="Times New Roman" w:hAnsi="Times New Roman"/>
          <w:sz w:val="20"/>
        </w:rPr>
        <w:t xml:space="preserve">AUTHENTICATION </w:t>
      </w:r>
    </w:p>
    <w:p>
      <w:pPr>
        <w:pStyle w:val="TextBody"/>
        <w:spacing w:before="180" w:after="0"/>
        <w:rPr>
          <w:rFonts w:ascii="Times New Roman" w:hAnsi="Times New Roman"/>
          <w:sz w:val="20"/>
        </w:rPr>
      </w:pPr>
      <w:r>
        <w:rPr>
          <w:rFonts w:ascii="Times New Roman" w:hAnsi="Times New Roman"/>
          <w:sz w:val="20"/>
        </w:rPr>
        <w:t xml:space="preserve">This is one of the Debt Securities of the series designated therein referred to in the within-mentioned Indenture.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295"/>
        <w:gridCol w:w="60"/>
        <w:gridCol w:w="3727"/>
      </w:tblGrid>
      <w:tr>
        <w:trPr/>
        <w:tc>
          <w:tcPr>
            <w:tcW w:w="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2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U.S. BANK NATIONAL ASSOCIATION,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as Trustee</w:t>
            </w:r>
          </w:p>
        </w:tc>
      </w:tr>
      <w:tr>
        <w:trPr>
          <w:trHeight w:val="240" w:hRule="atLeast"/>
        </w:trPr>
        <w:tc>
          <w:tcPr>
            <w:tcW w:w="295" w:type="dxa"/>
            <w:tcBorders/>
            <w:shd w:fill="auto" w:val="clear"/>
            <w:vAlign w:val="center"/>
          </w:tcPr>
          <w:p>
            <w:pPr>
              <w:pStyle w:val="TableContents"/>
              <w:spacing w:before="0" w:after="283"/>
              <w:rPr>
                <w:sz w:val="4"/>
                <w:szCs w:val="4"/>
              </w:rPr>
            </w:pPr>
            <w:r>
              <w:rPr>
                <w:sz w:val="4"/>
                <w:szCs w:val="4"/>
              </w:rPr>
            </w:r>
          </w:p>
        </w:tc>
        <w:tc>
          <w:tcPr>
            <w:tcW w:w="3787" w:type="dxa"/>
            <w:gridSpan w:val="2"/>
            <w:tcBorders/>
            <w:shd w:fill="auto" w:val="clear"/>
            <w:vAlign w:val="center"/>
          </w:tcPr>
          <w:p>
            <w:pPr>
              <w:pStyle w:val="TableContents"/>
              <w:spacing w:before="0" w:after="283"/>
              <w:rPr>
                <w:sz w:val="4"/>
                <w:szCs w:val="4"/>
              </w:rPr>
            </w:pPr>
            <w:r>
              <w:rPr>
                <w:sz w:val="4"/>
                <w:szCs w:val="4"/>
              </w:rPr>
            </w:r>
          </w:p>
        </w:tc>
      </w:tr>
      <w:tr>
        <w:trPr/>
        <w:tc>
          <w:tcPr>
            <w:tcW w:w="29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27" w:type="dxa"/>
            <w:tcBorders/>
            <w:shd w:fill="auto" w:val="clear"/>
          </w:tcPr>
          <w:p>
            <w:pPr>
              <w:pStyle w:val="TableContents"/>
              <w:pBdr>
                <w:bottom w:val="single" w:sz="2" w:space="1" w:color="000000"/>
              </w:pBdr>
              <w:spacing w:before="0" w:after="15"/>
              <w:rPr/>
            </w:pPr>
            <w:r>
              <w:rPr/>
              <w:t> </w:t>
            </w:r>
          </w:p>
        </w:tc>
      </w:tr>
      <w:tr>
        <w:trPr/>
        <w:tc>
          <w:tcPr>
            <w:tcW w:w="2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27" w:type="dxa"/>
            <w:tcBorders/>
            <w:shd w:fill="auto" w:val="clear"/>
          </w:tcPr>
          <w:p>
            <w:pPr>
              <w:pStyle w:val="TableContents"/>
              <w:spacing w:before="0" w:after="283"/>
              <w:rPr>
                <w:rFonts w:ascii="Times New Roman" w:hAnsi="Times New Roman"/>
                <w:sz w:val="20"/>
              </w:rPr>
            </w:pPr>
            <w:r>
              <w:rPr>
                <w:rFonts w:ascii="Times New Roman" w:hAnsi="Times New Roman"/>
                <w:sz w:val="20"/>
              </w:rPr>
              <w:t>Authorized Signatory</w:t>
            </w:r>
          </w:p>
        </w:tc>
      </w:tr>
    </w:tbl>
    <w:tbl>
      <w:tblPr>
        <w:tblW w:w="2000" w:type="pct"/>
        <w:jc w:val="left"/>
        <w:tblInd w:w="0" w:type="dxa"/>
        <w:tblCellMar>
          <w:top w:w="0" w:type="dxa"/>
          <w:left w:w="0" w:type="dxa"/>
          <w:bottom w:w="0" w:type="dxa"/>
          <w:right w:w="0" w:type="dxa"/>
        </w:tblCellMar>
      </w:tblPr>
      <w:tblGrid>
        <w:gridCol w:w="534"/>
        <w:gridCol w:w="61"/>
        <w:gridCol w:w="3487"/>
      </w:tblGrid>
      <w:tr>
        <w:trPr/>
        <w:tc>
          <w:tcPr>
            <w:tcW w:w="534"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487"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534" w:type="dxa"/>
            <w:tcBorders/>
            <w:shd w:fill="auto" w:val="clear"/>
            <w:vAlign w:val="center"/>
          </w:tcPr>
          <w:p>
            <w:pPr>
              <w:pStyle w:val="TableContents"/>
              <w:spacing w:before="0" w:after="283"/>
              <w:rPr>
                <w:sz w:val="4"/>
                <w:szCs w:val="4"/>
              </w:rPr>
            </w:pPr>
            <w:r>
              <w:rPr>
                <w:sz w:val="4"/>
                <w:szCs w:val="4"/>
              </w:rPr>
            </w:r>
          </w:p>
        </w:tc>
        <w:tc>
          <w:tcPr>
            <w:tcW w:w="3548" w:type="dxa"/>
            <w:gridSpan w:val="2"/>
            <w:tcBorders/>
            <w:shd w:fill="auto" w:val="clear"/>
            <w:vAlign w:val="center"/>
          </w:tcPr>
          <w:p>
            <w:pPr>
              <w:pStyle w:val="TableContents"/>
              <w:spacing w:before="0" w:after="283"/>
              <w:rPr>
                <w:sz w:val="4"/>
                <w:szCs w:val="4"/>
              </w:rPr>
            </w:pPr>
            <w:r>
              <w:rPr>
                <w:sz w:val="4"/>
                <w:szCs w:val="4"/>
              </w:rPr>
            </w:r>
          </w:p>
        </w:tc>
      </w:tr>
      <w:tr>
        <w:trPr/>
        <w:tc>
          <w:tcPr>
            <w:tcW w:w="534" w:type="dxa"/>
            <w:tcBorders/>
            <w:shd w:fill="auto" w:val="clear"/>
          </w:tcPr>
          <w:p>
            <w:pPr>
              <w:pStyle w:val="TableContents"/>
              <w:spacing w:before="0" w:after="283"/>
              <w:rPr>
                <w:rFonts w:ascii="Times New Roman" w:hAnsi="Times New Roman"/>
                <w:sz w:val="20"/>
              </w:rPr>
            </w:pPr>
            <w:r>
              <w:rPr>
                <w:rFonts w:ascii="Times New Roman" w:hAnsi="Times New Roman"/>
                <w:sz w:val="20"/>
              </w:rPr>
              <w:t>Dated:</w:t>
            </w:r>
          </w:p>
        </w:tc>
        <w:tc>
          <w:tcPr>
            <w:tcW w:w="61" w:type="dxa"/>
            <w:tcBorders/>
            <w:shd w:fill="auto" w:val="clear"/>
            <w:vAlign w:val="bottom"/>
          </w:tcPr>
          <w:p>
            <w:pPr>
              <w:pStyle w:val="TableContents"/>
              <w:spacing w:before="0" w:after="283"/>
              <w:rPr/>
            </w:pPr>
            <w:r>
              <w:rPr/>
              <w:t> </w:t>
            </w:r>
          </w:p>
        </w:tc>
        <w:tc>
          <w:tcPr>
            <w:tcW w:w="3487" w:type="dxa"/>
            <w:tcBorders/>
            <w:shd w:fill="auto" w:val="clear"/>
          </w:tcPr>
          <w:p>
            <w:pPr>
              <w:pStyle w:val="TableContents"/>
              <w:pBdr>
                <w:bottom w:val="single" w:sz="2" w:space="1" w:color="000000"/>
              </w:pBdr>
              <w:spacing w:before="0" w:after="15"/>
              <w:rPr/>
            </w:pPr>
            <w:r>
              <w:rPr/>
              <w:t> </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(Form of Back of Note) </w:t>
      </w:r>
    </w:p>
    <w:p>
      <w:pPr>
        <w:pStyle w:val="TextBody"/>
        <w:spacing w:before="180" w:after="0"/>
        <w:jc w:val="center"/>
        <w:rPr>
          <w:rFonts w:ascii="Times New Roman" w:hAnsi="Times New Roman"/>
          <w:sz w:val="20"/>
        </w:rPr>
      </w:pPr>
      <w:r>
        <w:rPr>
          <w:rFonts w:ascii="Times New Roman" w:hAnsi="Times New Roman"/>
          <w:sz w:val="20"/>
        </w:rPr>
        <w:t xml:space="preserve">2.85% Senior Notes due 2023 </w:t>
      </w:r>
    </w:p>
    <w:p>
      <w:pPr>
        <w:pStyle w:val="TextBody"/>
        <w:spacing w:before="180" w:after="0"/>
        <w:rPr/>
      </w:pPr>
      <w:r>
        <w:rPr>
          <w:rFonts w:ascii="Times New Roman" w:hAnsi="Times New Roman"/>
          <w:b/>
          <w:sz w:val="20"/>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hAnsi="Times New Roman"/>
          <w:sz w:val="14"/>
        </w:rPr>
        <w:t>2</w:t>
      </w:r>
      <w:r>
        <w:rPr/>
        <w:t xml:space="preserve"> </w:t>
      </w:r>
    </w:p>
    <w:p>
      <w:pPr>
        <w:pStyle w:val="TextBody"/>
        <w:spacing w:before="180" w:after="0"/>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xml:space="preserve">. Plains All American Pipeline, L.P., a Delaware limited partnership (the Partnership), and PAA Finance Corp., a Delaware corporation (PAA Finance and, together with the Partnership, the Issuers), jointly and severally promise to pay interest on the principal amount of this Note at 2.85% per annum from December 10, 2012 until maturity. The Issuers shall pay interest semi-annually on January 31 and July 31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July 31, 2013.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Issuers shall pay interest on the Notes (except defaulted interest) to the Persons who are registered Holders of Notes at the close of business on the January 15 or July 15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hAnsi="Times New Roman"/>
          <w:sz w:val="20"/>
          <w:u w:val="single"/>
        </w:rPr>
        <w:t>provided</w:t>
      </w:r>
      <w:r>
        <w:rPr>
          <w:rFonts w:ascii="Times New Roman" w:hAnsi="Times New Roman"/>
          <w:sz w:val="20"/>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U.S. Bank National Association, the Trustee under the Indenture, shall act as paying agent and Registrar. The Issuers may change any paying agent or Registrar without notice to any Holder. The Issuers or any of their Subsidiaries may act in any such capacity.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xml:space="preserve">. The Issuers issued the Notes under an Indenture dated as of September 25, 2002 (the Original Indenture), as supplemented by the Twenty-Second Supplemental Indenture dated as of December 10, 2012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$400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Optional Redemption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At their option at any time prior to maturity, the Issuers may choose to redeem all or any portion of the Notes at once or from time to time. </w:t>
      </w:r>
    </w:p>
    <w:p>
      <w:pPr>
        <w:pStyle w:val="TextBody"/>
        <w:spacing w:before="180" w:after="0"/>
        <w:rPr>
          <w:rFonts w:ascii="Times New Roman" w:hAnsi="Times New Roman"/>
          <w:sz w:val="20"/>
        </w:rPr>
      </w:pPr>
      <w:r>
        <w:rPr>
          <w:rFonts w:ascii="Times New Roman" w:hAnsi="Times New Roman"/>
          <w:sz w:val="20"/>
        </w:rPr>
        <w:t xml:space="preserve">(b) To redeem the Notes before October 31, 2022,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 redeemed (not including any portion of those payments of interest accrued as of the date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redemption) discounted to the date of redemption on a semi-annual basis (assuming a 360-day year consisting of twelve 30-day months) at the Adjusted Treasury Rate (as defined below) plus 20 basis points, plus, in either case, accrued and unpaid interest to the date of redemption (subject to the right of Holders on the relevant record date to receive interest due on the relevant interest payment date). </w:t>
      </w:r>
    </w:p>
    <w:p>
      <w:pPr>
        <w:pStyle w:val="TextBody"/>
        <w:spacing w:before="180" w:after="0"/>
        <w:rPr>
          <w:rFonts w:ascii="Times New Roman" w:hAnsi="Times New Roman"/>
          <w:sz w:val="20"/>
        </w:rPr>
      </w:pPr>
      <w:r>
        <w:rPr>
          <w:rFonts w:ascii="Times New Roman" w:hAnsi="Times New Roman"/>
          <w:sz w:val="20"/>
        </w:rPr>
        <w:t xml:space="preserve">(c) To redeem the Notes on or after October 31, 2022,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 </w:t>
      </w:r>
    </w:p>
    <w:p>
      <w:pPr>
        <w:pStyle w:val="TextBody"/>
        <w:spacing w:before="180" w:after="0"/>
        <w:rPr>
          <w:rFonts w:ascii="Times New Roman" w:hAnsi="Times New Roman"/>
          <w:sz w:val="20"/>
        </w:rPr>
      </w:pPr>
      <w:r>
        <w:rPr>
          <w:rFonts w:ascii="Times New Roman" w:hAnsi="Times New Roman"/>
          <w:sz w:val="20"/>
        </w:rPr>
        <w:t xml:space="preserve">For purposes of determining any redemption price, the following definitions shall apply: </w:t>
      </w:r>
    </w:p>
    <w:p>
      <w:pPr>
        <w:pStyle w:val="TextBody"/>
        <w:spacing w:before="180" w:after="0"/>
        <w:rPr>
          <w:rFonts w:ascii="Times New Roman" w:hAnsi="Times New Roman"/>
          <w:sz w:val="20"/>
        </w:rPr>
      </w:pPr>
      <w:r>
        <w:rPr>
          <w:rFonts w:ascii="Times New Roman" w:hAnsi="Times New Roman"/>
          <w:sz w:val="20"/>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80" w:after="0"/>
        <w:rPr>
          <w:rFonts w:ascii="Times New Roman" w:hAnsi="Times New Roman"/>
          <w:sz w:val="20"/>
        </w:rPr>
      </w:pPr>
      <w:r>
        <w:rPr>
          <w:rFonts w:ascii="Times New Roman" w:hAnsi="Times New Roman"/>
          <w:sz w:val="20"/>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 </w:t>
      </w:r>
    </w:p>
    <w:p>
      <w:pPr>
        <w:pStyle w:val="TextBody"/>
        <w:spacing w:before="180" w:after="0"/>
        <w:rPr>
          <w:rFonts w:ascii="Times New Roman" w:hAnsi="Times New Roman"/>
          <w:sz w:val="20"/>
        </w:rPr>
      </w:pPr>
      <w:r>
        <w:rPr>
          <w:rFonts w:ascii="Times New Roman" w:hAnsi="Times New Roman"/>
          <w:sz w:val="20"/>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 </w:t>
      </w:r>
    </w:p>
    <w:p>
      <w:pPr>
        <w:pStyle w:val="TextBody"/>
        <w:spacing w:before="180" w:after="0"/>
        <w:rPr>
          <w:rFonts w:ascii="Times New Roman" w:hAnsi="Times New Roman"/>
          <w:sz w:val="20"/>
        </w:rPr>
      </w:pPr>
      <w:r>
        <w:rPr>
          <w:rFonts w:ascii="Times New Roman" w:hAnsi="Times New Roman"/>
          <w:sz w:val="20"/>
        </w:rPr>
        <w:t xml:space="preserve">Quotation Agent means a Primary Treasury Dealer (as defined below) appointed by the Issuers. </w:t>
      </w:r>
    </w:p>
    <w:p>
      <w:pPr>
        <w:pStyle w:val="TextBody"/>
        <w:spacing w:before="180" w:after="0"/>
        <w:rPr>
          <w:rFonts w:ascii="Times New Roman" w:hAnsi="Times New Roman"/>
          <w:sz w:val="20"/>
        </w:rPr>
      </w:pPr>
      <w:r>
        <w:rPr>
          <w:rFonts w:ascii="Times New Roman" w:hAnsi="Times New Roman"/>
          <w:sz w:val="20"/>
        </w:rPr>
        <w:t xml:space="preserve">Reference Treasury Dealer means each of Barclays Capital Inc., Citigroup Global Markets Inc., UBS Securities LLC and a Primary Treasury Dealer (as defined below) selected by each of Wells Fargo Securities, LLC and SunTrust Robinson Humphrey, Inc., and each of their successors; provided, however, that if any of the foregoing shall cease to be a primary U.S. government securities dealer in the United States (a Primary Treasury Dealer), the Issuers shall substitute another Primary Treasury Dealer. </w:t>
      </w:r>
    </w:p>
    <w:p>
      <w:pPr>
        <w:pStyle w:val="TextBody"/>
        <w:spacing w:before="180" w:after="0"/>
        <w:rPr>
          <w:rFonts w:ascii="Times New Roman" w:hAnsi="Times New Roman"/>
          <w:sz w:val="20"/>
        </w:rPr>
      </w:pPr>
      <w:r>
        <w:rPr>
          <w:rFonts w:ascii="Times New Roman" w:hAnsi="Times New Roman"/>
          <w:sz w:val="20"/>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Notice of Redemption</w:t>
      </w:r>
      <w:r>
        <w:rPr>
          <w:rFonts w:ascii="Times New Roman" w:hAnsi="Times New Roman"/>
          <w:sz w:val="20"/>
        </w:rPr>
        <w:t xml:space="preserve">.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Denominations, Transfer, Exchange</w:t>
      </w:r>
      <w:r>
        <w:rPr>
          <w:rFonts w:ascii="Times New Roman" w:hAnsi="Times New Roman"/>
          <w:sz w:val="20"/>
        </w:rPr>
        <w:t xml:space="preserve">.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Persons Deemed Owners</w:t>
      </w:r>
      <w:r>
        <w:rPr>
          <w:rFonts w:ascii="Times New Roman" w:hAnsi="Times New Roman"/>
          <w:sz w:val="20"/>
        </w:rPr>
        <w:t xml:space="preserve">. The registered Holder of a Note shall be treated as its owner for all purposes.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Amendment, Supplement and Waiver</w:t>
      </w:r>
      <w:r>
        <w:rPr>
          <w:rFonts w:ascii="Times New Roman" w:hAnsi="Times New Roman"/>
          <w:sz w:val="20"/>
        </w:rPr>
        <w:t xml:space="preserve">.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Defaults and Remedies</w:t>
      </w:r>
      <w:r>
        <w:rPr>
          <w:rFonts w:ascii="Times New Roman" w:hAnsi="Times New Roman"/>
          <w:sz w:val="20"/>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Times New Roman" w:hAnsi="Times New Roman"/>
          <w:sz w:val="20"/>
          <w:u w:val="single"/>
        </w:rPr>
        <w:t>provided</w:t>
      </w:r>
      <w:r>
        <w:rPr>
          <w:rFonts w:ascii="Times New Roman" w:hAnsi="Times New Roman"/>
          <w:sz w:val="20"/>
        </w:rPr>
        <w:t xml:space="preserve"> that notice need not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Trustee Dealings with Issuers</w:t>
      </w:r>
      <w:r>
        <w:rPr>
          <w:rFonts w:ascii="Times New Roman" w:hAnsi="Times New Roman"/>
          <w:sz w:val="20"/>
        </w:rPr>
        <w:t xml:space="preserve">. The Trustee, in its individual or any other capacity, may make loans to, accept deposits from, and perform services for the Issuers or their Affiliates, and may otherwise deal with the Issuers or their Affiliates, as if it were not the Trustee.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No Recourse Against Others</w:t>
      </w:r>
      <w:r>
        <w:rPr>
          <w:rFonts w:ascii="Times New Roman" w:hAnsi="Times New Roman"/>
          <w:sz w:val="20"/>
        </w:rPr>
        <w:t xml:space="preserve">. The General Partner and its directors, officers, employees and members (in their capacities as such) shall not have any liability for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 </w:t>
      </w:r>
    </w:p>
    <w:p>
      <w:pPr>
        <w:pStyle w:val="TextBody"/>
        <w:spacing w:before="18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Authentication</w:t>
      </w:r>
      <w:r>
        <w:rPr>
          <w:rFonts w:ascii="Times New Roman" w:hAnsi="Times New Roman"/>
          <w:sz w:val="20"/>
        </w:rPr>
        <w:t xml:space="preserve">. This Note shall not be valid until authenticated by the manual signature of the Trustee or an authenticating agent. </w:t>
      </w:r>
    </w:p>
    <w:p>
      <w:pPr>
        <w:pStyle w:val="TextBody"/>
        <w:spacing w:before="18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spacing w:before="18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CUSIP and ISIN Numbers</w:t>
      </w:r>
      <w:r>
        <w:rPr>
          <w:rFonts w:ascii="Times New Roman" w:hAnsi="Times New Roman"/>
          <w:sz w:val="20"/>
        </w:rPr>
        <w:t xml:space="preserve">.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spacing w:before="180" w:after="0"/>
        <w:rPr>
          <w:rFonts w:ascii="Times New Roman" w:hAnsi="Times New Roman"/>
          <w:sz w:val="20"/>
        </w:rPr>
      </w:pPr>
      <w:r>
        <w:rPr>
          <w:rFonts w:ascii="Times New Roman" w:hAnsi="Times New Roman"/>
          <w:sz w:val="20"/>
        </w:rPr>
        <w:t xml:space="preserve">The Issuers shall furnish to any Holder upon written request and without charge a copy of the Indenture. Requests may be made to: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0" w:after="0"/>
        <w:rPr>
          <w:rFonts w:ascii="Times New Roman" w:hAnsi="Times New Roman"/>
          <w:sz w:val="20"/>
        </w:rPr>
      </w:pPr>
      <w:r>
        <w:rPr>
          <w:rFonts w:ascii="Times New Roman" w:hAnsi="Times New Roman"/>
          <w:sz w:val="20"/>
        </w:rPr>
        <w:t xml:space="preserve">Attention: Investor Relations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Assignment Form </w:t>
      </w:r>
    </w:p>
    <w:p>
      <w:pPr>
        <w:pStyle w:val="TextBody"/>
        <w:spacing w:before="180" w:after="0"/>
        <w:rPr>
          <w:rFonts w:ascii="Times New Roman" w:hAnsi="Times New Roman"/>
          <w:sz w:val="20"/>
        </w:rPr>
      </w:pPr>
      <w:r>
        <w:rPr>
          <w:rFonts w:ascii="Times New Roman" w:hAnsi="Times New Roman"/>
          <w:sz w:val="20"/>
        </w:rPr>
        <w:t xml:space="preserve">To assign this Note, fill in the form below: (I) or (we) assign and transfer this Note to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rFonts w:ascii="Times New Roman" w:hAnsi="Times New Roman"/>
          <w:sz w:val="20"/>
        </w:rPr>
      </w:pPr>
      <w:r>
        <w:rPr>
          <w:rFonts w:ascii="Times New Roman" w:hAnsi="Times New Roman"/>
          <w:sz w:val="20"/>
        </w:rPr>
        <w:t xml:space="preserve">(Print or type assignees name, address and zip code)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837"/>
        <w:gridCol w:w="203"/>
        <w:gridCol w:w="8165"/>
      </w:tblGrid>
      <w:tr>
        <w:trPr/>
        <w:tc>
          <w:tcPr>
            <w:tcW w:w="183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8165" w:type="dxa"/>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and irrevocably appoint </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8165" w:type="dxa"/>
            <w:tcBorders>
              <w:bottom w:val="single" w:sz="2" w:space="0" w:color="000000"/>
            </w:tcBorders>
            <w:shd w:fill="auto" w:val="clear"/>
            <w:tcMar>
              <w:bottom w:w="28" w:type="dxa"/>
            </w:tcMar>
            <w:vAlign w:val="bottom"/>
          </w:tcPr>
          <w:p>
            <w:pPr>
              <w:pStyle w:val="TableContents"/>
              <w:spacing w:before="0" w:after="283"/>
              <w:rPr/>
            </w:pPr>
            <w:r>
              <w:rPr/>
              <w:t> </w:t>
            </w:r>
          </w:p>
        </w:tc>
      </w:tr>
    </w:tbl>
    <w:p>
      <w:pPr>
        <w:pStyle w:val="TextBody"/>
        <w:spacing w:before="0" w:after="0"/>
        <w:rPr>
          <w:rFonts w:ascii="Times New Roman" w:hAnsi="Times New Roman"/>
          <w:sz w:val="20"/>
        </w:rPr>
      </w:pPr>
      <w:r>
        <w:rPr>
          <w:rFonts w:ascii="Times New Roman" w:hAnsi="Times New Roman"/>
          <w:sz w:val="20"/>
        </w:rPr>
        <w:t xml:space="preserve">agent to transfer this Note on the books of the Issuers. The agent may substitute another to act for him.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spacing w:before="0" w:after="0"/>
        <w:rPr/>
      </w:pPr>
      <w:r>
        <w:rPr/>
        <w:t> </w:t>
      </w:r>
    </w:p>
    <w:tbl>
      <w:tblPr>
        <w:tblW w:w="2350" w:type="pct"/>
        <w:jc w:val="right"/>
        <w:tblInd w:w="0" w:type="dxa"/>
        <w:tblCellMar>
          <w:top w:w="0" w:type="dxa"/>
          <w:left w:w="0" w:type="dxa"/>
          <w:bottom w:w="0" w:type="dxa"/>
          <w:right w:w="0" w:type="dxa"/>
        </w:tblCellMar>
      </w:tblPr>
      <w:tblGrid>
        <w:gridCol w:w="1258"/>
        <w:gridCol w:w="74"/>
        <w:gridCol w:w="3464"/>
      </w:tblGrid>
      <w:tr>
        <w:trPr/>
        <w:tc>
          <w:tcPr>
            <w:tcW w:w="1258"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sz w:val="4"/>
                <w:szCs w:val="4"/>
              </w:rPr>
            </w:pPr>
            <w:r>
              <w:rPr>
                <w:sz w:val="4"/>
                <w:szCs w:val="4"/>
              </w:rPr>
            </w:r>
          </w:p>
        </w:tc>
        <w:tc>
          <w:tcPr>
            <w:tcW w:w="3464" w:type="dxa"/>
            <w:tcBorders/>
            <w:shd w:fill="auto" w:val="clear"/>
            <w:vAlign w:val="center"/>
          </w:tcPr>
          <w:p>
            <w:pPr>
              <w:pStyle w:val="TableContents"/>
              <w:spacing w:before="0" w:after="283"/>
              <w:rPr>
                <w:sz w:val="4"/>
                <w:szCs w:val="4"/>
              </w:rPr>
            </w:pPr>
            <w:r>
              <w:rPr>
                <w:sz w:val="4"/>
                <w:szCs w:val="4"/>
              </w:rPr>
            </w:r>
          </w:p>
        </w:tc>
      </w:tr>
      <w:tr>
        <w:trPr/>
        <w:tc>
          <w:tcPr>
            <w:tcW w:w="1258" w:type="dxa"/>
            <w:tcBorders/>
            <w:shd w:fill="auto" w:val="clear"/>
          </w:tcPr>
          <w:p>
            <w:pPr>
              <w:pStyle w:val="TableContents"/>
              <w:spacing w:before="0" w:after="283"/>
              <w:rPr>
                <w:rFonts w:ascii="Times New Roman" w:hAnsi="Times New Roman"/>
                <w:sz w:val="20"/>
              </w:rPr>
            </w:pPr>
            <w:r>
              <w:rPr>
                <w:rFonts w:ascii="Times New Roman" w:hAnsi="Times New Roman"/>
                <w:sz w:val="20"/>
              </w:rPr>
              <w:t>Your Signature:</w:t>
            </w:r>
          </w:p>
        </w:tc>
        <w:tc>
          <w:tcPr>
            <w:tcW w:w="74" w:type="dxa"/>
            <w:tcBorders/>
            <w:shd w:fill="auto" w:val="clear"/>
            <w:vAlign w:val="bottom"/>
          </w:tcPr>
          <w:p>
            <w:pPr>
              <w:pStyle w:val="TableContents"/>
              <w:spacing w:before="0" w:after="283"/>
              <w:rPr/>
            </w:pPr>
            <w:r>
              <w:rPr/>
              <w:t> </w:t>
            </w:r>
          </w:p>
        </w:tc>
        <w:tc>
          <w:tcPr>
            <w:tcW w:w="3464" w:type="dxa"/>
            <w:tcBorders/>
            <w:shd w:fill="auto" w:val="clear"/>
          </w:tcPr>
          <w:p>
            <w:pPr>
              <w:pStyle w:val="TableContents"/>
              <w:pBdr>
                <w:bottom w:val="single" w:sz="2" w:space="1" w:color="000000"/>
              </w:pBdr>
              <w:spacing w:before="0" w:after="15"/>
              <w:rPr/>
            </w:pPr>
            <w:r>
              <w:rPr/>
              <w:t> </w:t>
            </w:r>
          </w:p>
        </w:tc>
      </w:tr>
      <w:tr>
        <w:trPr/>
        <w:tc>
          <w:tcPr>
            <w:tcW w:w="1258" w:type="dxa"/>
            <w:tcBorders/>
            <w:shd w:fill="auto" w:val="clear"/>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pPr>
            <w:r>
              <w:rPr/>
              <w:t> </w:t>
            </w:r>
          </w:p>
        </w:tc>
        <w:tc>
          <w:tcPr>
            <w:tcW w:w="3464" w:type="dxa"/>
            <w:tcBorders/>
            <w:shd w:fill="auto" w:val="clear"/>
          </w:tcPr>
          <w:p>
            <w:pPr>
              <w:pStyle w:val="TableContents"/>
              <w:spacing w:before="0" w:after="283"/>
              <w:rPr>
                <w:rFonts w:ascii="Times New Roman" w:hAnsi="Times New Roman"/>
                <w:sz w:val="14"/>
              </w:rPr>
            </w:pPr>
            <w:r>
              <w:rPr>
                <w:rFonts w:ascii="Times New Roman" w:hAnsi="Times New Roman"/>
                <w:sz w:val="14"/>
              </w:rPr>
              <w:t>(Sign exactly as your name appears on the face of this Note)</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12"/>
        <w:gridCol w:w="106"/>
        <w:gridCol w:w="8387"/>
      </w:tblGrid>
      <w:tr>
        <w:trPr/>
        <w:tc>
          <w:tcPr>
            <w:tcW w:w="171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8387" w:type="dxa"/>
            <w:tcBorders/>
            <w:shd w:fill="auto" w:val="clear"/>
            <w:vAlign w:val="center"/>
          </w:tcPr>
          <w:p>
            <w:pPr>
              <w:pStyle w:val="TableContents"/>
              <w:spacing w:before="0" w:after="283"/>
              <w:rPr>
                <w:sz w:val="4"/>
                <w:szCs w:val="4"/>
              </w:rPr>
            </w:pPr>
            <w:r>
              <w:rPr>
                <w:sz w:val="4"/>
                <w:szCs w:val="4"/>
              </w:rPr>
            </w:r>
          </w:p>
        </w:tc>
      </w:tr>
      <w:tr>
        <w:trPr/>
        <w:tc>
          <w:tcPr>
            <w:tcW w:w="1712"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Guarantee:</w:t>
            </w:r>
          </w:p>
        </w:tc>
        <w:tc>
          <w:tcPr>
            <w:tcW w:w="106" w:type="dxa"/>
            <w:tcBorders/>
            <w:shd w:fill="auto" w:val="clear"/>
            <w:vAlign w:val="bottom"/>
          </w:tcPr>
          <w:p>
            <w:pPr>
              <w:pStyle w:val="TableContents"/>
              <w:spacing w:before="0" w:after="283"/>
              <w:rPr/>
            </w:pPr>
            <w:r>
              <w:rPr/>
              <w:t> </w:t>
            </w:r>
          </w:p>
        </w:tc>
        <w:tc>
          <w:tcPr>
            <w:tcW w:w="8387" w:type="dxa"/>
            <w:tcBorders/>
            <w:shd w:fill="auto" w:val="clear"/>
          </w:tcPr>
          <w:p>
            <w:pPr>
              <w:pStyle w:val="TableContents"/>
              <w:pBdr>
                <w:bottom w:val="single" w:sz="2" w:space="1" w:color="000000"/>
              </w:pBdr>
              <w:spacing w:before="0" w:after="15"/>
              <w:rPr/>
            </w:pPr>
            <w:r>
              <w:rPr/>
              <w:t> </w:t>
            </w:r>
          </w:p>
        </w:tc>
      </w:tr>
      <w:tr>
        <w:trPr/>
        <w:tc>
          <w:tcPr>
            <w:tcW w:w="1712"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rPr/>
      </w:pPr>
      <w:r>
        <w:rPr/>
      </w:r>
    </w:p>
    <w:p>
      <w:pPr>
        <w:pStyle w:val="TextBody"/>
        <w:pBdr/>
        <w:spacing w:before="0" w:after="0"/>
        <w:jc w:val="center"/>
        <w:rPr>
          <w:rFonts w:ascii="Times New Roman" w:hAnsi="Times New Roman"/>
          <w:b/>
          <w:sz w:val="20"/>
        </w:rPr>
      </w:pPr>
      <w:r>
        <w:rPr>
          <w:rFonts w:ascii="Times New Roman" w:hAnsi="Times New Roman"/>
          <w:b/>
          <w:sz w:val="20"/>
        </w:rPr>
        <w:t>SCHEDULE OF INCREASES OR DECREASES IN THE GLOBAL NOTE</w:t>
      </w:r>
      <w:r>
        <w:rPr>
          <w:rFonts w:ascii="Times New Roman" w:hAnsi="Times New Roman"/>
          <w:b/>
          <w:sz w:val="14"/>
        </w:rPr>
        <w:t>3</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The original principal amount of this Global Note is $</w:t>
      </w:r>
      <w:r>
        <w:rPr>
          <w:rFonts w:ascii="Times New Roman" w:hAnsi="Times New Roman"/>
          <w:sz w:val="20"/>
          <w:u w:val="single"/>
        </w:rPr>
        <w:t>                    </w:t>
      </w:r>
      <w:r>
        <w:rPr>
          <w:rFonts w:ascii="Times New Roman" w:hAnsi="Times New Roman"/>
          <w:sz w:val="20"/>
        </w:rPr>
        <w:t xml:space="preserve">. The following increases or decreases in this Global Note have been made: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66"/>
        <w:gridCol w:w="285"/>
        <w:gridCol w:w="1923"/>
        <w:gridCol w:w="589"/>
        <w:gridCol w:w="2037"/>
        <w:gridCol w:w="328"/>
        <w:gridCol w:w="1442"/>
        <w:gridCol w:w="389"/>
        <w:gridCol w:w="1446"/>
      </w:tblGrid>
      <w:tr>
        <w:trPr/>
        <w:tc>
          <w:tcPr>
            <w:tcW w:w="176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1923"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bottom"/>
          </w:tcPr>
          <w:p>
            <w:pPr>
              <w:pStyle w:val="TableContents"/>
              <w:spacing w:before="0" w:after="283"/>
              <w:rPr>
                <w:sz w:val="4"/>
                <w:szCs w:val="4"/>
              </w:rPr>
            </w:pPr>
            <w:r>
              <w:rPr>
                <w:sz w:val="4"/>
                <w:szCs w:val="4"/>
              </w:rPr>
            </w:r>
          </w:p>
        </w:tc>
        <w:tc>
          <w:tcPr>
            <w:tcW w:w="2037"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bottom"/>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r>
      <w:tr>
        <w:trPr/>
        <w:tc>
          <w:tcPr>
            <w:tcW w:w="1766"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Date of</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Exchange</w:t>
            </w:r>
          </w:p>
        </w:tc>
        <w:tc>
          <w:tcPr>
            <w:tcW w:w="285" w:type="dxa"/>
            <w:tcBorders/>
            <w:shd w:fill="auto" w:val="clear"/>
            <w:vAlign w:val="bottom"/>
          </w:tcPr>
          <w:p>
            <w:pPr>
              <w:pStyle w:val="TableContents"/>
              <w:spacing w:before="0" w:after="283"/>
              <w:rPr/>
            </w:pPr>
            <w:r>
              <w:rPr/>
              <w:t> </w:t>
            </w:r>
          </w:p>
        </w:tc>
        <w:tc>
          <w:tcPr>
            <w:tcW w:w="1923"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of</w:t>
            </w:r>
          </w:p>
          <w:p>
            <w:pPr>
              <w:pStyle w:val="TableContents"/>
              <w:spacing w:before="0" w:after="0"/>
              <w:jc w:val="center"/>
              <w:rPr>
                <w:rFonts w:ascii="Times New Roman" w:hAnsi="Times New Roman"/>
                <w:b/>
                <w:sz w:val="14"/>
              </w:rPr>
            </w:pPr>
            <w:r>
              <w:rPr>
                <w:rFonts w:ascii="Times New Roman" w:hAnsi="Times New Roman"/>
                <w:b/>
                <w:sz w:val="14"/>
              </w:rPr>
              <w:t>decrease in</w:t>
            </w:r>
          </w:p>
          <w:p>
            <w:pPr>
              <w:pStyle w:val="TableContents"/>
              <w:spacing w:before="0" w:after="0"/>
              <w:jc w:val="center"/>
              <w:rPr>
                <w:rFonts w:ascii="Times New Roman" w:hAnsi="Times New Roman"/>
                <w:b/>
                <w:sz w:val="14"/>
              </w:rPr>
            </w:pPr>
            <w:r>
              <w:rPr>
                <w:rFonts w:ascii="Times New Roman" w:hAnsi="Times New Roman"/>
                <w:b/>
                <w:sz w:val="14"/>
              </w:rPr>
              <w:t>Principal</w:t>
            </w:r>
          </w:p>
          <w:p>
            <w:pPr>
              <w:pStyle w:val="TableContents"/>
              <w:spacing w:before="0" w:after="0"/>
              <w:jc w:val="center"/>
              <w:rPr>
                <w:rFonts w:ascii="Times New Roman" w:hAnsi="Times New Roman"/>
                <w:b/>
                <w:sz w:val="14"/>
              </w:rPr>
            </w:pPr>
            <w:r>
              <w:rPr>
                <w:rFonts w:ascii="Times New Roman" w:hAnsi="Times New Roman"/>
                <w:b/>
                <w:sz w:val="14"/>
              </w:rPr>
              <w:t>Amount</w:t>
            </w:r>
          </w:p>
          <w:p>
            <w:pPr>
              <w:pStyle w:val="TableContents"/>
              <w:spacing w:before="0" w:after="0"/>
              <w:jc w:val="center"/>
              <w:rPr>
                <w:rFonts w:ascii="Times New Roman" w:hAnsi="Times New Roman"/>
                <w:b/>
                <w:sz w:val="14"/>
              </w:rPr>
            </w:pPr>
            <w:r>
              <w:rPr>
                <w:rFonts w:ascii="Times New Roman" w:hAnsi="Times New Roman"/>
                <w:b/>
                <w:sz w:val="14"/>
              </w:rPr>
              <w:t>of</w:t>
            </w:r>
          </w:p>
          <w:p>
            <w:pPr>
              <w:pStyle w:val="TableContents"/>
              <w:spacing w:before="0" w:after="15"/>
              <w:jc w:val="center"/>
              <w:rPr>
                <w:rFonts w:ascii="Times New Roman" w:hAnsi="Times New Roman"/>
                <w:b/>
                <w:sz w:val="14"/>
              </w:rPr>
            </w:pPr>
            <w:r>
              <w:rPr>
                <w:rFonts w:ascii="Times New Roman" w:hAnsi="Times New Roman"/>
                <w:b/>
                <w:sz w:val="14"/>
              </w:rPr>
              <w:t>this Global Note</w:t>
            </w:r>
          </w:p>
        </w:tc>
        <w:tc>
          <w:tcPr>
            <w:tcW w:w="589" w:type="dxa"/>
            <w:tcBorders/>
            <w:shd w:fill="auto" w:val="clear"/>
            <w:vAlign w:val="bottom"/>
          </w:tcPr>
          <w:p>
            <w:pPr>
              <w:pStyle w:val="TableContents"/>
              <w:spacing w:before="0" w:after="283"/>
              <w:rPr/>
            </w:pPr>
            <w:r>
              <w:rPr/>
              <w:t> </w:t>
            </w:r>
          </w:p>
        </w:tc>
        <w:tc>
          <w:tcPr>
            <w:tcW w:w="2037"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of</w:t>
            </w:r>
          </w:p>
          <w:p>
            <w:pPr>
              <w:pStyle w:val="TableContents"/>
              <w:spacing w:before="0" w:after="0"/>
              <w:jc w:val="center"/>
              <w:rPr>
                <w:rFonts w:ascii="Times New Roman" w:hAnsi="Times New Roman"/>
                <w:b/>
                <w:sz w:val="14"/>
              </w:rPr>
            </w:pPr>
            <w:r>
              <w:rPr>
                <w:rFonts w:ascii="Times New Roman" w:hAnsi="Times New Roman"/>
                <w:b/>
                <w:sz w:val="14"/>
              </w:rPr>
              <w:t>increase in</w:t>
            </w:r>
          </w:p>
          <w:p>
            <w:pPr>
              <w:pStyle w:val="TableContents"/>
              <w:spacing w:before="0" w:after="0"/>
              <w:jc w:val="center"/>
              <w:rPr>
                <w:rFonts w:ascii="Times New Roman" w:hAnsi="Times New Roman"/>
                <w:b/>
                <w:sz w:val="14"/>
              </w:rPr>
            </w:pPr>
            <w:r>
              <w:rPr>
                <w:rFonts w:ascii="Times New Roman" w:hAnsi="Times New Roman"/>
                <w:b/>
                <w:sz w:val="14"/>
              </w:rPr>
              <w:t>Principal Amount</w:t>
            </w:r>
          </w:p>
          <w:p>
            <w:pPr>
              <w:pStyle w:val="TableContents"/>
              <w:spacing w:before="0" w:after="0"/>
              <w:jc w:val="center"/>
              <w:rPr>
                <w:rFonts w:ascii="Times New Roman" w:hAnsi="Times New Roman"/>
                <w:b/>
                <w:sz w:val="14"/>
              </w:rPr>
            </w:pPr>
            <w:r>
              <w:rPr>
                <w:rFonts w:ascii="Times New Roman" w:hAnsi="Times New Roman"/>
                <w:b/>
                <w:sz w:val="14"/>
              </w:rPr>
              <w:t>of</w:t>
            </w:r>
          </w:p>
          <w:p>
            <w:pPr>
              <w:pStyle w:val="TableContents"/>
              <w:spacing w:before="0" w:after="15"/>
              <w:jc w:val="center"/>
              <w:rPr>
                <w:rFonts w:ascii="Times New Roman" w:hAnsi="Times New Roman"/>
                <w:b/>
                <w:sz w:val="14"/>
              </w:rPr>
            </w:pPr>
            <w:r>
              <w:rPr>
                <w:rFonts w:ascii="Times New Roman" w:hAnsi="Times New Roman"/>
                <w:b/>
                <w:sz w:val="14"/>
              </w:rPr>
              <w:t>this Global Note</w:t>
            </w:r>
          </w:p>
        </w:tc>
        <w:tc>
          <w:tcPr>
            <w:tcW w:w="328" w:type="dxa"/>
            <w:tcBorders/>
            <w:shd w:fill="auto" w:val="clear"/>
            <w:vAlign w:val="bottom"/>
          </w:tcPr>
          <w:p>
            <w:pPr>
              <w:pStyle w:val="TableContents"/>
              <w:spacing w:before="0" w:after="283"/>
              <w:rPr/>
            </w:pPr>
            <w:r>
              <w:rPr/>
              <w:t>  </w:t>
            </w:r>
          </w:p>
        </w:tc>
        <w:tc>
          <w:tcPr>
            <w:tcW w:w="1442"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Principal</w:t>
            </w:r>
            <w:r>
              <w:rPr/>
              <w:br/>
            </w:r>
            <w:r>
              <w:rPr>
                <w:rFonts w:ascii="Times New Roman" w:hAnsi="Times New Roman"/>
                <w:b/>
                <w:sz w:val="14"/>
              </w:rPr>
              <w:t>Amount of</w:t>
              <w:br/>
              <w:t>this Global Note</w:t>
              <w:br/>
              <w:t>following such decrease</w:t>
              <w:br/>
              <w:t>(or increase)</w:t>
            </w:r>
          </w:p>
        </w:tc>
        <w:tc>
          <w:tcPr>
            <w:tcW w:w="389" w:type="dxa"/>
            <w:tcBorders/>
            <w:shd w:fill="auto" w:val="clear"/>
            <w:vAlign w:val="bottom"/>
          </w:tcPr>
          <w:p>
            <w:pPr>
              <w:pStyle w:val="TableContents"/>
              <w:spacing w:before="0" w:after="283"/>
              <w:rPr/>
            </w:pPr>
            <w:r>
              <w:rPr/>
              <w:t>  </w:t>
            </w:r>
          </w:p>
        </w:tc>
        <w:tc>
          <w:tcPr>
            <w:tcW w:w="1446"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Signature of authorized</w:t>
            </w:r>
            <w:r>
              <w:rPr/>
              <w:br/>
            </w:r>
            <w:r>
              <w:rPr>
                <w:rFonts w:ascii="Times New Roman" w:hAnsi="Times New Roman"/>
                <w:b/>
                <w:sz w:val="14"/>
              </w:rPr>
              <w:t>signatory of</w:t>
            </w:r>
            <w:r>
              <w:rPr/>
              <w:br/>
            </w:r>
            <w:r>
              <w:rPr>
                <w:rFonts w:ascii="Times New Roman" w:hAnsi="Times New Roman"/>
                <w:b/>
                <w:sz w:val="14"/>
              </w:rPr>
              <w:t>Trustee or Note</w:t>
              <w:br/>
              <w:t>Custodian</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u w:val="single"/>
        </w:rPr>
      </w:pPr>
      <w:r>
        <w:rPr>
          <w:rFonts w:ascii="Times New Roman" w:hAnsi="Times New Roman"/>
          <w:sz w:val="20"/>
          <w:u w:val="single"/>
        </w:rPr>
        <w:t xml:space="preserve">EXHIBIT B </w:t>
      </w:r>
    </w:p>
    <w:p>
      <w:pPr>
        <w:pStyle w:val="TextBody"/>
        <w:spacing w:before="180" w:after="0"/>
        <w:jc w:val="center"/>
        <w:rPr>
          <w:rFonts w:ascii="Times New Roman" w:hAnsi="Times New Roman"/>
          <w:sz w:val="20"/>
        </w:rPr>
      </w:pPr>
      <w:r>
        <w:rPr>
          <w:rFonts w:ascii="Times New Roman" w:hAnsi="Times New Roman"/>
          <w:sz w:val="20"/>
        </w:rPr>
        <w:t xml:space="preserve">FORM OF SUPPLEMENTAL INDENTURE </w:t>
      </w:r>
    </w:p>
    <w:p>
      <w:pPr>
        <w:pStyle w:val="TextBody"/>
        <w:spacing w:before="180" w:after="0"/>
        <w:rPr>
          <w:rFonts w:ascii="Times New Roman" w:hAnsi="Times New Roman"/>
          <w:sz w:val="20"/>
        </w:rPr>
      </w:pPr>
      <w:r>
        <w:rPr>
          <w:rFonts w:ascii="Times New Roman" w:hAnsi="Times New Roman"/>
          <w:sz w:val="20"/>
        </w:rPr>
        <w:t xml:space="preserve">SUPPLEMENTAL INDENTURE (this Supplemental Indenture), dated as of </w:t>
      </w:r>
      <w:r>
        <w:rPr>
          <w:rFonts w:ascii="Times New Roman" w:hAnsi="Times New Roman"/>
          <w:sz w:val="20"/>
          <w:u w:val="single"/>
        </w:rPr>
        <w:t>                            </w:t>
      </w:r>
      <w:r>
        <w:rPr>
          <w:rFonts w:ascii="Times New Roman" w:hAnsi="Times New Roman"/>
          <w:sz w:val="20"/>
        </w:rPr>
        <w:t xml:space="preserve">, among Plains All American Pipeline, L.P., a Delaware limited partnership (the Partnership), PAA Finance Corp., a Delaware corporation (PAA Finance and, together with the Partnership, the Issuers), </w:t>
      </w:r>
      <w:r>
        <w:rPr>
          <w:rFonts w:ascii="Times New Roman" w:hAnsi="Times New Roman"/>
          <w:sz w:val="20"/>
          <w:u w:val="single"/>
        </w:rPr>
        <w:t>                            </w:t>
      </w:r>
      <w:r>
        <w:rPr>
          <w:rFonts w:ascii="Times New Roman" w:hAnsi="Times New Roman"/>
          <w:sz w:val="20"/>
        </w:rPr>
        <w:t xml:space="preserve"> (the Subsidiary Guarantor), a direct or indirect subsidiary of Plains All American Pipeline, L.P. (or its successor), a Delaware limited partnership (the Partnership), and U.S. Bank National Association, as trustee under the indenture referred to below (the Trustee). </w:t>
      </w:r>
    </w:p>
    <w:p>
      <w:pPr>
        <w:pStyle w:val="TextBody"/>
        <w:spacing w:before="36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 xml:space="preserve">WHEREAS, the Issuers have heretofore executed and delivered to the Trustee an indenture (the Original Indenture), dated as of September 25, 2002, as supplemented by the Twenty-Second Supplemental Indenture (the Twenty-Second Supplemental Indenture and, together with the Original Indenture, the Indenture) dated as of December 10, 2012, among the Issuers and the Trustee, providing for the issuance of the Issuers 2.85% Senior Notes due 2023 (the Notes); </w:t>
      </w:r>
    </w:p>
    <w:p>
      <w:pPr>
        <w:pStyle w:val="TextBody"/>
        <w:spacing w:before="180" w:after="0"/>
        <w:rPr>
          <w:rFonts w:ascii="Times New Roman" w:hAnsi="Times New Roman"/>
          <w:sz w:val="20"/>
        </w:rPr>
      </w:pPr>
      <w:r>
        <w:rPr>
          <w:rFonts w:ascii="Times New Roman" w:hAnsi="Times New Roman"/>
          <w:sz w:val="20"/>
        </w:rPr>
        <w:t xml:space="preserve">WHEREAS, Section 5.05 of the Twenty-Second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 </w:t>
      </w:r>
    </w:p>
    <w:p>
      <w:pPr>
        <w:pStyle w:val="TextBody"/>
        <w:spacing w:before="180" w:after="0"/>
        <w:rPr>
          <w:rFonts w:ascii="Times New Roman" w:hAnsi="Times New Roman"/>
          <w:sz w:val="20"/>
        </w:rPr>
      </w:pPr>
      <w:r>
        <w:rPr>
          <w:rFonts w:ascii="Times New Roman" w:hAnsi="Times New Roman"/>
          <w:sz w:val="20"/>
        </w:rPr>
        <w:t xml:space="preserve">WHEREAS, pursuant to Section 9.01 of the Original Indenture, the Issuers and the Trustee are authorized to execute and deliver this Supplemental Indenture;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Capitalized terms used herein without definition shall have the meanings assigned to them in the Indenture. </w:t>
      </w:r>
    </w:p>
    <w:p>
      <w:pPr>
        <w:pStyle w:val="TextBody"/>
        <w:spacing w:before="180" w:after="0"/>
        <w:rPr>
          <w:rFonts w:ascii="Times New Roman" w:hAnsi="Times New Roman"/>
          <w:sz w:val="20"/>
        </w:rPr>
      </w:pPr>
      <w:r>
        <w:rPr>
          <w:rFonts w:ascii="Times New Roman" w:hAnsi="Times New Roman"/>
          <w:sz w:val="20"/>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 to Guarantee.</w:t>
      </w:r>
      <w:r>
        <w:rPr>
          <w:rFonts w:ascii="Times New Roman" w:hAnsi="Times New Roman"/>
          <w:sz w:val="20"/>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Twenty-Second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80" w:after="0"/>
        <w:rPr>
          <w:rFonts w:ascii="Times New Roman" w:hAnsi="Times New Roman"/>
          <w:b/>
          <w:sz w:val="20"/>
        </w:rPr>
      </w:pPr>
      <w:r>
        <w:rPr>
          <w:rFonts w:ascii="Times New Roman" w:hAnsi="Times New Roman"/>
          <w:b/>
          <w:sz w:val="20"/>
        </w:rPr>
        <w:t xml:space="preserve">3. </w:t>
      </w:r>
      <w:r>
        <w:rPr>
          <w:rFonts w:ascii="Times New Roman" w:hAnsi="Times New Roman"/>
          <w:b/>
          <w:sz w:val="20"/>
          <w:u w:val="single"/>
        </w:rPr>
        <w:t>GOVERNING LAW.</w:t>
      </w:r>
      <w:r>
        <w:rPr>
          <w:rFonts w:ascii="Times New Roman" w:hAnsi="Times New Roman"/>
          <w:b/>
          <w:sz w:val="20"/>
        </w:rPr>
        <w:t xml:space="preserve"> THIS SUPPLEMENTAL INDENTURE SHALL BE DEEMED TO BE A NEW YORK CONTRACT, AND FOR ALL PURPOSES SHALL BE CONSTRUED IN ACCORDANCE WITH, THE LAWS OF THE STATE OF NEW YORK.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Trustee Makes No Representation.</w:t>
      </w:r>
      <w:r>
        <w:rPr>
          <w:rFonts w:ascii="Times New Roman" w:hAnsi="Times New Roman"/>
          <w:sz w:val="20"/>
        </w:rPr>
        <w:t xml:space="preserve"> The Trustee makes no representation as to the validity or sufficiency of this Supplemental Indenture.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Counterparts.</w:t>
      </w:r>
      <w:r>
        <w:rPr>
          <w:rFonts w:ascii="Times New Roman" w:hAnsi="Times New Roman"/>
          <w:sz w:val="20"/>
        </w:rPr>
        <w:t xml:space="preserve"> The parties may sign any number of copies of this Supplemental Indenture. Each signed copy shall be an original, but all of them together represent the same agreement.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effect the construction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Supplemental Indenture to be duly executed as of the date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42"/>
        <w:gridCol w:w="60"/>
        <w:gridCol w:w="319"/>
        <w:gridCol w:w="60"/>
        <w:gridCol w:w="3101"/>
      </w:tblGrid>
      <w:tr>
        <w:trPr/>
        <w:tc>
          <w:tcPr>
            <w:tcW w:w="5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01"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Partner</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79" w:type="dxa"/>
            <w:gridSpan w:val="2"/>
            <w:tcBorders/>
            <w:shd w:fill="auto" w:val="clear"/>
            <w:vAlign w:val="center"/>
          </w:tcPr>
          <w:p>
            <w:pPr>
              <w:pStyle w:val="TableContents"/>
              <w:spacing w:before="0" w:after="283"/>
              <w:rPr>
                <w:sz w:val="4"/>
                <w:szCs w:val="4"/>
              </w:rPr>
            </w:pPr>
            <w:r>
              <w:rPr>
                <w:sz w:val="4"/>
                <w:szCs w:val="4"/>
              </w:rPr>
            </w:r>
          </w:p>
        </w:tc>
        <w:tc>
          <w:tcPr>
            <w:tcW w:w="3161" w:type="dxa"/>
            <w:gridSpan w:val="2"/>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101" w:type="dxa"/>
            <w:tcBorders/>
            <w:shd w:fill="auto" w:val="clear"/>
            <w:vAlign w:val="bottom"/>
          </w:tcPr>
          <w:p>
            <w:pPr>
              <w:pStyle w:val="TableContents"/>
              <w:pBdr>
                <w:bottom w:val="single" w:sz="2" w:space="1" w:color="000000"/>
              </w:pBdr>
              <w:spacing w:before="0" w:after="15"/>
              <w:rPr/>
            </w:pPr>
            <w:r>
              <w:rPr/>
              <w:t> </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PAA FINANCE CORP.</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pBdr>
                <w:bottom w:val="single" w:sz="2" w:space="1" w:color="000000"/>
              </w:pBdr>
              <w:spacing w:before="0" w:after="15"/>
              <w:rPr/>
            </w:pPr>
            <w:r>
              <w:rPr/>
              <w:t> </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[SUBSIDIARY GUARANTOR],</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pBdr>
                <w:bottom w:val="single" w:sz="2" w:space="1" w:color="000000"/>
              </w:pBdr>
              <w:spacing w:before="0" w:after="15"/>
              <w:rPr/>
            </w:pPr>
            <w:r>
              <w:rPr/>
              <w:t> </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U.S. BANK NATIONAL ASSOCIATION, as Trustee</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pBdr>
                <w:bottom w:val="single" w:sz="2" w:space="1" w:color="000000"/>
              </w:pBdr>
              <w:spacing w:before="0" w:after="15"/>
              <w:rPr/>
            </w:pPr>
            <w:r>
              <w:rPr/>
              <w:t> </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B-3 </w:t>
      </w:r>
      <w:r>
        <w:br w:type="page"/>
      </w:r>
    </w:p>
    <w:p>
      <w:pPr>
        <w:pStyle w:val="TextBody"/>
        <w:spacing w:before="0" w:after="0"/>
        <w:jc w:val="right"/>
        <w:rPr>
          <w:rFonts w:ascii="Times New Roman" w:hAnsi="Times New Roman"/>
          <w:b/>
          <w:sz w:val="20"/>
        </w:rPr>
      </w:pPr>
      <w:bookmarkStart w:id="4" w:name="d453762dex43.htm"/>
      <w:bookmarkStart w:id="5" w:name="ksd453762dex43"/>
      <w:bookmarkEnd w:id="4"/>
      <w:bookmarkEnd w:id="5"/>
      <w:r>
        <w:rPr>
          <w:rFonts w:ascii="Times New Roman" w:hAnsi="Times New Roman"/>
          <w:b/>
          <w:sz w:val="20"/>
        </w:rPr>
        <w:t xml:space="preserve">Exhibit 4.3 </w:t>
      </w:r>
    </w:p>
    <w:p>
      <w:pPr>
        <w:pStyle w:val="TextBody"/>
        <w:spacing w:before="18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jc w:val="center"/>
        <w:rPr>
          <w:rFonts w:ascii="Times New Roman" w:hAnsi="Times New Roman"/>
          <w:sz w:val="28"/>
        </w:rPr>
      </w:pPr>
      <w:r>
        <w:rPr>
          <w:rFonts w:ascii="Times New Roman" w:hAnsi="Times New Roman"/>
          <w:sz w:val="28"/>
        </w:rPr>
        <w:t xml:space="preserve">PLAINS ALL AMERICAN PIPELINE, L.P. </w:t>
      </w:r>
    </w:p>
    <w:p>
      <w:pPr>
        <w:pStyle w:val="TextBody"/>
        <w:spacing w:before="0" w:after="0"/>
        <w:jc w:val="center"/>
        <w:rPr>
          <w:rFonts w:ascii="Times New Roman" w:hAnsi="Times New Roman"/>
          <w:sz w:val="28"/>
        </w:rPr>
      </w:pPr>
      <w:r>
        <w:rPr>
          <w:rFonts w:ascii="Times New Roman" w:hAnsi="Times New Roman"/>
          <w:sz w:val="28"/>
        </w:rPr>
        <w:t xml:space="preserve">PAA FINANCE CORP. </w:t>
      </w:r>
    </w:p>
    <w:p>
      <w:pPr>
        <w:pStyle w:val="TextBody"/>
        <w:spacing w:before="0" w:after="0"/>
        <w:jc w:val="center"/>
        <w:rPr>
          <w:rFonts w:ascii="Times New Roman" w:hAnsi="Times New Roman"/>
          <w:sz w:val="28"/>
        </w:rPr>
      </w:pPr>
      <w:r>
        <w:rPr>
          <w:rFonts w:ascii="Times New Roman" w:hAnsi="Times New Roman"/>
          <w:sz w:val="28"/>
        </w:rPr>
        <w:t xml:space="preserve">as Issuers </w:t>
      </w:r>
    </w:p>
    <w:p>
      <w:pPr>
        <w:pStyle w:val="TextBody"/>
        <w:spacing w:before="0" w:after="0"/>
        <w:jc w:val="center"/>
        <w:rPr>
          <w:rFonts w:ascii="Times New Roman" w:hAnsi="Times New Roman"/>
          <w:sz w:val="36"/>
        </w:rPr>
      </w:pPr>
      <w:r>
        <w:rPr>
          <w:rFonts w:ascii="Times New Roman" w:hAnsi="Times New Roman"/>
          <w:sz w:val="36"/>
        </w:rPr>
        <w:t xml:space="preserve">$350,000,000 </w:t>
      </w:r>
    </w:p>
    <w:p>
      <w:pPr>
        <w:pStyle w:val="TextBody"/>
        <w:spacing w:before="180" w:after="0"/>
        <w:jc w:val="center"/>
        <w:rPr>
          <w:rFonts w:ascii="Times New Roman" w:hAnsi="Times New Roman"/>
          <w:sz w:val="20"/>
        </w:rPr>
      </w:pPr>
      <w:r>
        <w:rPr>
          <w:rFonts w:ascii="Times New Roman" w:hAnsi="Times New Roman"/>
          <w:sz w:val="20"/>
        </w:rPr>
        <w:t xml:space="preserve">4.30% SENIOR NOTES DUE 2043 </w:t>
      </w:r>
    </w:p>
    <w:p>
      <w:pPr>
        <w:pStyle w:val="TextBody"/>
        <w:spacing w:before="180" w:after="0"/>
        <w:jc w:val="center"/>
        <w:rPr>
          <w:rFonts w:ascii="Times New Roman" w:hAnsi="Times New Roman"/>
          <w:sz w:val="28"/>
        </w:rPr>
      </w:pPr>
      <w:r>
        <w:rPr>
          <w:rFonts w:ascii="Times New Roman" w:hAnsi="Times New Roman"/>
          <w:sz w:val="28"/>
        </w:rPr>
        <w:t xml:space="preserve">TWENTY-THIRD </w:t>
      </w:r>
    </w:p>
    <w:p>
      <w:pPr>
        <w:pStyle w:val="TextBody"/>
        <w:spacing w:before="180" w:after="0"/>
        <w:jc w:val="center"/>
        <w:rPr>
          <w:rFonts w:ascii="Times New Roman" w:hAnsi="Times New Roman"/>
          <w:sz w:val="28"/>
        </w:rPr>
      </w:pPr>
      <w:r>
        <w:rPr>
          <w:rFonts w:ascii="Times New Roman" w:hAnsi="Times New Roman"/>
          <w:sz w:val="28"/>
        </w:rPr>
        <w:t xml:space="preserve">SUPPLEMENTAL </w:t>
      </w:r>
    </w:p>
    <w:p>
      <w:pPr>
        <w:pStyle w:val="TextBody"/>
        <w:spacing w:before="180" w:after="0"/>
        <w:jc w:val="center"/>
        <w:rPr>
          <w:rFonts w:ascii="Times New Roman" w:hAnsi="Times New Roman"/>
          <w:sz w:val="28"/>
        </w:rPr>
      </w:pPr>
      <w:r>
        <w:rPr>
          <w:rFonts w:ascii="Times New Roman" w:hAnsi="Times New Roman"/>
          <w:sz w:val="28"/>
        </w:rPr>
        <w:t xml:space="preserve">INDENTURE </w:t>
      </w:r>
    </w:p>
    <w:p>
      <w:pPr>
        <w:pStyle w:val="TextBody"/>
        <w:spacing w:before="360" w:after="0"/>
        <w:jc w:val="center"/>
        <w:rPr>
          <w:rFonts w:ascii="Times New Roman" w:hAnsi="Times New Roman"/>
          <w:sz w:val="20"/>
        </w:rPr>
      </w:pPr>
      <w:r>
        <w:rPr>
          <w:rFonts w:ascii="Times New Roman" w:hAnsi="Times New Roman"/>
          <w:sz w:val="20"/>
        </w:rPr>
        <w:t xml:space="preserve">Dated as of December 10, 2012 </w:t>
      </w:r>
    </w:p>
    <w:p>
      <w:pPr>
        <w:pStyle w:val="TextBody"/>
        <w:spacing w:before="360" w:after="0"/>
        <w:jc w:val="center"/>
        <w:rPr>
          <w:rFonts w:ascii="Times New Roman" w:hAnsi="Times New Roman"/>
          <w:sz w:val="20"/>
        </w:rPr>
      </w:pPr>
      <w:r>
        <w:rPr>
          <w:rFonts w:ascii="Times New Roman" w:hAnsi="Times New Roman"/>
          <w:sz w:val="20"/>
        </w:rPr>
        <w:t xml:space="preserve">U.S. BANK NATIONAL ASSOCIATION </w:t>
      </w:r>
    </w:p>
    <w:p>
      <w:pPr>
        <w:pStyle w:val="TextBody"/>
        <w:spacing w:before="0" w:after="0"/>
        <w:jc w:val="center"/>
        <w:rPr>
          <w:rFonts w:ascii="Times New Roman" w:hAnsi="Times New Roman"/>
          <w:sz w:val="20"/>
        </w:rPr>
      </w:pPr>
      <w:r>
        <w:rPr>
          <w:rFonts w:ascii="Times New Roman" w:hAnsi="Times New Roman"/>
          <w:sz w:val="20"/>
        </w:rPr>
        <w:t xml:space="preserve">as Trustee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187"/>
        <w:gridCol w:w="197"/>
        <w:gridCol w:w="8212"/>
        <w:gridCol w:w="198"/>
        <w:gridCol w:w="60"/>
        <w:gridCol w:w="230"/>
        <w:gridCol w:w="121"/>
      </w:tblGrid>
      <w:tr>
        <w:trPr/>
        <w:tc>
          <w:tcPr>
            <w:tcW w:w="118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821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1.01</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Establishment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II DEFINITIONS AND INCORPORATION BY REFERENCE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2.01</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Definitions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2.02</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Other Definitions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III THE NOTES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3.01</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3.02</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Issuance of Additional Notes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3.03</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Global Security Legend</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IV REDEMPTION AND PREPAYMENT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4.01</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Optional Redemption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 COVENANTS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5.01.</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Compliance Certificate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5.02.</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Limitations on Liens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5.03.</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Restriction of Sale-leaseback Transactions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5.04.</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 Reports; Financial Statements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5.05.</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Subsidiary Guarantees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 SUCCESSORS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6.01.</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Consolidation and Mergers of the Issuers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6.02.</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Rights and Duties of Successor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6.03.</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Supplemental Indenture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VII DEFAULTS AND REMEDIES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7.01.</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Events of Default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VIII LEGAL DEFEASANCE AND COVENANT DEFEASANCE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8.01.</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Option to Effect Legal Defeasance or Covenant Defeasance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8.02.</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Legal Defeasance and Discharge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8.03.</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Covenant Defeasance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8.04.</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Conditions to Legal or Covenant Defeasance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8.05.</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Deposited Money and U.S. Government Obligations to be Held in Trust; Other Miscellaneous Provisions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8.06.</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Repayment to Issuers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8.07.</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Reinstatement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IX SUBSIDIARY GUARANTEES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9.01.</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Subsidiary Guarantees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9.02.</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Limitation on Liability</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1" w:type="dxa"/>
            <w:tcBorders/>
            <w:shd w:fill="auto" w:val="clear"/>
            <w:vAlign w:val="bottom"/>
          </w:tcPr>
          <w:p>
            <w:pPr>
              <w:pStyle w:val="TableContents"/>
              <w:spacing w:before="0" w:after="283"/>
              <w:rPr/>
            </w:pPr>
            <w:r>
              <w:rPr/>
              <w:t>  </w:t>
            </w:r>
          </w:p>
        </w:tc>
      </w:tr>
      <w:tr>
        <w:trPr/>
        <w:tc>
          <w:tcPr>
            <w:tcW w:w="118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9.03.</w:t>
            </w:r>
          </w:p>
        </w:tc>
        <w:tc>
          <w:tcPr>
            <w:tcW w:w="197" w:type="dxa"/>
            <w:tcBorders/>
            <w:shd w:fill="auto" w:val="clear"/>
            <w:vAlign w:val="bottom"/>
          </w:tcPr>
          <w:p>
            <w:pPr>
              <w:pStyle w:val="TableContents"/>
              <w:spacing w:before="0" w:after="283"/>
              <w:rPr/>
            </w:pPr>
            <w:r>
              <w:rPr/>
              <w:t>  </w:t>
            </w:r>
          </w:p>
        </w:tc>
        <w:tc>
          <w:tcPr>
            <w:tcW w:w="8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Successors and Assigns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192"/>
        <w:gridCol w:w="198"/>
        <w:gridCol w:w="8204"/>
        <w:gridCol w:w="198"/>
        <w:gridCol w:w="60"/>
        <w:gridCol w:w="230"/>
        <w:gridCol w:w="123"/>
      </w:tblGrid>
      <w:tr>
        <w:trPr/>
        <w:tc>
          <w:tcPr>
            <w:tcW w:w="119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820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9.04.</w:t>
            </w:r>
          </w:p>
        </w:tc>
        <w:tc>
          <w:tcPr>
            <w:tcW w:w="198"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 Waiver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9.05.</w:t>
            </w:r>
          </w:p>
        </w:tc>
        <w:tc>
          <w:tcPr>
            <w:tcW w:w="198"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Modification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9.06.</w:t>
            </w:r>
          </w:p>
        </w:tc>
        <w:tc>
          <w:tcPr>
            <w:tcW w:w="198"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Execution of Supplemental Indenture for Future Subsidiary Guarantors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9.07.</w:t>
            </w:r>
          </w:p>
        </w:tc>
        <w:tc>
          <w:tcPr>
            <w:tcW w:w="198"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Release of Guarantee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rHeight w:val="120" w:hRule="atLeast"/>
        </w:trPr>
        <w:tc>
          <w:tcPr>
            <w:tcW w:w="9594" w:type="dxa"/>
            <w:gridSpan w:val="3"/>
            <w:tcBorders/>
            <w:shd w:fill="auto" w:val="clear"/>
            <w:vAlign w:val="center"/>
          </w:tcPr>
          <w:p>
            <w:pPr>
              <w:pStyle w:val="TableContents"/>
              <w:spacing w:before="0" w:after="283"/>
              <w:rPr>
                <w:sz w:val="4"/>
                <w:szCs w:val="4"/>
              </w:rPr>
            </w:pPr>
            <w:r>
              <w:rPr>
                <w:sz w:val="4"/>
                <w:szCs w:val="4"/>
              </w:rPr>
            </w:r>
          </w:p>
        </w:tc>
        <w:tc>
          <w:tcPr>
            <w:tcW w:w="611" w:type="dxa"/>
            <w:gridSpan w:val="4"/>
            <w:tcBorders/>
            <w:shd w:fill="auto" w:val="clear"/>
            <w:vAlign w:val="center"/>
          </w:tcPr>
          <w:p>
            <w:pPr>
              <w:pStyle w:val="TableContents"/>
              <w:spacing w:before="0" w:after="283"/>
              <w:rPr>
                <w:sz w:val="4"/>
                <w:szCs w:val="4"/>
              </w:rPr>
            </w:pPr>
            <w:r>
              <w:rPr>
                <w:sz w:val="4"/>
                <w:szCs w:val="4"/>
              </w:rPr>
            </w:r>
          </w:p>
        </w:tc>
      </w:tr>
      <w:tr>
        <w:trPr/>
        <w:tc>
          <w:tcPr>
            <w:tcW w:w="959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X MISCELLANEOUS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10.01.</w:t>
            </w:r>
          </w:p>
        </w:tc>
        <w:tc>
          <w:tcPr>
            <w:tcW w:w="198"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Additional Amendments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10.02.</w:t>
            </w:r>
          </w:p>
        </w:tc>
        <w:tc>
          <w:tcPr>
            <w:tcW w:w="198"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Integral Part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10.03.</w:t>
            </w:r>
          </w:p>
        </w:tc>
        <w:tc>
          <w:tcPr>
            <w:tcW w:w="198"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Adoption, Ratification and Confirmation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10.04.</w:t>
            </w:r>
          </w:p>
        </w:tc>
        <w:tc>
          <w:tcPr>
            <w:tcW w:w="198"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Counterparts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10.05.</w:t>
            </w:r>
          </w:p>
        </w:tc>
        <w:tc>
          <w:tcPr>
            <w:tcW w:w="198"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Governing Law</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r>
      <w:tr>
        <w:trPr>
          <w:trHeight w:val="480" w:hRule="atLeast"/>
        </w:trPr>
        <w:tc>
          <w:tcPr>
            <w:tcW w:w="1192" w:type="dxa"/>
            <w:tcBorders/>
            <w:shd w:fill="auto" w:val="clear"/>
            <w:vAlign w:val="center"/>
          </w:tcPr>
          <w:p>
            <w:pPr>
              <w:pStyle w:val="TableContents"/>
              <w:spacing w:before="0" w:after="283"/>
              <w:rPr>
                <w:sz w:val="4"/>
                <w:szCs w:val="4"/>
              </w:rPr>
            </w:pPr>
            <w:r>
              <w:rPr>
                <w:sz w:val="4"/>
                <w:szCs w:val="4"/>
              </w:rPr>
            </w:r>
          </w:p>
        </w:tc>
        <w:tc>
          <w:tcPr>
            <w:tcW w:w="8402" w:type="dxa"/>
            <w:gridSpan w:val="2"/>
            <w:tcBorders/>
            <w:shd w:fill="auto" w:val="clear"/>
            <w:vAlign w:val="center"/>
          </w:tcPr>
          <w:p>
            <w:pPr>
              <w:pStyle w:val="TableContents"/>
              <w:spacing w:before="0" w:after="283"/>
              <w:rPr>
                <w:sz w:val="4"/>
                <w:szCs w:val="4"/>
              </w:rPr>
            </w:pPr>
            <w:r>
              <w:rPr>
                <w:sz w:val="4"/>
                <w:szCs w:val="4"/>
              </w:rPr>
            </w:r>
          </w:p>
        </w:tc>
        <w:tc>
          <w:tcPr>
            <w:tcW w:w="611" w:type="dxa"/>
            <w:gridSpan w:val="4"/>
            <w:tcBorders/>
            <w:shd w:fill="auto" w:val="clear"/>
            <w:vAlign w:val="center"/>
          </w:tcPr>
          <w:p>
            <w:pPr>
              <w:pStyle w:val="TableContents"/>
              <w:spacing w:before="0" w:after="283"/>
              <w:rPr>
                <w:sz w:val="4"/>
                <w:szCs w:val="4"/>
              </w:rPr>
            </w:pPr>
            <w:r>
              <w:rPr>
                <w:sz w:val="4"/>
                <w:szCs w:val="4"/>
              </w:rPr>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EXHIBIT A:</w:t>
            </w:r>
          </w:p>
        </w:tc>
        <w:tc>
          <w:tcPr>
            <w:tcW w:w="198"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pPr>
            <w:r>
              <w:rPr/>
              <w:t>    </w:t>
            </w:r>
            <w:r>
              <w:rPr>
                <w:rFonts w:ascii="Times New Roman" w:hAnsi="Times New Roman"/>
                <w:sz w:val="20"/>
              </w:rPr>
              <w:t>Form of Note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EXHIBIT B:</w:t>
            </w:r>
          </w:p>
        </w:tc>
        <w:tc>
          <w:tcPr>
            <w:tcW w:w="198"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pPr>
            <w:r>
              <w:rPr/>
              <w:t>    </w:t>
            </w:r>
            <w:r>
              <w:rPr>
                <w:rFonts w:ascii="Times New Roman" w:hAnsi="Times New Roman"/>
                <w:sz w:val="20"/>
              </w:rPr>
              <w:t>Form of Supplemental Indenture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TWENTY-THIRD SUPPLEMENTAL INDENTURE dated as of December 10, 2012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 </w:t>
      </w:r>
    </w:p>
    <w:p>
      <w:pPr>
        <w:pStyle w:val="TextBody"/>
        <w:spacing w:before="27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 xml:space="preserve">WHEREAS, the Issuers have heretofore entered into an Indenture, dated as of September 25, 2002 (the Original Indenture), with U.S. Bank National Association (successor to Wachovia Bank, National Association), as trustee; </w:t>
      </w:r>
    </w:p>
    <w:p>
      <w:pPr>
        <w:pStyle w:val="TextBody"/>
        <w:spacing w:before="180" w:after="0"/>
        <w:rPr>
          <w:rFonts w:ascii="Times New Roman" w:hAnsi="Times New Roman"/>
          <w:sz w:val="20"/>
        </w:rPr>
      </w:pPr>
      <w:r>
        <w:rPr>
          <w:rFonts w:ascii="Times New Roman" w:hAnsi="Times New Roman"/>
          <w:sz w:val="20"/>
        </w:rPr>
        <w:t xml:space="preserve">WHEREAS, the Original Indenture, as supplemented by this Supplemental Indenture, is herein called the Indenture; </w:t>
      </w:r>
    </w:p>
    <w:p>
      <w:pPr>
        <w:pStyle w:val="TextBody"/>
        <w:spacing w:before="180" w:after="0"/>
        <w:rPr>
          <w:rFonts w:ascii="Times New Roman" w:hAnsi="Times New Roman"/>
          <w:sz w:val="20"/>
        </w:rPr>
      </w:pPr>
      <w:r>
        <w:rPr>
          <w:rFonts w:ascii="Times New Roman" w:hAnsi="Times New Roman"/>
          <w:sz w:val="20"/>
        </w:rPr>
        <w:t xml:space="preserve">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 </w:t>
      </w:r>
    </w:p>
    <w:p>
      <w:pPr>
        <w:pStyle w:val="TextBody"/>
        <w:spacing w:before="180" w:after="0"/>
        <w:rPr>
          <w:rFonts w:ascii="Times New Roman" w:hAnsi="Times New Roman"/>
          <w:sz w:val="20"/>
        </w:rPr>
      </w:pPr>
      <w:r>
        <w:rPr>
          <w:rFonts w:ascii="Times New Roman" w:hAnsi="Times New Roman"/>
          <w:sz w:val="20"/>
        </w:rPr>
        <w:t xml:space="preserve">WHEREAS, the Issuers propose to create under the Indenture a new series of Debt Securities; </w:t>
      </w:r>
    </w:p>
    <w:p>
      <w:pPr>
        <w:pStyle w:val="TextBody"/>
        <w:spacing w:before="180" w:after="0"/>
        <w:rPr>
          <w:rFonts w:ascii="Times New Roman" w:hAnsi="Times New Roman"/>
          <w:sz w:val="20"/>
        </w:rPr>
      </w:pPr>
      <w:r>
        <w:rPr>
          <w:rFonts w:ascii="Times New Roman" w:hAnsi="Times New Roman"/>
          <w:sz w:val="20"/>
        </w:rPr>
        <w:t xml:space="preserve">WHEREAS, additional Debt Securities of other series hereafter established, except as may be limited in the Original Indenture as at the time supplemented and modified, may be issued from time to time pursuant to the Original Indenture as at the time supplemented and modified; and </w:t>
      </w:r>
    </w:p>
    <w:p>
      <w:pPr>
        <w:pStyle w:val="TextBody"/>
        <w:spacing w:before="180" w:after="0"/>
        <w:rPr>
          <w:rFonts w:ascii="Times New Roman" w:hAnsi="Times New Roman"/>
          <w:sz w:val="20"/>
        </w:rPr>
      </w:pPr>
      <w:r>
        <w:rPr>
          <w:rFonts w:ascii="Times New Roman" w:hAnsi="Times New Roman"/>
          <w:sz w:val="20"/>
        </w:rPr>
        <w:t xml:space="preserve">WHEREAS, all conditions necessary to authorize the execution and delivery of this Supplemental Indenture and to make it a valid and binding obligation of the Issuers have been done or performed. </w:t>
      </w:r>
    </w:p>
    <w:p>
      <w:pPr>
        <w:pStyle w:val="TextBody"/>
        <w:spacing w:before="180" w:after="0"/>
        <w:rPr>
          <w:rFonts w:ascii="Times New Roman" w:hAnsi="Times New Roman"/>
          <w:sz w:val="20"/>
        </w:rPr>
      </w:pPr>
      <w:r>
        <w:rPr>
          <w:rFonts w:ascii="Times New Roman" w:hAnsi="Times New Roman"/>
          <w:sz w:val="20"/>
        </w:rPr>
        <w:t xml:space="preserve">NOW, THEREFORE, in consideration of the agreements and obligations set forth herein and for other good and valuable consideration, the sufficiency of which is hereby acknowledged, the parties hereto hereby agree as follows: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I </w:t>
      </w:r>
    </w:p>
    <w:p>
      <w:pPr>
        <w:pStyle w:val="TextBody"/>
        <w:spacing w:before="180" w:after="0"/>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Establishment</w:t>
      </w:r>
      <w:r>
        <w:rPr>
          <w:rFonts w:ascii="Times New Roman" w:hAnsi="Times New Roman"/>
          <w:sz w:val="20"/>
        </w:rPr>
        <w:t xml:space="preserve">. There is hereby established a new series of Debt Securities to be issued under the Indenture, to be designated as the Issuers 4.30% Senior Notes due 2043 (the Notes). Initially, there will be no Subsidiary Guarantors for the Notes. </w:t>
      </w:r>
    </w:p>
    <w:p>
      <w:pPr>
        <w:pStyle w:val="TextBody"/>
        <w:spacing w:before="180" w:after="0"/>
        <w:rPr>
          <w:rFonts w:ascii="Times New Roman" w:hAnsi="Times New Roman"/>
          <w:sz w:val="20"/>
        </w:rPr>
      </w:pPr>
      <w:r>
        <w:rPr>
          <w:rFonts w:ascii="Times New Roman" w:hAnsi="Times New Roman"/>
          <w:sz w:val="20"/>
        </w:rPr>
        <w:t xml:space="preserve">(a) There are to be authenticated and delivered $350,000,000 principal amount of Notes on the Issue Date, and from time to time thereafter there may be authenticated and delivered an unlimited principal amount of Additional Notes. </w:t>
      </w:r>
    </w:p>
    <w:p>
      <w:pPr>
        <w:pStyle w:val="TextBody"/>
        <w:spacing w:before="180" w:after="0"/>
        <w:rPr>
          <w:rFonts w:ascii="Times New Roman" w:hAnsi="Times New Roman"/>
          <w:sz w:val="20"/>
        </w:rPr>
      </w:pPr>
      <w:r>
        <w:rPr>
          <w:rFonts w:ascii="Times New Roman" w:hAnsi="Times New Roman"/>
          <w:sz w:val="20"/>
        </w:rPr>
        <w:t xml:space="preserve">(b) The Notes shall be issued initially in the form of one or more Global Securities in substantially the form set out in Exhibit A hereto. The Depositary with respect to the Notes shall be The Depository Trust Company. </w:t>
      </w:r>
    </w:p>
    <w:p>
      <w:pPr>
        <w:pStyle w:val="TextBody"/>
        <w:spacing w:before="180" w:after="0"/>
        <w:rPr>
          <w:rFonts w:ascii="Times New Roman" w:hAnsi="Times New Roman"/>
          <w:sz w:val="20"/>
        </w:rPr>
      </w:pPr>
      <w:r>
        <w:rPr>
          <w:rFonts w:ascii="Times New Roman" w:hAnsi="Times New Roman"/>
          <w:sz w:val="20"/>
        </w:rPr>
        <w:t xml:space="preserve">(c) Each Note shall be dated the date of authentication thereof and shall bear interest from the date of original issuance thereof or from the most recent date to which interest has been paid or duly provided for. </w:t>
      </w:r>
    </w:p>
    <w:p>
      <w:pPr>
        <w:pStyle w:val="TextBody"/>
        <w:spacing w:before="180" w:after="0"/>
        <w:rPr>
          <w:rFonts w:ascii="Times New Roman" w:hAnsi="Times New Roman"/>
          <w:sz w:val="20"/>
        </w:rPr>
      </w:pPr>
      <w:r>
        <w:rPr>
          <w:rFonts w:ascii="Times New Roman" w:hAnsi="Times New Roman"/>
          <w:sz w:val="20"/>
        </w:rPr>
        <w:t xml:space="preserve">(d) If and to the extent that the provisions of the Original Indenture are duplicative of, or in contradiction with, the provisions of this Supplemental Indenture, the provisions of this Supplemental Indenture shall govern. </w:t>
      </w:r>
    </w:p>
    <w:p>
      <w:pPr>
        <w:pStyle w:val="TextBody"/>
        <w:spacing w:before="270" w:after="0"/>
        <w:jc w:val="center"/>
        <w:rPr>
          <w:rFonts w:ascii="Times New Roman" w:hAnsi="Times New Roman"/>
          <w:sz w:val="20"/>
        </w:rPr>
      </w:pPr>
      <w:r>
        <w:rPr>
          <w:rFonts w:ascii="Times New Roman" w:hAnsi="Times New Roman"/>
          <w:sz w:val="20"/>
        </w:rPr>
        <w:t xml:space="preserve">ARTICLE II </w:t>
      </w:r>
    </w:p>
    <w:p>
      <w:pPr>
        <w:pStyle w:val="TextBody"/>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spacing w:before="180" w:after="0"/>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Definitions</w:t>
      </w:r>
      <w:r>
        <w:rPr>
          <w:rFonts w:ascii="Times New Roman" w:hAnsi="Times New Roman"/>
          <w:sz w:val="20"/>
        </w:rPr>
        <w:t xml:space="preserve">. All capitalized terms used herein and not otherwise defined below shall have the meanings ascribed thereto in the Original Indenture. The following are additional definitions used in this Supplemental Indenture: </w:t>
      </w:r>
    </w:p>
    <w:p>
      <w:pPr>
        <w:pStyle w:val="TextBody"/>
        <w:spacing w:before="180" w:after="0"/>
        <w:rPr>
          <w:rFonts w:ascii="Times New Roman" w:hAnsi="Times New Roman"/>
          <w:sz w:val="20"/>
        </w:rPr>
      </w:pPr>
      <w:r>
        <w:rPr>
          <w:rFonts w:ascii="Times New Roman" w:hAnsi="Times New Roman"/>
          <w:sz w:val="20"/>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 </w:t>
      </w:r>
    </w:p>
    <w:p>
      <w:pPr>
        <w:pStyle w:val="TextBody"/>
        <w:spacing w:before="180" w:after="0"/>
        <w:rPr>
          <w:rFonts w:ascii="Times New Roman" w:hAnsi="Times New Roman"/>
          <w:sz w:val="20"/>
        </w:rPr>
      </w:pPr>
      <w:r>
        <w:rPr>
          <w:rFonts w:ascii="Times New Roman" w:hAnsi="Times New Roman"/>
          <w:sz w:val="20"/>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80" w:after="0"/>
        <w:rPr>
          <w:rFonts w:ascii="Times New Roman" w:hAnsi="Times New Roman"/>
          <w:sz w:val="20"/>
        </w:rPr>
      </w:pPr>
      <w:r>
        <w:rPr>
          <w:rFonts w:ascii="Times New Roman" w:hAnsi="Times New Roman"/>
          <w:sz w:val="20"/>
        </w:rPr>
        <w:t xml:space="preserve">Consolidated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 </w:t>
      </w:r>
    </w:p>
    <w:p>
      <w:pPr>
        <w:pStyle w:val="TextBody"/>
        <w:spacing w:before="180" w:after="0"/>
        <w:rPr>
          <w:rFonts w:ascii="Times New Roman" w:hAnsi="Times New Roman"/>
          <w:sz w:val="20"/>
        </w:rPr>
      </w:pPr>
      <w:r>
        <w:rPr>
          <w:rFonts w:ascii="Times New Roman" w:hAnsi="Times New Roman"/>
          <w:sz w:val="20"/>
        </w:rPr>
        <w:t xml:space="preserve">Debt means any obligation created or assumed by any Person for the repayment of money borrowed, any purchase money obligation created or assumed by such Person, and any guarantee of the foregoing. </w:t>
      </w:r>
    </w:p>
    <w:p>
      <w:pPr>
        <w:pStyle w:val="TextBody"/>
        <w:spacing w:before="180" w:after="0"/>
        <w:rPr>
          <w:rFonts w:ascii="Times New Roman" w:hAnsi="Times New Roman"/>
          <w:sz w:val="20"/>
        </w:rPr>
      </w:pPr>
      <w:r>
        <w:rPr>
          <w:rFonts w:ascii="Times New Roman" w:hAnsi="Times New Roman"/>
          <w:sz w:val="20"/>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80" w:after="0"/>
        <w:rPr>
          <w:rFonts w:ascii="Times New Roman" w:hAnsi="Times New Roman"/>
          <w:sz w:val="20"/>
        </w:rPr>
      </w:pPr>
      <w:r>
        <w:rPr>
          <w:rFonts w:ascii="Times New Roman" w:hAnsi="Times New Roman"/>
          <w:sz w:val="20"/>
        </w:rPr>
        <w:t xml:space="preserve">Guarantee means a guarantee of the Notes given by a Subsidiary Guarantor pursuant to the Indenture, including any future obligations under Article IX hereof. </w:t>
      </w:r>
    </w:p>
    <w:p>
      <w:pPr>
        <w:pStyle w:val="TextBody"/>
        <w:spacing w:before="180" w:after="0"/>
        <w:rPr>
          <w:rFonts w:ascii="Times New Roman" w:hAnsi="Times New Roman"/>
          <w:sz w:val="20"/>
        </w:rPr>
      </w:pPr>
      <w:r>
        <w:rPr>
          <w:rFonts w:ascii="Times New Roman" w:hAnsi="Times New Roman"/>
          <w:sz w:val="20"/>
        </w:rPr>
        <w:t xml:space="preserve">General Partner means PAA GP LLC, a Delaware limited liability company, and its successors and permitted assigns as general partner of the Partnership. </w:t>
      </w:r>
    </w:p>
    <w:p>
      <w:pPr>
        <w:pStyle w:val="TextBody"/>
        <w:spacing w:before="180" w:after="0"/>
        <w:rPr>
          <w:rFonts w:ascii="Times New Roman" w:hAnsi="Times New Roman"/>
          <w:sz w:val="20"/>
        </w:rPr>
      </w:pPr>
      <w:r>
        <w:rPr>
          <w:rFonts w:ascii="Times New Roman" w:hAnsi="Times New Roman"/>
          <w:sz w:val="20"/>
        </w:rPr>
        <w:t xml:space="preserve">Issue Date means, with respect to the Notes, the date on which the Notes are initially issued. </w:t>
      </w:r>
    </w:p>
    <w:p>
      <w:pPr>
        <w:pStyle w:val="TextBody"/>
        <w:spacing w:before="180" w:after="0"/>
        <w:rPr>
          <w:rFonts w:ascii="Times New Roman" w:hAnsi="Times New Roman"/>
          <w:sz w:val="20"/>
        </w:rPr>
      </w:pPr>
      <w:r>
        <w:rPr>
          <w:rFonts w:ascii="Times New Roman" w:hAnsi="Times New Roman"/>
          <w:sz w:val="20"/>
        </w:rPr>
        <w:t xml:space="preserve">Managing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 </w:t>
      </w:r>
    </w:p>
    <w:p>
      <w:pPr>
        <w:pStyle w:val="TextBody"/>
        <w:spacing w:before="180" w:after="0"/>
        <w:rPr>
          <w:rFonts w:ascii="Times New Roman" w:hAnsi="Times New Roman"/>
          <w:sz w:val="20"/>
        </w:rPr>
      </w:pPr>
      <w:r>
        <w:rPr>
          <w:rFonts w:ascii="Times New Roman" w:hAnsi="Times New Roman"/>
          <w:sz w:val="20"/>
        </w:rPr>
        <w:t xml:space="preserve">Notes has the meaning assigned to it in Section 1.01(a) hereof, and includes both the Notes issued on the Issue Date and any Additional Notes issued thereafter.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Obligations means any principal, interest, liquidated damages, penalties, fees, indemnifications, reimbursement obligations, damages and other liabilities payable under the documentation governing any Debt. </w:t>
      </w:r>
    </w:p>
    <w:p>
      <w:pPr>
        <w:pStyle w:val="TextBody"/>
        <w:spacing w:before="180" w:after="0"/>
        <w:rPr>
          <w:rFonts w:ascii="Times New Roman" w:hAnsi="Times New Roman"/>
          <w:sz w:val="20"/>
        </w:rPr>
      </w:pPr>
      <w:r>
        <w:rPr>
          <w:rFonts w:ascii="Times New Roman" w:hAnsi="Times New Roman"/>
          <w:sz w:val="20"/>
        </w:rPr>
        <w:t xml:space="preserve">Pari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80" w:after="0"/>
        <w:rPr>
          <w:rFonts w:ascii="Times New Roman" w:hAnsi="Times New Roman"/>
          <w:sz w:val="20"/>
        </w:rPr>
      </w:pPr>
      <w:r>
        <w:rPr>
          <w:rFonts w:ascii="Times New Roman" w:hAnsi="Times New Roman"/>
          <w:sz w:val="20"/>
        </w:rPr>
        <w:t xml:space="preserve">Partnership Agreement means the Fourth Amended and Restated Agreement of Limited Partnership of Plains All American Pipeline, L.P., dated as of May 17, 2012, as amended by Amendment No. 1 thereto dated as of October 1, 2012, and as such may be otherwise amended, modified or supplemented from time to time. </w:t>
      </w:r>
    </w:p>
    <w:p>
      <w:pPr>
        <w:pStyle w:val="TextBody"/>
        <w:spacing w:before="180" w:after="0"/>
        <w:rPr>
          <w:rFonts w:ascii="Times New Roman" w:hAnsi="Times New Roman"/>
          <w:sz w:val="20"/>
        </w:rPr>
      </w:pPr>
      <w:r>
        <w:rPr>
          <w:rFonts w:ascii="Times New Roman" w:hAnsi="Times New Roman"/>
          <w:sz w:val="20"/>
        </w:rPr>
        <w:t xml:space="preserve">Permitted Liens means: </w:t>
      </w:r>
    </w:p>
    <w:p>
      <w:pPr>
        <w:pStyle w:val="TextBody"/>
        <w:spacing w:before="90" w:after="0"/>
        <w:rPr>
          <w:rFonts w:ascii="Times New Roman" w:hAnsi="Times New Roman"/>
          <w:sz w:val="20"/>
        </w:rPr>
      </w:pPr>
      <w:r>
        <w:rPr>
          <w:rFonts w:ascii="Times New Roman" w:hAnsi="Times New Roman"/>
          <w:sz w:val="20"/>
        </w:rPr>
        <w:t xml:space="preserve">(1) Liens upon rights-of-way for pipeline purposes; </w:t>
      </w:r>
    </w:p>
    <w:p>
      <w:pPr>
        <w:pStyle w:val="TextBody"/>
        <w:spacing w:before="90" w:after="0"/>
        <w:rPr>
          <w:rFonts w:ascii="Times New Roman" w:hAnsi="Times New Roman"/>
          <w:sz w:val="20"/>
        </w:rPr>
      </w:pPr>
      <w:r>
        <w:rPr>
          <w:rFonts w:ascii="Times New Roman" w:hAnsi="Times New Roman"/>
          <w:sz w:val="20"/>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90" w:after="0"/>
        <w:rPr>
          <w:rFonts w:ascii="Times New Roman" w:hAnsi="Times New Roman"/>
          <w:sz w:val="20"/>
        </w:rPr>
      </w:pPr>
      <w:r>
        <w:rPr>
          <w:rFonts w:ascii="Times New Roman" w:hAnsi="Times New Roman"/>
          <w:sz w:val="20"/>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90" w:after="0"/>
        <w:rPr>
          <w:rFonts w:ascii="Times New Roman" w:hAnsi="Times New Roman"/>
          <w:sz w:val="20"/>
        </w:rPr>
      </w:pPr>
      <w:r>
        <w:rPr>
          <w:rFonts w:ascii="Times New Roman" w:hAnsi="Times New Roman"/>
          <w:sz w:val="20"/>
        </w:rPr>
        <w:t xml:space="preserve">(4) Liens of taxes and assessments which are (A) for the then current year, (B) not at the time delinquent, or (C) delinquent but the validity of which is being contested at the time by an Issuer or any Restricted Subsidiary in good faith; </w:t>
      </w:r>
    </w:p>
    <w:p>
      <w:pPr>
        <w:pStyle w:val="TextBody"/>
        <w:spacing w:before="90" w:after="0"/>
        <w:rPr>
          <w:rFonts w:ascii="Times New Roman" w:hAnsi="Times New Roman"/>
          <w:sz w:val="20"/>
        </w:rPr>
      </w:pPr>
      <w:r>
        <w:rPr>
          <w:rFonts w:ascii="Times New Roman" w:hAnsi="Times New Roman"/>
          <w:sz w:val="20"/>
        </w:rPr>
        <w:t xml:space="preserve">(5) Liens of, or to secure performance of, leases, other than capital leases; </w:t>
      </w:r>
    </w:p>
    <w:p>
      <w:pPr>
        <w:pStyle w:val="TextBody"/>
        <w:spacing w:before="90" w:after="0"/>
        <w:rPr>
          <w:rFonts w:ascii="Times New Roman" w:hAnsi="Times New Roman"/>
          <w:sz w:val="20"/>
        </w:rPr>
      </w:pPr>
      <w:r>
        <w:rPr>
          <w:rFonts w:ascii="Times New Roman" w:hAnsi="Times New Roman"/>
          <w:sz w:val="20"/>
        </w:rPr>
        <w:t xml:space="preserve">(6) any Lien upon, or deposits of, any assets in favor of any surety company or clerk of court for the purpose of obtaining indemnity or stay of judicial proceedings; </w:t>
      </w:r>
    </w:p>
    <w:p>
      <w:pPr>
        <w:pStyle w:val="TextBody"/>
        <w:spacing w:before="90" w:after="0"/>
        <w:rPr>
          <w:rFonts w:ascii="Times New Roman" w:hAnsi="Times New Roman"/>
          <w:sz w:val="20"/>
        </w:rPr>
      </w:pPr>
      <w:r>
        <w:rPr>
          <w:rFonts w:ascii="Times New Roman" w:hAnsi="Times New Roman"/>
          <w:sz w:val="20"/>
        </w:rPr>
        <w:t xml:space="preserve">(7) any Lien upon property or assets acquired or sold by an Issuer or any Restricted Subsidiary resulting from the exercise of any rights arising out of defaults on receivables; </w:t>
      </w:r>
    </w:p>
    <w:p>
      <w:pPr>
        <w:pStyle w:val="TextBody"/>
        <w:spacing w:before="90" w:after="0"/>
        <w:rPr>
          <w:rFonts w:ascii="Times New Roman" w:hAnsi="Times New Roman"/>
          <w:sz w:val="20"/>
        </w:rPr>
      </w:pPr>
      <w:r>
        <w:rPr>
          <w:rFonts w:ascii="Times New Roman" w:hAnsi="Times New Roman"/>
          <w:sz w:val="20"/>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(9) any Lien in favor of an Issuer or any Restricted Subsidiary; </w:t>
      </w:r>
    </w:p>
    <w:p>
      <w:pPr>
        <w:pStyle w:val="TextBody"/>
        <w:spacing w:before="90" w:after="0"/>
        <w:rPr>
          <w:rFonts w:ascii="Times New Roman" w:hAnsi="Times New Roman"/>
          <w:sz w:val="20"/>
        </w:rPr>
      </w:pPr>
      <w:r>
        <w:rPr>
          <w:rFonts w:ascii="Times New Roman" w:hAnsi="Times New Roman"/>
          <w:sz w:val="20"/>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 </w:t>
      </w:r>
    </w:p>
    <w:p>
      <w:pPr>
        <w:pStyle w:val="TextBody"/>
        <w:spacing w:before="90" w:after="0"/>
        <w:rPr>
          <w:rFonts w:ascii="Times New Roman" w:hAnsi="Times New Roman"/>
          <w:sz w:val="20"/>
        </w:rPr>
      </w:pPr>
      <w:r>
        <w:rPr>
          <w:rFonts w:ascii="Times New Roman" w:hAnsi="Times New Roman"/>
          <w:sz w:val="20"/>
        </w:rPr>
        <w:t xml:space="preserve">(11) any Lien securing industrial development, pollution control or similar revenue bonds; </w:t>
      </w:r>
    </w:p>
    <w:p>
      <w:pPr>
        <w:pStyle w:val="TextBody"/>
        <w:spacing w:before="90" w:after="0"/>
        <w:rPr>
          <w:rFonts w:ascii="Times New Roman" w:hAnsi="Times New Roman"/>
          <w:sz w:val="20"/>
        </w:rPr>
      </w:pPr>
      <w:r>
        <w:rPr>
          <w:rFonts w:ascii="Times New Roman" w:hAnsi="Times New Roman"/>
          <w:sz w:val="20"/>
        </w:rPr>
        <w:t xml:space="preserve">(12)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 </w:t>
      </w:r>
    </w:p>
    <w:p>
      <w:pPr>
        <w:pStyle w:val="TextBody"/>
        <w:spacing w:before="90" w:after="0"/>
        <w:rPr>
          <w:rFonts w:ascii="Times New Roman" w:hAnsi="Times New Roman"/>
          <w:sz w:val="20"/>
        </w:rPr>
      </w:pPr>
      <w:r>
        <w:rPr>
          <w:rFonts w:ascii="Times New Roman" w:hAnsi="Times New Roman"/>
          <w:sz w:val="20"/>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90" w:after="0"/>
        <w:rPr>
          <w:rFonts w:ascii="Times New Roman" w:hAnsi="Times New Roman"/>
          <w:sz w:val="20"/>
        </w:rPr>
      </w:pPr>
      <w:r>
        <w:rPr>
          <w:rFonts w:ascii="Times New Roman" w:hAnsi="Times New Roman"/>
          <w:sz w:val="20"/>
        </w:rPr>
        <w:t xml:space="preserve">(14) any Lien upon or deposits of any assets to secure performance of bids, trade contracts, leases or statutory obligations; </w:t>
      </w:r>
    </w:p>
    <w:p>
      <w:pPr>
        <w:pStyle w:val="TextBody"/>
        <w:spacing w:before="90" w:after="0"/>
        <w:rPr>
          <w:rFonts w:ascii="Times New Roman" w:hAnsi="Times New Roman"/>
          <w:sz w:val="20"/>
        </w:rPr>
      </w:pPr>
      <w:r>
        <w:rPr>
          <w:rFonts w:ascii="Times New Roman" w:hAnsi="Times New Roman"/>
          <w:sz w:val="20"/>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90" w:after="0"/>
        <w:rPr>
          <w:rFonts w:ascii="Times New Roman" w:hAnsi="Times New Roman"/>
          <w:sz w:val="20"/>
        </w:rPr>
      </w:pPr>
      <w:r>
        <w:rPr>
          <w:rFonts w:ascii="Times New Roman" w:hAnsi="Times New Roman"/>
          <w:sz w:val="20"/>
        </w:rPr>
        <w:t xml:space="preserve">(16)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 </w:t>
      </w:r>
    </w:p>
    <w:p>
      <w:pPr>
        <w:pStyle w:val="TextBody"/>
        <w:spacing w:before="90" w:after="0"/>
        <w:rPr>
          <w:rFonts w:ascii="Times New Roman" w:hAnsi="Times New Roman"/>
          <w:sz w:val="20"/>
        </w:rPr>
      </w:pPr>
      <w:r>
        <w:rPr>
          <w:rFonts w:ascii="Times New Roman" w:hAnsi="Times New Roman"/>
          <w:sz w:val="20"/>
        </w:rPr>
        <w:t xml:space="preserve">(17) Liens arising under operating agreements, joint venture agreements, partnership agreements, oil and gas leases, farmout agreements, division orders, contracts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 </w:t>
      </w:r>
    </w:p>
    <w:p>
      <w:pPr>
        <w:pStyle w:val="TextBody"/>
        <w:spacing w:before="90" w:after="0"/>
        <w:rPr>
          <w:rFonts w:ascii="Times New Roman" w:hAnsi="Times New Roman"/>
          <w:sz w:val="20"/>
        </w:rPr>
      </w:pPr>
      <w:r>
        <w:rPr>
          <w:rFonts w:ascii="Times New Roman" w:hAnsi="Times New Roman"/>
          <w:sz w:val="20"/>
        </w:rPr>
        <w:t xml:space="preserve">(18) any obligations or duties to any municipality or public authority with respect to any lease, easement, right-of-way, license, franchise, privilege, permit or grant. </w:t>
      </w:r>
    </w:p>
    <w:p>
      <w:pPr>
        <w:pStyle w:val="TextBody"/>
        <w:spacing w:before="180" w:after="0"/>
        <w:rPr>
          <w:rFonts w:ascii="Times New Roman" w:hAnsi="Times New Roman"/>
          <w:sz w:val="20"/>
        </w:rPr>
      </w:pPr>
      <w:r>
        <w:rPr>
          <w:rFonts w:ascii="Times New Roman" w:hAnsi="Times New Roman"/>
          <w:sz w:val="20"/>
        </w:rPr>
        <w:t xml:space="preserve">Principal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 </w:t>
      </w:r>
    </w:p>
    <w:p>
      <w:pPr>
        <w:pStyle w:val="TextBody"/>
        <w:spacing w:before="180" w:after="0"/>
        <w:rPr>
          <w:rFonts w:ascii="Times New Roman" w:hAnsi="Times New Roman"/>
          <w:sz w:val="20"/>
        </w:rPr>
      </w:pPr>
      <w:r>
        <w:rPr>
          <w:rFonts w:ascii="Times New Roman" w:hAnsi="Times New Roman"/>
          <w:sz w:val="20"/>
        </w:rPr>
        <w:t xml:space="preserve">Restricted Subsidiary means any Subsidiary of the Partnership owning or leasing, directly or indirectly through ownership in another Subsidiary, any Principal Property. </w:t>
      </w:r>
    </w:p>
    <w:p>
      <w:pPr>
        <w:pStyle w:val="TextBody"/>
        <w:spacing w:before="180" w:after="0"/>
        <w:rPr>
          <w:rFonts w:ascii="Times New Roman" w:hAnsi="Times New Roman"/>
          <w:sz w:val="20"/>
        </w:rPr>
      </w:pPr>
      <w:r>
        <w:rPr>
          <w:rFonts w:ascii="Times New Roman" w:hAnsi="Times New Roman"/>
          <w:sz w:val="20"/>
        </w:rPr>
        <w:t xml:space="preserve">Sale-leaseback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 </w:t>
      </w:r>
    </w:p>
    <w:p>
      <w:pPr>
        <w:pStyle w:val="TextBody"/>
        <w:spacing w:before="180" w:after="0"/>
        <w:rPr>
          <w:rFonts w:ascii="Times New Roman" w:hAnsi="Times New Roman"/>
          <w:sz w:val="20"/>
        </w:rPr>
      </w:pPr>
      <w:r>
        <w:rPr>
          <w:rFonts w:ascii="Times New Roman" w:hAnsi="Times New Roman"/>
          <w:sz w:val="20"/>
        </w:rPr>
        <w:t xml:space="preserve">Subsidiary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180" w:after="0"/>
        <w:rPr>
          <w:rFonts w:ascii="Times New Roman" w:hAnsi="Times New Roman"/>
          <w:sz w:val="20"/>
        </w:rPr>
      </w:pPr>
      <w:r>
        <w:rPr>
          <w:rFonts w:ascii="Times New Roman" w:hAnsi="Times New Roman"/>
          <w:sz w:val="20"/>
        </w:rPr>
        <w:t xml:space="preserve">Subsidiary Guarantors means each of: </w:t>
      </w:r>
    </w:p>
    <w:p>
      <w:pPr>
        <w:pStyle w:val="TextBody"/>
        <w:spacing w:before="90" w:after="0"/>
        <w:rPr>
          <w:rFonts w:ascii="Times New Roman" w:hAnsi="Times New Roman"/>
          <w:sz w:val="20"/>
        </w:rPr>
      </w:pPr>
      <w:r>
        <w:rPr>
          <w:rFonts w:ascii="Times New Roman" w:hAnsi="Times New Roman"/>
          <w:sz w:val="20"/>
        </w:rPr>
        <w:t xml:space="preserve">(1) any Subsidiary that executes a supplemental Indenture to provide a Guarantee in accordance with the provisions of the Indenture; and </w:t>
      </w:r>
    </w:p>
    <w:p>
      <w:pPr>
        <w:pStyle w:val="TextBody"/>
        <w:spacing w:before="90" w:after="0"/>
        <w:rPr>
          <w:rFonts w:ascii="Times New Roman" w:hAnsi="Times New Roman"/>
          <w:sz w:val="20"/>
        </w:rPr>
      </w:pPr>
      <w:r>
        <w:rPr>
          <w:rFonts w:ascii="Times New Roman" w:hAnsi="Times New Roman"/>
          <w:sz w:val="20"/>
        </w:rPr>
        <w:t xml:space="preserve">(2) their respective successors and assigns.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Other Definitions</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932"/>
        <w:gridCol w:w="527"/>
        <w:gridCol w:w="84"/>
        <w:gridCol w:w="539"/>
        <w:gridCol w:w="123"/>
      </w:tblGrid>
      <w:tr>
        <w:trPr/>
        <w:tc>
          <w:tcPr>
            <w:tcW w:w="8932"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93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Term</w:t>
            </w:r>
          </w:p>
        </w:tc>
        <w:tc>
          <w:tcPr>
            <w:tcW w:w="527" w:type="dxa"/>
            <w:tcBorders/>
            <w:shd w:fill="auto" w:val="clear"/>
            <w:vAlign w:val="bottom"/>
          </w:tcPr>
          <w:p>
            <w:pPr>
              <w:pStyle w:val="TableContents"/>
              <w:spacing w:before="0" w:after="283"/>
              <w:rPr/>
            </w:pPr>
            <w:r>
              <w:rPr/>
              <w:t>  </w:t>
            </w:r>
          </w:p>
        </w:tc>
        <w:tc>
          <w:tcPr>
            <w:tcW w:w="6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Defined in</w:t>
              <w:br/>
              <w:t>Section</w:t>
            </w:r>
          </w:p>
        </w:tc>
        <w:tc>
          <w:tcPr>
            <w:tcW w:w="123" w:type="dxa"/>
            <w:tcBorders/>
            <w:shd w:fill="auto" w:val="clear"/>
            <w:vAlign w:val="bottom"/>
          </w:tcPr>
          <w:p>
            <w:pPr>
              <w:pStyle w:val="TableContents"/>
              <w:spacing w:before="0" w:after="283"/>
              <w:rPr/>
            </w:pPr>
            <w:r>
              <w:rPr/>
              <w:t> </w:t>
            </w:r>
          </w:p>
        </w:tc>
      </w:tr>
      <w:tr>
        <w:trPr/>
        <w:tc>
          <w:tcPr>
            <w:tcW w:w="8932"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Notes</w:t>
            </w:r>
          </w:p>
        </w:tc>
        <w:tc>
          <w:tcPr>
            <w:tcW w:w="5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123" w:type="dxa"/>
            <w:tcBorders/>
            <w:shd w:fill="CCEEFF" w:val="clear"/>
            <w:vAlign w:val="bottom"/>
          </w:tcPr>
          <w:p>
            <w:pPr>
              <w:pStyle w:val="TableContents"/>
              <w:spacing w:before="0" w:after="283"/>
              <w:rPr/>
            </w:pPr>
            <w:r>
              <w:rPr/>
              <w:t>  </w:t>
            </w:r>
          </w:p>
        </w:tc>
      </w:tr>
      <w:tr>
        <w:trPr/>
        <w:tc>
          <w:tcPr>
            <w:tcW w:w="8932" w:type="dxa"/>
            <w:tcBorders/>
            <w:shd w:fill="auto" w:val="clear"/>
          </w:tcPr>
          <w:p>
            <w:pPr>
              <w:pStyle w:val="TableContents"/>
              <w:spacing w:before="0" w:after="283"/>
              <w:rPr>
                <w:rFonts w:ascii="Times New Roman" w:hAnsi="Times New Roman"/>
                <w:sz w:val="20"/>
              </w:rPr>
            </w:pPr>
            <w:r>
              <w:rPr>
                <w:rFonts w:ascii="Times New Roman" w:hAnsi="Times New Roman"/>
                <w:sz w:val="20"/>
              </w:rPr>
              <w:t>Covenant Defeasance</w:t>
            </w:r>
          </w:p>
        </w:tc>
        <w:tc>
          <w:tcPr>
            <w:tcW w:w="5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8.03</w:t>
            </w:r>
          </w:p>
        </w:tc>
        <w:tc>
          <w:tcPr>
            <w:tcW w:w="123" w:type="dxa"/>
            <w:tcBorders/>
            <w:shd w:fill="auto" w:val="clear"/>
            <w:vAlign w:val="bottom"/>
          </w:tcPr>
          <w:p>
            <w:pPr>
              <w:pStyle w:val="TableContents"/>
              <w:spacing w:before="0" w:after="283"/>
              <w:rPr/>
            </w:pPr>
            <w:r>
              <w:rPr/>
              <w:t>  </w:t>
            </w:r>
          </w:p>
        </w:tc>
      </w:tr>
      <w:tr>
        <w:trPr/>
        <w:tc>
          <w:tcPr>
            <w:tcW w:w="8932" w:type="dxa"/>
            <w:tcBorders/>
            <w:shd w:fill="CCEEFF" w:val="clear"/>
          </w:tcPr>
          <w:p>
            <w:pPr>
              <w:pStyle w:val="TableContents"/>
              <w:spacing w:before="0" w:after="283"/>
              <w:rPr>
                <w:rFonts w:ascii="Times New Roman" w:hAnsi="Times New Roman"/>
                <w:sz w:val="20"/>
              </w:rPr>
            </w:pPr>
            <w:r>
              <w:rPr>
                <w:rFonts w:ascii="Times New Roman" w:hAnsi="Times New Roman"/>
                <w:sz w:val="20"/>
              </w:rPr>
              <w:t>Event of Default</w:t>
            </w:r>
          </w:p>
        </w:tc>
        <w:tc>
          <w:tcPr>
            <w:tcW w:w="5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23" w:type="dxa"/>
            <w:tcBorders/>
            <w:shd w:fill="CCEEFF" w:val="clear"/>
            <w:vAlign w:val="bottom"/>
          </w:tcPr>
          <w:p>
            <w:pPr>
              <w:pStyle w:val="TableContents"/>
              <w:spacing w:before="0" w:after="283"/>
              <w:rPr/>
            </w:pPr>
            <w:r>
              <w:rPr/>
              <w:t>  </w:t>
            </w:r>
          </w:p>
        </w:tc>
      </w:tr>
      <w:tr>
        <w:trPr/>
        <w:tc>
          <w:tcPr>
            <w:tcW w:w="8932" w:type="dxa"/>
            <w:tcBorders/>
            <w:shd w:fill="auto" w:val="clear"/>
          </w:tcPr>
          <w:p>
            <w:pPr>
              <w:pStyle w:val="TableContents"/>
              <w:spacing w:before="0" w:after="283"/>
              <w:rPr>
                <w:rFonts w:ascii="Times New Roman" w:hAnsi="Times New Roman"/>
                <w:sz w:val="20"/>
              </w:rPr>
            </w:pPr>
            <w:r>
              <w:rPr>
                <w:rFonts w:ascii="Times New Roman" w:hAnsi="Times New Roman"/>
                <w:sz w:val="20"/>
              </w:rPr>
              <w:t>Legal Defeasance</w:t>
            </w:r>
          </w:p>
        </w:tc>
        <w:tc>
          <w:tcPr>
            <w:tcW w:w="5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23" w:type="dxa"/>
            <w:tcBorders/>
            <w:shd w:fill="auto" w:val="clear"/>
            <w:vAlign w:val="bottom"/>
          </w:tcPr>
          <w:p>
            <w:pPr>
              <w:pStyle w:val="TableContents"/>
              <w:spacing w:before="0" w:after="283"/>
              <w:rPr/>
            </w:pPr>
            <w:r>
              <w:rPr/>
              <w:t>  </w:t>
            </w:r>
          </w:p>
        </w:tc>
      </w:tr>
      <w:tr>
        <w:trPr/>
        <w:tc>
          <w:tcPr>
            <w:tcW w:w="8932" w:type="dxa"/>
            <w:tcBorders/>
            <w:shd w:fill="CCEEFF" w:val="clear"/>
          </w:tcPr>
          <w:p>
            <w:pPr>
              <w:pStyle w:val="TableContents"/>
              <w:spacing w:before="0" w:after="283"/>
              <w:rPr>
                <w:rFonts w:ascii="Times New Roman" w:hAnsi="Times New Roman"/>
                <w:sz w:val="20"/>
              </w:rPr>
            </w:pPr>
            <w:r>
              <w:rPr>
                <w:rFonts w:ascii="Times New Roman" w:hAnsi="Times New Roman"/>
                <w:sz w:val="20"/>
              </w:rPr>
              <w:t>Note Obligations</w:t>
            </w:r>
          </w:p>
        </w:tc>
        <w:tc>
          <w:tcPr>
            <w:tcW w:w="5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9.01</w:t>
            </w:r>
          </w:p>
        </w:tc>
        <w:tc>
          <w:tcPr>
            <w:tcW w:w="123" w:type="dxa"/>
            <w:tcBorders/>
            <w:shd w:fill="CCEEFF" w:val="clear"/>
            <w:vAlign w:val="bottom"/>
          </w:tcPr>
          <w:p>
            <w:pPr>
              <w:pStyle w:val="TableContents"/>
              <w:spacing w:before="0" w:after="283"/>
              <w:rPr/>
            </w:pPr>
            <w:r>
              <w:rPr/>
              <w:t>  </w:t>
            </w:r>
          </w:p>
        </w:tc>
      </w:tr>
      <w:tr>
        <w:trPr/>
        <w:tc>
          <w:tcPr>
            <w:tcW w:w="8932" w:type="dxa"/>
            <w:tcBorders/>
            <w:shd w:fill="auto" w:val="clear"/>
          </w:tcPr>
          <w:p>
            <w:pPr>
              <w:pStyle w:val="TableContents"/>
              <w:spacing w:before="0" w:after="283"/>
              <w:rPr>
                <w:rFonts w:ascii="Times New Roman" w:hAnsi="Times New Roman"/>
                <w:sz w:val="20"/>
              </w:rPr>
            </w:pPr>
            <w:r>
              <w:rPr>
                <w:rFonts w:ascii="Times New Roman" w:hAnsi="Times New Roman"/>
                <w:sz w:val="20"/>
              </w:rPr>
              <w:t>Payment Default</w:t>
            </w:r>
          </w:p>
        </w:tc>
        <w:tc>
          <w:tcPr>
            <w:tcW w:w="5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23" w:type="dxa"/>
            <w:tcBorders/>
            <w:shd w:fill="auto" w:val="clear"/>
            <w:vAlign w:val="bottom"/>
          </w:tcPr>
          <w:p>
            <w:pPr>
              <w:pStyle w:val="TableContents"/>
              <w:spacing w:before="0" w:after="283"/>
              <w:rPr/>
            </w:pPr>
            <w:r>
              <w:rPr/>
              <w:t>  </w:t>
            </w:r>
          </w:p>
        </w:tc>
      </w:tr>
      <w:tr>
        <w:trPr/>
        <w:tc>
          <w:tcPr>
            <w:tcW w:w="8932" w:type="dxa"/>
            <w:tcBorders/>
            <w:shd w:fill="CCEEFF" w:val="clear"/>
          </w:tcPr>
          <w:p>
            <w:pPr>
              <w:pStyle w:val="TableContents"/>
              <w:spacing w:before="0" w:after="283"/>
              <w:rPr>
                <w:rFonts w:ascii="Times New Roman" w:hAnsi="Times New Roman"/>
                <w:sz w:val="20"/>
              </w:rPr>
            </w:pPr>
            <w:r>
              <w:rPr>
                <w:rFonts w:ascii="Times New Roman" w:hAnsi="Times New Roman"/>
                <w:sz w:val="20"/>
              </w:rPr>
              <w:t>Required Filing Dates</w:t>
            </w:r>
          </w:p>
        </w:tc>
        <w:tc>
          <w:tcPr>
            <w:tcW w:w="5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123" w:type="dxa"/>
            <w:tcBorders/>
            <w:shd w:fill="CCEEFF" w:val="clear"/>
            <w:vAlign w:val="bottom"/>
          </w:tcPr>
          <w:p>
            <w:pPr>
              <w:pStyle w:val="TableContents"/>
              <w:spacing w:before="0" w:after="283"/>
              <w:rPr/>
            </w:pPr>
            <w:r>
              <w:rPr/>
              <w:t>  </w:t>
            </w:r>
          </w:p>
        </w:tc>
      </w:tr>
      <w:tr>
        <w:trPr/>
        <w:tc>
          <w:tcPr>
            <w:tcW w:w="8932" w:type="dxa"/>
            <w:tcBorders/>
            <w:shd w:fill="auto" w:val="clear"/>
          </w:tcPr>
          <w:p>
            <w:pPr>
              <w:pStyle w:val="TableContents"/>
              <w:spacing w:before="0" w:after="283"/>
              <w:rPr>
                <w:rFonts w:ascii="Times New Roman" w:hAnsi="Times New Roman"/>
                <w:sz w:val="20"/>
              </w:rPr>
            </w:pPr>
            <w:r>
              <w:rPr>
                <w:rFonts w:ascii="Times New Roman" w:hAnsi="Times New Roman"/>
                <w:sz w:val="20"/>
              </w:rPr>
              <w:t>Successor Company</w:t>
            </w:r>
          </w:p>
        </w:tc>
        <w:tc>
          <w:tcPr>
            <w:tcW w:w="5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23" w:type="dxa"/>
            <w:tcBorders/>
            <w:shd w:fill="auto" w:val="clear"/>
            <w:vAlign w:val="bottom"/>
          </w:tcPr>
          <w:p>
            <w:pPr>
              <w:pStyle w:val="TableContents"/>
              <w:spacing w:before="0" w:after="283"/>
              <w:rPr/>
            </w:pPr>
            <w:r>
              <w:rPr/>
              <w:t>  </w:t>
            </w:r>
          </w:p>
        </w:tc>
      </w:tr>
    </w:tbl>
    <w:p>
      <w:pPr>
        <w:pStyle w:val="TextBody"/>
        <w:spacing w:before="270" w:after="0"/>
        <w:jc w:val="center"/>
        <w:rPr>
          <w:rFonts w:ascii="Times New Roman" w:hAnsi="Times New Roman"/>
          <w:sz w:val="20"/>
        </w:rPr>
      </w:pPr>
      <w:r>
        <w:rPr>
          <w:rFonts w:ascii="Times New Roman" w:hAnsi="Times New Roman"/>
          <w:sz w:val="20"/>
        </w:rPr>
        <w:t xml:space="preserve">ARTICLE III </w:t>
      </w:r>
    </w:p>
    <w:p>
      <w:pPr>
        <w:pStyle w:val="TextBody"/>
        <w:spacing w:before="0" w:after="0"/>
        <w:jc w:val="center"/>
        <w:rPr>
          <w:rFonts w:ascii="Times New Roman" w:hAnsi="Times New Roman"/>
          <w:sz w:val="20"/>
        </w:rPr>
      </w:pPr>
      <w:r>
        <w:rPr>
          <w:rFonts w:ascii="Times New Roman" w:hAnsi="Times New Roman"/>
          <w:sz w:val="20"/>
        </w:rPr>
        <w:t xml:space="preserve">THE NOTES </w:t>
      </w:r>
    </w:p>
    <w:p>
      <w:pPr>
        <w:pStyle w:val="TextBody"/>
        <w:spacing w:before="180" w:after="0"/>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Form</w:t>
      </w:r>
      <w:r>
        <w:rPr>
          <w:rFonts w:ascii="Times New Roman" w:hAnsi="Times New Roman"/>
          <w:sz w:val="20"/>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w:t>
      </w:r>
    </w:p>
    <w:p>
      <w:pPr>
        <w:pStyle w:val="TextBody"/>
        <w:spacing w:before="180" w:after="0"/>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Issuance of Additional Notes</w:t>
      </w:r>
      <w:r>
        <w:rPr>
          <w:rFonts w:ascii="Times New Roman" w:hAnsi="Times New Roman"/>
          <w:sz w:val="20"/>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$350,000,000. The Notes issued on the Issue Date and any Additional Notes subsequently issued shall be treated as a single series for all purposes under the Indenture, including waivers, amendments, redemptions and offers to purchase. </w:t>
      </w:r>
    </w:p>
    <w:p>
      <w:pPr>
        <w:pStyle w:val="TextBody"/>
        <w:spacing w:before="180" w:after="0"/>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Global Security Legend</w:t>
      </w:r>
      <w:r>
        <w:rPr>
          <w:rFonts w:ascii="Times New Roman" w:hAnsi="Times New Roman"/>
          <w:sz w:val="20"/>
        </w:rPr>
        <w:t xml:space="preserve">. Each of the Global Securities shall bear a legend in substantially the following form: </w:t>
      </w:r>
    </w:p>
    <w:p>
      <w:pPr>
        <w:pStyle w:val="TextBody"/>
        <w:spacing w:before="180" w:after="0"/>
        <w:rPr>
          <w:rFonts w:ascii="Times New Roman" w:hAnsi="Times New Roman"/>
          <w:sz w:val="20"/>
        </w:rPr>
      </w:pPr>
      <w:r>
        <w:rPr>
          <w:rFonts w:ascii="Times New Roman" w:hAnsi="Times New Roman"/>
          <w:sz w:val="20"/>
        </w:rPr>
        <w:t xml:space="preserve">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IV </w:t>
      </w:r>
    </w:p>
    <w:p>
      <w:pPr>
        <w:pStyle w:val="TextBody"/>
        <w:spacing w:before="0" w:after="0"/>
        <w:jc w:val="center"/>
        <w:rPr>
          <w:rFonts w:ascii="Times New Roman" w:hAnsi="Times New Roman"/>
          <w:sz w:val="20"/>
        </w:rPr>
      </w:pPr>
      <w:r>
        <w:rPr>
          <w:rFonts w:ascii="Times New Roman" w:hAnsi="Times New Roman"/>
          <w:sz w:val="20"/>
        </w:rPr>
        <w:t xml:space="preserve">REDEMPTION AND PREPAYMENT </w:t>
      </w:r>
    </w:p>
    <w:p>
      <w:pPr>
        <w:pStyle w:val="TextBody"/>
        <w:spacing w:before="180" w:after="0"/>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Optional Redemption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At their option at any time prior to maturity, the Issuers may choose to redeem all or any portion of the Notes, at once or from time to time. </w:t>
      </w:r>
    </w:p>
    <w:p>
      <w:pPr>
        <w:pStyle w:val="TextBody"/>
        <w:spacing w:before="180" w:after="0"/>
        <w:rPr>
          <w:rFonts w:ascii="Times New Roman" w:hAnsi="Times New Roman"/>
          <w:sz w:val="20"/>
        </w:rPr>
      </w:pPr>
      <w:r>
        <w:rPr>
          <w:rFonts w:ascii="Times New Roman" w:hAnsi="Times New Roman"/>
          <w:sz w:val="20"/>
        </w:rPr>
        <w:t xml:space="preserve">(b) 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 </w:t>
      </w:r>
    </w:p>
    <w:p>
      <w:pPr>
        <w:pStyle w:val="TextBody"/>
        <w:spacing w:before="180" w:after="0"/>
        <w:rPr>
          <w:rFonts w:ascii="Times New Roman" w:hAnsi="Times New Roman"/>
          <w:sz w:val="20"/>
        </w:rPr>
      </w:pPr>
      <w:r>
        <w:rPr>
          <w:rFonts w:ascii="Times New Roman" w:hAnsi="Times New Roman"/>
          <w:sz w:val="20"/>
        </w:rPr>
        <w:t xml:space="preserve">(c) 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 </w:t>
      </w:r>
    </w:p>
    <w:p>
      <w:pPr>
        <w:pStyle w:val="TextBody"/>
        <w:spacing w:before="270" w:after="0"/>
        <w:jc w:val="center"/>
        <w:rPr>
          <w:rFonts w:ascii="Times New Roman" w:hAnsi="Times New Roman"/>
          <w:sz w:val="20"/>
        </w:rPr>
      </w:pPr>
      <w:r>
        <w:rPr>
          <w:rFonts w:ascii="Times New Roman" w:hAnsi="Times New Roman"/>
          <w:sz w:val="20"/>
        </w:rPr>
        <w:t xml:space="preserve">ARTICLE V </w:t>
      </w:r>
    </w:p>
    <w:p>
      <w:pPr>
        <w:pStyle w:val="TextBody"/>
        <w:spacing w:before="0" w:after="0"/>
        <w:jc w:val="center"/>
        <w:rPr>
          <w:rFonts w:ascii="Times New Roman" w:hAnsi="Times New Roman"/>
          <w:sz w:val="20"/>
        </w:rPr>
      </w:pPr>
      <w:r>
        <w:rPr>
          <w:rFonts w:ascii="Times New Roman" w:hAnsi="Times New Roman"/>
          <w:sz w:val="20"/>
        </w:rPr>
        <w:t xml:space="preserve">COVENANTS </w:t>
      </w:r>
    </w:p>
    <w:p>
      <w:pPr>
        <w:pStyle w:val="TextBody"/>
        <w:spacing w:before="180" w:after="0"/>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Compliance Certificate</w:t>
      </w:r>
      <w:r>
        <w:rPr>
          <w:rFonts w:ascii="Times New Roman" w:hAnsi="Times New Roman"/>
          <w:sz w:val="20"/>
        </w:rPr>
        <w:t xml:space="preserve">.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w:t>
      </w:r>
    </w:p>
    <w:p>
      <w:pPr>
        <w:pStyle w:val="TextBody"/>
        <w:spacing w:before="180" w:after="0"/>
        <w:rPr>
          <w:rFonts w:ascii="Times New Roman" w:hAnsi="Times New Roman"/>
          <w:sz w:val="20"/>
        </w:rPr>
      </w:pPr>
      <w:r>
        <w:rPr>
          <w:rFonts w:ascii="Times New Roman" w:hAnsi="Times New Roman"/>
          <w:sz w:val="20"/>
        </w:rPr>
        <w:t xml:space="preserve">(b)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Limitations on Liens</w:t>
      </w:r>
      <w:r>
        <w:rPr>
          <w:rFonts w:ascii="Times New Roman" w:hAnsi="Times New Roman"/>
          <w:sz w:val="20"/>
        </w:rPr>
        <w:t xml:space="preserve">.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 </w:t>
      </w:r>
    </w:p>
    <w:p>
      <w:pPr>
        <w:pStyle w:val="TextBody"/>
        <w:spacing w:before="180" w:after="0"/>
        <w:rPr>
          <w:rFonts w:ascii="Times New Roman" w:hAnsi="Times New Roman"/>
          <w:sz w:val="20"/>
        </w:rPr>
      </w:pPr>
      <w:r>
        <w:rPr>
          <w:rFonts w:ascii="Times New Roman" w:hAnsi="Times New Roman"/>
          <w:sz w:val="20"/>
        </w:rPr>
        <w:t xml:space="preserve">(a) Permitted Liens; </w:t>
      </w:r>
    </w:p>
    <w:p>
      <w:pPr>
        <w:pStyle w:val="TextBody"/>
        <w:spacing w:before="180" w:after="0"/>
        <w:rPr>
          <w:rFonts w:ascii="Times New Roman" w:hAnsi="Times New Roman"/>
          <w:sz w:val="20"/>
        </w:rPr>
      </w:pPr>
      <w:r>
        <w:rPr>
          <w:rFonts w:ascii="Times New Roman" w:hAnsi="Times New Roman"/>
          <w:sz w:val="20"/>
        </w:rPr>
        <w:t xml:space="preserve">(b)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spacing w:before="180" w:after="0"/>
        <w:rPr>
          <w:rFonts w:ascii="Times New Roman" w:hAnsi="Times New Roman"/>
          <w:sz w:val="20"/>
        </w:rPr>
      </w:pPr>
      <w:r>
        <w:rPr>
          <w:rFonts w:ascii="Times New Roman" w:hAnsi="Times New Roman"/>
          <w:sz w:val="20"/>
        </w:rPr>
        <w:t xml:space="preserve">(c)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p>
      <w:pPr>
        <w:pStyle w:val="TextBody"/>
        <w:spacing w:before="180" w:after="0"/>
        <w:rPr>
          <w:rFonts w:ascii="Times New Roman" w:hAnsi="Times New Roman"/>
          <w:sz w:val="20"/>
        </w:rPr>
      </w:pPr>
      <w:r>
        <w:rPr>
          <w:rFonts w:ascii="Times New Roman" w:hAnsi="Times New Roman"/>
          <w:sz w:val="20"/>
        </w:rPr>
        <w:t xml:space="preserve">(d)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 </w:t>
      </w:r>
    </w:p>
    <w:p>
      <w:pPr>
        <w:pStyle w:val="TextBody"/>
        <w:spacing w:before="180" w:after="0"/>
        <w:rPr>
          <w:rFonts w:ascii="Times New Roman" w:hAnsi="Times New Roman"/>
          <w:sz w:val="20"/>
        </w:rPr>
      </w:pPr>
      <w:r>
        <w:rPr>
          <w:rFonts w:ascii="Times New Roman" w:hAnsi="Times New Roman"/>
          <w:sz w:val="20"/>
        </w:rPr>
        <w:t xml:space="preserve">(e)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p>
      <w:pPr>
        <w:pStyle w:val="TextBody"/>
        <w:spacing w:before="180" w:after="0"/>
        <w:rPr>
          <w:rFonts w:ascii="Times New Roman" w:hAnsi="Times New Roman"/>
          <w:sz w:val="20"/>
        </w:rPr>
      </w:pPr>
      <w:r>
        <w:rPr>
          <w:rFonts w:ascii="Times New Roman" w:hAnsi="Times New Roman"/>
          <w:sz w:val="20"/>
        </w:rPr>
        <w:t xml:space="preserve">(f) any Lien upon any property or assets of an Issuer or any Restricted Subsidiary in existence on December 10, 2003 or provided for pursuant to agreements existing on December 10, 2003; </w:t>
      </w:r>
    </w:p>
    <w:p>
      <w:pPr>
        <w:pStyle w:val="TextBody"/>
        <w:spacing w:before="180" w:after="0"/>
        <w:rPr>
          <w:rFonts w:ascii="Times New Roman" w:hAnsi="Times New Roman"/>
          <w:sz w:val="20"/>
        </w:rPr>
      </w:pPr>
      <w:r>
        <w:rPr>
          <w:rFonts w:ascii="Times New Roman" w:hAnsi="Times New Roman"/>
          <w:sz w:val="20"/>
        </w:rPr>
        <w:t xml:space="preserve">(g)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 </w:t>
      </w:r>
    </w:p>
    <w:p>
      <w:pPr>
        <w:pStyle w:val="TextBody"/>
        <w:spacing w:before="180" w:after="0"/>
        <w:rPr>
          <w:rFonts w:ascii="Times New Roman" w:hAnsi="Times New Roman"/>
          <w:sz w:val="20"/>
        </w:rPr>
      </w:pPr>
      <w:r>
        <w:rPr>
          <w:rFonts w:ascii="Times New Roman" w:hAnsi="Times New Roman"/>
          <w:sz w:val="20"/>
        </w:rPr>
        <w:t xml:space="preserve">(h)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 </w:t>
      </w:r>
    </w:p>
    <w:p>
      <w:pPr>
        <w:pStyle w:val="TextBody"/>
        <w:spacing w:before="180" w:after="0"/>
        <w:rPr>
          <w:rFonts w:ascii="Times New Roman" w:hAnsi="Times New Roman"/>
          <w:sz w:val="20"/>
        </w:rPr>
      </w:pPr>
      <w:r>
        <w:rPr>
          <w:rFonts w:ascii="Times New Roman" w:hAnsi="Times New Roman"/>
          <w:sz w:val="20"/>
        </w:rPr>
        <w:t xml:space="preserve">(i) any Lien resulting from the deposit of moneys or evidence of indebtedness in trust for the purpose of defeasing Debt of an Issuer or any Restricted Subsidiary. </w:t>
      </w:r>
    </w:p>
    <w:p>
      <w:pPr>
        <w:pStyle w:val="TextBody"/>
        <w:spacing w:before="180" w:after="0"/>
        <w:rPr>
          <w:rFonts w:ascii="Times New Roman" w:hAnsi="Times New Roman"/>
          <w:sz w:val="20"/>
        </w:rPr>
      </w:pPr>
      <w:r>
        <w:rPr>
          <w:rFonts w:ascii="Times New Roman" w:hAnsi="Times New Roman"/>
          <w:sz w:val="20"/>
        </w:rPr>
        <w:t xml:space="preserve">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 </w:t>
      </w:r>
    </w:p>
    <w:p>
      <w:pPr>
        <w:pStyle w:val="TextBody"/>
        <w:spacing w:before="180" w:after="0"/>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Restriction of Sale-leaseback Transactions</w:t>
      </w:r>
      <w:r>
        <w:rPr>
          <w:rFonts w:ascii="Times New Roman" w:hAnsi="Times New Roman"/>
          <w:sz w:val="20"/>
        </w:rPr>
        <w:t xml:space="preserve">. The Issuers will not, and will not permit any Subsidiary of the Partnership to, engage in a Sale-leaseback Transaction, unless: </w:t>
      </w:r>
    </w:p>
    <w:p>
      <w:pPr>
        <w:pStyle w:val="TextBody"/>
        <w:spacing w:before="180" w:after="0"/>
        <w:rPr>
          <w:rFonts w:ascii="Times New Roman" w:hAnsi="Times New Roman"/>
          <w:sz w:val="20"/>
        </w:rPr>
      </w:pPr>
      <w:r>
        <w:rPr>
          <w:rFonts w:ascii="Times New Roman" w:hAnsi="Times New Roman"/>
          <w:sz w:val="20"/>
        </w:rPr>
        <w:t xml:space="preserve">(a)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spacing w:before="180" w:after="0"/>
        <w:rPr>
          <w:rFonts w:ascii="Times New Roman" w:hAnsi="Times New Roman"/>
          <w:sz w:val="20"/>
        </w:rPr>
      </w:pPr>
      <w:r>
        <w:rPr>
          <w:rFonts w:ascii="Times New Roman" w:hAnsi="Times New Roman"/>
          <w:sz w:val="20"/>
        </w:rPr>
        <w:t xml:space="preserve">(b) the Sale-leaseback Transaction involves a lease for a period, including renewals, of not more than three years; </w:t>
      </w:r>
    </w:p>
    <w:p>
      <w:pPr>
        <w:pStyle w:val="TextBody"/>
        <w:spacing w:before="180" w:after="0"/>
        <w:rPr>
          <w:rFonts w:ascii="Times New Roman" w:hAnsi="Times New Roman"/>
          <w:sz w:val="20"/>
        </w:rPr>
      </w:pPr>
      <w:r>
        <w:rPr>
          <w:rFonts w:ascii="Times New Roman" w:hAnsi="Times New Roman"/>
          <w:sz w:val="20"/>
        </w:rPr>
        <w:t xml:space="preserve">(c)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 </w:t>
      </w:r>
    </w:p>
    <w:p>
      <w:pPr>
        <w:pStyle w:val="TextBody"/>
        <w:spacing w:before="180" w:after="0"/>
        <w:rPr>
          <w:rFonts w:ascii="Times New Roman" w:hAnsi="Times New Roman"/>
          <w:sz w:val="20"/>
        </w:rPr>
      </w:pPr>
      <w:r>
        <w:rPr>
          <w:rFonts w:ascii="Times New Roman" w:hAnsi="Times New Roman"/>
          <w:sz w:val="20"/>
        </w:rPr>
        <w:t xml:space="preserve">(d)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 </w:t>
      </w:r>
    </w:p>
    <w:p>
      <w:pPr>
        <w:pStyle w:val="TextBody"/>
        <w:spacing w:before="180" w:after="0"/>
        <w:rPr>
          <w:rFonts w:ascii="Times New Roman" w:hAnsi="Times New Roman"/>
          <w:sz w:val="20"/>
        </w:rPr>
      </w:pPr>
      <w:r>
        <w:rPr>
          <w:rFonts w:ascii="Times New Roman" w:hAnsi="Times New Roman"/>
          <w:sz w:val="20"/>
        </w:rPr>
        <w:t xml:space="preserve">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principal amount of then outstanding Debt (other than Debt Securities) secured by Liens upon Principal Properties not excepted by clauses (a) through (i), inclusive, of Section 5.02, does not exceed 10% of Consolidated Net Tangible Assets. </w:t>
      </w:r>
    </w:p>
    <w:p>
      <w:pPr>
        <w:pStyle w:val="TextBody"/>
        <w:spacing w:before="180" w:after="0"/>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SEC Reports; Financial Statements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 </w:t>
      </w:r>
    </w:p>
    <w:p>
      <w:pPr>
        <w:pStyle w:val="TextBody"/>
        <w:spacing w:before="180" w:after="0"/>
        <w:rPr>
          <w:rFonts w:ascii="Times New Roman" w:hAnsi="Times New Roman"/>
          <w:sz w:val="20"/>
        </w:rPr>
      </w:pPr>
      <w:r>
        <w:rPr>
          <w:rFonts w:ascii="Times New Roman" w:hAnsi="Times New Roman"/>
          <w:sz w:val="20"/>
        </w:rPr>
        <w:t xml:space="preserve">(b)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 </w:t>
      </w:r>
    </w:p>
    <w:p>
      <w:pPr>
        <w:pStyle w:val="TextBody"/>
        <w:spacing w:before="180" w:after="0"/>
        <w:rPr>
          <w:rFonts w:ascii="Times New Roman" w:hAnsi="Times New Roman"/>
          <w:sz w:val="20"/>
        </w:rPr>
      </w:pPr>
      <w:r>
        <w:rPr>
          <w:rFonts w:ascii="Times New Roman" w:hAnsi="Times New Roman"/>
          <w:sz w:val="20"/>
        </w:rPr>
        <w:t xml:space="preserve">(c) [Intentionally omitted.] </w:t>
      </w:r>
    </w:p>
    <w:p>
      <w:pPr>
        <w:pStyle w:val="TextBody"/>
        <w:spacing w:before="180" w:after="0"/>
        <w:rPr>
          <w:rFonts w:ascii="Times New Roman" w:hAnsi="Times New Roman"/>
          <w:sz w:val="20"/>
        </w:rPr>
      </w:pPr>
      <w:r>
        <w:rPr>
          <w:rFonts w:ascii="Times New Roman" w:hAnsi="Times New Roman"/>
          <w:sz w:val="20"/>
        </w:rPr>
        <w:t xml:space="preserve">(d) The Partnership shall provide the Trustee with a sufficient number of copies of all reports and other documents and information that the Trustee may be required to deliver to Holders of Notes under clause (b) of this Section 5.04. </w:t>
      </w:r>
    </w:p>
    <w:p>
      <w:pPr>
        <w:pStyle w:val="TextBody"/>
        <w:spacing w:before="180" w:after="0"/>
        <w:rPr>
          <w:rFonts w:ascii="Times New Roman" w:hAnsi="Times New Roman"/>
          <w:sz w:val="20"/>
        </w:rPr>
      </w:pPr>
      <w:r>
        <w:rPr>
          <w:rFonts w:ascii="Times New Roman" w:hAnsi="Times New Roman"/>
          <w:sz w:val="20"/>
        </w:rPr>
        <w:t xml:space="preserve">(e)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 </w:t>
      </w:r>
    </w:p>
    <w:p>
      <w:pPr>
        <w:pStyle w:val="TextBody"/>
        <w:spacing w:before="180" w:after="0"/>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Subsidiary Guarantees</w:t>
      </w:r>
      <w:r>
        <w:rPr>
          <w:rFonts w:ascii="Times New Roman" w:hAnsi="Times New Roman"/>
          <w:sz w:val="20"/>
        </w:rPr>
        <w:t xml:space="preserve">.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 </w:t>
      </w:r>
    </w:p>
    <w:p>
      <w:pPr>
        <w:pStyle w:val="TextBody"/>
        <w:spacing w:before="270" w:after="0"/>
        <w:jc w:val="center"/>
        <w:rPr>
          <w:rFonts w:ascii="Times New Roman" w:hAnsi="Times New Roman"/>
          <w:sz w:val="20"/>
        </w:rPr>
      </w:pPr>
      <w:r>
        <w:rPr>
          <w:rFonts w:ascii="Times New Roman" w:hAnsi="Times New Roman"/>
          <w:sz w:val="20"/>
        </w:rPr>
        <w:t xml:space="preserve">ARTICLE VI </w:t>
      </w:r>
    </w:p>
    <w:p>
      <w:pPr>
        <w:pStyle w:val="TextBody"/>
        <w:spacing w:before="0" w:after="0"/>
        <w:jc w:val="center"/>
        <w:rPr>
          <w:rFonts w:ascii="Times New Roman" w:hAnsi="Times New Roman"/>
          <w:sz w:val="20"/>
        </w:rPr>
      </w:pPr>
      <w:r>
        <w:rPr>
          <w:rFonts w:ascii="Times New Roman" w:hAnsi="Times New Roman"/>
          <w:sz w:val="20"/>
        </w:rPr>
        <w:t xml:space="preserve">SUCCESSORS </w:t>
      </w:r>
    </w:p>
    <w:p>
      <w:pPr>
        <w:pStyle w:val="TextBody"/>
        <w:spacing w:before="180" w:after="0"/>
        <w:rPr>
          <w:rFonts w:ascii="Times New Roman" w:hAnsi="Times New Roman"/>
          <w:sz w:val="20"/>
        </w:rPr>
      </w:pPr>
      <w:r>
        <w:rPr>
          <w:rFonts w:ascii="Times New Roman" w:hAnsi="Times New Roman"/>
          <w:sz w:val="20"/>
        </w:rPr>
        <w:t xml:space="preserve">With respect to the Notes, the provisions of this Article VI shall preempt the provisions of Article X of the Original Indenture in their entirety.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Consolidation and Mergers of the Issuers</w:t>
      </w:r>
      <w:r>
        <w:rPr>
          <w:rFonts w:ascii="Times New Roman" w:hAnsi="Times New Roman"/>
          <w:sz w:val="20"/>
        </w:rPr>
        <w:t xml:space="preserve">.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 </w:t>
      </w:r>
    </w:p>
    <w:p>
      <w:pPr>
        <w:pStyle w:val="TextBody"/>
        <w:spacing w:before="180" w:after="0"/>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Rights and Duties of Successor</w:t>
      </w:r>
      <w:r>
        <w:rPr>
          <w:rFonts w:ascii="Times New Roman" w:hAnsi="Times New Roman"/>
          <w:sz w:val="20"/>
        </w:rPr>
        <w:t xml:space="preserve">.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 </w:t>
      </w:r>
    </w:p>
    <w:p>
      <w:pPr>
        <w:pStyle w:val="TextBody"/>
        <w:spacing w:before="180" w:after="0"/>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Supplemental Indenture</w:t>
      </w:r>
      <w:r>
        <w:rPr>
          <w:rFonts w:ascii="Times New Roman" w:hAnsi="Times New Roman"/>
          <w:sz w:val="20"/>
        </w:rPr>
        <w:t xml:space="preserve">. Section 9.01 of the Original Indenture is hereby amended, with respect to the Notes, by adding the words or the confirmation of a Subsidiary Guarantors immediately after the word Issuers in Section 9.01(c). </w:t>
      </w:r>
    </w:p>
    <w:p>
      <w:pPr>
        <w:pStyle w:val="TextBody"/>
        <w:spacing w:before="270" w:after="0"/>
        <w:jc w:val="center"/>
        <w:rPr>
          <w:rFonts w:ascii="Times New Roman" w:hAnsi="Times New Roman"/>
          <w:sz w:val="20"/>
        </w:rPr>
      </w:pPr>
      <w:r>
        <w:rPr>
          <w:rFonts w:ascii="Times New Roman" w:hAnsi="Times New Roman"/>
          <w:sz w:val="20"/>
        </w:rPr>
        <w:t xml:space="preserve">ARTICLE VII </w:t>
      </w:r>
    </w:p>
    <w:p>
      <w:pPr>
        <w:pStyle w:val="TextBody"/>
        <w:spacing w:before="0" w:after="0"/>
        <w:jc w:val="center"/>
        <w:rPr>
          <w:rFonts w:ascii="Times New Roman" w:hAnsi="Times New Roman"/>
          <w:sz w:val="20"/>
        </w:rPr>
      </w:pPr>
      <w:r>
        <w:rPr>
          <w:rFonts w:ascii="Times New Roman" w:hAnsi="Times New Roman"/>
          <w:sz w:val="20"/>
        </w:rPr>
        <w:t xml:space="preserve">DEFAULTS AND REMEDIES </w:t>
      </w:r>
    </w:p>
    <w:p>
      <w:pPr>
        <w:pStyle w:val="TextBody"/>
        <w:spacing w:before="180" w:after="0"/>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xml:space="preserve">. With respect to the Notes, the provisions of this Section 7.01 shall preempt the provisions of the first and final paragraphs of Section 6.01 of the Original Indenture in their entirety. </w:t>
      </w:r>
    </w:p>
    <w:p>
      <w:pPr>
        <w:pStyle w:val="TextBody"/>
        <w:spacing w:before="180" w:after="0"/>
        <w:rPr>
          <w:rFonts w:ascii="Times New Roman" w:hAnsi="Times New Roman"/>
          <w:sz w:val="20"/>
        </w:rPr>
      </w:pPr>
      <w:r>
        <w:rPr>
          <w:rFonts w:ascii="Times New Roman" w:hAnsi="Times New Roman"/>
          <w:sz w:val="20"/>
        </w:rPr>
        <w:t xml:space="preserve">(a) An Event of Default occurs if: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 the Issuers default for 60 days in the payment when due of interest on the Notes; </w:t>
      </w:r>
    </w:p>
    <w:p>
      <w:pPr>
        <w:pStyle w:val="TextBody"/>
        <w:spacing w:before="90" w:after="0"/>
        <w:rPr>
          <w:rFonts w:ascii="Times New Roman" w:hAnsi="Times New Roman"/>
          <w:sz w:val="20"/>
        </w:rPr>
      </w:pPr>
      <w:r>
        <w:rPr>
          <w:rFonts w:ascii="Times New Roman" w:hAnsi="Times New Roman"/>
          <w:sz w:val="20"/>
        </w:rPr>
        <w:t xml:space="preserve">(ii) the Issuers default in the payment when due of principal of or premium, if any, on the Notes at maturity, upon redemption or otherwise; </w:t>
      </w:r>
    </w:p>
    <w:p>
      <w:pPr>
        <w:pStyle w:val="TextBody"/>
        <w:spacing w:before="90" w:after="0"/>
        <w:rPr>
          <w:rFonts w:ascii="Times New Roman" w:hAnsi="Times New Roman"/>
          <w:sz w:val="20"/>
        </w:rPr>
      </w:pPr>
      <w:r>
        <w:rPr>
          <w:rFonts w:ascii="Times New Roman" w:hAnsi="Times New Roman"/>
          <w:sz w:val="20"/>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hAnsi="Times New Roman"/>
          <w:sz w:val="20"/>
          <w:u w:val="single"/>
        </w:rPr>
        <w:t>provided</w:t>
      </w:r>
      <w:r>
        <w:rPr>
          <w:rFonts w:ascii="Times New Roman" w:hAnsi="Times New Roman"/>
          <w:sz w:val="20"/>
        </w:rPr>
        <w:t xml:space="preserve"> that notice need not be given, and an Event of Default shall occur, 90 days after any breach of the provisions of Section 6.01 hereof); </w:t>
      </w:r>
    </w:p>
    <w:p>
      <w:pPr>
        <w:pStyle w:val="TextBody"/>
        <w:spacing w:before="90" w:after="0"/>
        <w:rPr>
          <w:rFonts w:ascii="Times New Roman" w:hAnsi="Times New Roman"/>
          <w:sz w:val="20"/>
        </w:rPr>
      </w:pPr>
      <w:r>
        <w:rPr>
          <w:rFonts w:ascii="Times New Roman" w:hAnsi="Times New Roman"/>
          <w:sz w:val="20"/>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90" w:after="0"/>
        <w:rPr>
          <w:rFonts w:ascii="Times New Roman" w:hAnsi="Times New Roman"/>
          <w:sz w:val="20"/>
        </w:rPr>
      </w:pPr>
      <w:r>
        <w:rPr>
          <w:rFonts w:ascii="Times New Roman" w:hAnsi="Times New Roman"/>
          <w:sz w:val="20"/>
        </w:rPr>
        <w:t xml:space="preserve">(v)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w:t>
      </w:r>
    </w:p>
    <w:p>
      <w:pPr>
        <w:pStyle w:val="TextBody"/>
        <w:spacing w:before="90" w:after="0"/>
        <w:rPr>
          <w:rFonts w:ascii="Times New Roman" w:hAnsi="Times New Roman"/>
          <w:sz w:val="20"/>
        </w:rPr>
      </w:pPr>
      <w:r>
        <w:rPr>
          <w:rFonts w:ascii="Times New Roman" w:hAnsi="Times New Roman"/>
          <w:sz w:val="20"/>
        </w:rPr>
        <w:t xml:space="preserve">(vi) an Issuer or any Subsidiary Guarantor pursuant to or within the meaning of any Bankruptcy Law: </w:t>
      </w:r>
    </w:p>
    <w:p>
      <w:pPr>
        <w:pStyle w:val="TextBody"/>
        <w:spacing w:before="90" w:after="0"/>
        <w:rPr>
          <w:rFonts w:ascii="Times New Roman" w:hAnsi="Times New Roman"/>
          <w:sz w:val="20"/>
        </w:rPr>
      </w:pPr>
      <w:r>
        <w:rPr>
          <w:rFonts w:ascii="Times New Roman" w:hAnsi="Times New Roman"/>
          <w:sz w:val="20"/>
        </w:rPr>
        <w:t xml:space="preserve">(A) commences a voluntary case, </w:t>
      </w:r>
    </w:p>
    <w:p>
      <w:pPr>
        <w:pStyle w:val="TextBody"/>
        <w:spacing w:before="90" w:after="0"/>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spacing w:before="90" w:after="0"/>
        <w:rPr>
          <w:rFonts w:ascii="Times New Roman" w:hAnsi="Times New Roman"/>
          <w:sz w:val="20"/>
        </w:rPr>
      </w:pPr>
      <w:r>
        <w:rPr>
          <w:rFonts w:ascii="Times New Roman" w:hAnsi="Times New Roman"/>
          <w:sz w:val="20"/>
        </w:rPr>
        <w:t xml:space="preserve">(C) consents to the appointment of a custodian of it or for all or substantially all of its property,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makes a general assignment for the benefit of its creditors, or </w:t>
      </w:r>
    </w:p>
    <w:p>
      <w:pPr>
        <w:pStyle w:val="TextBody"/>
        <w:spacing w:before="90" w:after="0"/>
        <w:rPr>
          <w:rFonts w:ascii="Times New Roman" w:hAnsi="Times New Roman"/>
          <w:sz w:val="20"/>
        </w:rPr>
      </w:pPr>
      <w:r>
        <w:rPr>
          <w:rFonts w:ascii="Times New Roman" w:hAnsi="Times New Roman"/>
          <w:sz w:val="20"/>
        </w:rPr>
        <w:t xml:space="preserve">(E) generally is not paying its debts as they become due; or </w:t>
      </w:r>
    </w:p>
    <w:p>
      <w:pPr>
        <w:pStyle w:val="TextBody"/>
        <w:spacing w:before="90" w:after="0"/>
        <w:rPr>
          <w:rFonts w:ascii="Times New Roman" w:hAnsi="Times New Roman"/>
          <w:sz w:val="20"/>
        </w:rPr>
      </w:pPr>
      <w:r>
        <w:rPr>
          <w:rFonts w:ascii="Times New Roman" w:hAnsi="Times New Roman"/>
          <w:sz w:val="20"/>
        </w:rPr>
        <w:t xml:space="preserve">(vii) a court of competent jurisdiction enters an order or decree under any Bankruptcy Law that: </w:t>
      </w:r>
    </w:p>
    <w:p>
      <w:pPr>
        <w:pStyle w:val="TextBody"/>
        <w:spacing w:before="90" w:after="0"/>
        <w:rPr>
          <w:rFonts w:ascii="Times New Roman" w:hAnsi="Times New Roman"/>
          <w:sz w:val="20"/>
        </w:rPr>
      </w:pPr>
      <w:r>
        <w:rPr>
          <w:rFonts w:ascii="Times New Roman" w:hAnsi="Times New Roman"/>
          <w:sz w:val="20"/>
        </w:rPr>
        <w:t xml:space="preserve">(A) is for relief against an Issuer or any Subsidiary Guarantor in an involuntary case; </w:t>
      </w:r>
    </w:p>
    <w:p>
      <w:pPr>
        <w:pStyle w:val="TextBody"/>
        <w:spacing w:before="90" w:after="0"/>
        <w:rPr>
          <w:rFonts w:ascii="Times New Roman" w:hAnsi="Times New Roman"/>
          <w:sz w:val="20"/>
        </w:rPr>
      </w:pPr>
      <w:r>
        <w:rPr>
          <w:rFonts w:ascii="Times New Roman" w:hAnsi="Times New Roman"/>
          <w:sz w:val="20"/>
        </w:rPr>
        <w:t xml:space="preserve">(B) appoints a custodian of an Issuer or any Subsidiary Guarantor or for all or substantially all of the property of an Issuer or any Subsidiary Guarantor; or </w:t>
      </w:r>
    </w:p>
    <w:p>
      <w:pPr>
        <w:pStyle w:val="TextBody"/>
        <w:spacing w:before="90" w:after="0"/>
        <w:rPr>
          <w:rFonts w:ascii="Times New Roman" w:hAnsi="Times New Roman"/>
          <w:sz w:val="20"/>
        </w:rPr>
      </w:pPr>
      <w:r>
        <w:rPr>
          <w:rFonts w:ascii="Times New Roman" w:hAnsi="Times New Roman"/>
          <w:sz w:val="20"/>
        </w:rPr>
        <w:t xml:space="preserve">(C) orders the liquidation of an Issuer or any Subsidiary Guarantor; </w:t>
      </w:r>
    </w:p>
    <w:p>
      <w:pPr>
        <w:pStyle w:val="TextBody"/>
        <w:spacing w:before="90" w:after="0"/>
        <w:rPr>
          <w:rFonts w:ascii="Times New Roman" w:hAnsi="Times New Roman"/>
          <w:sz w:val="20"/>
        </w:rPr>
      </w:pPr>
      <w:r>
        <w:rPr>
          <w:rFonts w:ascii="Times New Roman" w:hAnsi="Times New Roman"/>
          <w:sz w:val="20"/>
        </w:rPr>
        <w:t xml:space="preserve">and the order or decree remains unstayed and in effect for 60 consecutive days. </w:t>
      </w:r>
    </w:p>
    <w:p>
      <w:pPr>
        <w:pStyle w:val="TextBody"/>
        <w:spacing w:before="180" w:after="0"/>
        <w:rPr>
          <w:rFonts w:ascii="Times New Roman" w:hAnsi="Times New Roman"/>
          <w:sz w:val="20"/>
        </w:rPr>
      </w:pPr>
      <w:r>
        <w:rPr>
          <w:rFonts w:ascii="Times New Roman" w:hAnsi="Times New Roman"/>
          <w:sz w:val="20"/>
        </w:rPr>
        <w:t xml:space="preserve">(b)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 </w:t>
      </w:r>
    </w:p>
    <w:p>
      <w:pPr>
        <w:pStyle w:val="TextBody"/>
        <w:spacing w:before="270" w:after="0"/>
        <w:jc w:val="center"/>
        <w:rPr>
          <w:rFonts w:ascii="Times New Roman" w:hAnsi="Times New Roman"/>
          <w:sz w:val="20"/>
        </w:rPr>
      </w:pPr>
      <w:r>
        <w:rPr>
          <w:rFonts w:ascii="Times New Roman" w:hAnsi="Times New Roman"/>
          <w:sz w:val="20"/>
        </w:rPr>
        <w:t xml:space="preserve">ARTICLE VIII </w:t>
      </w:r>
    </w:p>
    <w:p>
      <w:pPr>
        <w:pStyle w:val="TextBody"/>
        <w:spacing w:before="0" w:after="0"/>
        <w:jc w:val="center"/>
        <w:rPr>
          <w:rFonts w:ascii="Times New Roman" w:hAnsi="Times New Roman"/>
          <w:sz w:val="20"/>
        </w:rPr>
      </w:pPr>
      <w:r>
        <w:rPr>
          <w:rFonts w:ascii="Times New Roman" w:hAnsi="Times New Roman"/>
          <w:sz w:val="20"/>
        </w:rPr>
        <w:t xml:space="preserve">LEGAL DEFEASANCE AND COVENANT DEFEASANCE </w:t>
      </w:r>
    </w:p>
    <w:p>
      <w:pPr>
        <w:pStyle w:val="TextBody"/>
        <w:spacing w:before="180" w:after="0"/>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Option to Effect Legal Defeasance or Covenant Defeasance</w:t>
      </w:r>
      <w:r>
        <w:rPr>
          <w:rFonts w:ascii="Times New Roman" w:hAnsi="Times New Roman"/>
          <w:sz w:val="20"/>
        </w:rPr>
        <w:t xml:space="preserve">.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 </w:t>
      </w:r>
    </w:p>
    <w:p>
      <w:pPr>
        <w:pStyle w:val="TextBody"/>
        <w:spacing w:before="180" w:after="0"/>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Legal Defeasance and Discharge</w:t>
      </w:r>
      <w:r>
        <w:rPr>
          <w:rFonts w:ascii="Times New Roman" w:hAnsi="Times New Roman"/>
          <w:sz w:val="20"/>
        </w:rPr>
        <w:t xml:space="preserve">.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 </w:t>
      </w:r>
    </w:p>
    <w:p>
      <w:pPr>
        <w:pStyle w:val="TextBody"/>
        <w:spacing w:before="180" w:after="0"/>
        <w:rPr>
          <w:rFonts w:ascii="Times New Roman" w:hAnsi="Times New Roman"/>
          <w:sz w:val="20"/>
        </w:rPr>
      </w:pPr>
      <w:r>
        <w:rPr>
          <w:rFonts w:ascii="Times New Roman" w:hAnsi="Times New Roman"/>
          <w:sz w:val="20"/>
        </w:rPr>
        <w:t xml:space="preserve">(a) the rights of Holders of Outstanding Notes to receive solely from the trust fund described in Section 8.04 hereof, and as more fully set forth in such Section, payments in respect of the principal of, premium on, if any, and interest on such Notes when such payments are due, </w:t>
      </w:r>
    </w:p>
    <w:p>
      <w:pPr>
        <w:pStyle w:val="TextBody"/>
        <w:spacing w:before="180" w:after="0"/>
        <w:rPr>
          <w:rFonts w:ascii="Times New Roman" w:hAnsi="Times New Roman"/>
          <w:sz w:val="20"/>
        </w:rPr>
      </w:pPr>
      <w:r>
        <w:rPr>
          <w:rFonts w:ascii="Times New Roman" w:hAnsi="Times New Roman"/>
          <w:sz w:val="20"/>
        </w:rPr>
        <w:t xml:space="preserve">(b) the Issuers obligations with respect to such Notes under Sections 2.07, 2.08, 2.09 and 4.02 of the Original Indenture, </w:t>
      </w:r>
    </w:p>
    <w:p>
      <w:pPr>
        <w:pStyle w:val="TextBody"/>
        <w:spacing w:before="180" w:after="0"/>
        <w:rPr>
          <w:rFonts w:ascii="Times New Roman" w:hAnsi="Times New Roman"/>
          <w:sz w:val="20"/>
        </w:rPr>
      </w:pPr>
      <w:r>
        <w:rPr>
          <w:rFonts w:ascii="Times New Roman" w:hAnsi="Times New Roman"/>
          <w:sz w:val="20"/>
        </w:rPr>
        <w:t xml:space="preserve">(c) the rights, powers, trusts, duties and immunities of the Trustee hereunder and the Issuers obligations in connection therewith, </w:t>
      </w:r>
    </w:p>
    <w:p>
      <w:pPr>
        <w:pStyle w:val="TextBody"/>
        <w:spacing w:before="180" w:after="0"/>
        <w:rPr>
          <w:rFonts w:ascii="Times New Roman" w:hAnsi="Times New Roman"/>
          <w:sz w:val="20"/>
        </w:rPr>
      </w:pPr>
      <w:r>
        <w:rPr>
          <w:rFonts w:ascii="Times New Roman" w:hAnsi="Times New Roman"/>
          <w:sz w:val="20"/>
        </w:rPr>
        <w:t xml:space="preserve">(d) this Article VIII, and </w:t>
      </w:r>
    </w:p>
    <w:p>
      <w:pPr>
        <w:pStyle w:val="TextBody"/>
        <w:spacing w:before="180" w:after="0"/>
        <w:rPr>
          <w:rFonts w:ascii="Times New Roman" w:hAnsi="Times New Roman"/>
          <w:sz w:val="20"/>
        </w:rPr>
      </w:pPr>
      <w:r>
        <w:rPr>
          <w:rFonts w:ascii="Times New Roman" w:hAnsi="Times New Roman"/>
          <w:sz w:val="20"/>
        </w:rPr>
        <w:t xml:space="preserve">(e) the Issuers rights of optional redemption under Section 4.01 hereof. </w:t>
      </w:r>
    </w:p>
    <w:p>
      <w:pPr>
        <w:pStyle w:val="TextBody"/>
        <w:spacing w:before="180" w:after="0"/>
        <w:rPr>
          <w:rFonts w:ascii="Times New Roman" w:hAnsi="Times New Roman"/>
          <w:sz w:val="20"/>
        </w:rPr>
      </w:pPr>
      <w:r>
        <w:rPr>
          <w:rFonts w:ascii="Times New Roman" w:hAnsi="Times New Roman"/>
          <w:sz w:val="20"/>
        </w:rPr>
        <w:t xml:space="preserve">Subject to compliance with this Article VIII, the Issuers may exercise their option under this Section 8.02 notwithstanding the prior exercise of their option under Section 8.03 hereof. </w:t>
      </w:r>
    </w:p>
    <w:p>
      <w:pPr>
        <w:pStyle w:val="TextBody"/>
        <w:spacing w:before="180" w:after="0"/>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Covenant Defeasance</w:t>
      </w:r>
      <w:r>
        <w:rPr>
          <w:rFonts w:ascii="Times New Roman" w:hAnsi="Times New Roman"/>
          <w:sz w:val="20"/>
        </w:rPr>
        <w:t xml:space="preserve">.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Conditions to Legal or Covenant Defeasance</w:t>
      </w:r>
      <w:r>
        <w:rPr>
          <w:rFonts w:ascii="Times New Roman" w:hAnsi="Times New Roman"/>
          <w:sz w:val="20"/>
        </w:rPr>
        <w:t xml:space="preserve">. The following shall be the conditions to the application of either Section 8.02 or 8.03 hereof to the Outstanding Notes: </w:t>
      </w:r>
    </w:p>
    <w:p>
      <w:pPr>
        <w:pStyle w:val="TextBody"/>
        <w:spacing w:before="180" w:after="0"/>
        <w:rPr>
          <w:rFonts w:ascii="Times New Roman" w:hAnsi="Times New Roman"/>
          <w:sz w:val="20"/>
        </w:rPr>
      </w:pPr>
      <w:r>
        <w:rPr>
          <w:rFonts w:ascii="Times New Roman" w:hAnsi="Times New Roman"/>
          <w:sz w:val="20"/>
        </w:rPr>
        <w:t xml:space="preserve">In order to exercise either Legal Defeasance or Covenant Defeasance: </w:t>
      </w:r>
    </w:p>
    <w:p>
      <w:pPr>
        <w:pStyle w:val="TextBody"/>
        <w:spacing w:before="180" w:after="0"/>
        <w:rPr>
          <w:rFonts w:ascii="Times New Roman" w:hAnsi="Times New Roman"/>
          <w:sz w:val="20"/>
        </w:rPr>
      </w:pPr>
      <w:r>
        <w:rPr>
          <w:rFonts w:ascii="Times New Roman" w:hAnsi="Times New Roman"/>
          <w:sz w:val="20"/>
        </w:rPr>
        <w:t xml:space="preserve">(a)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 </w:t>
      </w:r>
    </w:p>
    <w:p>
      <w:pPr>
        <w:pStyle w:val="TextBody"/>
        <w:spacing w:before="180" w:after="0"/>
        <w:rPr>
          <w:rFonts w:ascii="Times New Roman" w:hAnsi="Times New Roman"/>
          <w:sz w:val="20"/>
        </w:rPr>
      </w:pPr>
      <w:r>
        <w:rPr>
          <w:rFonts w:ascii="Times New Roman" w:hAnsi="Times New Roman"/>
          <w:sz w:val="20"/>
        </w:rPr>
        <w:t xml:space="preserve">(b)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 </w:t>
      </w:r>
    </w:p>
    <w:p>
      <w:pPr>
        <w:pStyle w:val="TextBody"/>
        <w:spacing w:before="180" w:after="0"/>
        <w:rPr>
          <w:rFonts w:ascii="Times New Roman" w:hAnsi="Times New Roman"/>
          <w:sz w:val="20"/>
        </w:rPr>
      </w:pPr>
      <w:r>
        <w:rPr>
          <w:rFonts w:ascii="Times New Roman" w:hAnsi="Times New Roman"/>
          <w:sz w:val="20"/>
        </w:rPr>
        <w:t xml:space="preserve">(c)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 </w:t>
      </w:r>
    </w:p>
    <w:p>
      <w:pPr>
        <w:pStyle w:val="TextBody"/>
        <w:spacing w:before="180" w:after="0"/>
        <w:rPr>
          <w:rFonts w:ascii="Times New Roman" w:hAnsi="Times New Roman"/>
          <w:sz w:val="20"/>
        </w:rPr>
      </w:pPr>
      <w:r>
        <w:rPr>
          <w:rFonts w:ascii="Times New Roman" w:hAnsi="Times New Roman"/>
          <w:sz w:val="20"/>
        </w:rPr>
        <w:t xml:space="preserve">(d)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 </w:t>
      </w:r>
    </w:p>
    <w:p>
      <w:pPr>
        <w:pStyle w:val="TextBody"/>
        <w:spacing w:before="180" w:after="0"/>
        <w:rPr>
          <w:rFonts w:ascii="Times New Roman" w:hAnsi="Times New Roman"/>
          <w:sz w:val="20"/>
        </w:rPr>
      </w:pPr>
      <w:r>
        <w:rPr>
          <w:rFonts w:ascii="Times New Roman" w:hAnsi="Times New Roman"/>
          <w:sz w:val="20"/>
        </w:rPr>
        <w:t xml:space="preserve">(e)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 </w:t>
      </w:r>
    </w:p>
    <w:p>
      <w:pPr>
        <w:pStyle w:val="TextBody"/>
        <w:spacing w:before="180" w:after="0"/>
        <w:rPr>
          <w:rFonts w:ascii="Times New Roman" w:hAnsi="Times New Roman"/>
          <w:sz w:val="20"/>
        </w:rPr>
      </w:pPr>
      <w:r>
        <w:rPr>
          <w:rFonts w:ascii="Times New Roman" w:hAnsi="Times New Roman"/>
          <w:sz w:val="20"/>
        </w:rPr>
        <w:t xml:space="preserve">(f)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 </w:t>
      </w:r>
    </w:p>
    <w:p>
      <w:pPr>
        <w:pStyle w:val="TextBody"/>
        <w:spacing w:before="180" w:after="0"/>
        <w:rPr>
          <w:rFonts w:ascii="Times New Roman" w:hAnsi="Times New Roman"/>
          <w:sz w:val="20"/>
        </w:rPr>
      </w:pPr>
      <w:r>
        <w:rPr>
          <w:rFonts w:ascii="Times New Roman" w:hAnsi="Times New Roman"/>
          <w:sz w:val="20"/>
        </w:rPr>
        <w:t xml:space="preserve">(h) the Issuers shall have delivered to the Trustee an Officers Certificate and an Opinion of Counsel, each stating that all conditions precedent provided for or relating to the Legal Defeasance or the Covenant Defeasance have been complied with. </w:t>
      </w:r>
    </w:p>
    <w:p>
      <w:pPr>
        <w:pStyle w:val="TextBody"/>
        <w:spacing w:before="180" w:after="0"/>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Deposited Money and U.S. Government Obligations to be Held in Trust; Other Miscellaneous Provisions</w:t>
      </w:r>
      <w:r>
        <w:rPr>
          <w:rFonts w:ascii="Times New Roman" w:hAnsi="Times New Roman"/>
          <w:sz w:val="20"/>
        </w:rPr>
        <w:t xml:space="preserve">.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 </w:t>
      </w:r>
    </w:p>
    <w:p>
      <w:pPr>
        <w:pStyle w:val="TextBody"/>
        <w:spacing w:before="180" w:after="0"/>
        <w:rPr>
          <w:rFonts w:ascii="Times New Roman" w:hAnsi="Times New Roman"/>
          <w:sz w:val="20"/>
        </w:rPr>
      </w:pPr>
      <w:r>
        <w:rPr>
          <w:rFonts w:ascii="Times New Roman" w:hAnsi="Times New Roman"/>
          <w:sz w:val="20"/>
        </w:rPr>
        <w:t xml:space="preserve">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 </w:t>
      </w:r>
    </w:p>
    <w:p>
      <w:pPr>
        <w:pStyle w:val="TextBody"/>
        <w:spacing w:before="180" w:after="0"/>
        <w:rPr>
          <w:rFonts w:ascii="Times New Roman" w:hAnsi="Times New Roman"/>
          <w:sz w:val="20"/>
        </w:rPr>
      </w:pPr>
      <w:r>
        <w:rPr>
          <w:rFonts w:ascii="Times New Roman" w:hAnsi="Times New Roman"/>
          <w:sz w:val="20"/>
        </w:rPr>
        <w:t xml:space="preserve">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spacing w:before="180" w:after="0"/>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Repayment to Issuers</w:t>
      </w:r>
      <w:r>
        <w:rPr>
          <w:rFonts w:ascii="Times New Roman" w:hAnsi="Times New Roman"/>
          <w:sz w:val="20"/>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before being required to make any such repayment, may at the expense of the Issuers cause to be published once, in the </w:t>
      </w:r>
      <w:r>
        <w:rPr>
          <w:rFonts w:ascii="Times New Roman" w:hAnsi="Times New Roman"/>
          <w:i/>
          <w:sz w:val="20"/>
        </w:rPr>
        <w:t>New York Times</w:t>
      </w:r>
      <w:r>
        <w:rPr>
          <w:rFonts w:ascii="Times New Roman" w:hAnsi="Times New Roman"/>
          <w:sz w:val="20"/>
        </w:rPr>
        <w:t xml:space="preserve"> and </w:t>
      </w:r>
      <w:r>
        <w:rPr>
          <w:rFonts w:ascii="Times New Roman" w:hAnsi="Times New Roman"/>
          <w:i/>
          <w:sz w:val="20"/>
        </w:rPr>
        <w:t xml:space="preserve">The Wall Street Journal </w:t>
      </w:r>
      <w:r>
        <w:rPr>
          <w:rFonts w:ascii="Times New Roman" w:hAnsi="Times New Roman"/>
          <w:sz w:val="20"/>
        </w:rPr>
        <w:t xml:space="preserve">(national edition), notice that such money remains unclaimed and that, after a date specified therein, which shall not be less than 30 days from the date of such notification or publication, any unclaimed balance of such money then remaining shall be repaid to the Issuers.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Reinstatement</w:t>
      </w:r>
      <w:r>
        <w:rPr>
          <w:rFonts w:ascii="Times New Roman" w:hAnsi="Times New Roman"/>
          <w:sz w:val="20"/>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 </w:t>
      </w:r>
    </w:p>
    <w:p>
      <w:pPr>
        <w:pStyle w:val="TextBody"/>
        <w:spacing w:before="270" w:after="0"/>
        <w:jc w:val="center"/>
        <w:rPr>
          <w:rFonts w:ascii="Times New Roman" w:hAnsi="Times New Roman"/>
          <w:sz w:val="20"/>
        </w:rPr>
      </w:pPr>
      <w:r>
        <w:rPr>
          <w:rFonts w:ascii="Times New Roman" w:hAnsi="Times New Roman"/>
          <w:sz w:val="20"/>
        </w:rPr>
        <w:t xml:space="preserve">ARTICLE IX </w:t>
      </w:r>
    </w:p>
    <w:p>
      <w:pPr>
        <w:pStyle w:val="TextBody"/>
        <w:spacing w:before="0" w:after="0"/>
        <w:jc w:val="center"/>
        <w:rPr>
          <w:rFonts w:ascii="Times New Roman" w:hAnsi="Times New Roman"/>
          <w:sz w:val="20"/>
        </w:rPr>
      </w:pPr>
      <w:r>
        <w:rPr>
          <w:rFonts w:ascii="Times New Roman" w:hAnsi="Times New Roman"/>
          <w:sz w:val="20"/>
        </w:rPr>
        <w:t xml:space="preserve">SUBSIDIARY GUARANTEES </w:t>
      </w:r>
    </w:p>
    <w:p>
      <w:pPr>
        <w:pStyle w:val="TextBody"/>
        <w:spacing w:before="180" w:after="0"/>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Subsidiary Guarantees</w:t>
      </w:r>
      <w:r>
        <w:rPr>
          <w:rFonts w:ascii="Times New Roman" w:hAnsi="Times New Roman"/>
          <w:sz w:val="20"/>
        </w:rPr>
        <w:t xml:space="preserve">.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 </w:t>
      </w:r>
    </w:p>
    <w:p>
      <w:pPr>
        <w:pStyle w:val="TextBody"/>
        <w:spacing w:before="180" w:after="0"/>
        <w:rPr>
          <w:rFonts w:ascii="Times New Roman" w:hAnsi="Times New Roman"/>
          <w:sz w:val="20"/>
        </w:rPr>
      </w:pPr>
      <w:r>
        <w:rPr>
          <w:rFonts w:ascii="Times New Roman" w:hAnsi="Times New Roman"/>
          <w:sz w:val="20"/>
        </w:rPr>
        <w:t xml:space="preserve">(b)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 </w:t>
      </w:r>
    </w:p>
    <w:p>
      <w:pPr>
        <w:pStyle w:val="TextBody"/>
        <w:spacing w:before="180" w:after="0"/>
        <w:rPr>
          <w:rFonts w:ascii="Times New Roman" w:hAnsi="Times New Roman"/>
          <w:sz w:val="20"/>
        </w:rPr>
      </w:pPr>
      <w:r>
        <w:rPr>
          <w:rFonts w:ascii="Times New Roman" w:hAnsi="Times New Roman"/>
          <w:sz w:val="20"/>
        </w:rPr>
        <w:t xml:space="preserve">(d)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 </w:t>
      </w:r>
    </w:p>
    <w:p>
      <w:pPr>
        <w:pStyle w:val="TextBody"/>
        <w:spacing w:before="180" w:after="0"/>
        <w:rPr>
          <w:rFonts w:ascii="Times New Roman" w:hAnsi="Times New Roman"/>
          <w:sz w:val="20"/>
        </w:rPr>
      </w:pPr>
      <w:r>
        <w:rPr>
          <w:rFonts w:ascii="Times New Roman" w:hAnsi="Times New Roman"/>
          <w:sz w:val="20"/>
        </w:rPr>
        <w:t xml:space="preserve">(e)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 </w:t>
      </w:r>
    </w:p>
    <w:p>
      <w:pPr>
        <w:pStyle w:val="TextBody"/>
        <w:spacing w:before="180" w:after="0"/>
        <w:rPr>
          <w:rFonts w:ascii="Times New Roman" w:hAnsi="Times New Roman"/>
          <w:sz w:val="20"/>
        </w:rPr>
      </w:pPr>
      <w:r>
        <w:rPr>
          <w:rFonts w:ascii="Times New Roman" w:hAnsi="Times New Roman"/>
          <w:sz w:val="20"/>
        </w:rPr>
        <w:t xml:space="preserve">(f)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 </w:t>
      </w:r>
    </w:p>
    <w:p>
      <w:pPr>
        <w:pStyle w:val="TextBody"/>
        <w:spacing w:before="180" w:after="0"/>
        <w:rPr>
          <w:rFonts w:ascii="Times New Roman" w:hAnsi="Times New Roman"/>
          <w:sz w:val="20"/>
        </w:rPr>
      </w:pPr>
      <w:r>
        <w:rPr>
          <w:rFonts w:ascii="Times New Roman" w:hAnsi="Times New Roman"/>
          <w:sz w:val="20"/>
        </w:rPr>
        <w:t xml:space="preserve">(g)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(h) Each Subsidiary Guarantor also agrees to pay any and all costs and expenses (including reasonable attorneys fees) incurred by the Trustee or any Holder in enforcing any rights under this Section 9.01. </w:t>
      </w:r>
    </w:p>
    <w:p>
      <w:pPr>
        <w:pStyle w:val="TextBody"/>
        <w:spacing w:before="180" w:after="0"/>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Limitation on Liability</w:t>
      </w:r>
      <w:r>
        <w:rPr>
          <w:rFonts w:ascii="Times New Roman" w:hAnsi="Times New Roman"/>
          <w:sz w:val="20"/>
        </w:rPr>
        <w:t xml:space="preserve">.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 </w:t>
      </w:r>
    </w:p>
    <w:p>
      <w:pPr>
        <w:pStyle w:val="TextBody"/>
        <w:spacing w:before="180" w:after="0"/>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Successors and Assigns</w:t>
      </w:r>
      <w:r>
        <w:rPr>
          <w:rFonts w:ascii="Times New Roman" w:hAnsi="Times New Roman"/>
          <w:sz w:val="20"/>
        </w:rPr>
        <w:t xml:space="preserve">.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 </w:t>
      </w:r>
    </w:p>
    <w:p>
      <w:pPr>
        <w:pStyle w:val="TextBody"/>
        <w:spacing w:before="180" w:after="0"/>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No Waiver</w:t>
      </w:r>
      <w:r>
        <w:rPr>
          <w:rFonts w:ascii="Times New Roman" w:hAnsi="Times New Roman"/>
          <w:sz w:val="20"/>
        </w:rPr>
        <w:t xml:space="preserve">.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 </w:t>
      </w:r>
    </w:p>
    <w:p>
      <w:pPr>
        <w:pStyle w:val="TextBody"/>
        <w:spacing w:before="180" w:after="0"/>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Modification</w:t>
      </w:r>
      <w:r>
        <w:rPr>
          <w:rFonts w:ascii="Times New Roman" w:hAnsi="Times New Roman"/>
          <w:sz w:val="20"/>
        </w:rPr>
        <w:t xml:space="preserve">.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 </w:t>
      </w:r>
    </w:p>
    <w:p>
      <w:pPr>
        <w:pStyle w:val="TextBody"/>
        <w:spacing w:before="180" w:after="0"/>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Execution of Supplemental Indenture for Future Subsidiary Guarantors</w:t>
      </w:r>
      <w:r>
        <w:rPr>
          <w:rFonts w:ascii="Times New Roman" w:hAnsi="Times New Roman"/>
          <w:sz w:val="20"/>
        </w:rPr>
        <w:t xml:space="preserve">.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 </w:t>
      </w:r>
    </w:p>
    <w:p>
      <w:pPr>
        <w:pStyle w:val="TextBody"/>
        <w:spacing w:before="180" w:after="0"/>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Release of Guarantee</w:t>
      </w:r>
      <w:r>
        <w:rPr>
          <w:rFonts w:ascii="Times New Roman" w:hAnsi="Times New Roman"/>
          <w:sz w:val="20"/>
        </w:rPr>
        <w:t xml:space="preserve">.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 </w:t>
      </w:r>
    </w:p>
    <w:p>
      <w:pPr>
        <w:pStyle w:val="TextBody"/>
        <w:spacing w:before="180" w:after="0"/>
        <w:rPr>
          <w:rFonts w:ascii="Times New Roman" w:hAnsi="Times New Roman"/>
          <w:sz w:val="20"/>
        </w:rPr>
      </w:pPr>
      <w:r>
        <w:rPr>
          <w:rFonts w:ascii="Times New Roman" w:hAnsi="Times New Roman"/>
          <w:sz w:val="20"/>
        </w:rPr>
        <w:t xml:space="preserve">(a)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 </w:t>
      </w:r>
    </w:p>
    <w:p>
      <w:pPr>
        <w:pStyle w:val="TextBody"/>
        <w:spacing w:before="180" w:after="0"/>
        <w:rPr>
          <w:rFonts w:ascii="Times New Roman" w:hAnsi="Times New Roman"/>
          <w:sz w:val="20"/>
        </w:rPr>
      </w:pPr>
      <w:r>
        <w:rPr>
          <w:rFonts w:ascii="Times New Roman" w:hAnsi="Times New Roman"/>
          <w:sz w:val="20"/>
        </w:rPr>
        <w:t xml:space="preserve">(b) upon any sale or other disposition of all of the Equity Interests of a Subsidiary Guarantor, to any Person that is not an Affiliate of either of the Issuers; or </w:t>
      </w:r>
    </w:p>
    <w:p>
      <w:pPr>
        <w:pStyle w:val="TextBody"/>
        <w:spacing w:before="180" w:after="0"/>
        <w:rPr>
          <w:rFonts w:ascii="Times New Roman" w:hAnsi="Times New Roman"/>
          <w:sz w:val="20"/>
        </w:rPr>
      </w:pPr>
      <w:r>
        <w:rPr>
          <w:rFonts w:ascii="Times New Roman" w:hAnsi="Times New Roman"/>
          <w:sz w:val="20"/>
        </w:rPr>
        <w:t xml:space="preserve">(c) following the release or discharge of all guarantees by such Subsidiary Guarantor of any Debt of the Issuers (other than any Debt Securities), upon delivery by the Issuers to the Trustee of a written notice of such release or discharge from the guarantees. </w:t>
      </w:r>
    </w:p>
    <w:p>
      <w:pPr>
        <w:pStyle w:val="TextBody"/>
        <w:spacing w:before="270" w:after="0"/>
        <w:jc w:val="center"/>
        <w:rPr>
          <w:rFonts w:ascii="Times New Roman" w:hAnsi="Times New Roman"/>
          <w:sz w:val="20"/>
        </w:rPr>
      </w:pPr>
      <w:r>
        <w:rPr>
          <w:rFonts w:ascii="Times New Roman" w:hAnsi="Times New Roman"/>
          <w:sz w:val="20"/>
        </w:rPr>
        <w:t xml:space="preserve">ARTICLE X </w:t>
      </w:r>
    </w:p>
    <w:p>
      <w:pPr>
        <w:pStyle w:val="TextBody"/>
        <w:spacing w:before="0" w:after="0"/>
        <w:jc w:val="center"/>
        <w:rPr>
          <w:rFonts w:ascii="Times New Roman" w:hAnsi="Times New Roman"/>
          <w:sz w:val="20"/>
        </w:rPr>
      </w:pPr>
      <w:r>
        <w:rPr>
          <w:rFonts w:ascii="Times New Roman" w:hAnsi="Times New Roman"/>
          <w:sz w:val="20"/>
        </w:rPr>
        <w:t xml:space="preserve">MISCELLANEOUS </w:t>
      </w:r>
    </w:p>
    <w:p>
      <w:pPr>
        <w:pStyle w:val="TextBody"/>
        <w:spacing w:before="180" w:after="0"/>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Additional Amendments</w:t>
      </w:r>
      <w:r>
        <w:rPr>
          <w:rFonts w:ascii="Times New Roman" w:hAnsi="Times New Roman"/>
          <w:sz w:val="20"/>
        </w:rPr>
        <w:t xml:space="preserve">.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w:t>
      </w:r>
    </w:p>
    <w:p>
      <w:pPr>
        <w:pStyle w:val="TextBody"/>
        <w:spacing w:before="180" w:after="0"/>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Integral Part</w:t>
      </w:r>
      <w:r>
        <w:rPr>
          <w:rFonts w:ascii="Times New Roman" w:hAnsi="Times New Roman"/>
          <w:sz w:val="20"/>
        </w:rPr>
        <w:t xml:space="preserve">. This Supplemental Indenture constitutes an integral part of the Indenture. </w:t>
      </w:r>
    </w:p>
    <w:p>
      <w:pPr>
        <w:pStyle w:val="TextBody"/>
        <w:spacing w:before="180" w:after="0"/>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Adoption, Ratification and Confirmation</w:t>
      </w:r>
      <w:r>
        <w:rPr>
          <w:rFonts w:ascii="Times New Roman" w:hAnsi="Times New Roman"/>
          <w:sz w:val="20"/>
        </w:rPr>
        <w:t xml:space="preserve">. The Original Indenture, as supplemented and amended by this Supplemental Indenture, is in all respects hereby adopted, ratified and confirmed. </w:t>
      </w:r>
    </w:p>
    <w:p>
      <w:pPr>
        <w:pStyle w:val="TextBody"/>
        <w:spacing w:before="180" w:after="0"/>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Counterparts</w:t>
      </w:r>
      <w:r>
        <w:rPr>
          <w:rFonts w:ascii="Times New Roman" w:hAnsi="Times New Roman"/>
          <w:sz w:val="20"/>
        </w:rPr>
        <w:t xml:space="preserve">. This Supplemental Indenture may be executed in any number of counterparts, each of which when so executed shall be deemed an original; and all such counterparts shall together constitute but one and the same instrument.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Governing Law</w:t>
      </w:r>
      <w:r>
        <w:rPr>
          <w:rFonts w:ascii="Times New Roman" w:hAnsi="Times New Roman"/>
          <w:sz w:val="20"/>
        </w:rPr>
        <w:t xml:space="preserve">. </w:t>
      </w:r>
      <w:r>
        <w:rPr>
          <w:rFonts w:ascii="Times New Roman" w:hAnsi="Times New Roman"/>
          <w:b/>
          <w:sz w:val="20"/>
        </w:rPr>
        <w:t>THIS SUPPLEMENTAL INDENTURE AND THE NOTES SHALL BE GOVERNED BY AND CONSTRUED IN ACCORDANCE WITH THE LAWS OF THE STATE OF NEW YORK.</w:t>
      </w:r>
      <w:r>
        <w:rPr>
          <w:rFonts w:ascii="Times New Roman" w:hAnsi="Times New Roman"/>
          <w:sz w:val="20"/>
        </w:rPr>
        <w:t xml:space="preserve"> </w:t>
      </w:r>
    </w:p>
    <w:p>
      <w:pPr>
        <w:pStyle w:val="TextBody"/>
        <w:spacing w:before="360" w:after="0"/>
        <w:jc w:val="center"/>
        <w:rPr>
          <w:rFonts w:ascii="Times New Roman" w:hAnsi="Times New Roman"/>
          <w:sz w:val="20"/>
        </w:rPr>
      </w:pPr>
      <w:r>
        <w:rPr>
          <w:rFonts w:ascii="Times New Roman" w:hAnsi="Times New Roman"/>
          <w:sz w:val="20"/>
        </w:rPr>
        <w:t xml:space="preserve">[Signatures on following pages]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SIGNATURES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5"/>
        <w:gridCol w:w="60"/>
        <w:gridCol w:w="314"/>
        <w:gridCol w:w="60"/>
        <w:gridCol w:w="3243"/>
      </w:tblGrid>
      <w:tr>
        <w:trPr/>
        <w:tc>
          <w:tcPr>
            <w:tcW w:w="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43"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ISSUERS</w:t>
            </w:r>
            <w:r>
              <w:rPr>
                <w:rFonts w:ascii="Times New Roman" w:hAnsi="Times New Roman"/>
                <w:b/>
                <w:sz w:val="20"/>
              </w:rPr>
              <w:t>:</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405" w:type="dxa"/>
            <w:tcBorders/>
            <w:shd w:fill="auto" w:val="clear"/>
            <w:vAlign w:val="center"/>
          </w:tcPr>
          <w:p>
            <w:pPr>
              <w:pStyle w:val="TableContents"/>
              <w:spacing w:before="0" w:after="283"/>
              <w:rPr>
                <w:sz w:val="4"/>
                <w:szCs w:val="4"/>
              </w:rPr>
            </w:pPr>
            <w:r>
              <w:rPr>
                <w:sz w:val="4"/>
                <w:szCs w:val="4"/>
              </w:rPr>
            </w:r>
          </w:p>
        </w:tc>
        <w:tc>
          <w:tcPr>
            <w:tcW w:w="3677" w:type="dxa"/>
            <w:gridSpan w:val="4"/>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405" w:type="dxa"/>
            <w:tcBorders/>
            <w:shd w:fill="auto" w:val="clear"/>
            <w:vAlign w:val="center"/>
          </w:tcPr>
          <w:p>
            <w:pPr>
              <w:pStyle w:val="TableContents"/>
              <w:spacing w:before="0" w:after="283"/>
              <w:rPr>
                <w:sz w:val="4"/>
                <w:szCs w:val="4"/>
              </w:rPr>
            </w:pPr>
            <w:r>
              <w:rPr>
                <w:sz w:val="4"/>
                <w:szCs w:val="4"/>
              </w:rPr>
            </w:r>
          </w:p>
        </w:tc>
        <w:tc>
          <w:tcPr>
            <w:tcW w:w="3677" w:type="dxa"/>
            <w:gridSpan w:val="4"/>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405" w:type="dxa"/>
            <w:tcBorders/>
            <w:shd w:fill="auto" w:val="clear"/>
            <w:vAlign w:val="center"/>
          </w:tcPr>
          <w:p>
            <w:pPr>
              <w:pStyle w:val="TableContents"/>
              <w:spacing w:before="0" w:after="283"/>
              <w:rPr>
                <w:sz w:val="4"/>
                <w:szCs w:val="4"/>
              </w:rPr>
            </w:pPr>
            <w:r>
              <w:rPr>
                <w:sz w:val="4"/>
                <w:szCs w:val="4"/>
              </w:rPr>
            </w:r>
          </w:p>
        </w:tc>
        <w:tc>
          <w:tcPr>
            <w:tcW w:w="3677" w:type="dxa"/>
            <w:gridSpan w:val="4"/>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480" w:hRule="atLeast"/>
        </w:trPr>
        <w:tc>
          <w:tcPr>
            <w:tcW w:w="405"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3303" w:type="dxa"/>
            <w:gridSpan w:val="2"/>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243" w:type="dxa"/>
            <w:tcBorders/>
            <w:shd w:fill="auto" w:val="clear"/>
            <w:vAlign w:val="bottom"/>
          </w:tcPr>
          <w:p>
            <w:pPr>
              <w:pStyle w:val="TableContents"/>
              <w:pBdr>
                <w:bottom w:val="single" w:sz="2" w:space="1" w:color="000000"/>
              </w:pBdr>
              <w:spacing w:before="0" w:after="15"/>
              <w:rPr/>
            </w:pPr>
            <w:r>
              <w:rPr/>
              <w:t>    </w:t>
            </w:r>
            <w:r>
              <w:rPr>
                <w:rFonts w:ascii="Times New Roman" w:hAnsi="Times New Roman"/>
                <w:sz w:val="20"/>
              </w:rPr>
              <w:t>/s/ Charles Kingswell-Smith</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Charles Kingswell-Smith</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 and Treasurer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PAA FINANCE CORP.</w:t>
            </w:r>
          </w:p>
        </w:tc>
      </w:tr>
      <w:tr>
        <w:trPr>
          <w:trHeight w:val="480" w:hRule="atLeast"/>
        </w:trPr>
        <w:tc>
          <w:tcPr>
            <w:tcW w:w="405"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3303" w:type="dxa"/>
            <w:gridSpan w:val="2"/>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243" w:type="dxa"/>
            <w:tcBorders/>
            <w:shd w:fill="auto" w:val="clear"/>
            <w:vAlign w:val="bottom"/>
          </w:tcPr>
          <w:p>
            <w:pPr>
              <w:pStyle w:val="TableContents"/>
              <w:pBdr>
                <w:bottom w:val="single" w:sz="2" w:space="1" w:color="000000"/>
              </w:pBdr>
              <w:spacing w:before="0" w:after="15"/>
              <w:rPr/>
            </w:pPr>
            <w:r>
              <w:rPr/>
              <w:t>    </w:t>
            </w:r>
            <w:r>
              <w:rPr>
                <w:rFonts w:ascii="Times New Roman" w:hAnsi="Times New Roman"/>
                <w:sz w:val="20"/>
              </w:rPr>
              <w:t>/s/ Charles Kingswell-Smith</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Charles Kingswell-Smith</w:t>
            </w:r>
          </w:p>
        </w:tc>
      </w:tr>
      <w:tr>
        <w:trPr/>
        <w:tc>
          <w:tcPr>
            <w:tcW w:w="4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1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 and Treasurer</w:t>
            </w:r>
          </w:p>
        </w:tc>
      </w:tr>
    </w:tbl>
    <w:p>
      <w:pPr>
        <w:pStyle w:val="TextBody"/>
        <w:spacing w:before="180" w:after="0"/>
        <w:jc w:val="center"/>
        <w:rPr>
          <w:rFonts w:ascii="Times New Roman" w:hAnsi="Times New Roman"/>
          <w:i/>
          <w:sz w:val="14"/>
        </w:rPr>
      </w:pPr>
      <w:r>
        <w:rPr>
          <w:rFonts w:ascii="Times New Roman" w:hAnsi="Times New Roman"/>
          <w:i/>
          <w:sz w:val="14"/>
        </w:rPr>
        <w:t xml:space="preserve">Signature Page to Twenty-Third Supplemental Indenture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u w:val="single"/>
              </w:rPr>
              <w:t>TRUSTEE</w:t>
            </w:r>
            <w:r>
              <w:rPr>
                <w:rFonts w:ascii="Times New Roman" w:hAnsi="Times New Roman"/>
                <w:b/>
                <w:sz w:val="20"/>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U.S. BANK NATIONAL ASSOCIATION,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as Trustee</w:t>
            </w:r>
          </w:p>
        </w:tc>
      </w:tr>
      <w:tr>
        <w:trPr>
          <w:trHeight w:val="48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pBdr>
                <w:bottom w:val="single" w:sz="2" w:space="1" w:color="000000"/>
              </w:pBdr>
              <w:spacing w:before="0" w:after="15"/>
              <w:rPr/>
            </w:pPr>
            <w:r>
              <w:rPr/>
              <w:t>    </w:t>
            </w:r>
            <w:r>
              <w:rPr>
                <w:rFonts w:ascii="Times New Roman" w:hAnsi="Times New Roman"/>
                <w:sz w:val="20"/>
              </w:rPr>
              <w:t>/s/ Steven Finklea</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Steven Finklea</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180" w:after="0"/>
        <w:jc w:val="center"/>
        <w:rPr>
          <w:rFonts w:ascii="Times New Roman" w:hAnsi="Times New Roman"/>
          <w:i/>
          <w:sz w:val="14"/>
        </w:rPr>
      </w:pPr>
      <w:r>
        <w:rPr>
          <w:rFonts w:ascii="Times New Roman" w:hAnsi="Times New Roman"/>
          <w:i/>
          <w:sz w:val="14"/>
        </w:rPr>
        <w:t xml:space="preserve">Signature Page to Twenty-Third Supplemental Indenture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u w:val="single"/>
        </w:rPr>
      </w:pPr>
      <w:r>
        <w:rPr>
          <w:rFonts w:ascii="Times New Roman" w:hAnsi="Times New Roman"/>
          <w:sz w:val="20"/>
          <w:u w:val="single"/>
        </w:rPr>
        <w:t xml:space="preserve">EXHIBIT A </w:t>
      </w:r>
    </w:p>
    <w:p>
      <w:pPr>
        <w:pStyle w:val="TextBody"/>
        <w:spacing w:before="180" w:after="0"/>
        <w:jc w:val="center"/>
        <w:rPr>
          <w:rFonts w:ascii="Times New Roman" w:hAnsi="Times New Roman"/>
          <w:sz w:val="20"/>
        </w:rPr>
      </w:pPr>
      <w:r>
        <w:rPr>
          <w:rFonts w:ascii="Times New Roman" w:hAnsi="Times New Roman"/>
          <w:sz w:val="20"/>
        </w:rPr>
        <w:t xml:space="preserve">(Form of Face of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4"/>
        <w:gridCol w:w="4796"/>
      </w:tblGrid>
      <w:tr>
        <w:trPr/>
        <w:tc>
          <w:tcPr>
            <w:tcW w:w="520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6"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CUSIP 72650RBC5</w:t>
            </w:r>
          </w:p>
        </w:tc>
        <w:tc>
          <w:tcPr>
            <w:tcW w:w="204" w:type="dxa"/>
            <w:tcBorders/>
            <w:shd w:fill="auto" w:val="clear"/>
            <w:vAlign w:val="bottom"/>
          </w:tcPr>
          <w:p>
            <w:pPr>
              <w:pStyle w:val="TableContents"/>
              <w:spacing w:before="0" w:after="283"/>
              <w:rPr/>
            </w:pPr>
            <w:r>
              <w:rPr/>
              <w:t>  </w:t>
            </w:r>
          </w:p>
        </w:tc>
        <w:tc>
          <w:tcPr>
            <w:tcW w:w="47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No.</w:t>
            </w:r>
            <w:r>
              <w:rPr>
                <w:rFonts w:ascii="Times New Roman" w:hAnsi="Times New Roman"/>
                <w:sz w:val="20"/>
                <w:u w:val="single"/>
              </w:rPr>
              <w:t>     </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ISIN US72650RBC51</w:t>
            </w:r>
          </w:p>
        </w:tc>
        <w:tc>
          <w:tcPr>
            <w:tcW w:w="204" w:type="dxa"/>
            <w:tcBorders/>
            <w:shd w:fill="auto" w:val="clear"/>
            <w:vAlign w:val="bottom"/>
          </w:tcPr>
          <w:p>
            <w:pPr>
              <w:pStyle w:val="TableContents"/>
              <w:spacing w:before="0" w:after="283"/>
              <w:rPr/>
            </w:pPr>
            <w:r>
              <w:rPr/>
              <w:t>  </w:t>
            </w:r>
          </w:p>
        </w:tc>
        <w:tc>
          <w:tcPr>
            <w:tcW w:w="47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r>
              <w:rPr>
                <w:rFonts w:ascii="Times New Roman" w:hAnsi="Times New Roman"/>
                <w:sz w:val="20"/>
                <w:u w:val="single"/>
              </w:rPr>
              <w:t>                    </w:t>
            </w:r>
          </w:p>
        </w:tc>
      </w:tr>
    </w:tbl>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PAA FINANCE CORP. </w:t>
      </w:r>
    </w:p>
    <w:p>
      <w:pPr>
        <w:pStyle w:val="TextBody"/>
        <w:spacing w:before="180" w:after="0"/>
        <w:jc w:val="center"/>
        <w:rPr>
          <w:rFonts w:ascii="Times New Roman" w:hAnsi="Times New Roman"/>
          <w:sz w:val="20"/>
        </w:rPr>
      </w:pPr>
      <w:r>
        <w:rPr>
          <w:rFonts w:ascii="Times New Roman" w:hAnsi="Times New Roman"/>
          <w:sz w:val="20"/>
        </w:rPr>
        <w:t xml:space="preserve">4.30% Senior Notes due 2043 </w:t>
      </w:r>
    </w:p>
    <w:p>
      <w:pPr>
        <w:pStyle w:val="TextBody"/>
        <w:pBdr/>
        <w:spacing w:before="180" w:after="0"/>
        <w:rPr/>
      </w:pPr>
      <w:r>
        <w:rPr>
          <w:rFonts w:ascii="Times New Roman" w:hAnsi="Times New Roman"/>
          <w:sz w:val="20"/>
        </w:rPr>
        <w:t xml:space="preserve">Plains All American Pipeline, L.P., a Delaware limited partnership, and PAA Finance Corp., a Delaware corporation, jointly and severally promise to pay to </w:t>
      </w:r>
      <w:r>
        <w:rPr>
          <w:rFonts w:ascii="Times New Roman" w:hAnsi="Times New Roman"/>
          <w:sz w:val="20"/>
          <w:u w:val="single"/>
        </w:rPr>
        <w:t>                    </w:t>
      </w:r>
      <w:r>
        <w:rPr>
          <w:rFonts w:ascii="Times New Roman" w:hAnsi="Times New Roman"/>
          <w:sz w:val="20"/>
        </w:rPr>
        <w:t xml:space="preserve">, or registered assigns, the principal sum of </w:t>
      </w:r>
      <w:r>
        <w:rPr>
          <w:rFonts w:ascii="Times New Roman" w:hAnsi="Times New Roman"/>
          <w:sz w:val="20"/>
          <w:u w:val="single"/>
        </w:rPr>
        <w:t>                    </w:t>
      </w:r>
      <w:r>
        <w:rPr>
          <w:rFonts w:ascii="Times New Roman" w:hAnsi="Times New Roman"/>
          <w:sz w:val="20"/>
        </w:rPr>
        <w:t> Dollars [or such greater or lesser amount as may be endorsed on the Schedule attached hereto]</w:t>
      </w:r>
      <w:r>
        <w:rPr>
          <w:rFonts w:ascii="Times New Roman" w:hAnsi="Times New Roman"/>
          <w:sz w:val="14"/>
        </w:rPr>
        <w:t>1</w:t>
      </w:r>
      <w:r>
        <w:rPr/>
        <w:t xml:space="preserve"> </w:t>
      </w:r>
      <w:r>
        <w:rPr>
          <w:rFonts w:ascii="Times New Roman" w:hAnsi="Times New Roman"/>
          <w:sz w:val="20"/>
        </w:rPr>
        <w:t xml:space="preserve">on January 31, 2043. </w:t>
      </w:r>
    </w:p>
    <w:p>
      <w:pPr>
        <w:pStyle w:val="TextBody"/>
        <w:spacing w:before="180" w:after="0"/>
        <w:rPr>
          <w:rFonts w:ascii="Times New Roman" w:hAnsi="Times New Roman"/>
          <w:sz w:val="20"/>
        </w:rPr>
      </w:pPr>
      <w:r>
        <w:rPr>
          <w:rFonts w:ascii="Times New Roman" w:hAnsi="Times New Roman"/>
          <w:sz w:val="20"/>
        </w:rPr>
        <w:t xml:space="preserve">Interest Payment Dates: January 31 and July 31 </w:t>
      </w:r>
    </w:p>
    <w:p>
      <w:pPr>
        <w:pStyle w:val="TextBody"/>
        <w:spacing w:before="0" w:after="0"/>
        <w:rPr>
          <w:rFonts w:ascii="Times New Roman" w:hAnsi="Times New Roman"/>
          <w:sz w:val="20"/>
        </w:rPr>
      </w:pPr>
      <w:r>
        <w:rPr>
          <w:rFonts w:ascii="Times New Roman" w:hAnsi="Times New Roman"/>
          <w:sz w:val="20"/>
        </w:rPr>
        <w:t xml:space="preserve">Record Dates: January 15 and July 15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6"/>
        <w:gridCol w:w="60"/>
        <w:gridCol w:w="710"/>
        <w:gridCol w:w="60"/>
        <w:gridCol w:w="2626"/>
      </w:tblGrid>
      <w:tr>
        <w:trPr/>
        <w:tc>
          <w:tcPr>
            <w:tcW w:w="6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626"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626" w:type="dxa"/>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2686" w:type="dxa"/>
            <w:gridSpan w:val="2"/>
            <w:tcBorders/>
            <w:shd w:fill="auto" w:val="clear"/>
            <w:vAlign w:val="center"/>
          </w:tcPr>
          <w:p>
            <w:pPr>
              <w:pStyle w:val="TableContents"/>
              <w:spacing w:before="0" w:after="283"/>
              <w:rPr>
                <w:sz w:val="4"/>
                <w:szCs w:val="4"/>
              </w:rPr>
            </w:pPr>
            <w:r>
              <w:rPr>
                <w:sz w:val="4"/>
                <w:szCs w:val="4"/>
              </w:rPr>
            </w:r>
          </w:p>
        </w:tc>
      </w:tr>
      <w:tr>
        <w:trPr/>
        <w:tc>
          <w:tcPr>
            <w:tcW w:w="6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2626" w:type="dxa"/>
            <w:tcBorders/>
            <w:shd w:fill="auto" w:val="clear"/>
            <w:vAlign w:val="bottom"/>
          </w:tcPr>
          <w:p>
            <w:pPr>
              <w:pStyle w:val="TableContents"/>
              <w:pBdr>
                <w:bottom w:val="single" w:sz="2" w:space="1" w:color="000000"/>
              </w:pBdr>
              <w:spacing w:before="0" w:after="15"/>
              <w:rPr/>
            </w:pPr>
            <w:r>
              <w:rPr/>
              <w:t> </w:t>
            </w:r>
          </w:p>
        </w:tc>
      </w:tr>
      <w:tr>
        <w:trPr/>
        <w:tc>
          <w:tcPr>
            <w:tcW w:w="6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2626" w:type="dxa"/>
            <w:tcBorders/>
            <w:shd w:fill="auto" w:val="clear"/>
            <w:vAlign w:val="bottom"/>
          </w:tcPr>
          <w:p>
            <w:pPr>
              <w:pStyle w:val="TableContents"/>
              <w:spacing w:before="0" w:after="283"/>
              <w:rPr>
                <w:sz w:val="4"/>
                <w:szCs w:val="4"/>
              </w:rPr>
            </w:pPr>
            <w:r>
              <w:rPr>
                <w:sz w:val="4"/>
                <w:szCs w:val="4"/>
              </w:rPr>
            </w:r>
          </w:p>
        </w:tc>
      </w:tr>
      <w:tr>
        <w:trPr/>
        <w:tc>
          <w:tcPr>
            <w:tcW w:w="6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2626"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PAA FINANCE CORP.</w:t>
            </w:r>
          </w:p>
        </w:tc>
      </w:tr>
      <w:tr>
        <w:trPr>
          <w:trHeight w:val="240" w:hRule="atLeast"/>
        </w:trPr>
        <w:tc>
          <w:tcPr>
            <w:tcW w:w="626" w:type="dxa"/>
            <w:tcBorders/>
            <w:shd w:fill="auto" w:val="clear"/>
            <w:vAlign w:val="center"/>
          </w:tcPr>
          <w:p>
            <w:pPr>
              <w:pStyle w:val="TableContents"/>
              <w:spacing w:before="0" w:after="283"/>
              <w:rPr>
                <w:sz w:val="4"/>
                <w:szCs w:val="4"/>
              </w:rPr>
            </w:pPr>
            <w:r>
              <w:rPr>
                <w:sz w:val="4"/>
                <w:szCs w:val="4"/>
              </w:rPr>
            </w:r>
          </w:p>
        </w:tc>
        <w:tc>
          <w:tcPr>
            <w:tcW w:w="3456" w:type="dxa"/>
            <w:gridSpan w:val="4"/>
            <w:tcBorders/>
            <w:shd w:fill="auto" w:val="clear"/>
            <w:vAlign w:val="center"/>
          </w:tcPr>
          <w:p>
            <w:pPr>
              <w:pStyle w:val="TableContents"/>
              <w:spacing w:before="0" w:after="283"/>
              <w:rPr>
                <w:sz w:val="4"/>
                <w:szCs w:val="4"/>
              </w:rPr>
            </w:pPr>
            <w:r>
              <w:rPr>
                <w:sz w:val="4"/>
                <w:szCs w:val="4"/>
              </w:rPr>
            </w:r>
          </w:p>
        </w:tc>
      </w:tr>
      <w:tr>
        <w:trPr/>
        <w:tc>
          <w:tcPr>
            <w:tcW w:w="6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pBdr>
                <w:bottom w:val="single" w:sz="2" w:space="1" w:color="000000"/>
              </w:pBdr>
              <w:spacing w:before="0" w:after="15"/>
              <w:rPr/>
            </w:pPr>
            <w:r>
              <w:rPr/>
              <w:t> </w:t>
            </w:r>
          </w:p>
        </w:tc>
      </w:tr>
      <w:tr>
        <w:trPr/>
        <w:tc>
          <w:tcPr>
            <w:tcW w:w="6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spacing w:before="0" w:after="283"/>
              <w:rPr>
                <w:sz w:val="4"/>
                <w:szCs w:val="4"/>
              </w:rPr>
            </w:pPr>
            <w:r>
              <w:rPr>
                <w:sz w:val="4"/>
                <w:szCs w:val="4"/>
              </w:rPr>
            </w:r>
          </w:p>
        </w:tc>
      </w:tr>
      <w:tr>
        <w:trPr/>
        <w:tc>
          <w:tcPr>
            <w:tcW w:w="6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96" w:type="dxa"/>
            <w:gridSpan w:val="3"/>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TRUSTEES CERTIFICATE OF </w:t>
      </w:r>
    </w:p>
    <w:p>
      <w:pPr>
        <w:pStyle w:val="TextBody"/>
        <w:spacing w:before="0" w:after="0"/>
        <w:rPr>
          <w:rFonts w:ascii="Times New Roman" w:hAnsi="Times New Roman"/>
          <w:sz w:val="20"/>
        </w:rPr>
      </w:pPr>
      <w:r>
        <w:rPr>
          <w:rFonts w:ascii="Times New Roman" w:hAnsi="Times New Roman"/>
          <w:sz w:val="20"/>
        </w:rPr>
        <w:t xml:space="preserve">AUTHENTICATION </w:t>
      </w:r>
    </w:p>
    <w:p>
      <w:pPr>
        <w:pStyle w:val="TextBody"/>
        <w:spacing w:before="180" w:after="0"/>
        <w:rPr>
          <w:rFonts w:ascii="Times New Roman" w:hAnsi="Times New Roman"/>
          <w:sz w:val="20"/>
        </w:rPr>
      </w:pPr>
      <w:r>
        <w:rPr>
          <w:rFonts w:ascii="Times New Roman" w:hAnsi="Times New Roman"/>
          <w:sz w:val="20"/>
        </w:rPr>
        <w:t xml:space="preserve">This is one of the Debt Securities of the series designated therein referred to in the within-mentioned Indenture.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295"/>
        <w:gridCol w:w="60"/>
        <w:gridCol w:w="3727"/>
      </w:tblGrid>
      <w:tr>
        <w:trPr/>
        <w:tc>
          <w:tcPr>
            <w:tcW w:w="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2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U.S. BANK NATIONAL ASSOCIATION,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as Trustee</w:t>
            </w:r>
          </w:p>
        </w:tc>
      </w:tr>
      <w:tr>
        <w:trPr>
          <w:trHeight w:val="240" w:hRule="atLeast"/>
        </w:trPr>
        <w:tc>
          <w:tcPr>
            <w:tcW w:w="295" w:type="dxa"/>
            <w:tcBorders/>
            <w:shd w:fill="auto" w:val="clear"/>
            <w:vAlign w:val="center"/>
          </w:tcPr>
          <w:p>
            <w:pPr>
              <w:pStyle w:val="TableContents"/>
              <w:spacing w:before="0" w:after="283"/>
              <w:rPr>
                <w:sz w:val="4"/>
                <w:szCs w:val="4"/>
              </w:rPr>
            </w:pPr>
            <w:r>
              <w:rPr>
                <w:sz w:val="4"/>
                <w:szCs w:val="4"/>
              </w:rPr>
            </w:r>
          </w:p>
        </w:tc>
        <w:tc>
          <w:tcPr>
            <w:tcW w:w="3787" w:type="dxa"/>
            <w:gridSpan w:val="2"/>
            <w:tcBorders/>
            <w:shd w:fill="auto" w:val="clear"/>
            <w:vAlign w:val="center"/>
          </w:tcPr>
          <w:p>
            <w:pPr>
              <w:pStyle w:val="TableContents"/>
              <w:spacing w:before="0" w:after="283"/>
              <w:rPr>
                <w:sz w:val="4"/>
                <w:szCs w:val="4"/>
              </w:rPr>
            </w:pPr>
            <w:r>
              <w:rPr>
                <w:sz w:val="4"/>
                <w:szCs w:val="4"/>
              </w:rPr>
            </w:r>
          </w:p>
        </w:tc>
      </w:tr>
      <w:tr>
        <w:trPr/>
        <w:tc>
          <w:tcPr>
            <w:tcW w:w="29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27" w:type="dxa"/>
            <w:tcBorders/>
            <w:shd w:fill="auto" w:val="clear"/>
            <w:vAlign w:val="bottom"/>
          </w:tcPr>
          <w:p>
            <w:pPr>
              <w:pStyle w:val="TableContents"/>
              <w:pBdr>
                <w:bottom w:val="single" w:sz="2" w:space="1" w:color="000000"/>
              </w:pBdr>
              <w:spacing w:before="0" w:after="15"/>
              <w:rPr/>
            </w:pPr>
            <w:r>
              <w:rPr/>
              <w:t> </w:t>
            </w:r>
          </w:p>
        </w:tc>
      </w:tr>
      <w:tr>
        <w:trPr/>
        <w:tc>
          <w:tcPr>
            <w:tcW w:w="2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Authorized Signatory</w:t>
            </w:r>
          </w:p>
        </w:tc>
      </w:tr>
    </w:tbl>
    <w:tbl>
      <w:tblPr>
        <w:tblW w:w="2000" w:type="pct"/>
        <w:jc w:val="left"/>
        <w:tblInd w:w="0" w:type="dxa"/>
        <w:tblCellMar>
          <w:top w:w="0" w:type="dxa"/>
          <w:left w:w="0" w:type="dxa"/>
          <w:bottom w:w="0" w:type="dxa"/>
          <w:right w:w="0" w:type="dxa"/>
        </w:tblCellMar>
      </w:tblPr>
      <w:tblGrid>
        <w:gridCol w:w="688"/>
        <w:gridCol w:w="61"/>
        <w:gridCol w:w="3333"/>
      </w:tblGrid>
      <w:tr>
        <w:trPr/>
        <w:tc>
          <w:tcPr>
            <w:tcW w:w="688"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33"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688" w:type="dxa"/>
            <w:tcBorders/>
            <w:shd w:fill="auto" w:val="clear"/>
            <w:vAlign w:val="center"/>
          </w:tcPr>
          <w:p>
            <w:pPr>
              <w:pStyle w:val="TableContents"/>
              <w:spacing w:before="0" w:after="283"/>
              <w:rPr>
                <w:sz w:val="4"/>
                <w:szCs w:val="4"/>
              </w:rPr>
            </w:pPr>
            <w:r>
              <w:rPr>
                <w:sz w:val="4"/>
                <w:szCs w:val="4"/>
              </w:rPr>
            </w:r>
          </w:p>
        </w:tc>
        <w:tc>
          <w:tcPr>
            <w:tcW w:w="3394" w:type="dxa"/>
            <w:gridSpan w:val="2"/>
            <w:tcBorders/>
            <w:shd w:fill="auto" w:val="clear"/>
            <w:vAlign w:val="center"/>
          </w:tcPr>
          <w:p>
            <w:pPr>
              <w:pStyle w:val="TableContents"/>
              <w:spacing w:before="0" w:after="283"/>
              <w:rPr>
                <w:sz w:val="4"/>
                <w:szCs w:val="4"/>
              </w:rPr>
            </w:pPr>
            <w:r>
              <w:rPr>
                <w:sz w:val="4"/>
                <w:szCs w:val="4"/>
              </w:rPr>
            </w:r>
          </w:p>
        </w:tc>
      </w:tr>
      <w:tr>
        <w:trPr/>
        <w:tc>
          <w:tcPr>
            <w:tcW w:w="688" w:type="dxa"/>
            <w:tcBorders/>
            <w:shd w:fill="auto" w:val="clear"/>
          </w:tcPr>
          <w:p>
            <w:pPr>
              <w:pStyle w:val="TableContents"/>
              <w:spacing w:before="0" w:after="283"/>
              <w:rPr>
                <w:rFonts w:ascii="Times New Roman" w:hAnsi="Times New Roman"/>
                <w:sz w:val="20"/>
              </w:rPr>
            </w:pPr>
            <w:r>
              <w:rPr>
                <w:rFonts w:ascii="Times New Roman" w:hAnsi="Times New Roman"/>
                <w:sz w:val="20"/>
              </w:rPr>
              <w:t>Dated:</w:t>
            </w:r>
          </w:p>
        </w:tc>
        <w:tc>
          <w:tcPr>
            <w:tcW w:w="61" w:type="dxa"/>
            <w:tcBorders/>
            <w:shd w:fill="auto" w:val="clear"/>
            <w:vAlign w:val="bottom"/>
          </w:tcPr>
          <w:p>
            <w:pPr>
              <w:pStyle w:val="TableContents"/>
              <w:spacing w:before="0" w:after="283"/>
              <w:rPr/>
            </w:pPr>
            <w:r>
              <w:rPr/>
              <w:t> </w:t>
            </w:r>
          </w:p>
        </w:tc>
        <w:tc>
          <w:tcPr>
            <w:tcW w:w="3333" w:type="dxa"/>
            <w:tcBorders/>
            <w:shd w:fill="auto" w:val="clear"/>
            <w:vAlign w:val="bottom"/>
          </w:tcPr>
          <w:p>
            <w:pPr>
              <w:pStyle w:val="TableContents"/>
              <w:pBdr>
                <w:bottom w:val="single" w:sz="2" w:space="1" w:color="000000"/>
              </w:pBdr>
              <w:spacing w:before="0" w:after="15"/>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(Form of Back of Note) </w:t>
      </w:r>
    </w:p>
    <w:p>
      <w:pPr>
        <w:pStyle w:val="TextBody"/>
        <w:spacing w:before="180" w:after="0"/>
        <w:jc w:val="center"/>
        <w:rPr>
          <w:rFonts w:ascii="Times New Roman" w:hAnsi="Times New Roman"/>
          <w:sz w:val="20"/>
        </w:rPr>
      </w:pPr>
      <w:r>
        <w:rPr>
          <w:rFonts w:ascii="Times New Roman" w:hAnsi="Times New Roman"/>
          <w:sz w:val="20"/>
        </w:rPr>
        <w:t xml:space="preserve">4.30% Senior Notes due 2043 </w:t>
      </w:r>
    </w:p>
    <w:p>
      <w:pPr>
        <w:pStyle w:val="TextBody"/>
        <w:pBdr/>
        <w:spacing w:before="180" w:after="0"/>
        <w:rPr>
          <w:rFonts w:ascii="Times New Roman" w:hAnsi="Times New Roman"/>
          <w:b/>
          <w:sz w:val="20"/>
        </w:rPr>
      </w:pPr>
      <w:r>
        <w:rPr>
          <w:rFonts w:ascii="Times New Roman" w:hAnsi="Times New Roman"/>
          <w:b/>
          <w:sz w:val="20"/>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hAnsi="Times New Roman"/>
          <w:b/>
          <w:sz w:val="14"/>
        </w:rPr>
        <w:t>2</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xml:space="preserve">. Plains All American Pipeline, L.P., a Delaware limited partnership (the Partnership), and PAA Finance Corp., a Delaware corporation (PAA Finance and, together with the Partnership, the Issuers), jointly and severally promise to pay interest on the principal amount of this Note at 4.30% per annum from December 10, 2012 until maturity. The Issuers shall pay interest semi-annually on January 31 and July 31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July 31, 2013.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Issuers shall pay interest on the Notes (except defaulted interest) to the Persons who are registered Holders of Notes at the close of business on the January 15 or July 15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hAnsi="Times New Roman"/>
          <w:sz w:val="20"/>
          <w:u w:val="single"/>
        </w:rPr>
        <w:t>provided</w:t>
      </w:r>
      <w:r>
        <w:rPr>
          <w:rFonts w:ascii="Times New Roman" w:hAnsi="Times New Roman"/>
          <w:sz w:val="20"/>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U.S. Bank National Association, the Trustee under the Indenture, shall act as paying agent and Registrar. The Issuers may change any paying agent or Registrar without notice to any Holder. The Issuers or any of their Subsidiaries may act in any such capacity.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xml:space="preserve">. The Issuers issued the Notes under an Indenture dated as of September 25, 2002 (the Original Indenture), as supplemented by the Twenty-Third Supplemental Indenture dated as of December 10, 2012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$350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Optional Redemption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At their option at any time prior to maturity, the Issuers may choose to redeem all or any portion of the Notes at once or from time to time. </w:t>
      </w:r>
    </w:p>
    <w:p>
      <w:pPr>
        <w:pStyle w:val="TextBody"/>
        <w:spacing w:before="180" w:after="0"/>
        <w:rPr>
          <w:rFonts w:ascii="Times New Roman" w:hAnsi="Times New Roman"/>
          <w:sz w:val="20"/>
        </w:rPr>
      </w:pPr>
      <w:r>
        <w:rPr>
          <w:rFonts w:ascii="Times New Roman" w:hAnsi="Times New Roman"/>
          <w:sz w:val="20"/>
        </w:rPr>
        <w:t xml:space="preserve">(b) To redeem the Notes before July 31, 2042,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 redeemed (not including any portion of those payments of interest accrued as of the date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redemption) discounted to the date of redemption on a semi-annual basis (assuming a 360-day year consisting of twelve 30-day months) at the Adjusted Treasury Rate (as defined below) plus 25 basis points, plus, in either case, accrued and unpaid interest to the date of redemption (subject to the right of Holders on the relevant record date to receive interest due on the relevant interest payment date). </w:t>
      </w:r>
    </w:p>
    <w:p>
      <w:pPr>
        <w:pStyle w:val="TextBody"/>
        <w:spacing w:before="180" w:after="0"/>
        <w:rPr>
          <w:rFonts w:ascii="Times New Roman" w:hAnsi="Times New Roman"/>
          <w:sz w:val="20"/>
        </w:rPr>
      </w:pPr>
      <w:r>
        <w:rPr>
          <w:rFonts w:ascii="Times New Roman" w:hAnsi="Times New Roman"/>
          <w:sz w:val="20"/>
        </w:rPr>
        <w:t xml:space="preserve">(c) To redeem the Notes on or after July 31, 2042,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 </w:t>
      </w:r>
    </w:p>
    <w:p>
      <w:pPr>
        <w:pStyle w:val="TextBody"/>
        <w:spacing w:before="180" w:after="0"/>
        <w:rPr>
          <w:rFonts w:ascii="Times New Roman" w:hAnsi="Times New Roman"/>
          <w:sz w:val="20"/>
        </w:rPr>
      </w:pPr>
      <w:r>
        <w:rPr>
          <w:rFonts w:ascii="Times New Roman" w:hAnsi="Times New Roman"/>
          <w:sz w:val="20"/>
        </w:rPr>
        <w:t xml:space="preserve">For purposes of determining any redemption price, the following definitions shall apply: </w:t>
      </w:r>
    </w:p>
    <w:p>
      <w:pPr>
        <w:pStyle w:val="TextBody"/>
        <w:spacing w:before="180" w:after="0"/>
        <w:rPr>
          <w:rFonts w:ascii="Times New Roman" w:hAnsi="Times New Roman"/>
          <w:sz w:val="20"/>
        </w:rPr>
      </w:pPr>
      <w:r>
        <w:rPr>
          <w:rFonts w:ascii="Times New Roman" w:hAnsi="Times New Roman"/>
          <w:sz w:val="20"/>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80" w:after="0"/>
        <w:rPr>
          <w:rFonts w:ascii="Times New Roman" w:hAnsi="Times New Roman"/>
          <w:sz w:val="20"/>
        </w:rPr>
      </w:pPr>
      <w:r>
        <w:rPr>
          <w:rFonts w:ascii="Times New Roman" w:hAnsi="Times New Roman"/>
          <w:sz w:val="20"/>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 </w:t>
      </w:r>
    </w:p>
    <w:p>
      <w:pPr>
        <w:pStyle w:val="TextBody"/>
        <w:spacing w:before="180" w:after="0"/>
        <w:rPr>
          <w:rFonts w:ascii="Times New Roman" w:hAnsi="Times New Roman"/>
          <w:sz w:val="20"/>
        </w:rPr>
      </w:pPr>
      <w:r>
        <w:rPr>
          <w:rFonts w:ascii="Times New Roman" w:hAnsi="Times New Roman"/>
          <w:sz w:val="20"/>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 </w:t>
      </w:r>
    </w:p>
    <w:p>
      <w:pPr>
        <w:pStyle w:val="TextBody"/>
        <w:spacing w:before="180" w:after="0"/>
        <w:rPr>
          <w:rFonts w:ascii="Times New Roman" w:hAnsi="Times New Roman"/>
          <w:sz w:val="20"/>
        </w:rPr>
      </w:pPr>
      <w:r>
        <w:rPr>
          <w:rFonts w:ascii="Times New Roman" w:hAnsi="Times New Roman"/>
          <w:sz w:val="20"/>
        </w:rPr>
        <w:t xml:space="preserve">Quotation Agent means a Primary Treasury Dealer (as defined below) appointed by the Issuers. </w:t>
      </w:r>
    </w:p>
    <w:p>
      <w:pPr>
        <w:pStyle w:val="TextBody"/>
        <w:spacing w:before="180" w:after="0"/>
        <w:rPr>
          <w:rFonts w:ascii="Times New Roman" w:hAnsi="Times New Roman"/>
          <w:sz w:val="20"/>
        </w:rPr>
      </w:pPr>
      <w:r>
        <w:rPr>
          <w:rFonts w:ascii="Times New Roman" w:hAnsi="Times New Roman"/>
          <w:sz w:val="20"/>
        </w:rPr>
        <w:t xml:space="preserve">Reference Treasury Dealer means each of Barclays Capital Inc., Citigroup Global Markets Inc., UBS Securities LLC and a Primary Treasury Dealer (as defined below) selected by each of Wells Fargo Securities, LLC and SunTrust Robinson Humphrey, Inc., and each of their successors; provided, however, that if any of the foregoing shall cease to be a primary U.S. government securities dealer in the United States (a Primary Treasury Dealer), the Issuers shall substitute another Primary Treasury Dealer. </w:t>
      </w:r>
    </w:p>
    <w:p>
      <w:pPr>
        <w:pStyle w:val="TextBody"/>
        <w:spacing w:before="180" w:after="0"/>
        <w:rPr>
          <w:rFonts w:ascii="Times New Roman" w:hAnsi="Times New Roman"/>
          <w:sz w:val="20"/>
        </w:rPr>
      </w:pPr>
      <w:r>
        <w:rPr>
          <w:rFonts w:ascii="Times New Roman" w:hAnsi="Times New Roman"/>
          <w:sz w:val="20"/>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Notice of Redemption</w:t>
      </w:r>
      <w:r>
        <w:rPr>
          <w:rFonts w:ascii="Times New Roman" w:hAnsi="Times New Roman"/>
          <w:sz w:val="20"/>
        </w:rPr>
        <w:t xml:space="preserve">.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Denominations, Transfer, Exchange</w:t>
      </w:r>
      <w:r>
        <w:rPr>
          <w:rFonts w:ascii="Times New Roman" w:hAnsi="Times New Roman"/>
          <w:sz w:val="20"/>
        </w:rPr>
        <w:t xml:space="preserve">.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Persons Deemed Owners</w:t>
      </w:r>
      <w:r>
        <w:rPr>
          <w:rFonts w:ascii="Times New Roman" w:hAnsi="Times New Roman"/>
          <w:sz w:val="20"/>
        </w:rPr>
        <w:t xml:space="preserve">. The registered Holder of a Note shall be treated as its owner for all purposes.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Amendment, Supplement and Waiver</w:t>
      </w:r>
      <w:r>
        <w:rPr>
          <w:rFonts w:ascii="Times New Roman" w:hAnsi="Times New Roman"/>
          <w:sz w:val="20"/>
        </w:rPr>
        <w:t xml:space="preserve">.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Defaults and Remedies</w:t>
      </w:r>
      <w:r>
        <w:rPr>
          <w:rFonts w:ascii="Times New Roman" w:hAnsi="Times New Roman"/>
          <w:sz w:val="20"/>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Times New Roman" w:hAnsi="Times New Roman"/>
          <w:sz w:val="20"/>
          <w:u w:val="single"/>
        </w:rPr>
        <w:t xml:space="preserve">provided </w:t>
      </w:r>
      <w:r>
        <w:rPr>
          <w:rFonts w:ascii="Times New Roman" w:hAnsi="Times New Roman"/>
          <w:sz w:val="20"/>
        </w:rPr>
        <w:t xml:space="preserve">that notice need not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Trustee Dealings with Issuers</w:t>
      </w:r>
      <w:r>
        <w:rPr>
          <w:rFonts w:ascii="Times New Roman" w:hAnsi="Times New Roman"/>
          <w:sz w:val="20"/>
        </w:rPr>
        <w:t xml:space="preserve">. The Trustee, in its individual or any other capacity, may make loans to, accept deposits from, and perform services for the Issuers or their Affiliates, and may otherwise deal with the Issuers or their Affiliates, as if it were not the Trustee.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No Recourse Against Others</w:t>
      </w:r>
      <w:r>
        <w:rPr>
          <w:rFonts w:ascii="Times New Roman" w:hAnsi="Times New Roman"/>
          <w:sz w:val="20"/>
        </w:rPr>
        <w:t xml:space="preserve">. The General Partner and its directors, officers, employees and members (in their capacities as such) shall not have any liability for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 </w:t>
      </w:r>
    </w:p>
    <w:p>
      <w:pPr>
        <w:pStyle w:val="TextBody"/>
        <w:spacing w:before="18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Authentication</w:t>
      </w:r>
      <w:r>
        <w:rPr>
          <w:rFonts w:ascii="Times New Roman" w:hAnsi="Times New Roman"/>
          <w:sz w:val="20"/>
        </w:rPr>
        <w:t xml:space="preserve">. This Note shall not be valid until authenticated by the manual signature of the Trustee or an authenticating agent. </w:t>
      </w:r>
    </w:p>
    <w:p>
      <w:pPr>
        <w:pStyle w:val="TextBody"/>
        <w:spacing w:before="18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spacing w:before="18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CUSIP and ISIN Numbers</w:t>
      </w:r>
      <w:r>
        <w:rPr>
          <w:rFonts w:ascii="Times New Roman" w:hAnsi="Times New Roman"/>
          <w:sz w:val="20"/>
        </w:rPr>
        <w:t xml:space="preserve">.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spacing w:before="180" w:after="0"/>
        <w:rPr>
          <w:rFonts w:ascii="Times New Roman" w:hAnsi="Times New Roman"/>
          <w:sz w:val="20"/>
        </w:rPr>
      </w:pPr>
      <w:r>
        <w:rPr>
          <w:rFonts w:ascii="Times New Roman" w:hAnsi="Times New Roman"/>
          <w:sz w:val="20"/>
        </w:rPr>
        <w:t xml:space="preserve">The Issuers shall furnish to any Holder upon written request and without charge a copy of the Indenture. Requests may be made to: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0" w:after="0"/>
        <w:rPr>
          <w:rFonts w:ascii="Times New Roman" w:hAnsi="Times New Roman"/>
          <w:sz w:val="20"/>
        </w:rPr>
      </w:pPr>
      <w:r>
        <w:rPr>
          <w:rFonts w:ascii="Times New Roman" w:hAnsi="Times New Roman"/>
          <w:sz w:val="20"/>
        </w:rPr>
        <w:t xml:space="preserve">Attention: Investor Relations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Assignment Form </w:t>
      </w:r>
    </w:p>
    <w:p>
      <w:pPr>
        <w:pStyle w:val="TextBody"/>
        <w:spacing w:before="180" w:after="0"/>
        <w:rPr>
          <w:rFonts w:ascii="Times New Roman" w:hAnsi="Times New Roman"/>
          <w:sz w:val="20"/>
        </w:rPr>
      </w:pPr>
      <w:r>
        <w:rPr>
          <w:rFonts w:ascii="Times New Roman" w:hAnsi="Times New Roman"/>
          <w:sz w:val="20"/>
        </w:rPr>
        <w:t xml:space="preserve">To assign this Note, fill in the form below: (I) or (we) assign and transfer this Note to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rFonts w:ascii="Times New Roman" w:hAnsi="Times New Roman"/>
          <w:sz w:val="20"/>
        </w:rPr>
      </w:pPr>
      <w:r>
        <w:rPr>
          <w:rFonts w:ascii="Times New Roman" w:hAnsi="Times New Roman"/>
          <w:sz w:val="20"/>
        </w:rPr>
        <w:t xml:space="preserve">(Print or type assignees name, address and zip code)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71"/>
        <w:gridCol w:w="107"/>
        <w:gridCol w:w="8127"/>
      </w:tblGrid>
      <w:tr>
        <w:trPr/>
        <w:tc>
          <w:tcPr>
            <w:tcW w:w="1971"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8127" w:type="dxa"/>
            <w:tcBorders/>
            <w:shd w:fill="auto" w:val="clear"/>
            <w:vAlign w:val="center"/>
          </w:tcPr>
          <w:p>
            <w:pPr>
              <w:pStyle w:val="TableContents"/>
              <w:spacing w:before="0" w:after="283"/>
              <w:rPr>
                <w:sz w:val="4"/>
                <w:szCs w:val="4"/>
              </w:rPr>
            </w:pPr>
            <w:r>
              <w:rPr>
                <w:sz w:val="4"/>
                <w:szCs w:val="4"/>
              </w:rPr>
            </w:r>
          </w:p>
        </w:tc>
      </w:tr>
      <w:tr>
        <w:trPr/>
        <w:tc>
          <w:tcPr>
            <w:tcW w:w="1971" w:type="dxa"/>
            <w:tcBorders/>
            <w:shd w:fill="auto" w:val="clear"/>
          </w:tcPr>
          <w:p>
            <w:pPr>
              <w:pStyle w:val="TableContents"/>
              <w:spacing w:before="0" w:after="283"/>
              <w:rPr>
                <w:rFonts w:ascii="Times New Roman" w:hAnsi="Times New Roman"/>
                <w:sz w:val="20"/>
              </w:rPr>
            </w:pPr>
            <w:r>
              <w:rPr>
                <w:rFonts w:ascii="Times New Roman" w:hAnsi="Times New Roman"/>
                <w:sz w:val="20"/>
              </w:rPr>
              <w:t>and irrevocably appoint</w:t>
            </w:r>
          </w:p>
        </w:tc>
        <w:tc>
          <w:tcPr>
            <w:tcW w:w="107" w:type="dxa"/>
            <w:tcBorders/>
            <w:shd w:fill="auto" w:val="clear"/>
            <w:vAlign w:val="bottom"/>
          </w:tcPr>
          <w:p>
            <w:pPr>
              <w:pStyle w:val="TableContents"/>
              <w:spacing w:before="0" w:after="283"/>
              <w:rPr/>
            </w:pPr>
            <w:r>
              <w:rPr/>
              <w:t> </w:t>
            </w:r>
          </w:p>
        </w:tc>
        <w:tc>
          <w:tcPr>
            <w:tcW w:w="8127" w:type="dxa"/>
            <w:tcBorders/>
            <w:shd w:fill="auto" w:val="clear"/>
          </w:tcPr>
          <w:p>
            <w:pPr>
              <w:pStyle w:val="TableContents"/>
              <w:pBdr>
                <w:bottom w:val="single" w:sz="2" w:space="1" w:color="000000"/>
              </w:pBdr>
              <w:spacing w:before="0" w:after="15"/>
              <w:rPr/>
            </w:pPr>
            <w:r>
              <w:rPr/>
              <w:t> </w:t>
            </w:r>
          </w:p>
        </w:tc>
      </w:tr>
    </w:tbl>
    <w:p>
      <w:pPr>
        <w:pStyle w:val="TextBody"/>
        <w:spacing w:before="0" w:after="0"/>
        <w:rPr>
          <w:rFonts w:ascii="Times New Roman" w:hAnsi="Times New Roman"/>
          <w:sz w:val="20"/>
        </w:rPr>
      </w:pPr>
      <w:r>
        <w:rPr>
          <w:rFonts w:ascii="Times New Roman" w:hAnsi="Times New Roman"/>
          <w:sz w:val="20"/>
        </w:rPr>
        <w:t xml:space="preserve">agent to transfer this Note on the books of the Issuers. The agent may substitute another to act for him. </w:t>
      </w:r>
    </w:p>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spacing w:before="0" w:after="0"/>
        <w:rPr/>
      </w:pPr>
      <w:r>
        <w:rPr/>
        <w:t> </w:t>
      </w:r>
    </w:p>
    <w:tbl>
      <w:tblPr>
        <w:tblW w:w="2350" w:type="pct"/>
        <w:jc w:val="right"/>
        <w:tblInd w:w="0" w:type="dxa"/>
        <w:tblCellMar>
          <w:top w:w="0" w:type="dxa"/>
          <w:left w:w="0" w:type="dxa"/>
          <w:bottom w:w="0" w:type="dxa"/>
          <w:right w:w="0" w:type="dxa"/>
        </w:tblCellMar>
      </w:tblPr>
      <w:tblGrid>
        <w:gridCol w:w="1262"/>
        <w:gridCol w:w="77"/>
        <w:gridCol w:w="3457"/>
      </w:tblGrid>
      <w:tr>
        <w:trPr/>
        <w:tc>
          <w:tcPr>
            <w:tcW w:w="1262"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sz w:val="4"/>
                <w:szCs w:val="4"/>
              </w:rPr>
            </w:pPr>
            <w:r>
              <w:rPr>
                <w:sz w:val="4"/>
                <w:szCs w:val="4"/>
              </w:rPr>
            </w:r>
          </w:p>
        </w:tc>
        <w:tc>
          <w:tcPr>
            <w:tcW w:w="3457" w:type="dxa"/>
            <w:tcBorders/>
            <w:shd w:fill="auto" w:val="clear"/>
            <w:vAlign w:val="center"/>
          </w:tcPr>
          <w:p>
            <w:pPr>
              <w:pStyle w:val="TableContents"/>
              <w:spacing w:before="0" w:after="283"/>
              <w:rPr>
                <w:sz w:val="4"/>
                <w:szCs w:val="4"/>
              </w:rPr>
            </w:pPr>
            <w:r>
              <w:rPr>
                <w:sz w:val="4"/>
                <w:szCs w:val="4"/>
              </w:rPr>
            </w:r>
          </w:p>
        </w:tc>
      </w:tr>
      <w:tr>
        <w:trPr/>
        <w:tc>
          <w:tcPr>
            <w:tcW w:w="12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Your Signature:</w:t>
            </w:r>
          </w:p>
        </w:tc>
        <w:tc>
          <w:tcPr>
            <w:tcW w:w="77" w:type="dxa"/>
            <w:tcBorders/>
            <w:shd w:fill="auto" w:val="clear"/>
            <w:vAlign w:val="bottom"/>
          </w:tcPr>
          <w:p>
            <w:pPr>
              <w:pStyle w:val="TableContents"/>
              <w:spacing w:before="0" w:after="283"/>
              <w:rPr/>
            </w:pPr>
            <w:r>
              <w:rPr/>
              <w:t> </w:t>
            </w:r>
          </w:p>
        </w:tc>
        <w:tc>
          <w:tcPr>
            <w:tcW w:w="3457" w:type="dxa"/>
            <w:tcBorders/>
            <w:shd w:fill="auto" w:val="clear"/>
            <w:vAlign w:val="bottom"/>
          </w:tcPr>
          <w:p>
            <w:pPr>
              <w:pStyle w:val="TableContents"/>
              <w:pBdr>
                <w:bottom w:val="single" w:sz="2" w:space="1" w:color="000000"/>
              </w:pBdr>
              <w:spacing w:before="0" w:after="15"/>
              <w:rPr/>
            </w:pPr>
            <w:r>
              <w:rPr/>
              <w:t> </w:t>
            </w:r>
          </w:p>
        </w:tc>
      </w:tr>
      <w:tr>
        <w:trPr/>
        <w:tc>
          <w:tcPr>
            <w:tcW w:w="1262"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pPr>
            <w:r>
              <w:rPr/>
              <w:t> </w:t>
            </w:r>
          </w:p>
        </w:tc>
        <w:tc>
          <w:tcPr>
            <w:tcW w:w="345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(Sign exactly as your name appears on the face of this Note)</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12"/>
        <w:gridCol w:w="106"/>
        <w:gridCol w:w="8387"/>
      </w:tblGrid>
      <w:tr>
        <w:trPr/>
        <w:tc>
          <w:tcPr>
            <w:tcW w:w="171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8387" w:type="dxa"/>
            <w:tcBorders/>
            <w:shd w:fill="auto" w:val="clear"/>
            <w:vAlign w:val="center"/>
          </w:tcPr>
          <w:p>
            <w:pPr>
              <w:pStyle w:val="TableContents"/>
              <w:spacing w:before="0" w:after="283"/>
              <w:rPr>
                <w:sz w:val="4"/>
                <w:szCs w:val="4"/>
              </w:rPr>
            </w:pPr>
            <w:r>
              <w:rPr>
                <w:sz w:val="4"/>
                <w:szCs w:val="4"/>
              </w:rPr>
            </w:r>
          </w:p>
        </w:tc>
      </w:tr>
      <w:tr>
        <w:trPr/>
        <w:tc>
          <w:tcPr>
            <w:tcW w:w="1712"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Guarantee:</w:t>
            </w:r>
          </w:p>
        </w:tc>
        <w:tc>
          <w:tcPr>
            <w:tcW w:w="106" w:type="dxa"/>
            <w:tcBorders/>
            <w:shd w:fill="auto" w:val="clear"/>
            <w:vAlign w:val="bottom"/>
          </w:tcPr>
          <w:p>
            <w:pPr>
              <w:pStyle w:val="TableContents"/>
              <w:spacing w:before="0" w:after="283"/>
              <w:rPr/>
            </w:pPr>
            <w:r>
              <w:rPr/>
              <w:t> </w:t>
            </w:r>
          </w:p>
        </w:tc>
        <w:tc>
          <w:tcPr>
            <w:tcW w:w="8387" w:type="dxa"/>
            <w:tcBorders/>
            <w:shd w:fill="auto" w:val="clear"/>
            <w:vAlign w:val="bottom"/>
          </w:tcPr>
          <w:p>
            <w:pPr>
              <w:pStyle w:val="TableContents"/>
              <w:pBdr>
                <w:bottom w:val="single" w:sz="2" w:space="1" w:color="000000"/>
              </w:pBdr>
              <w:spacing w:before="0" w:after="15"/>
              <w:rPr/>
            </w:pPr>
            <w:r>
              <w:rPr/>
              <w:t> </w:t>
            </w:r>
          </w:p>
        </w:tc>
      </w:tr>
      <w:tr>
        <w:trPr/>
        <w:tc>
          <w:tcPr>
            <w:tcW w:w="1712"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83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rPr/>
      </w:pPr>
      <w:r>
        <w:rPr/>
      </w:r>
    </w:p>
    <w:p>
      <w:pPr>
        <w:pStyle w:val="TextBody"/>
        <w:pBdr/>
        <w:spacing w:before="0" w:after="0"/>
        <w:jc w:val="center"/>
        <w:rPr>
          <w:rFonts w:ascii="Times New Roman" w:hAnsi="Times New Roman"/>
          <w:b/>
          <w:sz w:val="20"/>
        </w:rPr>
      </w:pPr>
      <w:r>
        <w:rPr>
          <w:rFonts w:ascii="Times New Roman" w:hAnsi="Times New Roman"/>
          <w:b/>
          <w:sz w:val="20"/>
        </w:rPr>
        <w:t>SCHEDULE OF INCREASES OR DECREASES IN THE GLOBAL NOTE</w:t>
      </w:r>
      <w:r>
        <w:rPr>
          <w:rFonts w:ascii="Times New Roman" w:hAnsi="Times New Roman"/>
          <w:b/>
          <w:sz w:val="14"/>
        </w:rPr>
        <w:t>3</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The original principal amount of this Global Note is $</w:t>
      </w:r>
      <w:r>
        <w:rPr>
          <w:rFonts w:ascii="Times New Roman" w:hAnsi="Times New Roman"/>
          <w:sz w:val="20"/>
          <w:u w:val="single"/>
        </w:rPr>
        <w:t>                    </w:t>
      </w:r>
      <w:r>
        <w:rPr>
          <w:rFonts w:ascii="Times New Roman" w:hAnsi="Times New Roman"/>
          <w:sz w:val="20"/>
        </w:rPr>
        <w:t xml:space="preserve">. The following increases or decreases in this Global Note have been made: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149"/>
        <w:gridCol w:w="370"/>
        <w:gridCol w:w="1965"/>
        <w:gridCol w:w="804"/>
        <w:gridCol w:w="2051"/>
        <w:gridCol w:w="394"/>
        <w:gridCol w:w="1004"/>
        <w:gridCol w:w="481"/>
        <w:gridCol w:w="987"/>
      </w:tblGrid>
      <w:tr>
        <w:trPr/>
        <w:tc>
          <w:tcPr>
            <w:tcW w:w="214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bottom"/>
          </w:tcPr>
          <w:p>
            <w:pPr>
              <w:pStyle w:val="TableContents"/>
              <w:spacing w:before="0" w:after="283"/>
              <w:rPr>
                <w:sz w:val="4"/>
                <w:szCs w:val="4"/>
              </w:rPr>
            </w:pPr>
            <w:r>
              <w:rPr>
                <w:sz w:val="4"/>
                <w:szCs w:val="4"/>
              </w:rPr>
            </w:r>
          </w:p>
        </w:tc>
        <w:tc>
          <w:tcPr>
            <w:tcW w:w="205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r>
      <w:tr>
        <w:trPr/>
        <w:tc>
          <w:tcPr>
            <w:tcW w:w="214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Date of</w:t>
            </w:r>
          </w:p>
          <w:p>
            <w:pPr>
              <w:pStyle w:val="TableContents"/>
              <w:pBdr>
                <w:bottom w:val="single" w:sz="2" w:space="1" w:color="000000"/>
              </w:pBdr>
              <w:spacing w:before="0" w:after="15"/>
              <w:jc w:val="center"/>
              <w:rPr>
                <w:rFonts w:ascii="Times New Roman" w:hAnsi="Times New Roman"/>
                <w:b/>
                <w:sz w:val="14"/>
              </w:rPr>
            </w:pPr>
            <w:r>
              <w:rPr>
                <w:rFonts w:ascii="Times New Roman" w:hAnsi="Times New Roman"/>
                <w:b/>
                <w:sz w:val="14"/>
              </w:rPr>
              <w:t>Exchange</w:t>
            </w:r>
          </w:p>
        </w:tc>
        <w:tc>
          <w:tcPr>
            <w:tcW w:w="370" w:type="dxa"/>
            <w:tcBorders/>
            <w:shd w:fill="auto" w:val="clear"/>
            <w:vAlign w:val="bottom"/>
          </w:tcPr>
          <w:p>
            <w:pPr>
              <w:pStyle w:val="TableContents"/>
              <w:spacing w:before="0" w:after="283"/>
              <w:rPr/>
            </w:pPr>
            <w:r>
              <w:rPr/>
              <w:t> </w:t>
            </w:r>
          </w:p>
        </w:tc>
        <w:tc>
          <w:tcPr>
            <w:tcW w:w="1965"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of</w:t>
            </w:r>
          </w:p>
          <w:p>
            <w:pPr>
              <w:pStyle w:val="TableContents"/>
              <w:spacing w:before="0" w:after="0"/>
              <w:jc w:val="center"/>
              <w:rPr>
                <w:rFonts w:ascii="Times New Roman" w:hAnsi="Times New Roman"/>
                <w:b/>
                <w:sz w:val="14"/>
              </w:rPr>
            </w:pPr>
            <w:r>
              <w:rPr>
                <w:rFonts w:ascii="Times New Roman" w:hAnsi="Times New Roman"/>
                <w:b/>
                <w:sz w:val="14"/>
              </w:rPr>
              <w:t>decrease in</w:t>
            </w:r>
          </w:p>
          <w:p>
            <w:pPr>
              <w:pStyle w:val="TableContents"/>
              <w:spacing w:before="0" w:after="0"/>
              <w:jc w:val="center"/>
              <w:rPr>
                <w:rFonts w:ascii="Times New Roman" w:hAnsi="Times New Roman"/>
                <w:b/>
                <w:sz w:val="14"/>
              </w:rPr>
            </w:pPr>
            <w:r>
              <w:rPr>
                <w:rFonts w:ascii="Times New Roman" w:hAnsi="Times New Roman"/>
                <w:b/>
                <w:sz w:val="14"/>
              </w:rPr>
              <w:t>Principal</w:t>
            </w:r>
          </w:p>
          <w:p>
            <w:pPr>
              <w:pStyle w:val="TableContents"/>
              <w:spacing w:before="0" w:after="0"/>
              <w:jc w:val="center"/>
              <w:rPr>
                <w:rFonts w:ascii="Times New Roman" w:hAnsi="Times New Roman"/>
                <w:b/>
                <w:sz w:val="14"/>
              </w:rPr>
            </w:pPr>
            <w:r>
              <w:rPr>
                <w:rFonts w:ascii="Times New Roman" w:hAnsi="Times New Roman"/>
                <w:b/>
                <w:sz w:val="14"/>
              </w:rPr>
              <w:t>Amount</w:t>
            </w:r>
          </w:p>
          <w:p>
            <w:pPr>
              <w:pStyle w:val="TableContents"/>
              <w:spacing w:before="0" w:after="0"/>
              <w:jc w:val="center"/>
              <w:rPr>
                <w:rFonts w:ascii="Times New Roman" w:hAnsi="Times New Roman"/>
                <w:b/>
                <w:sz w:val="14"/>
              </w:rPr>
            </w:pPr>
            <w:r>
              <w:rPr>
                <w:rFonts w:ascii="Times New Roman" w:hAnsi="Times New Roman"/>
                <w:b/>
                <w:sz w:val="14"/>
              </w:rPr>
              <w:t>of</w:t>
            </w:r>
          </w:p>
          <w:p>
            <w:pPr>
              <w:pStyle w:val="TableContents"/>
              <w:spacing w:before="0" w:after="15"/>
              <w:jc w:val="center"/>
              <w:rPr>
                <w:rFonts w:ascii="Times New Roman" w:hAnsi="Times New Roman"/>
                <w:b/>
                <w:sz w:val="14"/>
              </w:rPr>
            </w:pPr>
            <w:r>
              <w:rPr>
                <w:rFonts w:ascii="Times New Roman" w:hAnsi="Times New Roman"/>
                <w:b/>
                <w:sz w:val="14"/>
              </w:rPr>
              <w:t>this Global Note</w:t>
            </w:r>
          </w:p>
        </w:tc>
        <w:tc>
          <w:tcPr>
            <w:tcW w:w="804" w:type="dxa"/>
            <w:tcBorders/>
            <w:shd w:fill="auto" w:val="clear"/>
            <w:vAlign w:val="bottom"/>
          </w:tcPr>
          <w:p>
            <w:pPr>
              <w:pStyle w:val="TableContents"/>
              <w:spacing w:before="0" w:after="283"/>
              <w:rPr/>
            </w:pPr>
            <w:r>
              <w:rPr/>
              <w:t> </w:t>
            </w:r>
          </w:p>
        </w:tc>
        <w:tc>
          <w:tcPr>
            <w:tcW w:w="2051"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of</w:t>
            </w:r>
          </w:p>
          <w:p>
            <w:pPr>
              <w:pStyle w:val="TableContents"/>
              <w:spacing w:before="0" w:after="0"/>
              <w:jc w:val="center"/>
              <w:rPr>
                <w:rFonts w:ascii="Times New Roman" w:hAnsi="Times New Roman"/>
                <w:b/>
                <w:sz w:val="14"/>
              </w:rPr>
            </w:pPr>
            <w:r>
              <w:rPr>
                <w:rFonts w:ascii="Times New Roman" w:hAnsi="Times New Roman"/>
                <w:b/>
                <w:sz w:val="14"/>
              </w:rPr>
              <w:t>increase in</w:t>
            </w:r>
          </w:p>
          <w:p>
            <w:pPr>
              <w:pStyle w:val="TableContents"/>
              <w:spacing w:before="0" w:after="0"/>
              <w:jc w:val="center"/>
              <w:rPr>
                <w:rFonts w:ascii="Times New Roman" w:hAnsi="Times New Roman"/>
                <w:b/>
                <w:sz w:val="14"/>
              </w:rPr>
            </w:pPr>
            <w:r>
              <w:rPr>
                <w:rFonts w:ascii="Times New Roman" w:hAnsi="Times New Roman"/>
                <w:b/>
                <w:sz w:val="14"/>
              </w:rPr>
              <w:t>Principal Amount</w:t>
            </w:r>
          </w:p>
          <w:p>
            <w:pPr>
              <w:pStyle w:val="TableContents"/>
              <w:spacing w:before="0" w:after="0"/>
              <w:jc w:val="center"/>
              <w:rPr>
                <w:rFonts w:ascii="Times New Roman" w:hAnsi="Times New Roman"/>
                <w:b/>
                <w:sz w:val="14"/>
              </w:rPr>
            </w:pPr>
            <w:r>
              <w:rPr>
                <w:rFonts w:ascii="Times New Roman" w:hAnsi="Times New Roman"/>
                <w:b/>
                <w:sz w:val="14"/>
              </w:rPr>
              <w:t>of</w:t>
            </w:r>
          </w:p>
          <w:p>
            <w:pPr>
              <w:pStyle w:val="TableContents"/>
              <w:spacing w:before="0" w:after="15"/>
              <w:jc w:val="center"/>
              <w:rPr>
                <w:rFonts w:ascii="Times New Roman" w:hAnsi="Times New Roman"/>
                <w:b/>
                <w:sz w:val="14"/>
              </w:rPr>
            </w:pPr>
            <w:r>
              <w:rPr>
                <w:rFonts w:ascii="Times New Roman" w:hAnsi="Times New Roman"/>
                <w:b/>
                <w:sz w:val="14"/>
              </w:rPr>
              <w:t>this Global Note</w:t>
            </w:r>
          </w:p>
        </w:tc>
        <w:tc>
          <w:tcPr>
            <w:tcW w:w="394" w:type="dxa"/>
            <w:tcBorders/>
            <w:shd w:fill="auto" w:val="clear"/>
            <w:vAlign w:val="bottom"/>
          </w:tcPr>
          <w:p>
            <w:pPr>
              <w:pStyle w:val="TableContents"/>
              <w:spacing w:before="0" w:after="283"/>
              <w:rPr/>
            </w:pPr>
            <w:r>
              <w:rPr/>
              <w:t>  </w:t>
            </w:r>
          </w:p>
        </w:tc>
        <w:tc>
          <w:tcPr>
            <w:tcW w:w="1004"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Principal</w:t>
            </w:r>
            <w:r>
              <w:rPr/>
              <w:br/>
            </w:r>
            <w:r>
              <w:rPr>
                <w:rFonts w:ascii="Times New Roman" w:hAnsi="Times New Roman"/>
                <w:b/>
                <w:sz w:val="14"/>
              </w:rPr>
              <w:t>Amount of</w:t>
            </w:r>
            <w:r>
              <w:rPr/>
              <w:br/>
            </w:r>
            <w:r>
              <w:rPr>
                <w:rFonts w:ascii="Times New Roman" w:hAnsi="Times New Roman"/>
                <w:b/>
                <w:sz w:val="14"/>
              </w:rPr>
              <w:t>this Global Note</w:t>
              <w:br/>
              <w:t>following such</w:t>
            </w:r>
            <w:r>
              <w:rPr/>
              <w:br/>
            </w:r>
            <w:r>
              <w:rPr>
                <w:rFonts w:ascii="Times New Roman" w:hAnsi="Times New Roman"/>
                <w:b/>
                <w:sz w:val="14"/>
              </w:rPr>
              <w:t>decrease</w:t>
            </w:r>
            <w:r>
              <w:rPr/>
              <w:br/>
            </w:r>
            <w:r>
              <w:rPr>
                <w:rFonts w:ascii="Times New Roman" w:hAnsi="Times New Roman"/>
                <w:b/>
                <w:sz w:val="14"/>
              </w:rPr>
              <w:t>(or increase)</w:t>
            </w:r>
          </w:p>
        </w:tc>
        <w:tc>
          <w:tcPr>
            <w:tcW w:w="481" w:type="dxa"/>
            <w:tcBorders/>
            <w:shd w:fill="auto" w:val="clear"/>
            <w:vAlign w:val="bottom"/>
          </w:tcPr>
          <w:p>
            <w:pPr>
              <w:pStyle w:val="TableContents"/>
              <w:spacing w:before="0" w:after="283"/>
              <w:rPr/>
            </w:pPr>
            <w:r>
              <w:rPr/>
              <w:t>  </w:t>
            </w:r>
          </w:p>
        </w:tc>
        <w:tc>
          <w:tcPr>
            <w:tcW w:w="987"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Signature of</w:t>
            </w:r>
            <w:r>
              <w:rPr/>
              <w:br/>
            </w:r>
            <w:r>
              <w:rPr>
                <w:rFonts w:ascii="Times New Roman" w:hAnsi="Times New Roman"/>
                <w:b/>
                <w:sz w:val="14"/>
              </w:rPr>
              <w:t>authorized</w:t>
            </w:r>
            <w:r>
              <w:rPr/>
              <w:br/>
            </w:r>
            <w:r>
              <w:rPr>
                <w:rFonts w:ascii="Times New Roman" w:hAnsi="Times New Roman"/>
                <w:b/>
                <w:sz w:val="14"/>
              </w:rPr>
              <w:t>signatory of</w:t>
            </w:r>
            <w:r>
              <w:rPr/>
              <w:br/>
            </w:r>
            <w:r>
              <w:rPr>
                <w:rFonts w:ascii="Times New Roman" w:hAnsi="Times New Roman"/>
                <w:b/>
                <w:sz w:val="14"/>
              </w:rPr>
              <w:t>Trustee or Note</w:t>
              <w:br/>
              <w:t>Custodian</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u w:val="single"/>
        </w:rPr>
      </w:pPr>
      <w:r>
        <w:rPr>
          <w:rFonts w:ascii="Times New Roman" w:hAnsi="Times New Roman"/>
          <w:sz w:val="20"/>
          <w:u w:val="single"/>
        </w:rPr>
        <w:t xml:space="preserve">EXHIBIT B </w:t>
      </w:r>
    </w:p>
    <w:p>
      <w:pPr>
        <w:pStyle w:val="TextBody"/>
        <w:spacing w:before="180" w:after="0"/>
        <w:jc w:val="center"/>
        <w:rPr>
          <w:rFonts w:ascii="Times New Roman" w:hAnsi="Times New Roman"/>
          <w:sz w:val="20"/>
        </w:rPr>
      </w:pPr>
      <w:r>
        <w:rPr>
          <w:rFonts w:ascii="Times New Roman" w:hAnsi="Times New Roman"/>
          <w:sz w:val="20"/>
        </w:rPr>
        <w:t xml:space="preserve">FORM OF SUPPLEMENTAL INDENTURE </w:t>
      </w:r>
    </w:p>
    <w:p>
      <w:pPr>
        <w:pStyle w:val="TextBody"/>
        <w:spacing w:before="180" w:after="0"/>
        <w:rPr>
          <w:rFonts w:ascii="Times New Roman" w:hAnsi="Times New Roman"/>
          <w:sz w:val="20"/>
        </w:rPr>
      </w:pPr>
      <w:r>
        <w:rPr>
          <w:rFonts w:ascii="Times New Roman" w:hAnsi="Times New Roman"/>
          <w:sz w:val="20"/>
        </w:rPr>
        <w:t xml:space="preserve">SUPPLEMENTAL INDENTURE (this Supplemental Indenture), dated as of </w:t>
      </w:r>
      <w:r>
        <w:rPr>
          <w:rFonts w:ascii="Times New Roman" w:hAnsi="Times New Roman"/>
          <w:sz w:val="20"/>
          <w:u w:val="single"/>
        </w:rPr>
        <w:t>                            </w:t>
      </w:r>
      <w:r>
        <w:rPr>
          <w:rFonts w:ascii="Times New Roman" w:hAnsi="Times New Roman"/>
          <w:sz w:val="20"/>
        </w:rPr>
        <w:t xml:space="preserve">, among Plains All American Pipeline, L.P., a Delaware limited partnership (the Partnership), PAA Finance Corp., a Delaware corporation (PAA Finance and, together with the Partnership, the Issuers), </w:t>
      </w:r>
      <w:r>
        <w:rPr>
          <w:rFonts w:ascii="Times New Roman" w:hAnsi="Times New Roman"/>
          <w:sz w:val="20"/>
          <w:u w:val="single"/>
        </w:rPr>
        <w:t>                            </w:t>
      </w:r>
      <w:r>
        <w:rPr>
          <w:rFonts w:ascii="Times New Roman" w:hAnsi="Times New Roman"/>
          <w:sz w:val="20"/>
        </w:rPr>
        <w:t xml:space="preserve"> (the Subsidiary Guarantor), a direct or indirect subsidiary of Plains All American Pipeline, L.P. (or its successor), a Delaware limited partnership (the Partnership), and U.S. Bank National Association, as trustee under the indenture referred to below (the Trustee). </w:t>
      </w:r>
    </w:p>
    <w:p>
      <w:pPr>
        <w:pStyle w:val="TextBody"/>
        <w:spacing w:before="27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 xml:space="preserve">WHEREAS, the Issuers have heretofore executed and delivered to the Trustee an indenture (the Original Indenture), dated as of September 25, 2002, as supplemented by the Twenty-Third Supplemental Indenture (the Twenty-Third Supplemental Indenture and, together with the Original Indenture, the Indenture) dated as of December 10, 2012, among the Issuers and the Trustee, providing for the issuance of the Issuers 4.30% Senior Notes due 2043 (the Notes); </w:t>
      </w:r>
    </w:p>
    <w:p>
      <w:pPr>
        <w:pStyle w:val="TextBody"/>
        <w:spacing w:before="180" w:after="0"/>
        <w:rPr>
          <w:rFonts w:ascii="Times New Roman" w:hAnsi="Times New Roman"/>
          <w:sz w:val="20"/>
        </w:rPr>
      </w:pPr>
      <w:r>
        <w:rPr>
          <w:rFonts w:ascii="Times New Roman" w:hAnsi="Times New Roman"/>
          <w:sz w:val="20"/>
        </w:rPr>
        <w:t xml:space="preserve">WHEREAS, Section 5.05 of the Twenty-Third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 </w:t>
      </w:r>
    </w:p>
    <w:p>
      <w:pPr>
        <w:pStyle w:val="TextBody"/>
        <w:spacing w:before="180" w:after="0"/>
        <w:rPr>
          <w:rFonts w:ascii="Times New Roman" w:hAnsi="Times New Roman"/>
          <w:sz w:val="20"/>
        </w:rPr>
      </w:pPr>
      <w:r>
        <w:rPr>
          <w:rFonts w:ascii="Times New Roman" w:hAnsi="Times New Roman"/>
          <w:sz w:val="20"/>
        </w:rPr>
        <w:t xml:space="preserve">WHEREAS, pursuant to Section 9.01 of the Original Indenture, the Issuers and the Trustee are authorized to execute and deliver this Supplemental Indenture;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Capitalized terms used herein without definition shall have the meanings assigned to them in the Indenture. </w:t>
      </w:r>
    </w:p>
    <w:p>
      <w:pPr>
        <w:pStyle w:val="TextBody"/>
        <w:spacing w:before="180" w:after="0"/>
        <w:rPr>
          <w:rFonts w:ascii="Times New Roman" w:hAnsi="Times New Roman"/>
          <w:sz w:val="20"/>
        </w:rPr>
      </w:pPr>
      <w:r>
        <w:rPr>
          <w:rFonts w:ascii="Times New Roman" w:hAnsi="Times New Roman"/>
          <w:sz w:val="20"/>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 to Guarantee.</w:t>
      </w:r>
      <w:r>
        <w:rPr>
          <w:rFonts w:ascii="Times New Roman" w:hAnsi="Times New Roman"/>
          <w:sz w:val="20"/>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Twenty-Third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b/>
          <w:sz w:val="20"/>
          <w:u w:val="single"/>
        </w:rPr>
        <w:t>GOVERNING LAW.</w:t>
      </w:r>
      <w:r>
        <w:rPr>
          <w:rFonts w:ascii="Times New Roman" w:hAnsi="Times New Roman"/>
          <w:b/>
          <w:sz w:val="20"/>
        </w:rPr>
        <w:t xml:space="preserve"> THIS SUPPLEMENTAL INDENTURE SHALL BE DEEMED TO BE A NEW YORK CONTRACT, AND FOR ALL PURPOSES SHALL BE CONSTRUED IN ACCORDANCE WITH, THE LAWS OF THE STATE OF NEW YORK.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Trustee Makes No Representation.</w:t>
      </w:r>
      <w:r>
        <w:rPr>
          <w:rFonts w:ascii="Times New Roman" w:hAnsi="Times New Roman"/>
          <w:sz w:val="20"/>
        </w:rPr>
        <w:t xml:space="preserve"> The Trustee makes no representation as to the validity or sufficiency of this Supplemental Indenture.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Counterparts.</w:t>
      </w:r>
      <w:r>
        <w:rPr>
          <w:rFonts w:ascii="Times New Roman" w:hAnsi="Times New Roman"/>
          <w:sz w:val="20"/>
        </w:rPr>
        <w:t xml:space="preserve"> The parties may sign any number of copies of this Supplemental Indenture. Each signed copy shall be an original, but all of them together represent the same agreement.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effect the construction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Supplemental Indenture to be duly executed as of the date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42"/>
        <w:gridCol w:w="60"/>
        <w:gridCol w:w="319"/>
        <w:gridCol w:w="60"/>
        <w:gridCol w:w="3101"/>
      </w:tblGrid>
      <w:tr>
        <w:trPr/>
        <w:tc>
          <w:tcPr>
            <w:tcW w:w="5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01"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Partner</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79" w:type="dxa"/>
            <w:gridSpan w:val="2"/>
            <w:tcBorders/>
            <w:shd w:fill="auto" w:val="clear"/>
            <w:vAlign w:val="center"/>
          </w:tcPr>
          <w:p>
            <w:pPr>
              <w:pStyle w:val="TableContents"/>
              <w:spacing w:before="0" w:after="283"/>
              <w:rPr>
                <w:sz w:val="4"/>
                <w:szCs w:val="4"/>
              </w:rPr>
            </w:pPr>
            <w:r>
              <w:rPr>
                <w:sz w:val="4"/>
                <w:szCs w:val="4"/>
              </w:rPr>
            </w:r>
          </w:p>
        </w:tc>
        <w:tc>
          <w:tcPr>
            <w:tcW w:w="3161" w:type="dxa"/>
            <w:gridSpan w:val="2"/>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101" w:type="dxa"/>
            <w:tcBorders/>
            <w:shd w:fill="auto" w:val="clear"/>
            <w:vAlign w:val="bottom"/>
          </w:tcPr>
          <w:p>
            <w:pPr>
              <w:pStyle w:val="TableContents"/>
              <w:pBdr>
                <w:bottom w:val="single" w:sz="2" w:space="1" w:color="000000"/>
              </w:pBdr>
              <w:spacing w:before="0" w:after="15"/>
              <w:rPr/>
            </w:pPr>
            <w:r>
              <w:rPr/>
              <w:t> </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PAA FINANCE CORP.</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pBdr>
                <w:bottom w:val="single" w:sz="2" w:space="1" w:color="000000"/>
              </w:pBdr>
              <w:spacing w:before="0" w:after="15"/>
              <w:rPr/>
            </w:pPr>
            <w:r>
              <w:rPr/>
              <w:t> </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[SUBSIDIARY GUARANTOR],</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pBdr>
                <w:bottom w:val="single" w:sz="2" w:space="1" w:color="000000"/>
              </w:pBdr>
              <w:spacing w:before="0" w:after="15"/>
              <w:rPr/>
            </w:pPr>
            <w:r>
              <w:rPr/>
              <w:t> </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U.S. BANK NATIONAL ASSOCIATION, as Trustee</w:t>
            </w:r>
          </w:p>
        </w:tc>
      </w:tr>
      <w:tr>
        <w:trPr>
          <w:trHeight w:val="240" w:hRule="atLeast"/>
        </w:trPr>
        <w:tc>
          <w:tcPr>
            <w:tcW w:w="542" w:type="dxa"/>
            <w:tcBorders/>
            <w:shd w:fill="auto" w:val="clear"/>
            <w:vAlign w:val="center"/>
          </w:tcPr>
          <w:p>
            <w:pPr>
              <w:pStyle w:val="TableContents"/>
              <w:spacing w:before="0" w:after="283"/>
              <w:rPr>
                <w:sz w:val="4"/>
                <w:szCs w:val="4"/>
              </w:rPr>
            </w:pPr>
            <w:r>
              <w:rPr>
                <w:sz w:val="4"/>
                <w:szCs w:val="4"/>
              </w:rPr>
            </w:r>
          </w:p>
        </w:tc>
        <w:tc>
          <w:tcPr>
            <w:tcW w:w="3540" w:type="dxa"/>
            <w:gridSpan w:val="4"/>
            <w:tcBorders/>
            <w:shd w:fill="auto" w:val="clear"/>
            <w:vAlign w:val="center"/>
          </w:tcPr>
          <w:p>
            <w:pPr>
              <w:pStyle w:val="TableContents"/>
              <w:spacing w:before="0" w:after="283"/>
              <w:rPr>
                <w:sz w:val="4"/>
                <w:szCs w:val="4"/>
              </w:rPr>
            </w:pPr>
            <w:r>
              <w:rPr>
                <w:sz w:val="4"/>
                <w:szCs w:val="4"/>
              </w:rPr>
            </w:r>
          </w:p>
        </w:tc>
      </w:tr>
      <w:tr>
        <w:trPr/>
        <w:tc>
          <w:tcPr>
            <w:tcW w:w="5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pBdr>
                <w:bottom w:val="single" w:sz="2" w:space="1" w:color="000000"/>
              </w:pBdr>
              <w:spacing w:before="0" w:after="15"/>
              <w:rPr/>
            </w:pPr>
            <w:r>
              <w:rPr/>
              <w:t> </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5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83</Pages>
  <Words>31602</Words>
  <CharactersWithSpaces>191798</CharactersWithSpaces>
  <Paragraphs>1980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Twenty-Third Supplemental Indenture, dated December 10, 2012</dc:title>
</cp:coreProperties>
</file>