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6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 </w:t>
      </w:r>
      <w:r>
        <w:rPr>
          <w:rFonts w:ascii="Times New Roman" w:cs="Times New Roman" w:eastAsia="Times New Roman" w:hAnsi="Times New Roman"/>
          <w:sz w:val="17"/>
          <w:szCs w:val="17"/>
          <w:b w:val="1"/>
          <w:bCs w:val="1"/>
          <w:color w:val="auto"/>
        </w:rPr>
        <w:t>August 2, 2024</w:t>
      </w:r>
    </w:p>
    <w:p>
      <w:pPr>
        <w:spacing w:after="0" w:line="2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Plains GP Holdings, L.P.</w:t>
      </w:r>
    </w:p>
    <w:p>
      <w:pPr>
        <w:spacing w:after="0" w:line="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080"/>
          </w:cols>
          <w:pgMar w:left="320" w:top="1270" w:right="499" w:bottom="1440" w:gutter="0" w:footer="0" w:header="0"/>
        </w:sectPr>
      </w:pPr>
    </w:p>
    <w:p>
      <w:pPr>
        <w:spacing w:after="0" w:line="28"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2"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32"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3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 w:lineRule="exact"/>
        <w:rPr>
          <w:sz w:val="24"/>
          <w:szCs w:val="24"/>
          <w:color w:val="auto"/>
        </w:rPr>
      </w:pPr>
    </w:p>
    <w:p>
      <w:pPr>
        <w:sectPr>
          <w:pgSz w:w="11900" w:h="16838" w:orient="portrait"/>
          <w:cols w:equalWidth="0" w:num="3">
            <w:col w:w="3940" w:space="720"/>
            <w:col w:w="2540" w:space="720"/>
            <w:col w:w="3160"/>
          </w:cols>
          <w:pgMar w:left="320" w:top="1270" w:right="499" w:bottom="1440" w:gutter="0" w:footer="0" w:header="0"/>
          <w:type w:val="continuous"/>
        </w:sectPr>
      </w:pPr>
    </w:p>
    <w:p>
      <w:pPr>
        <w:ind w:left="1640"/>
        <w:spacing w:after="0" w:line="235" w:lineRule="auto"/>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080"/>
          </w:cols>
          <w:pgMar w:left="320" w:top="1270" w:right="499" w:bottom="1440" w:gutter="0" w:footer="0" w:header="0"/>
          <w:type w:val="continuous"/>
        </w:sectPr>
      </w:pPr>
    </w:p>
    <w:p>
      <w:pPr>
        <w:spacing w:after="0" w:line="31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3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2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713-646-4100</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44" w:lineRule="exact"/>
        <w:rPr>
          <w:sz w:val="24"/>
          <w:szCs w:val="24"/>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060" w:firstLine="3"/>
        <w:spacing w:after="0" w:line="560" w:lineRule="auto"/>
        <w:tabs>
          <w:tab w:leader="none" w:pos="32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6"/>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Shares</w:t>
            </w:r>
          </w:p>
        </w:tc>
        <w:tc>
          <w:tcPr>
            <w:tcW w:w="12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PAGP</w:t>
            </w:r>
          </w:p>
        </w:tc>
        <w:tc>
          <w:tcPr>
            <w:tcW w:w="100" w:type="dxa"/>
            <w:vAlign w:val="bottom"/>
          </w:tcPr>
          <w:p>
            <w:pPr>
              <w:spacing w:after="0"/>
              <w:rPr>
                <w:sz w:val="18"/>
                <w:szCs w:val="18"/>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w:t>
            </w:r>
          </w:p>
        </w:tc>
      </w:tr>
    </w:tbl>
    <w:p>
      <w:pPr>
        <w:spacing w:after="0" w:line="290" w:lineRule="exact"/>
        <w:rPr>
          <w:sz w:val="24"/>
          <w:szCs w:val="24"/>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88" w:lineRule="exact"/>
        <w:rPr>
          <w:sz w:val="24"/>
          <w:szCs w:val="24"/>
          <w:color w:val="auto"/>
        </w:rPr>
      </w:pPr>
    </w:p>
    <w:p>
      <w:pPr>
        <w:ind w:right="40"/>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939800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205740</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147955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and Item 7.01. Results of Operations and Financial Condition; Regulation FD Disclosure.</w:t>
      </w:r>
    </w:p>
    <w:p>
      <w:pPr>
        <w:spacing w:after="0" w:line="248" w:lineRule="exact"/>
        <w:rPr>
          <w:sz w:val="20"/>
          <w:szCs w:val="20"/>
          <w:color w:val="auto"/>
        </w:rPr>
      </w:pPr>
    </w:p>
    <w:p>
      <w:pPr>
        <w:ind w:firstLine="172"/>
        <w:spacing w:after="0" w:line="265" w:lineRule="auto"/>
        <w:rPr>
          <w:sz w:val="20"/>
          <w:szCs w:val="20"/>
          <w:color w:val="auto"/>
        </w:rPr>
      </w:pPr>
      <w:r>
        <w:rPr>
          <w:rFonts w:ascii="Times New Roman" w:cs="Times New Roman" w:eastAsia="Times New Roman" w:hAnsi="Times New Roman"/>
          <w:sz w:val="17"/>
          <w:szCs w:val="17"/>
          <w:color w:val="auto"/>
        </w:rPr>
        <w:t>On August 2, 2024, the Registrant issued a press release reporting its second-quarter 2024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 Exhibits.</w:t>
      </w:r>
    </w:p>
    <w:p>
      <w:pPr>
        <w:spacing w:after="0" w:line="25"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980" w:type="dxa"/>
            <w:vAlign w:val="bottom"/>
            <w:vMerge w:val="restart"/>
          </w:tcPr>
          <w:p>
            <w:pPr>
              <w:ind w:left="8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5"/>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60" w:type="dxa"/>
            <w:vAlign w:val="bottom"/>
            <w:tcBorders>
              <w:top w:val="single" w:sz="8" w:color="auto"/>
              <w:bottom w:val="single" w:sz="8" w:color="0000FF"/>
            </w:tcBorders>
          </w:tcPr>
          <w:p>
            <w:pPr>
              <w:spacing w:after="0" w:line="175" w:lineRule="exact"/>
              <w:rPr>
                <w:sz w:val="20"/>
                <w:szCs w:val="20"/>
                <w:color w:val="auto"/>
              </w:rPr>
            </w:pPr>
            <w:r>
              <w:rPr>
                <w:rFonts w:ascii="Times New Roman" w:cs="Times New Roman" w:eastAsia="Times New Roman" w:hAnsi="Times New Roman"/>
                <w:sz w:val="17"/>
                <w:szCs w:val="17"/>
                <w:color w:val="0000FF"/>
              </w:rPr>
              <w:t>Press Release dated August 2, 2024</w:t>
            </w:r>
          </w:p>
        </w:tc>
        <w:tc>
          <w:tcPr>
            <w:tcW w:w="4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20" w:hanging="783"/>
        <w:spacing w:after="0"/>
        <w:tabs>
          <w:tab w:leader="none" w:pos="18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6"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856" w:right="45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93" w:lineRule="exact"/>
        <w:rPr>
          <w:sz w:val="20"/>
          <w:szCs w:val="20"/>
          <w:color w:val="auto"/>
        </w:rPr>
      </w:pPr>
    </w:p>
    <w:p>
      <w:pPr>
        <w:ind w:right="82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74"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3000" w:type="dxa"/>
            <w:vAlign w:val="bottom"/>
          </w:tcPr>
          <w:p>
            <w:pPr>
              <w:spacing w:after="0"/>
              <w:rPr>
                <w:sz w:val="19"/>
                <w:szCs w:val="19"/>
                <w:color w:val="auto"/>
              </w:rPr>
            </w:pPr>
          </w:p>
        </w:tc>
        <w:tc>
          <w:tcPr>
            <w:tcW w:w="7700" w:type="dxa"/>
            <w:vAlign w:val="bottom"/>
            <w:gridSpan w:val="3"/>
          </w:tcPr>
          <w:p>
            <w:pPr>
              <w:ind w:left="1520"/>
              <w:spacing w:after="0"/>
              <w:rPr>
                <w:sz w:val="20"/>
                <w:szCs w:val="20"/>
                <w:color w:val="auto"/>
              </w:rPr>
            </w:pPr>
            <w:r>
              <w:rPr>
                <w:rFonts w:ascii="Times New Roman" w:cs="Times New Roman" w:eastAsia="Times New Roman" w:hAnsi="Times New Roman"/>
                <w:sz w:val="17"/>
                <w:szCs w:val="17"/>
                <w:color w:val="auto"/>
              </w:rPr>
              <w:t>PLAINS GP HOLDINGS, L.P.</w:t>
            </w:r>
          </w:p>
        </w:tc>
      </w:tr>
      <w:tr>
        <w:trPr>
          <w:trHeight w:val="478"/>
        </w:trPr>
        <w:tc>
          <w:tcPr>
            <w:tcW w:w="3000" w:type="dxa"/>
            <w:vAlign w:val="bottom"/>
          </w:tcPr>
          <w:p>
            <w:pPr>
              <w:spacing w:after="0"/>
              <w:rPr>
                <w:sz w:val="24"/>
                <w:szCs w:val="24"/>
                <w:color w:val="auto"/>
              </w:rPr>
            </w:pPr>
          </w:p>
        </w:tc>
        <w:tc>
          <w:tcPr>
            <w:tcW w:w="1960" w:type="dxa"/>
            <w:vAlign w:val="bottom"/>
          </w:tcPr>
          <w:p>
            <w:pPr>
              <w:ind w:left="152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PAA GP Holdings LLC, its general partner</w:t>
            </w:r>
          </w:p>
        </w:tc>
      </w:tr>
      <w:tr>
        <w:trPr>
          <w:trHeight w:val="478"/>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Date: August 2, 2024</w:t>
            </w:r>
          </w:p>
        </w:tc>
        <w:tc>
          <w:tcPr>
            <w:tcW w:w="1960" w:type="dxa"/>
            <w:vAlign w:val="bottom"/>
          </w:tcPr>
          <w:p>
            <w:pPr>
              <w:ind w:left="152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Al Swanson</w:t>
            </w:r>
          </w:p>
        </w:tc>
      </w:tr>
      <w:tr>
        <w:trPr>
          <w:trHeight w:val="205"/>
        </w:trPr>
        <w:tc>
          <w:tcPr>
            <w:tcW w:w="3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Al Swanson</w:t>
            </w:r>
          </w:p>
        </w:tc>
      </w:tr>
      <w:tr>
        <w:trPr>
          <w:trHeight w:val="227"/>
        </w:trPr>
        <w:tc>
          <w:tcPr>
            <w:tcW w:w="30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340"/>
          </w:cols>
          <w:pgMar w:left="320" w:top="94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282575</wp:posOffset>
            </wp:positionV>
            <wp:extent cx="1969135" cy="443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69135" cy="44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Plains All American Reports Second-Quarter 2024 Results &amp; Raises 2024 Guidance</w:t>
      </w:r>
    </w:p>
    <w:p>
      <w:pPr>
        <w:spacing w:after="0" w:line="200" w:lineRule="exact"/>
        <w:rPr>
          <w:sz w:val="20"/>
          <w:szCs w:val="20"/>
          <w:color w:val="auto"/>
        </w:rPr>
      </w:pPr>
    </w:p>
    <w:p>
      <w:pPr>
        <w:spacing w:after="0" w:line="256"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 xml:space="preserve">Houston, TX – August 2, 2024 – Plains All American Pipeline, L.P. (Nasdaq: </w:t>
      </w:r>
      <w:r>
        <w:rPr>
          <w:rFonts w:ascii="Times New Roman" w:cs="Times New Roman" w:eastAsia="Times New Roman" w:hAnsi="Times New Roman"/>
          <w:sz w:val="17"/>
          <w:szCs w:val="17"/>
          <w:color w:val="0000FF"/>
        </w:rPr>
        <w:t>PAA</w:t>
      </w:r>
      <w:r>
        <w:rPr>
          <w:rFonts w:ascii="Times New Roman" w:cs="Times New Roman" w:eastAsia="Times New Roman" w:hAnsi="Times New Roman"/>
          <w:sz w:val="17"/>
          <w:szCs w:val="17"/>
          <w:color w:val="auto"/>
        </w:rPr>
        <w:t xml:space="preserve">) and Plains GP Holdings (Nasdaq: </w:t>
      </w:r>
      <w:r>
        <w:rPr>
          <w:rFonts w:ascii="Times New Roman" w:cs="Times New Roman" w:eastAsia="Times New Roman" w:hAnsi="Times New Roman"/>
          <w:sz w:val="17"/>
          <w:szCs w:val="17"/>
          <w:color w:val="0000FF"/>
        </w:rPr>
        <w:t>PAGP</w:t>
      </w:r>
      <w:r>
        <w:rPr>
          <w:rFonts w:ascii="Times New Roman" w:cs="Times New Roman" w:eastAsia="Times New Roman" w:hAnsi="Times New Roman"/>
          <w:sz w:val="17"/>
          <w:szCs w:val="17"/>
          <w:color w:val="auto"/>
        </w:rPr>
        <w:t>) today reported strong second-quarter 2024 results and raised full-year 2024 Adjusted EBITDA guidance.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Second-Quarter Results</w:t>
      </w:r>
    </w:p>
    <w:p>
      <w:pPr>
        <w:spacing w:after="0" w:line="235"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Reported net income attributable to PAA of $250 million and net cash provided by operating activities of $653 million</w:t>
      </w:r>
    </w:p>
    <w:p>
      <w:pPr>
        <w:spacing w:after="0" w:line="3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Adjusted EBITDA attributable to PAA of $674 million</w:t>
      </w:r>
    </w:p>
    <w:p>
      <w:pPr>
        <w:spacing w:after="0" w:line="3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Generated Adjusted Free Cash Flow of $421 million (excluding changes in Assets &amp; Liabilities; including bolt-on acquisition capital)</w:t>
      </w:r>
    </w:p>
    <w:p>
      <w:pPr>
        <w:spacing w:after="0" w:line="3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priced public offering of $650 million of unsecured senior notes at 5.7% due 2034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Guidance Update</w:t>
      </w:r>
    </w:p>
    <w:p>
      <w:pPr>
        <w:spacing w:after="0" w:line="235"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Raising the mid-point of guidance for full-year 2024 Adjusted EBITDA attributable to PAA by $75 million to a new range of $2.725 - $2.775 billion</w:t>
      </w:r>
    </w:p>
    <w:p>
      <w:pPr>
        <w:spacing w:after="0" w:line="243" w:lineRule="exact"/>
        <w:rPr>
          <w:rFonts w:ascii="Arial" w:cs="Arial" w:eastAsia="Arial" w:hAnsi="Arial"/>
          <w:sz w:val="17"/>
          <w:szCs w:val="17"/>
          <w:color w:val="auto"/>
        </w:rPr>
      </w:pPr>
    </w:p>
    <w:p>
      <w:pPr>
        <w:ind w:left="620" w:right="22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Reiterating full-year 2024 Adjusted Free Cash Flow guidance of $1.55 billion (excluding changes in Assets &amp; Liabilities; including bolt-on acquisition capital)</w:t>
      </w:r>
    </w:p>
    <w:p>
      <w:pPr>
        <w:spacing w:after="0" w:line="17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“Today’s announcements reflect another solid quarter with results exceeding expectations in both the Crude Oil and NGL segments. Based on our performance to-date and outlook for the remainder of the year, we are increasing our annual EBITDA guidance for 2024. This underscores the resilience of our business model and highlights the flexibility of our asset base to capture opportunities in a dynamic and evolving market,” said Willie Chiang, Chairman &amp; CEO of Plains. “We remain focused on maximizing long-term value for investors, through our consistent strategy of capital discipline, generating meaningful Free Cash Flow and increasing return of capital to equity holders while maintaining financial flexibility.”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auto"/>
        </w:rPr>
        <w:t>Page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Financial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GAAP Results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18"/>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 net income per common unit</w:t>
            </w: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common units outstanding</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2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per common unit declared for the period</w:t>
            </w:r>
          </w:p>
        </w:tc>
        <w:tc>
          <w:tcPr>
            <w:tcW w:w="2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0.2675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0.5350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581"/>
        </w:trPr>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87"/>
        </w:trPr>
        <w:tc>
          <w:tcPr>
            <w:tcW w:w="5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17"/>
                <w:szCs w:val="17"/>
                <w:b w:val="1"/>
                <w:bCs w:val="1"/>
                <w:i w:val="1"/>
                <w:iCs w:val="1"/>
                <w:color w:val="auto"/>
                <w:vertAlign w:val="superscript"/>
              </w:rPr>
              <w:t>(1)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13"/>
        </w:trPr>
        <w:tc>
          <w:tcPr>
            <w:tcW w:w="51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 attributable to PAA</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2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 adjusted net income per common unit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2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20"/>
        </w:trPr>
        <w:tc>
          <w:tcPr>
            <w:tcW w:w="5160" w:type="dxa"/>
            <w:vAlign w:val="bottom"/>
            <w:gridSpan w:val="3"/>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1,391</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2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2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Adjusted Free Cash Flow</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2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Free Cash Flow after Distributions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Adjusted Free Cash Flow (Excluding Changes in Assets &amp; Liabilities)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168"/>
        </w:trPr>
        <w:tc>
          <w:tcPr>
            <w:tcW w:w="5160" w:type="dxa"/>
            <w:vAlign w:val="bottom"/>
            <w:gridSpan w:val="3"/>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Adjusted Free Cash Flow after Distributions (Excluding Changes in</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&amp; Liabilities)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Borders>
              <w:right w:val="single" w:sz="8" w:color="auto"/>
            </w:tcBorders>
            <w:shd w:val="clear" w:color="auto" w:fill="CCEEFF"/>
          </w:tcPr>
          <w:p>
            <w:pPr>
              <w:spacing w:after="0"/>
              <w:rPr>
                <w:sz w:val="20"/>
                <w:szCs w:val="20"/>
                <w:color w:val="auto"/>
              </w:rPr>
            </w:pP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2461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Indicates that variance as a percentage is not meaningful.</w:t>
      </w:r>
    </w:p>
    <w:p>
      <w:pPr>
        <w:spacing w:after="0" w:line="63" w:lineRule="exact"/>
        <w:rPr>
          <w:sz w:val="20"/>
          <w:szCs w:val="20"/>
          <w:color w:val="auto"/>
        </w:rPr>
      </w:pPr>
    </w:p>
    <w:p>
      <w:pPr>
        <w:ind w:left="320" w:right="160" w:hanging="317"/>
        <w:spacing w:after="0" w:line="237" w:lineRule="auto"/>
        <w:tabs>
          <w:tab w:leader="none" w:pos="3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35" w:lineRule="exact"/>
        <w:rPr>
          <w:rFonts w:ascii="Times New Roman" w:cs="Times New Roman" w:eastAsia="Times New Roman" w:hAnsi="Times New Roman"/>
          <w:sz w:val="22"/>
          <w:szCs w:val="22"/>
          <w:color w:val="auto"/>
          <w:vertAlign w:val="superscript"/>
        </w:rPr>
      </w:pPr>
    </w:p>
    <w:p>
      <w:pPr>
        <w:ind w:left="320" w:right="40" w:hanging="317"/>
        <w:spacing w:after="0" w:line="230" w:lineRule="auto"/>
        <w:tabs>
          <w:tab w:leader="none" w:pos="3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amounts attributable to noncontrolling interests in the Plains Oryx Permian Basin LLC joint venture, Cactus II Pipeline LLC and Red River Pipeline LLC.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auto"/>
        </w:rPr>
        <w:t>Page 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of Selected Financial Data by Segment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r>
      <w:tr>
        <w:trPr>
          <w:trHeight w:val="201"/>
        </w:trPr>
        <w:tc>
          <w:tcPr>
            <w:tcW w:w="7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380" w:type="dxa"/>
            <w:vAlign w:val="bottom"/>
          </w:tcPr>
          <w:p>
            <w:pPr>
              <w:spacing w:after="0"/>
              <w:rPr>
                <w:sz w:val="17"/>
                <w:szCs w:val="17"/>
                <w:color w:val="auto"/>
              </w:rPr>
            </w:pPr>
          </w:p>
        </w:tc>
        <w:tc>
          <w:tcPr>
            <w:tcW w:w="1260" w:type="dxa"/>
            <w:vAlign w:val="bottom"/>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39"/>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June 30, 2024</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576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94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8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Three Months Ended June 30, 2023</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7"/>
              <w:spacing w:after="0" w:line="191" w:lineRule="exact"/>
              <w:rPr>
                <w:sz w:val="20"/>
                <w:szCs w:val="20"/>
                <w:color w:val="auto"/>
              </w:rPr>
            </w:pPr>
            <w:r>
              <w:rPr>
                <w:rFonts w:ascii="Times New Roman" w:cs="Times New Roman" w:eastAsia="Times New Roman" w:hAnsi="Times New Roman"/>
                <w:sz w:val="17"/>
                <w:szCs w:val="17"/>
                <w:color w:val="auto"/>
              </w:rPr>
              <w:t>529</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rPr>
              <w:t>62</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7860" w:type="dxa"/>
            <w:vAlign w:val="bottom"/>
            <w:tcBorders>
              <w:bottom w:val="single" w:sz="8" w:color="CCEEFF"/>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i w:val="1"/>
                <w:iCs w:val="1"/>
                <w:color w:val="auto"/>
              </w:rPr>
              <w:t>Percentage change in Segment Adjusted EBITDA versus 2023 period</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b w:val="1"/>
                <w:bCs w:val="1"/>
                <w:i w:val="1"/>
                <w:iCs w:val="1"/>
                <w:color w:val="auto"/>
              </w:rPr>
              <w:t>9 %</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b w:val="1"/>
                <w:bCs w:val="1"/>
                <w:i w:val="1"/>
                <w:iCs w:val="1"/>
                <w:color w:val="auto"/>
              </w:rPr>
              <w:t>52 %</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08"/>
        </w:trPr>
        <w:tc>
          <w:tcPr>
            <w:tcW w:w="7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r>
      <w:tr>
        <w:trPr>
          <w:trHeight w:val="201"/>
        </w:trPr>
        <w:tc>
          <w:tcPr>
            <w:tcW w:w="7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380" w:type="dxa"/>
            <w:vAlign w:val="bottom"/>
          </w:tcPr>
          <w:p>
            <w:pPr>
              <w:spacing w:after="0"/>
              <w:rPr>
                <w:sz w:val="17"/>
                <w:szCs w:val="17"/>
                <w:color w:val="auto"/>
              </w:rPr>
            </w:pPr>
          </w:p>
        </w:tc>
        <w:tc>
          <w:tcPr>
            <w:tcW w:w="1260" w:type="dxa"/>
            <w:vAlign w:val="bottom"/>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39"/>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Six Months Ended June 30, 2024</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1,130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253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8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Six Months Ended June 30, 2023</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7"/>
              <w:spacing w:after="0" w:line="191" w:lineRule="exact"/>
              <w:rPr>
                <w:sz w:val="20"/>
                <w:szCs w:val="20"/>
                <w:color w:val="auto"/>
              </w:rPr>
            </w:pPr>
            <w:r>
              <w:rPr>
                <w:rFonts w:ascii="Times New Roman" w:cs="Times New Roman" w:eastAsia="Times New Roman" w:hAnsi="Times New Roman"/>
                <w:sz w:val="17"/>
                <w:szCs w:val="17"/>
                <w:color w:val="auto"/>
              </w:rPr>
              <w:t>1,046</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rPr>
              <w:t>254</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Percentage change in Segment Adjusted EBITDA versus 2023 period</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8 %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 %</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right="160" w:firstLine="620"/>
        <w:spacing w:after="0" w:line="288" w:lineRule="auto"/>
        <w:rPr>
          <w:sz w:val="20"/>
          <w:szCs w:val="20"/>
          <w:color w:val="auto"/>
        </w:rPr>
      </w:pPr>
      <w:r>
        <w:rPr>
          <w:rFonts w:ascii="Times New Roman" w:cs="Times New Roman" w:eastAsia="Times New Roman" w:hAnsi="Times New Roman"/>
          <w:sz w:val="17"/>
          <w:szCs w:val="17"/>
          <w:color w:val="auto"/>
        </w:rPr>
        <w:t>Second-quarter 2024 Crude Oil Segment Adjusted EBITDA increased 9% versus comparable 2023 results primarily due to higher tariff volumes on our pipelines, tariff escalations and contributions from acquisitions. These items were partially offset by fewer market based opportunities.</w:t>
      </w:r>
    </w:p>
    <w:p>
      <w:pPr>
        <w:spacing w:after="0" w:line="177" w:lineRule="exact"/>
        <w:rPr>
          <w:sz w:val="20"/>
          <w:szCs w:val="20"/>
          <w:color w:val="auto"/>
        </w:rPr>
      </w:pPr>
    </w:p>
    <w:p>
      <w:pPr>
        <w:ind w:right="400" w:firstLine="620"/>
        <w:spacing w:after="0" w:line="288" w:lineRule="auto"/>
        <w:rPr>
          <w:sz w:val="20"/>
          <w:szCs w:val="20"/>
          <w:color w:val="auto"/>
        </w:rPr>
      </w:pPr>
      <w:r>
        <w:rPr>
          <w:rFonts w:ascii="Times New Roman" w:cs="Times New Roman" w:eastAsia="Times New Roman" w:hAnsi="Times New Roman"/>
          <w:sz w:val="17"/>
          <w:szCs w:val="17"/>
          <w:color w:val="auto"/>
        </w:rPr>
        <w:t>Second-quarter 2024 NGL Segment Adjusted EBITDA increased 52% versus comparable 2023 results primarily due to turnarounds impacting sales volumes in the second quarter of 2023 and incremental margins from iso-to-normal butane spread benefits in the second quarter of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w:t>
      </w:r>
    </w:p>
    <w:p>
      <w:pPr>
        <w:spacing w:after="0" w:line="248"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Conference Call and Webcast Instructions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will hold a joint conference call at 9:00 a.m. CT on Friday, August 2, 2024 to discuss second-quarter performance and related items.</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 access the internet webcast, please go to https://edge.media-server.com/mmc/p/za3n6iir/</w:t>
      </w:r>
    </w:p>
    <w:p>
      <w:pPr>
        <w:spacing w:after="0" w:line="244" w:lineRule="exact"/>
        <w:rPr>
          <w:sz w:val="20"/>
          <w:szCs w:val="20"/>
          <w:color w:val="auto"/>
        </w:rPr>
      </w:pPr>
    </w:p>
    <w:p>
      <w:pPr>
        <w:ind w:right="100" w:firstLine="620"/>
        <w:spacing w:after="0" w:line="270" w:lineRule="auto"/>
        <w:rPr>
          <w:sz w:val="20"/>
          <w:szCs w:val="20"/>
          <w:color w:val="auto"/>
        </w:rPr>
      </w:pPr>
      <w:r>
        <w:rPr>
          <w:rFonts w:ascii="Times New Roman" w:cs="Times New Roman" w:eastAsia="Times New Roman" w:hAnsi="Times New Roman"/>
          <w:sz w:val="17"/>
          <w:szCs w:val="17"/>
          <w:color w:val="auto"/>
        </w:rPr>
        <w:t>Alternatively, the webcast can be accessed on our website (www.plains.com) under Investor Relations (Navigate to: Investor Relations / either “PAA” or “PAGP” / News &amp; Events / Events &amp; Presentations). Following the live webcast, an audio replay will be available on our website and will be accessible for a period of 365 days. Slides will be posted prior to the call at the above referenced website.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 and Selected Items Impacting Comparability</w:t>
      </w:r>
    </w:p>
    <w:p>
      <w:pPr>
        <w:spacing w:after="0" w:line="172" w:lineRule="exact"/>
        <w:rPr>
          <w:sz w:val="20"/>
          <w:szCs w:val="20"/>
          <w:color w:val="auto"/>
        </w:rPr>
      </w:pPr>
    </w:p>
    <w:p>
      <w:pPr>
        <w:ind w:right="200" w:firstLine="620"/>
        <w:spacing w:after="0" w:line="265" w:lineRule="auto"/>
        <w:rPr>
          <w:sz w:val="20"/>
          <w:szCs w:val="20"/>
          <w:color w:val="auto"/>
        </w:rPr>
      </w:pPr>
      <w:r>
        <w:rPr>
          <w:rFonts w:ascii="Times New Roman" w:cs="Times New Roman" w:eastAsia="Times New Roman" w:hAnsi="Times New Roman"/>
          <w:sz w:val="17"/>
          <w:szCs w:val="17"/>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auto"/>
        </w:rPr>
        <w:t>Page 4</w:t>
      </w:r>
    </w:p>
    <w:p>
      <w:pPr>
        <w:spacing w:after="0" w:line="200" w:lineRule="exact"/>
        <w:rPr>
          <w:sz w:val="20"/>
          <w:szCs w:val="20"/>
          <w:color w:val="auto"/>
        </w:rPr>
      </w:pPr>
    </w:p>
    <w:p>
      <w:pPr>
        <w:spacing w:after="0" w:line="225" w:lineRule="exact"/>
        <w:rPr>
          <w:sz w:val="20"/>
          <w:szCs w:val="20"/>
          <w:color w:val="auto"/>
        </w:rPr>
      </w:pPr>
    </w:p>
    <w:p>
      <w:pPr>
        <w:ind w:right="40" w:firstLine="620"/>
        <w:spacing w:after="0" w:line="258" w:lineRule="auto"/>
        <w:rPr>
          <w:sz w:val="20"/>
          <w:szCs w:val="20"/>
          <w:color w:val="auto"/>
        </w:rPr>
      </w:pPr>
      <w:r>
        <w:rPr>
          <w:rFonts w:ascii="Times New Roman" w:cs="Times New Roman" w:eastAsia="Times New Roman" w:hAnsi="Times New Roman"/>
          <w:sz w:val="17"/>
          <w:szCs w:val="17"/>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Performance Measures</w:t>
      </w:r>
    </w:p>
    <w:p>
      <w:pPr>
        <w:spacing w:after="0" w:line="132" w:lineRule="exact"/>
        <w:rPr>
          <w:sz w:val="20"/>
          <w:szCs w:val="20"/>
          <w:color w:val="auto"/>
        </w:rPr>
      </w:pPr>
    </w:p>
    <w:p>
      <w:pPr>
        <w:ind w:right="160" w:firstLine="620"/>
        <w:spacing w:after="0" w:line="262" w:lineRule="auto"/>
        <w:rPr>
          <w:sz w:val="20"/>
          <w:szCs w:val="20"/>
          <w:color w:val="auto"/>
        </w:rPr>
      </w:pPr>
      <w:r>
        <w:rPr>
          <w:rFonts w:ascii="Times New Roman" w:cs="Times New Roman" w:eastAsia="Times New Roman" w:hAnsi="Times New Roman"/>
          <w:sz w:val="17"/>
          <w:szCs w:val="17"/>
          <w:color w:val="auto"/>
        </w:rPr>
        <w:t>Adjusted EBITDA is defined as earnings before interest expense, income tax (expense)/benefit, depreciation and amortization (including our proportionate share of depreciation and amortization, including write-downs related to cancelled projects and impairments, of unconsolidated entities), gains and losses on asset sales and asset impairments, gains or losses on investments in unconsolidated entities and interest income on promissory notes between and amongst PAA and related entities, adjusted for certain selected items impacting comparability. Adjusted EBITDA attributable to PAA excludes the portion of Adjusted EBITDA that is attributable to noncontrolling interests.</w:t>
      </w:r>
    </w:p>
    <w:p>
      <w:pPr>
        <w:spacing w:after="0" w:line="96"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auto"/>
        </w:rPr>
        <w:t>Page 5</w:t>
      </w:r>
    </w:p>
    <w:p>
      <w:pPr>
        <w:spacing w:after="0" w:line="200" w:lineRule="exact"/>
        <w:rPr>
          <w:sz w:val="20"/>
          <w:szCs w:val="20"/>
          <w:color w:val="auto"/>
        </w:rPr>
      </w:pPr>
    </w:p>
    <w:p>
      <w:pPr>
        <w:spacing w:after="0" w:line="225"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Liquidity Measures</w:t>
      </w:r>
    </w:p>
    <w:p>
      <w:pPr>
        <w:spacing w:after="0" w:line="144" w:lineRule="exact"/>
        <w:rPr>
          <w:sz w:val="20"/>
          <w:szCs w:val="20"/>
          <w:color w:val="auto"/>
        </w:rPr>
      </w:pPr>
    </w:p>
    <w:p>
      <w:pPr>
        <w:ind w:right="100" w:firstLine="620"/>
        <w:spacing w:after="0" w:line="260" w:lineRule="auto"/>
        <w:rPr>
          <w:sz w:val="20"/>
          <w:szCs w:val="20"/>
          <w:color w:val="auto"/>
        </w:rPr>
      </w:pPr>
      <w:r>
        <w:rPr>
          <w:rFonts w:ascii="Times New Roman" w:cs="Times New Roman" w:eastAsia="Times New Roman" w:hAnsi="Times New Roman"/>
          <w:sz w:val="17"/>
          <w:szCs w:val="17"/>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Adjusted Free Cash Flow is further reduced by cash distributions paid to our preferred and common unitholders to arrive at Adjusted Free Cash Flow after Distributions.</w:t>
      </w:r>
    </w:p>
    <w:p>
      <w:pPr>
        <w:spacing w:after="0" w:line="73" w:lineRule="exact"/>
        <w:rPr>
          <w:sz w:val="20"/>
          <w:szCs w:val="20"/>
          <w:color w:val="auto"/>
        </w:rPr>
      </w:pPr>
    </w:p>
    <w:p>
      <w:pPr>
        <w:ind w:right="40" w:firstLine="620"/>
        <w:spacing w:after="0" w:line="259" w:lineRule="auto"/>
        <w:rPr>
          <w:sz w:val="20"/>
          <w:szCs w:val="20"/>
          <w:color w:val="auto"/>
        </w:rPr>
      </w:pPr>
      <w:r>
        <w:rPr>
          <w:rFonts w:ascii="Times New Roman" w:cs="Times New Roman" w:eastAsia="Times New Roman" w:hAnsi="Times New Roman"/>
          <w:sz w:val="17"/>
          <w:szCs w:val="17"/>
          <w:color w:val="auto"/>
        </w:rPr>
        <w:t>We also present these measures and additional non-GAAP financial liquidity measures as they are measures that investors have indicated are useful. We present the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auto"/>
        </w:rPr>
        <w:t>Page 6</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0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23,943</w:t>
            </w:r>
          </w:p>
        </w:tc>
      </w:tr>
      <w:tr>
        <w:trPr>
          <w:trHeight w:val="245"/>
        </w:trPr>
        <w:tc>
          <w:tcPr>
            <w:tcW w:w="38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21,867</w:t>
            </w: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Field operating costs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r>
      <w:tr>
        <w:trPr>
          <w:trHeight w:val="22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r>
      <w:tr>
        <w:trPr>
          <w:trHeight w:val="220"/>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13"/>
        </w:trPr>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23,093</w:t>
            </w:r>
          </w:p>
        </w:tc>
      </w:tr>
      <w:tr>
        <w:trPr>
          <w:trHeight w:val="245"/>
        </w:trPr>
        <w:tc>
          <w:tcPr>
            <w:tcW w:w="38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r>
      <w:tr>
        <w:trPr>
          <w:trHeight w:val="245"/>
        </w:trPr>
        <w:tc>
          <w:tcPr>
            <w:tcW w:w="38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20"/>
        </w:trPr>
        <w:tc>
          <w:tcPr>
            <w:tcW w:w="63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Interest expense, net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20"/>
        </w:trPr>
        <w:tc>
          <w:tcPr>
            <w:tcW w:w="63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Other income, net </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25"/>
        </w:trPr>
        <w:tc>
          <w:tcPr>
            <w:tcW w:w="388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w:t>
            </w: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20"/>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5"/>
        </w:trPr>
        <w:tc>
          <w:tcPr>
            <w:tcW w:w="388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w:t>
            </w:r>
          </w:p>
        </w:tc>
      </w:tr>
      <w:tr>
        <w:trPr>
          <w:trHeight w:val="220"/>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PAA</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PER COMMON UNIT: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0"/>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allocated to common unitholders — Basic and Diluted</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w:t>
            </w:r>
          </w:p>
        </w:tc>
      </w:tr>
      <w:tr>
        <w:trPr>
          <w:trHeight w:val="220"/>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Basic and diluted weighted average common units outstanding</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r>
      <w:tr>
        <w:trPr>
          <w:trHeight w:val="245"/>
        </w:trPr>
        <w:tc>
          <w:tcPr>
            <w:tcW w:w="6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126" w:lineRule="exact"/>
        <w:rPr>
          <w:sz w:val="20"/>
          <w:szCs w:val="20"/>
          <w:color w:val="auto"/>
        </w:rPr>
      </w:pPr>
    </w:p>
    <w:p>
      <w:pPr>
        <w:ind w:left="320" w:right="100" w:hanging="317"/>
        <w:spacing w:after="0" w:line="237" w:lineRule="auto"/>
        <w:tabs>
          <w:tab w:leader="none" w:pos="30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“Interest expense, net” and “Other income, net” each include $15 million for the three and six months ended June 30, 2024 related to interest on promissory notes between and amongst PAA and related entities. These amounts offset and do not impact Net Income or Non-GAAP metrics such as Adjusted EBITDA, Implied DCF and Adjusted Free Cash Flow.</w:t>
      </w:r>
    </w:p>
    <w:p>
      <w:pPr>
        <w:spacing w:after="0" w:line="152"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auto"/>
        </w:rPr>
        <w:t>Page 7</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3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Current assets (including Cash and cash equivalents of $553 and $450, respectively)</w:t>
            </w:r>
          </w:p>
        </w:tc>
        <w:tc>
          <w:tcPr>
            <w:tcW w:w="200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Total assets</w:t>
            </w:r>
          </w:p>
        </w:tc>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27,453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3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Total liabilities</w:t>
            </w:r>
          </w:p>
        </w:tc>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13,623</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Partners’ capital excluding noncontrolling interests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Total partners’ capital</w:t>
            </w:r>
          </w:p>
        </w:tc>
        <w:tc>
          <w:tcPr>
            <w:tcW w:w="232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13,578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3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DEBT CAPITALIZATION RATIOS</w:t>
            </w:r>
          </w:p>
        </w:tc>
        <w:tc>
          <w:tcPr>
            <w:tcW w:w="2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6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9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center"/>
              <w:ind w:right="340"/>
              <w:spacing w:after="0" w:line="156"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60" w:type="dxa"/>
            <w:vAlign w:val="bottom"/>
          </w:tcPr>
          <w:p>
            <w:pPr>
              <w:jc w:val="center"/>
              <w:ind w:right="76"/>
              <w:spacing w:after="0" w:line="15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3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7,305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debt</w:t>
            </w:r>
          </w:p>
        </w:tc>
        <w:tc>
          <w:tcPr>
            <w:tcW w:w="2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3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10,422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book capitalization excluding noncontrolling interests (“Total book capitalization”)</w:t>
            </w:r>
          </w:p>
        </w:tc>
        <w:tc>
          <w:tcPr>
            <w:tcW w:w="17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7"/>
                <w:szCs w:val="17"/>
                <w:color w:val="auto"/>
              </w:rPr>
              <w:t>Total book capitalization, including short-term debt</w:t>
            </w:r>
          </w:p>
        </w:tc>
        <w:tc>
          <w:tcPr>
            <w:tcW w:w="2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18,252</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debt-to-total book capitalization</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 more -</w:t>
            </w: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gridSpan w:val="3"/>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gridSpan w:val="2"/>
          </w:tcPr>
          <w:p>
            <w:pPr>
              <w:ind w:left="1720"/>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tc>
        <w:tc>
          <w:tcPr>
            <w:tcW w:w="232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w w:val="99"/>
              </w:rPr>
              <w:t>Houston, Texas 77002</w:t>
            </w:r>
          </w:p>
        </w:tc>
        <w:tc>
          <w:tcPr>
            <w:tcW w:w="2960" w:type="dxa"/>
            <w:vAlign w:val="bottom"/>
            <w:gridSpan w:val="3"/>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rPr>
              <w:t>713-646-4100 / 866-809-1291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auto"/>
        </w:rPr>
        <w:t>Page 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COMPUTATION OF BASIC AND DILUTED NET INCOME PER COMMON UNIT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980" w:type="dxa"/>
            <w:vAlign w:val="bottom"/>
            <w:gridSpan w:val="4"/>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60" w:type="dxa"/>
            <w:vAlign w:val="bottom"/>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60" w:type="dxa"/>
            <w:vAlign w:val="bottom"/>
          </w:tcPr>
          <w:p>
            <w:pPr>
              <w:spacing w:after="0"/>
              <w:rPr>
                <w:sz w:val="17"/>
                <w:szCs w:val="17"/>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Basic and Diluted Net Income per Common Unit</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0"/>
        </w:trPr>
        <w:tc>
          <w:tcPr>
            <w:tcW w:w="6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740" w:type="dxa"/>
            <w:vAlign w:val="bottom"/>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19"/>
                <w:szCs w:val="19"/>
                <w:color w:val="auto"/>
              </w:rPr>
            </w:pPr>
          </w:p>
        </w:tc>
        <w:tc>
          <w:tcPr>
            <w:tcW w:w="740" w:type="dxa"/>
            <w:vAlign w:val="bottom"/>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w:t>
            </w:r>
          </w:p>
        </w:tc>
      </w:tr>
      <w:tr>
        <w:trPr>
          <w:trHeight w:val="220"/>
        </w:trPr>
        <w:tc>
          <w:tcPr>
            <w:tcW w:w="60" w:type="dxa"/>
            <w:vAlign w:val="bottom"/>
          </w:tcPr>
          <w:p>
            <w:pPr>
              <w:spacing w:after="0"/>
              <w:rPr>
                <w:sz w:val="19"/>
                <w:szCs w:val="19"/>
                <w:color w:val="auto"/>
              </w:rPr>
            </w:pPr>
          </w:p>
        </w:tc>
        <w:tc>
          <w:tcPr>
            <w:tcW w:w="6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20"/>
        </w:trPr>
        <w:tc>
          <w:tcPr>
            <w:tcW w:w="60" w:type="dxa"/>
            <w:vAlign w:val="bottom"/>
          </w:tcPr>
          <w:p>
            <w:pPr>
              <w:spacing w:after="0"/>
              <w:rPr>
                <w:sz w:val="19"/>
                <w:szCs w:val="19"/>
                <w:color w:val="auto"/>
              </w:rPr>
            </w:pPr>
          </w:p>
        </w:tc>
        <w:tc>
          <w:tcPr>
            <w:tcW w:w="62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0"/>
        </w:trPr>
        <w:tc>
          <w:tcPr>
            <w:tcW w:w="60" w:type="dxa"/>
            <w:vAlign w:val="bottom"/>
          </w:tcPr>
          <w:p>
            <w:pPr>
              <w:spacing w:after="0"/>
              <w:rPr>
                <w:sz w:val="19"/>
                <w:szCs w:val="19"/>
                <w:color w:val="auto"/>
              </w:rPr>
            </w:pPr>
          </w:p>
        </w:tc>
        <w:tc>
          <w:tcPr>
            <w:tcW w:w="6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60" w:type="dxa"/>
            <w:vAlign w:val="bottom"/>
          </w:tcPr>
          <w:p>
            <w:pPr>
              <w:spacing w:after="0"/>
              <w:rPr>
                <w:sz w:val="19"/>
                <w:szCs w:val="19"/>
                <w:color w:val="auto"/>
              </w:rPr>
            </w:pPr>
          </w:p>
        </w:tc>
        <w:tc>
          <w:tcPr>
            <w:tcW w:w="62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8"/>
        </w:trPr>
        <w:tc>
          <w:tcPr>
            <w:tcW w:w="60" w:type="dxa"/>
            <w:vAlign w:val="bottom"/>
          </w:tcPr>
          <w:p>
            <w:pPr>
              <w:spacing w:after="0"/>
              <w:rPr>
                <w:sz w:val="20"/>
                <w:szCs w:val="20"/>
                <w:color w:val="auto"/>
              </w:rPr>
            </w:pPr>
          </w:p>
        </w:tc>
        <w:tc>
          <w:tcPr>
            <w:tcW w:w="6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allocated to common unitholders</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0"/>
        </w:trPr>
        <w:tc>
          <w:tcPr>
            <w:tcW w:w="60" w:type="dxa"/>
            <w:vAlign w:val="bottom"/>
          </w:tcPr>
          <w:p>
            <w:pPr>
              <w:spacing w:after="0"/>
              <w:rPr>
                <w:sz w:val="19"/>
                <w:szCs w:val="19"/>
                <w:color w:val="auto"/>
              </w:rPr>
            </w:pPr>
          </w:p>
        </w:tc>
        <w:tc>
          <w:tcPr>
            <w:tcW w:w="62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(2) (3)</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r>
      <w:tr>
        <w:trPr>
          <w:trHeight w:val="245"/>
        </w:trPr>
        <w:tc>
          <w:tcPr>
            <w:tcW w:w="6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5"/>
        </w:trPr>
        <w:tc>
          <w:tcPr>
            <w:tcW w:w="60" w:type="dxa"/>
            <w:vAlign w:val="bottom"/>
          </w:tcPr>
          <w:p>
            <w:pPr>
              <w:spacing w:after="0"/>
              <w:rPr>
                <w:sz w:val="20"/>
                <w:szCs w:val="20"/>
                <w:color w:val="auto"/>
              </w:rPr>
            </w:pPr>
          </w:p>
        </w:tc>
        <w:tc>
          <w:tcPr>
            <w:tcW w:w="6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0.84</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6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126" w:lineRule="exact"/>
        <w:rPr>
          <w:sz w:val="20"/>
          <w:szCs w:val="20"/>
          <w:color w:val="auto"/>
        </w:rPr>
      </w:pPr>
    </w:p>
    <w:p>
      <w:pPr>
        <w:ind w:left="320" w:right="80" w:hanging="317"/>
        <w:spacing w:after="0" w:line="241"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5" w:lineRule="exact"/>
        <w:rPr>
          <w:rFonts w:ascii="Times New Roman" w:cs="Times New Roman" w:eastAsia="Times New Roman" w:hAnsi="Times New Roman"/>
          <w:sz w:val="22"/>
          <w:szCs w:val="22"/>
          <w:color w:val="auto"/>
          <w:vertAlign w:val="superscript"/>
        </w:rPr>
      </w:pPr>
    </w:p>
    <w:p>
      <w:pPr>
        <w:ind w:left="320" w:hanging="317"/>
        <w:spacing w:after="0" w:line="230"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possible conversion of our Series A preferred units was excluded from the calculation of diluted net income per common unit for each of the three and six months ended June 30, 2024 and 2023 as the effect was antidilutive.</w:t>
      </w:r>
    </w:p>
    <w:p>
      <w:pPr>
        <w:spacing w:after="0" w:line="35" w:lineRule="exact"/>
        <w:rPr>
          <w:rFonts w:ascii="Times New Roman" w:cs="Times New Roman" w:eastAsia="Times New Roman" w:hAnsi="Times New Roman"/>
          <w:sz w:val="22"/>
          <w:szCs w:val="22"/>
          <w:color w:val="auto"/>
          <w:vertAlign w:val="superscript"/>
        </w:rPr>
      </w:pPr>
    </w:p>
    <w:p>
      <w:pPr>
        <w:ind w:left="320" w:hanging="317"/>
        <w:spacing w:after="0" w:line="241"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auto"/>
        </w:rPr>
        <w:t>Page 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CASH FLOW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11" w:lineRule="exact"/>
        <w:rPr>
          <w:sz w:val="20"/>
          <w:szCs w:val="20"/>
          <w:color w:val="auto"/>
        </w:rPr>
      </w:pP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72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8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740" w:type="dxa"/>
            <w:vAlign w:val="bottom"/>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w:t>
            </w:r>
          </w:p>
        </w:tc>
      </w:tr>
      <w:tr>
        <w:trPr>
          <w:trHeight w:val="22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of net income to net cash provided by operating activities:</w:t>
            </w: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w:t>
            </w:r>
          </w:p>
        </w:tc>
      </w:tr>
      <w:tr>
        <w:trPr>
          <w:trHeight w:val="22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20"/>
        </w:trPr>
        <w:tc>
          <w:tcPr>
            <w:tcW w:w="8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20"/>
        </w:trPr>
        <w:tc>
          <w:tcPr>
            <w:tcW w:w="8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Distributions on earnings from unconsolidated entities</w:t>
            </w: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22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20"/>
        </w:trPr>
        <w:tc>
          <w:tcPr>
            <w:tcW w:w="8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Changes in assets and liabilities, net of acquisitions</w:t>
            </w: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w:t>
            </w:r>
          </w:p>
        </w:tc>
      </w:tr>
      <w:tr>
        <w:trPr>
          <w:trHeight w:val="21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1,072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w:t>
            </w:r>
          </w:p>
        </w:tc>
      </w:tr>
      <w:tr>
        <w:trPr>
          <w:trHeight w:val="207"/>
        </w:trPr>
        <w:tc>
          <w:tcPr>
            <w:tcW w:w="8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07"/>
        </w:trPr>
        <w:tc>
          <w:tcPr>
            <w:tcW w:w="8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8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w:t>
            </w:r>
          </w:p>
        </w:tc>
      </w:tr>
      <w:tr>
        <w:trPr>
          <w:trHeight w:val="207"/>
        </w:trPr>
        <w:tc>
          <w:tcPr>
            <w:tcW w:w="8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 of translation adjustment</w:t>
            </w: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7"/>
        </w:trPr>
        <w:tc>
          <w:tcPr>
            <w:tcW w:w="8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 and restricted cash</w:t>
            </w: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r>
      <w:tr>
        <w:trPr>
          <w:trHeight w:val="207"/>
        </w:trPr>
        <w:tc>
          <w:tcPr>
            <w:tcW w:w="8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beginning of period</w:t>
            </w:r>
          </w:p>
        </w:tc>
        <w:tc>
          <w:tcPr>
            <w:tcW w:w="7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end of period</w:t>
            </w:r>
          </w:p>
        </w:tc>
        <w:tc>
          <w:tcPr>
            <w:tcW w:w="7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w:t>
            </w:r>
          </w:p>
        </w:tc>
      </w:tr>
      <w:tr>
        <w:trPr>
          <w:trHeight w:val="20"/>
        </w:trPr>
        <w:tc>
          <w:tcPr>
            <w:tcW w:w="8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CAPITAL EXPENDITURES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8"/>
                <w:szCs w:val="8"/>
                <w:b w:val="1"/>
                <w:bCs w:val="1"/>
                <w:color w:val="auto"/>
              </w:rPr>
              <w:t>(1)</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3"/>
        </w:trPr>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r>
      <w:tr>
        <w:trPr>
          <w:trHeight w:val="124"/>
        </w:trPr>
        <w:tc>
          <w:tcPr>
            <w:tcW w:w="35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gridSpan w:val="6"/>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4"/>
          </w:tcPr>
          <w:p>
            <w:pPr>
              <w:jc w:val="right"/>
              <w:ind w:right="277"/>
              <w:spacing w:after="0" w:line="124"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gridSpan w:val="5"/>
          </w:tcPr>
          <w:p>
            <w:pPr>
              <w:ind w:left="100"/>
              <w:spacing w:after="0" w:line="124"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4"/>
          </w:tcPr>
          <w:p>
            <w:pPr>
              <w:jc w:val="right"/>
              <w:ind w:right="277"/>
              <w:spacing w:after="0" w:line="124"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r>
      <w:tr>
        <w:trPr>
          <w:trHeight w:val="186"/>
        </w:trPr>
        <w:tc>
          <w:tcPr>
            <w:tcW w:w="35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capital expenditures: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20"/>
        </w:trPr>
        <w:tc>
          <w:tcPr>
            <w:tcW w:w="3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Crude Oil</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11"/>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20"/>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NGL</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 capital expenditures</w:t>
            </w:r>
          </w:p>
        </w:tc>
        <w:tc>
          <w:tcPr>
            <w:tcW w:w="200" w:type="dxa"/>
            <w:vAlign w:val="bottom"/>
          </w:tcPr>
          <w:p>
            <w:pPr>
              <w:spacing w:after="0"/>
              <w:rPr>
                <w:sz w:val="18"/>
                <w:szCs w:val="18"/>
                <w:color w:val="auto"/>
              </w:rPr>
            </w:pPr>
          </w:p>
        </w:tc>
        <w:tc>
          <w:tcPr>
            <w:tcW w:w="660" w:type="dxa"/>
            <w:vAlign w:val="bottom"/>
            <w:gridSpan w:val="2"/>
          </w:tcPr>
          <w:p>
            <w:pPr>
              <w:jc w:val="right"/>
              <w:ind w:right="11"/>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r>
      <w:tr>
        <w:trPr>
          <w:trHeight w:val="22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3"/>
        </w:trPr>
        <w:tc>
          <w:tcPr>
            <w:tcW w:w="35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7"/>
                <w:szCs w:val="17"/>
                <w:color w:val="auto"/>
              </w:rPr>
              <w:t>121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0"/>
        </w:trPr>
        <w:tc>
          <w:tcPr>
            <w:tcW w:w="3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60"/>
        </w:trPr>
        <w:tc>
          <w:tcPr>
            <w:tcW w:w="3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pacing w:after="0" w:line="96" w:lineRule="exact"/>
        <w:rPr>
          <w:sz w:val="20"/>
          <w:szCs w:val="20"/>
          <w:color w:val="auto"/>
        </w:rPr>
      </w:pPr>
    </w:p>
    <w:p>
      <w:pPr>
        <w:ind w:left="300" w:hanging="297"/>
        <w:spacing w:after="0"/>
        <w:tabs>
          <w:tab w:leader="none" w:pos="3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expenditures attributable to noncontrolling interests.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auto"/>
        </w:rPr>
        <w:t>Page 10</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RECONCILIATIONS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and ratio data)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Computation of Basic and Diluted Adjusted Net Income Per Common Unit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 xml:space="preserve"> :</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960" w:type="dxa"/>
            <w:vAlign w:val="bottom"/>
            <w:gridSpan w:val="4"/>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5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Adjusted Net Income per Common Unit</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0"/>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740" w:type="dxa"/>
            <w:vAlign w:val="bottom"/>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19"/>
                <w:szCs w:val="19"/>
                <w:color w:val="auto"/>
              </w:rPr>
            </w:pPr>
          </w:p>
        </w:tc>
        <w:tc>
          <w:tcPr>
            <w:tcW w:w="720" w:type="dxa"/>
            <w:vAlign w:val="bottom"/>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8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w:t>
            </w:r>
          </w:p>
        </w:tc>
      </w:tr>
      <w:tr>
        <w:trPr>
          <w:trHeight w:val="220"/>
        </w:trPr>
        <w:tc>
          <w:tcPr>
            <w:tcW w:w="642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 Adjusted net income attributable to PAA </w:t>
            </w:r>
            <w:r>
              <w:rPr>
                <w:rFonts w:ascii="Times New Roman" w:cs="Times New Roman" w:eastAsia="Times New Roman" w:hAnsi="Times New Roman"/>
                <w:sz w:val="22"/>
                <w:szCs w:val="22"/>
                <w:color w:val="auto"/>
                <w:vertAlign w:val="superscript"/>
              </w:rPr>
              <w:t>(2)</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1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 attributable to PAA</w:t>
            </w:r>
          </w:p>
        </w:tc>
        <w:tc>
          <w:tcPr>
            <w:tcW w:w="740" w:type="dxa"/>
            <w:vAlign w:val="bottom"/>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tcPr>
          <w:p>
            <w:pPr>
              <w:spacing w:after="0"/>
              <w:rPr>
                <w:sz w:val="18"/>
                <w:szCs w:val="18"/>
                <w:color w:val="auto"/>
              </w:rPr>
            </w:pPr>
          </w:p>
        </w:tc>
        <w:tc>
          <w:tcPr>
            <w:tcW w:w="720" w:type="dxa"/>
            <w:vAlign w:val="bottom"/>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8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w:t>
            </w:r>
          </w:p>
        </w:tc>
      </w:tr>
      <w:tr>
        <w:trPr>
          <w:trHeight w:val="220"/>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20"/>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0"/>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0"/>
        </w:trPr>
        <w:tc>
          <w:tcPr>
            <w:tcW w:w="64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8"/>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 allocated to common unitholders</w:t>
            </w: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0"/>
        </w:trPr>
        <w:tc>
          <w:tcPr>
            <w:tcW w:w="642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(3) (4)</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r>
      <w:tr>
        <w:trPr>
          <w:trHeight w:val="258"/>
        </w:trPr>
        <w:tc>
          <w:tcPr>
            <w:tcW w:w="388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45"/>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130" w:lineRule="exact"/>
        <w:rPr>
          <w:sz w:val="20"/>
          <w:szCs w:val="20"/>
          <w:color w:val="auto"/>
        </w:rPr>
      </w:pPr>
    </w:p>
    <w:p>
      <w:pPr>
        <w:ind w:left="320" w:right="80" w:hanging="317"/>
        <w:spacing w:after="0" w:line="246" w:lineRule="auto"/>
        <w:tabs>
          <w:tab w:leader="none" w:pos="308"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00" w:hanging="297"/>
        <w:spacing w:after="0"/>
        <w:tabs>
          <w:tab w:leader="none" w:pos="30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“Selected Items Impacting Comparability” table for additional information.</w:t>
      </w:r>
    </w:p>
    <w:p>
      <w:pPr>
        <w:spacing w:after="0" w:line="61" w:lineRule="exact"/>
        <w:rPr>
          <w:rFonts w:ascii="Times New Roman" w:cs="Times New Roman" w:eastAsia="Times New Roman" w:hAnsi="Times New Roman"/>
          <w:sz w:val="20"/>
          <w:szCs w:val="20"/>
          <w:color w:val="auto"/>
          <w:vertAlign w:val="superscript"/>
        </w:rPr>
      </w:pPr>
    </w:p>
    <w:p>
      <w:pPr>
        <w:ind w:left="320" w:right="140" w:hanging="317"/>
        <w:spacing w:after="0" w:line="211" w:lineRule="auto"/>
        <w:tabs>
          <w:tab w:leader="none" w:pos="308"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possible conversion of our Series A preferred units was excluded from the calculation of diluted adjusted net income per common unit for the three and six months ended June 30, 2024 and 2023 as the effect was antidilutive.</w:t>
      </w:r>
    </w:p>
    <w:p>
      <w:pPr>
        <w:spacing w:after="0" w:line="33" w:lineRule="exact"/>
        <w:rPr>
          <w:rFonts w:ascii="Times New Roman" w:cs="Times New Roman" w:eastAsia="Times New Roman" w:hAnsi="Times New Roman"/>
          <w:sz w:val="20"/>
          <w:szCs w:val="20"/>
          <w:color w:val="auto"/>
          <w:vertAlign w:val="superscript"/>
        </w:rPr>
      </w:pPr>
    </w:p>
    <w:p>
      <w:pPr>
        <w:ind w:left="320" w:hanging="317"/>
        <w:spacing w:after="0" w:line="246" w:lineRule="auto"/>
        <w:tabs>
          <w:tab w:leader="none" w:pos="308"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Per Common Unit to Adjusted Net Income Per Common Unit Reconciliation: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48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00" w:type="dxa"/>
            <w:vAlign w:val="bottom"/>
            <w:gridSpan w:val="4"/>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6"/>
        </w:trPr>
        <w:tc>
          <w:tcPr>
            <w:tcW w:w="388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center"/>
              <w:ind w:left="318"/>
              <w:spacing w:after="0"/>
              <w:rPr>
                <w:sz w:val="20"/>
                <w:szCs w:val="20"/>
                <w:color w:val="auto"/>
              </w:rPr>
            </w:pPr>
            <w:r>
              <w:rPr>
                <w:rFonts w:ascii="Times New Roman" w:cs="Times New Roman" w:eastAsia="Times New Roman" w:hAnsi="Times New Roman"/>
                <w:sz w:val="17"/>
                <w:szCs w:val="17"/>
                <w:color w:val="auto"/>
              </w:rPr>
              <w:t>0.32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center"/>
              <w:ind w:left="318"/>
              <w:spacing w:after="0"/>
              <w:rPr>
                <w:sz w:val="20"/>
                <w:szCs w:val="20"/>
                <w:color w:val="auto"/>
              </w:rPr>
            </w:pPr>
            <w:r>
              <w:rPr>
                <w:rFonts w:ascii="Times New Roman" w:cs="Times New Roman" w:eastAsia="Times New Roman" w:hAnsi="Times New Roman"/>
                <w:sz w:val="17"/>
                <w:szCs w:val="17"/>
                <w:color w:val="auto"/>
              </w:rPr>
              <w:t>0.84</w:t>
            </w:r>
          </w:p>
        </w:tc>
      </w:tr>
      <w:tr>
        <w:trPr>
          <w:trHeight w:val="220"/>
        </w:trPr>
        <w:tc>
          <w:tcPr>
            <w:tcW w:w="63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per common unit </w:t>
            </w:r>
            <w:r>
              <w:rPr>
                <w:rFonts w:ascii="Times New Roman" w:cs="Times New Roman" w:eastAsia="Times New Roman" w:hAnsi="Times New Roman"/>
                <w:sz w:val="22"/>
                <w:szCs w:val="22"/>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278"/>
              <w:spacing w:after="0"/>
              <w:rPr>
                <w:sz w:val="20"/>
                <w:szCs w:val="20"/>
                <w:color w:val="auto"/>
              </w:rPr>
            </w:pPr>
            <w:r>
              <w:rPr>
                <w:rFonts w:ascii="Times New Roman" w:cs="Times New Roman" w:eastAsia="Times New Roman" w:hAnsi="Times New Roman"/>
                <w:sz w:val="17"/>
                <w:szCs w:val="17"/>
                <w:color w:val="auto"/>
              </w:rPr>
              <w:t>(0.07)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278"/>
              <w:spacing w:after="0"/>
              <w:rPr>
                <w:sz w:val="20"/>
                <w:szCs w:val="20"/>
                <w:color w:val="auto"/>
              </w:rPr>
            </w:pPr>
            <w:r>
              <w:rPr>
                <w:rFonts w:ascii="Times New Roman" w:cs="Times New Roman" w:eastAsia="Times New Roman" w:hAnsi="Times New Roman"/>
                <w:sz w:val="17"/>
                <w:szCs w:val="17"/>
                <w:color w:val="auto"/>
              </w:rPr>
              <w:t>(0.18)</w:t>
            </w:r>
          </w:p>
        </w:tc>
      </w:tr>
      <w:tr>
        <w:trPr>
          <w:trHeight w:val="238"/>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4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center"/>
              <w:ind w:left="318"/>
              <w:spacing w:after="0"/>
              <w:rPr>
                <w:sz w:val="20"/>
                <w:szCs w:val="20"/>
                <w:color w:val="auto"/>
              </w:rPr>
            </w:pPr>
            <w:r>
              <w:rPr>
                <w:rFonts w:ascii="Times New Roman" w:cs="Times New Roman" w:eastAsia="Times New Roman" w:hAnsi="Times New Roman"/>
                <w:sz w:val="17"/>
                <w:szCs w:val="17"/>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center"/>
              <w:ind w:left="318"/>
              <w:spacing w:after="0"/>
              <w:rPr>
                <w:sz w:val="20"/>
                <w:szCs w:val="20"/>
                <w:color w:val="auto"/>
              </w:rPr>
            </w:pPr>
            <w:r>
              <w:rPr>
                <w:rFonts w:ascii="Times New Roman" w:cs="Times New Roman" w:eastAsia="Times New Roman" w:hAnsi="Times New Roman"/>
                <w:sz w:val="17"/>
                <w:szCs w:val="17"/>
                <w:color w:val="auto"/>
              </w:rPr>
              <w:t>0.66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3880" w:type="dxa"/>
            <w:vAlign w:val="bottom"/>
            <w:tcBorders>
              <w:bottom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r>
    </w:tbl>
    <w:p>
      <w:pPr>
        <w:spacing w:after="0" w:line="100" w:lineRule="exact"/>
        <w:rPr>
          <w:sz w:val="20"/>
          <w:szCs w:val="20"/>
          <w:color w:val="auto"/>
        </w:rPr>
      </w:pPr>
    </w:p>
    <w:p>
      <w:pPr>
        <w:ind w:left="300" w:hanging="297"/>
        <w:spacing w:after="0"/>
        <w:tabs>
          <w:tab w:leader="none" w:pos="30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“Selected Items Impacting Comparability” and the “Computation of Basic and Diluted Adjusted Net Income Per Common Unit” tables for additional information.</w:t>
      </w:r>
    </w:p>
    <w:p>
      <w:pPr>
        <w:spacing w:after="0" w:line="157" w:lineRule="exact"/>
        <w:rPr>
          <w:rFonts w:ascii="Times New Roman" w:cs="Times New Roman" w:eastAsia="Times New Roman" w:hAnsi="Times New Roman"/>
          <w:sz w:val="20"/>
          <w:szCs w:val="20"/>
          <w:color w:val="auto"/>
          <w:vertAlign w:val="superscript"/>
        </w:rPr>
      </w:pPr>
    </w:p>
    <w:p>
      <w:pPr>
        <w:ind w:left="5440" w:hanging="93"/>
        <w:spacing w:after="0"/>
        <w:tabs>
          <w:tab w:leader="none" w:pos="54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auto"/>
        </w:rPr>
        <w:t>Page 11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to Adjusted EBITDA attributable to PAA and Implied DCF Reconciliation:</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0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6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6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r>
      <w:tr>
        <w:trPr>
          <w:trHeight w:val="220"/>
        </w:trPr>
        <w:tc>
          <w:tcPr>
            <w:tcW w:w="6300" w:type="dxa"/>
            <w:vAlign w:val="bottom"/>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Interest expense, net of certain items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2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20"/>
        </w:trPr>
        <w:tc>
          <w:tcPr>
            <w:tcW w:w="6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w:t>
            </w:r>
          </w:p>
        </w:tc>
      </w:tr>
      <w:tr>
        <w:trPr>
          <w:trHeight w:val="22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(Gains)/losses on asset sales, net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20"/>
        </w:trPr>
        <w:tc>
          <w:tcPr>
            <w:tcW w:w="6300" w:type="dxa"/>
            <w:vAlign w:val="bottom"/>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Depreciation and amortization of unconsolidated entities </w:t>
            </w:r>
            <w:r>
              <w:rPr>
                <w:rFonts w:ascii="Times New Roman" w:cs="Times New Roman" w:eastAsia="Times New Roman" w:hAnsi="Times New Roman"/>
                <w:sz w:val="21"/>
                <w:szCs w:val="21"/>
                <w:color w:val="auto"/>
                <w:vertAlign w:val="superscript"/>
              </w:rPr>
              <w:t>(2)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0"/>
        </w:trPr>
        <w:tc>
          <w:tcPr>
            <w:tcW w:w="630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Selected items impacting comparability - Adjusted EBITDA </w:t>
            </w:r>
            <w:r>
              <w:rPr>
                <w:rFonts w:ascii="Times New Roman" w:cs="Times New Roman" w:eastAsia="Times New Roman" w:hAnsi="Times New Roman"/>
                <w:sz w:val="21"/>
                <w:szCs w:val="21"/>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1,654</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w:t>
            </w:r>
          </w:p>
        </w:tc>
      </w:tr>
      <w:tr>
        <w:trPr>
          <w:trHeight w:val="22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EBITDA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13"/>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EBITDA attributable to PAA</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1,312</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1"/>
        </w:trPr>
        <w:tc>
          <w:tcPr>
            <w:tcW w:w="6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220"/>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1,654</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w:t>
            </w:r>
          </w:p>
        </w:tc>
      </w:tr>
      <w:tr>
        <w:trPr>
          <w:trHeight w:val="220"/>
        </w:trPr>
        <w:tc>
          <w:tcPr>
            <w:tcW w:w="630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Interest expense, net of certain non-cash and other items </w:t>
            </w:r>
            <w:r>
              <w:rPr>
                <w:rFonts w:ascii="Times New Roman" w:cs="Times New Roman" w:eastAsia="Times New Roman" w:hAnsi="Times New Roman"/>
                <w:sz w:val="21"/>
                <w:szCs w:val="21"/>
                <w:color w:val="auto"/>
                <w:vertAlign w:val="superscript"/>
              </w:rPr>
              <w:t>(4)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20"/>
        </w:trPr>
        <w:tc>
          <w:tcPr>
            <w:tcW w:w="6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Maintenance capital</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20"/>
        </w:trPr>
        <w:tc>
          <w:tcPr>
            <w:tcW w:w="630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Investment capital of noncontrolling interests </w:t>
            </w:r>
            <w:r>
              <w:rPr>
                <w:rFonts w:ascii="Times New Roman" w:cs="Times New Roman" w:eastAsia="Times New Roman" w:hAnsi="Times New Roman"/>
                <w:sz w:val="21"/>
                <w:szCs w:val="21"/>
                <w:color w:val="auto"/>
                <w:vertAlign w:val="superscript"/>
              </w:rPr>
              <w:t>(5)</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20"/>
        </w:trPr>
        <w:tc>
          <w:tcPr>
            <w:tcW w:w="6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20"/>
        </w:trPr>
        <w:tc>
          <w:tcPr>
            <w:tcW w:w="630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Distributions from unconsolidated entities in excess of/(less than) adjusted equity earnings </w:t>
            </w:r>
            <w:r>
              <w:rPr>
                <w:rFonts w:ascii="Times New Roman" w:cs="Times New Roman" w:eastAsia="Times New Roman" w:hAnsi="Times New Roman"/>
                <w:sz w:val="21"/>
                <w:szCs w:val="21"/>
                <w:color w:val="auto"/>
                <w:vertAlign w:val="superscript"/>
              </w:rPr>
              <w:t>(6)</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0"/>
        </w:trPr>
        <w:tc>
          <w:tcPr>
            <w:tcW w:w="6300" w:type="dxa"/>
            <w:vAlign w:val="bottom"/>
            <w:tcBorders>
              <w:bottom w:val="single" w:sz="8" w:color="CCEEFF"/>
            </w:tcBorders>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Distributions to noncontrolling interests </w:t>
            </w:r>
            <w:r>
              <w:rPr>
                <w:rFonts w:ascii="Times New Roman" w:cs="Times New Roman" w:eastAsia="Times New Roman" w:hAnsi="Times New Roman"/>
                <w:sz w:val="21"/>
                <w:szCs w:val="21"/>
                <w:color w:val="auto"/>
                <w:vertAlign w:val="superscript"/>
              </w:rPr>
              <w:t>(7)</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1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Implied DCF</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w:t>
            </w:r>
          </w:p>
        </w:tc>
      </w:tr>
      <w:tr>
        <w:trPr>
          <w:trHeight w:val="220"/>
        </w:trPr>
        <w:tc>
          <w:tcPr>
            <w:tcW w:w="6300" w:type="dxa"/>
            <w:vAlign w:val="bottom"/>
            <w:tcBorders>
              <w:bottom w:val="single" w:sz="8" w:color="CCEEFF"/>
            </w:tcBorders>
          </w:tcPr>
          <w:p>
            <w:pPr>
              <w:ind w:left="180"/>
              <w:spacing w:after="0" w:line="220" w:lineRule="exact"/>
              <w:rPr>
                <w:sz w:val="20"/>
                <w:szCs w:val="20"/>
                <w:color w:val="auto"/>
              </w:rPr>
            </w:pPr>
            <w:r>
              <w:rPr>
                <w:rFonts w:ascii="Times New Roman" w:cs="Times New Roman" w:eastAsia="Times New Roman" w:hAnsi="Times New Roman"/>
                <w:sz w:val="16"/>
                <w:szCs w:val="16"/>
                <w:color w:val="auto"/>
              </w:rPr>
              <w:t xml:space="preserve">Preferred unit distributions paid </w:t>
            </w:r>
            <w:r>
              <w:rPr>
                <w:rFonts w:ascii="Times New Roman" w:cs="Times New Roman" w:eastAsia="Times New Roman" w:hAnsi="Times New Roman"/>
                <w:sz w:val="21"/>
                <w:szCs w:val="21"/>
                <w:color w:val="auto"/>
                <w:vertAlign w:val="superscript"/>
              </w:rPr>
              <w:t>(7)</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3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Implied DCF Available to Common Unitholders</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6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2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r>
      <w:tr>
        <w:trPr>
          <w:trHeight w:val="220"/>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and Common Unit Equivalents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w:t>
            </w:r>
          </w:p>
        </w:tc>
      </w:tr>
      <w:tr>
        <w:trPr>
          <w:trHeight w:val="155"/>
        </w:trPr>
        <w:tc>
          <w:tcPr>
            <w:tcW w:w="6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220"/>
        </w:trPr>
        <w:tc>
          <w:tcPr>
            <w:tcW w:w="6300" w:type="dxa"/>
            <w:vAlign w:val="bottom"/>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Implied DCF per Common Unit </w:t>
            </w:r>
            <w:r>
              <w:rPr>
                <w:rFonts w:ascii="Times New Roman" w:cs="Times New Roman" w:eastAsia="Times New Roman" w:hAnsi="Times New Roman"/>
                <w:sz w:val="21"/>
                <w:szCs w:val="21"/>
                <w:color w:val="auto"/>
                <w:vertAlign w:val="superscript"/>
              </w:rPr>
              <w:t>(8)</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20"/>
        </w:trPr>
        <w:tc>
          <w:tcPr>
            <w:tcW w:w="63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Implied DCF per Common Unit and Common Unit Equivalent </w:t>
            </w:r>
            <w:r>
              <w:rPr>
                <w:rFonts w:ascii="Times New Roman" w:cs="Times New Roman" w:eastAsia="Times New Roman" w:hAnsi="Times New Roman"/>
                <w:sz w:val="21"/>
                <w:szCs w:val="21"/>
                <w:color w:val="auto"/>
                <w:vertAlign w:val="superscript"/>
              </w:rPr>
              <w:t>(9)</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155"/>
        </w:trPr>
        <w:tc>
          <w:tcPr>
            <w:tcW w:w="6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2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Distribution Paid per Common Unit</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0.6350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0.5350</w:t>
            </w:r>
          </w:p>
        </w:tc>
      </w:tr>
      <w:tr>
        <w:trPr>
          <w:trHeight w:val="220"/>
        </w:trPr>
        <w:tc>
          <w:tcPr>
            <w:tcW w:w="6300" w:type="dxa"/>
            <w:vAlign w:val="bottom"/>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Common Unit Cash Distributions </w:t>
            </w:r>
            <w:r>
              <w:rPr>
                <w:rFonts w:ascii="Times New Roman" w:cs="Times New Roman" w:eastAsia="Times New Roman" w:hAnsi="Times New Roman"/>
                <w:sz w:val="21"/>
                <w:szCs w:val="21"/>
                <w:color w:val="auto"/>
                <w:vertAlign w:val="superscript"/>
              </w:rPr>
              <w:t>(7)</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w:t>
            </w:r>
          </w:p>
        </w:tc>
      </w:tr>
      <w:tr>
        <w:trPr>
          <w:trHeight w:val="22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Unit Distribution Coverage Ratio</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1.81x</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1.98x</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1.96x</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2.18x</w:t>
            </w:r>
          </w:p>
        </w:tc>
      </w:tr>
      <w:tr>
        <w:trPr>
          <w:trHeight w:val="155"/>
        </w:trPr>
        <w:tc>
          <w:tcPr>
            <w:tcW w:w="6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2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Implied DCF Excess</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24612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197" w:lineRule="exact"/>
        <w:rPr>
          <w:sz w:val="20"/>
          <w:szCs w:val="20"/>
          <w:color w:val="auto"/>
        </w:rPr>
      </w:pPr>
    </w:p>
    <w:p>
      <w:pPr>
        <w:ind w:left="300" w:hanging="297"/>
        <w:spacing w:after="0"/>
        <w:tabs>
          <w:tab w:leader="none" w:pos="30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“Interest expense, net” as reported on our Condensed Consolidated Statements of Operations, net of interest income associated with promissory notes between and amongst PAA and related entities.</w:t>
      </w:r>
    </w:p>
    <w:p>
      <w:pPr>
        <w:spacing w:after="0" w:line="1" w:lineRule="exact"/>
        <w:rPr>
          <w:rFonts w:ascii="Times New Roman" w:cs="Times New Roman" w:eastAsia="Times New Roman" w:hAnsi="Times New Roman"/>
          <w:sz w:val="17"/>
          <w:szCs w:val="17"/>
          <w:color w:val="auto"/>
          <w:vertAlign w:val="superscript"/>
        </w:rPr>
      </w:pPr>
    </w:p>
    <w:p>
      <w:pPr>
        <w:ind w:left="300" w:hanging="297"/>
        <w:spacing w:after="0" w:line="187" w:lineRule="auto"/>
        <w:tabs>
          <w:tab w:leader="none" w:pos="30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Adjustment to exclude our proportionate share of depreciation and amortization expense (including write-downs related to cancelled projects and impairments) of unconsolidated entities.</w:t>
      </w:r>
    </w:p>
    <w:p>
      <w:pPr>
        <w:spacing w:after="0" w:line="41" w:lineRule="exact"/>
        <w:rPr>
          <w:rFonts w:ascii="Times New Roman" w:cs="Times New Roman" w:eastAsia="Times New Roman" w:hAnsi="Times New Roman"/>
          <w:sz w:val="17"/>
          <w:szCs w:val="17"/>
          <w:color w:val="auto"/>
          <w:vertAlign w:val="superscript"/>
        </w:rPr>
      </w:pPr>
    </w:p>
    <w:p>
      <w:pPr>
        <w:ind w:left="300" w:hanging="297"/>
        <w:spacing w:after="0" w:line="187" w:lineRule="auto"/>
        <w:tabs>
          <w:tab w:leader="none" w:pos="30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the “Selected Items Impacting Comparability” table for additional information.</w:t>
      </w:r>
    </w:p>
    <w:p>
      <w:pPr>
        <w:spacing w:after="0" w:line="28" w:lineRule="exact"/>
        <w:rPr>
          <w:rFonts w:ascii="Times New Roman" w:cs="Times New Roman" w:eastAsia="Times New Roman" w:hAnsi="Times New Roman"/>
          <w:sz w:val="17"/>
          <w:szCs w:val="17"/>
          <w:color w:val="auto"/>
          <w:vertAlign w:val="superscript"/>
        </w:rPr>
      </w:pPr>
    </w:p>
    <w:p>
      <w:pPr>
        <w:ind w:left="320" w:right="180" w:hanging="317"/>
        <w:spacing w:after="0" w:line="214" w:lineRule="auto"/>
        <w:tabs>
          <w:tab w:leader="none" w:pos="314"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Excludes certain non-cash items impacting interest expense such as amortization of debt issuance costs and terminated interest rate swaps, as well as interest income associated with promissory notes between and amongst PAA and related entities.</w:t>
      </w:r>
    </w:p>
    <w:p>
      <w:pPr>
        <w:ind w:left="300" w:hanging="297"/>
        <w:spacing w:after="0" w:line="237" w:lineRule="auto"/>
        <w:tabs>
          <w:tab w:leader="none" w:pos="30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Investment capital expenditures attributable to noncontrolling interests that reduce Implied DCF available to PAA common unitholders.</w:t>
      </w:r>
    </w:p>
    <w:p>
      <w:pPr>
        <w:spacing w:after="0" w:line="41" w:lineRule="exact"/>
        <w:rPr>
          <w:rFonts w:ascii="Times New Roman" w:cs="Times New Roman" w:eastAsia="Times New Roman" w:hAnsi="Times New Roman"/>
          <w:sz w:val="17"/>
          <w:szCs w:val="17"/>
          <w:color w:val="auto"/>
          <w:vertAlign w:val="superscript"/>
        </w:rPr>
      </w:pPr>
    </w:p>
    <w:p>
      <w:pPr>
        <w:ind w:left="320" w:hanging="317"/>
        <w:spacing w:after="0" w:line="214" w:lineRule="auto"/>
        <w:tabs>
          <w:tab w:leader="none" w:pos="314"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ind w:left="300" w:hanging="297"/>
        <w:spacing w:after="0" w:line="222" w:lineRule="auto"/>
        <w:tabs>
          <w:tab w:leader="none" w:pos="30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Cash distributions paid during the period presented.</w:t>
      </w:r>
    </w:p>
    <w:p>
      <w:pPr>
        <w:spacing w:after="0" w:line="40" w:lineRule="exact"/>
        <w:rPr>
          <w:rFonts w:ascii="Times New Roman" w:cs="Times New Roman" w:eastAsia="Times New Roman" w:hAnsi="Times New Roman"/>
          <w:sz w:val="17"/>
          <w:szCs w:val="17"/>
          <w:color w:val="auto"/>
          <w:vertAlign w:val="superscript"/>
        </w:rPr>
      </w:pPr>
    </w:p>
    <w:p>
      <w:pPr>
        <w:ind w:left="300" w:hanging="297"/>
        <w:spacing w:after="0" w:line="187" w:lineRule="auto"/>
        <w:tabs>
          <w:tab w:leader="none" w:pos="30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Implied DCF Available to Common Unitholders for the period divided by the weighted average common units outstanding for the period.</w:t>
      </w:r>
    </w:p>
    <w:p>
      <w:pPr>
        <w:spacing w:after="0" w:line="41" w:lineRule="exact"/>
        <w:rPr>
          <w:rFonts w:ascii="Times New Roman" w:cs="Times New Roman" w:eastAsia="Times New Roman" w:hAnsi="Times New Roman"/>
          <w:sz w:val="17"/>
          <w:szCs w:val="17"/>
          <w:color w:val="auto"/>
          <w:vertAlign w:val="superscript"/>
        </w:rPr>
      </w:pPr>
    </w:p>
    <w:p>
      <w:pPr>
        <w:ind w:left="320" w:right="260" w:hanging="317"/>
        <w:spacing w:after="0" w:line="224" w:lineRule="auto"/>
        <w:tabs>
          <w:tab w:leader="none" w:pos="314"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257" w:lineRule="exact"/>
        <w:rPr>
          <w:rFonts w:ascii="Times New Roman" w:cs="Times New Roman" w:eastAsia="Times New Roman" w:hAnsi="Times New Roman"/>
          <w:sz w:val="17"/>
          <w:szCs w:val="17"/>
          <w:color w:val="auto"/>
          <w:vertAlign w:val="superscript"/>
        </w:rPr>
      </w:pPr>
    </w:p>
    <w:p>
      <w:pPr>
        <w:ind w:left="5440" w:hanging="93"/>
        <w:spacing w:after="0"/>
        <w:tabs>
          <w:tab w:leader="none" w:pos="54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auto"/>
        </w:rPr>
        <w:t>Page 12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Per Common Unit to Implied DCF Per Common Unit and Common Unit Equivalent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940" w:type="dxa"/>
            <w:vAlign w:val="bottom"/>
            <w:gridSpan w:val="4"/>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8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60" w:type="dxa"/>
            <w:vAlign w:val="bottom"/>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60" w:type="dxa"/>
            <w:vAlign w:val="bottom"/>
          </w:tcPr>
          <w:p>
            <w:pPr>
              <w:spacing w:after="0"/>
              <w:rPr>
                <w:sz w:val="18"/>
                <w:szCs w:val="18"/>
                <w:color w:val="auto"/>
              </w:rPr>
            </w:pPr>
          </w:p>
        </w:tc>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unit</w:t>
            </w:r>
          </w:p>
        </w:tc>
        <w:tc>
          <w:tcPr>
            <w:tcW w:w="7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0.84</w:t>
            </w:r>
          </w:p>
        </w:tc>
      </w:tr>
      <w:tr>
        <w:trPr>
          <w:trHeight w:val="220"/>
        </w:trPr>
        <w:tc>
          <w:tcPr>
            <w:tcW w:w="60" w:type="dxa"/>
            <w:vAlign w:val="bottom"/>
          </w:tcPr>
          <w:p>
            <w:pPr>
              <w:spacing w:after="0"/>
              <w:rPr>
                <w:sz w:val="19"/>
                <w:szCs w:val="19"/>
                <w:color w:val="auto"/>
              </w:rPr>
            </w:pPr>
          </w:p>
        </w:tc>
        <w:tc>
          <w:tcPr>
            <w:tcW w:w="61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w:t>
            </w:r>
            <w:r>
              <w:rPr>
                <w:rFonts w:ascii="Times New Roman" w:cs="Times New Roman" w:eastAsia="Times New Roman" w:hAnsi="Times New Roman"/>
                <w:sz w:val="22"/>
                <w:szCs w:val="22"/>
                <w:color w:val="auto"/>
                <w:vertAlign w:val="superscript"/>
              </w:rPr>
              <w:t>(1) (2)</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0.33</w:t>
            </w:r>
          </w:p>
        </w:tc>
      </w:tr>
      <w:tr>
        <w:trPr>
          <w:trHeight w:val="238"/>
        </w:trPr>
        <w:tc>
          <w:tcPr>
            <w:tcW w:w="60" w:type="dxa"/>
            <w:vAlign w:val="bottom"/>
          </w:tcPr>
          <w:p>
            <w:pPr>
              <w:spacing w:after="0"/>
              <w:rPr>
                <w:sz w:val="20"/>
                <w:szCs w:val="20"/>
                <w:color w:val="auto"/>
              </w:rPr>
            </w:pPr>
          </w:p>
        </w:tc>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w:t>
            </w:r>
          </w:p>
        </w:tc>
        <w:tc>
          <w:tcPr>
            <w:tcW w:w="72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0"/>
        </w:trPr>
        <w:tc>
          <w:tcPr>
            <w:tcW w:w="60" w:type="dxa"/>
            <w:vAlign w:val="bottom"/>
          </w:tcPr>
          <w:p>
            <w:pPr>
              <w:spacing w:after="0"/>
              <w:rPr>
                <w:sz w:val="19"/>
                <w:szCs w:val="19"/>
                <w:color w:val="auto"/>
              </w:rPr>
            </w:pPr>
          </w:p>
        </w:tc>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unit</w:t>
            </w:r>
          </w:p>
        </w:tc>
        <w:tc>
          <w:tcPr>
            <w:tcW w:w="7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0.84</w:t>
            </w:r>
          </w:p>
        </w:tc>
      </w:tr>
      <w:tr>
        <w:trPr>
          <w:trHeight w:val="220"/>
        </w:trPr>
        <w:tc>
          <w:tcPr>
            <w:tcW w:w="60" w:type="dxa"/>
            <w:vAlign w:val="bottom"/>
          </w:tcPr>
          <w:p>
            <w:pPr>
              <w:spacing w:after="0"/>
              <w:rPr>
                <w:sz w:val="19"/>
                <w:szCs w:val="19"/>
                <w:color w:val="auto"/>
              </w:rPr>
            </w:pPr>
          </w:p>
        </w:tc>
        <w:tc>
          <w:tcPr>
            <w:tcW w:w="61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and common unit equivalent </w:t>
            </w:r>
            <w:r>
              <w:rPr>
                <w:rFonts w:ascii="Times New Roman" w:cs="Times New Roman" w:eastAsia="Times New Roman" w:hAnsi="Times New Roman"/>
                <w:sz w:val="22"/>
                <w:szCs w:val="22"/>
                <w:color w:val="auto"/>
                <w:vertAlign w:val="superscript"/>
              </w:rPr>
              <w:t>(1) (3)</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0.32</w:t>
            </w:r>
          </w:p>
        </w:tc>
      </w:tr>
      <w:tr>
        <w:trPr>
          <w:trHeight w:val="238"/>
        </w:trPr>
        <w:tc>
          <w:tcPr>
            <w:tcW w:w="60" w:type="dxa"/>
            <w:vAlign w:val="bottom"/>
          </w:tcPr>
          <w:p>
            <w:pPr>
              <w:spacing w:after="0"/>
              <w:rPr>
                <w:sz w:val="20"/>
                <w:szCs w:val="20"/>
                <w:color w:val="auto"/>
              </w:rPr>
            </w:pPr>
          </w:p>
        </w:tc>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72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6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2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pacing w:after="0" w:line="126" w:lineRule="exact"/>
        <w:rPr>
          <w:sz w:val="20"/>
          <w:szCs w:val="20"/>
          <w:color w:val="auto"/>
        </w:rPr>
      </w:pPr>
    </w:p>
    <w:p>
      <w:pPr>
        <w:ind w:left="320" w:hanging="317"/>
        <w:spacing w:after="0" w:line="230" w:lineRule="auto"/>
        <w:tabs>
          <w:tab w:leader="none" w:pos="308"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to Net Income to calculate Implied DCF Available to Common Unitholders. See the “Net Income to Adjusted EBITDA attributable to PAA and Implied DCF Reconciliation” table for additional information.</w:t>
      </w:r>
    </w:p>
    <w:p>
      <w:pPr>
        <w:spacing w:after="0" w:line="5"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 of 701 million, 698 million, 701 million and 698 million, respectively.</w:t>
      </w:r>
    </w:p>
    <w:p>
      <w:pPr>
        <w:spacing w:after="0" w:line="52" w:lineRule="exact"/>
        <w:rPr>
          <w:rFonts w:ascii="Times New Roman" w:cs="Times New Roman" w:eastAsia="Times New Roman" w:hAnsi="Times New Roman"/>
          <w:sz w:val="22"/>
          <w:szCs w:val="22"/>
          <w:color w:val="auto"/>
          <w:vertAlign w:val="superscript"/>
        </w:rPr>
      </w:pPr>
    </w:p>
    <w:p>
      <w:pPr>
        <w:ind w:left="320" w:right="80" w:hanging="317"/>
        <w:spacing w:after="0" w:line="220" w:lineRule="auto"/>
        <w:tabs>
          <w:tab w:leader="none" w:pos="308"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 as well as weighted average Series A preferred units outstanding of 71 million for each of the periods presented.</w:t>
      </w:r>
    </w:p>
    <w:p>
      <w:pPr>
        <w:spacing w:after="0" w:line="152"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auto"/>
        </w:rPr>
        <w:t>Page 13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 to Non-GAAP Financial Liquidity Measures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00" w:type="dxa"/>
            <w:vAlign w:val="bottom"/>
            <w:gridSpan w:val="4"/>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60" w:type="dxa"/>
            <w:vAlign w:val="bottom"/>
            <w:gridSpan w:val="4"/>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6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7"/>
                <w:szCs w:val="17"/>
                <w:color w:val="auto"/>
              </w:rPr>
              <w:t>Adjustments to reconcile Net cash provided by operating activities to Adjusted Free Cash</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Flow:</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(157)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contributions from noncontrolling interests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6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Cash distributions paid to noncontrolling interests </w:t>
            </w:r>
            <w:r>
              <w:rPr>
                <w:rFonts w:ascii="Times New Roman" w:cs="Times New Roman" w:eastAsia="Times New Roman" w:hAnsi="Times New Roman"/>
                <w:sz w:val="22"/>
                <w:szCs w:val="22"/>
                <w:color w:val="auto"/>
                <w:vertAlign w:val="superscript"/>
              </w:rPr>
              <w:t>(1)</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(2)</w:t>
            </w:r>
          </w:p>
        </w:tc>
        <w:tc>
          <w:tcPr>
            <w:tcW w:w="7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60" w:type="dxa"/>
            <w:vAlign w:val="bottom"/>
            <w:gridSpan w:val="2"/>
            <w:shd w:val="clear" w:color="auto" w:fill="CCEEFF"/>
          </w:tcPr>
          <w:p>
            <w:pPr>
              <w:ind w:left="120"/>
              <w:spacing w:after="0" w:line="211"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(3)</w:t>
            </w: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(286)</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w:t>
            </w:r>
            <w:r>
              <w:rPr>
                <w:rFonts w:ascii="Times New Roman" w:cs="Times New Roman" w:eastAsia="Times New Roman" w:hAnsi="Times New Roman"/>
                <w:sz w:val="22"/>
                <w:szCs w:val="22"/>
                <w:color w:val="auto"/>
                <w:vertAlign w:val="superscript"/>
              </w:rPr>
              <w:t>(2) (4)</w:t>
            </w:r>
          </w:p>
        </w:tc>
        <w:tc>
          <w:tcPr>
            <w:tcW w:w="7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00" w:type="dxa"/>
            <w:vAlign w:val="bottom"/>
            <w:gridSpan w:val="4"/>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4"/>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(2)</w:t>
            </w: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60" w:type="dxa"/>
            <w:vAlign w:val="bottom"/>
            <w:tcBorders>
              <w:bottom w:val="single" w:sz="8" w:color="CCEEFF"/>
            </w:tcBorders>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Changes in assets and liabilities, net of acquisitions </w:t>
            </w:r>
            <w:r>
              <w:rPr>
                <w:rFonts w:ascii="Times New Roman" w:cs="Times New Roman" w:eastAsia="Times New Roman" w:hAnsi="Times New Roman"/>
                <w:sz w:val="22"/>
                <w:szCs w:val="22"/>
                <w:color w:val="auto"/>
                <w:vertAlign w:val="superscript"/>
              </w:rPr>
              <w:t>(5)</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26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(Excluding Changes in Assets &amp; Liabilities) </w:t>
            </w:r>
            <w:r>
              <w:rPr>
                <w:rFonts w:ascii="Times New Roman" w:cs="Times New Roman" w:eastAsia="Times New Roman" w:hAnsi="Times New Roman"/>
                <w:sz w:val="22"/>
                <w:szCs w:val="22"/>
                <w:color w:val="auto"/>
                <w:vertAlign w:val="superscript"/>
              </w:rPr>
              <w:t>(6)</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CCEEFF"/>
              <w:bottom w:val="single" w:sz="8" w:color="CCEEFF"/>
            </w:tcBorders>
            <w:gridSpan w:val="2"/>
            <w:vMerge w:val="restart"/>
          </w:tcPr>
          <w:p>
            <w:pPr>
              <w:ind w:left="120"/>
              <w:spacing w:after="0" w:line="231"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(3)</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260" w:type="dxa"/>
            <w:vAlign w:val="bottom"/>
            <w:tcBorders>
              <w:bottom w:val="single" w:sz="8" w:color="CCEEFF"/>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7"/>
              </w:rPr>
              <w:t>(286)</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(246)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(572)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Adjusted Free Cash Flow after Distributions (Excluding Changes in Assets &amp; Liabilities)</w:t>
            </w:r>
          </w:p>
        </w:tc>
        <w:tc>
          <w:tcPr>
            <w:tcW w:w="740" w:type="dxa"/>
            <w:vAlign w:val="bottom"/>
            <w:vMerge w:val="restart"/>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(6)</w:t>
            </w:r>
          </w:p>
        </w:tc>
        <w:tc>
          <w:tcPr>
            <w:tcW w:w="24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7"/>
        <w:spacing w:after="0"/>
        <w:tabs>
          <w:tab w:leader="none" w:pos="30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48" w:lineRule="exact"/>
        <w:rPr>
          <w:rFonts w:ascii="Times New Roman" w:cs="Times New Roman" w:eastAsia="Times New Roman" w:hAnsi="Times New Roman"/>
          <w:sz w:val="20"/>
          <w:szCs w:val="20"/>
          <w:color w:val="auto"/>
          <w:vertAlign w:val="superscript"/>
        </w:rPr>
      </w:pPr>
    </w:p>
    <w:p>
      <w:pPr>
        <w:ind w:left="320" w:right="220" w:hanging="317"/>
        <w:spacing w:after="0" w:line="219" w:lineRule="auto"/>
        <w:tabs>
          <w:tab w:leader="none" w:pos="308"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w:t>
      </w:r>
    </w:p>
    <w:p>
      <w:pPr>
        <w:spacing w:after="0" w:line="2"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61" w:lineRule="exact"/>
        <w:rPr>
          <w:rFonts w:ascii="Times New Roman" w:cs="Times New Roman" w:eastAsia="Times New Roman" w:hAnsi="Times New Roman"/>
          <w:sz w:val="20"/>
          <w:szCs w:val="20"/>
          <w:color w:val="auto"/>
          <w:vertAlign w:val="superscript"/>
        </w:rPr>
      </w:pPr>
    </w:p>
    <w:p>
      <w:pPr>
        <w:ind w:left="320" w:right="40" w:hanging="317"/>
        <w:spacing w:after="0" w:line="219" w:lineRule="auto"/>
        <w:tabs>
          <w:tab w:leader="none" w:pos="308"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Excess Adjusted Free Cash Flow after Distributions is retained to establish reserves for future distributions, capital expenditures, debt reduction and other partnership purposes. Adjusted Free Cash Flow after Distributions shortages may be funded from previously established reserves, cash on hand or from borrowings under our credit facilities or commercial paper program.</w:t>
      </w:r>
    </w:p>
    <w:p>
      <w:pPr>
        <w:spacing w:after="0" w:line="15"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“Condensed Consolidated Statements of Cash Flows” table.</w:t>
      </w:r>
    </w:p>
    <w:p>
      <w:pPr>
        <w:spacing w:after="0" w:line="48" w:lineRule="exact"/>
        <w:rPr>
          <w:rFonts w:ascii="Times New Roman" w:cs="Times New Roman" w:eastAsia="Times New Roman" w:hAnsi="Times New Roman"/>
          <w:sz w:val="20"/>
          <w:szCs w:val="20"/>
          <w:color w:val="auto"/>
          <w:vertAlign w:val="superscript"/>
        </w:rPr>
      </w:pPr>
    </w:p>
    <w:p>
      <w:pPr>
        <w:ind w:left="320" w:right="20" w:hanging="317"/>
        <w:spacing w:after="0" w:line="224" w:lineRule="auto"/>
        <w:tabs>
          <w:tab w:leader="none" w:pos="308"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auto"/>
        </w:rPr>
        <w:t>Page 14</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ITEMS IMPACTING COMPARABILITY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20" w:type="dxa"/>
            <w:vAlign w:val="bottom"/>
            <w:gridSpan w:val="4"/>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60" w:type="dxa"/>
            <w:vAlign w:val="bottom"/>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60" w:type="dxa"/>
            <w:vAlign w:val="bottom"/>
          </w:tcPr>
          <w:p>
            <w:pPr>
              <w:spacing w:after="0"/>
              <w:rPr>
                <w:sz w:val="17"/>
                <w:szCs w:val="17"/>
                <w:color w:val="auto"/>
              </w:rPr>
            </w:pPr>
          </w:p>
        </w:tc>
        <w:tc>
          <w:tcPr>
            <w:tcW w:w="628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6"/>
                <w:szCs w:val="16"/>
                <w:b w:val="1"/>
                <w:bCs w:val="1"/>
                <w:color w:val="auto"/>
              </w:rPr>
              <w:t xml:space="preserve">Selected Items Impacting Comparability: </w:t>
            </w:r>
            <w:r>
              <w:rPr>
                <w:rFonts w:ascii="Times New Roman" w:cs="Times New Roman" w:eastAsia="Times New Roman" w:hAnsi="Times New Roman"/>
                <w:sz w:val="21"/>
                <w:szCs w:val="21"/>
                <w:b w:val="1"/>
                <w:bCs w:val="1"/>
                <w:color w:val="auto"/>
                <w:vertAlign w:val="superscript"/>
              </w:rPr>
              <w:t>(1)</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0"/>
        </w:trPr>
        <w:tc>
          <w:tcPr>
            <w:tcW w:w="60" w:type="dxa"/>
            <w:vAlign w:val="bottom"/>
          </w:tcPr>
          <w:p>
            <w:pPr>
              <w:spacing w:after="0"/>
              <w:rPr>
                <w:sz w:val="19"/>
                <w:szCs w:val="19"/>
                <w:color w:val="auto"/>
              </w:rPr>
            </w:pPr>
          </w:p>
        </w:tc>
        <w:tc>
          <w:tcPr>
            <w:tcW w:w="6280" w:type="dxa"/>
            <w:vAlign w:val="bottom"/>
            <w:gridSpan w:val="2"/>
          </w:tcPr>
          <w:p>
            <w:pPr>
              <w:spacing w:after="0" w:line="220" w:lineRule="exact"/>
              <w:rPr>
                <w:sz w:val="20"/>
                <w:szCs w:val="20"/>
                <w:color w:val="auto"/>
              </w:rPr>
            </w:pPr>
            <w:r>
              <w:rPr>
                <w:rFonts w:ascii="Times New Roman" w:cs="Times New Roman" w:eastAsia="Times New Roman" w:hAnsi="Times New Roman"/>
                <w:sz w:val="16"/>
                <w:szCs w:val="16"/>
                <w:color w:val="auto"/>
              </w:rPr>
              <w:t xml:space="preserve">Derivative activities and inventory valuation adjustments </w:t>
            </w:r>
            <w:r>
              <w:rPr>
                <w:rFonts w:ascii="Times New Roman" w:cs="Times New Roman" w:eastAsia="Times New Roman" w:hAnsi="Times New Roman"/>
                <w:sz w:val="21"/>
                <w:szCs w:val="21"/>
                <w:color w:val="auto"/>
                <w:vertAlign w:val="superscript"/>
              </w:rPr>
              <w:t>(2)</w:t>
            </w:r>
          </w:p>
        </w:tc>
        <w:tc>
          <w:tcPr>
            <w:tcW w:w="780" w:type="dxa"/>
            <w:vAlign w:val="bottom"/>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9"/>
                <w:szCs w:val="19"/>
                <w:color w:val="auto"/>
              </w:rPr>
            </w:pP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9"/>
                <w:szCs w:val="19"/>
                <w:color w:val="auto"/>
              </w:rPr>
            </w:pPr>
          </w:p>
        </w:tc>
        <w:tc>
          <w:tcPr>
            <w:tcW w:w="2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9"/>
                <w:szCs w:val="19"/>
                <w:color w:val="auto"/>
              </w:rPr>
            </w:pP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20"/>
        </w:trPr>
        <w:tc>
          <w:tcPr>
            <w:tcW w:w="60" w:type="dxa"/>
            <w:vAlign w:val="bottom"/>
          </w:tcPr>
          <w:p>
            <w:pPr>
              <w:spacing w:after="0"/>
              <w:rPr>
                <w:sz w:val="19"/>
                <w:szCs w:val="19"/>
                <w:color w:val="auto"/>
              </w:rPr>
            </w:pPr>
          </w:p>
        </w:tc>
        <w:tc>
          <w:tcPr>
            <w:tcW w:w="62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16"/>
                <w:szCs w:val="16"/>
                <w:color w:val="auto"/>
              </w:rPr>
              <w:t xml:space="preserve">Long-term inventory costing adjustments </w:t>
            </w:r>
            <w:r>
              <w:rPr>
                <w:rFonts w:ascii="Times New Roman" w:cs="Times New Roman" w:eastAsia="Times New Roman" w:hAnsi="Times New Roman"/>
                <w:sz w:val="21"/>
                <w:szCs w:val="21"/>
                <w:color w:val="auto"/>
                <w:vertAlign w:val="superscript"/>
              </w:rPr>
              <w:t>(3)</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20"/>
        </w:trPr>
        <w:tc>
          <w:tcPr>
            <w:tcW w:w="60" w:type="dxa"/>
            <w:vAlign w:val="bottom"/>
          </w:tcPr>
          <w:p>
            <w:pPr>
              <w:spacing w:after="0"/>
              <w:rPr>
                <w:sz w:val="19"/>
                <w:szCs w:val="19"/>
                <w:color w:val="auto"/>
              </w:rPr>
            </w:pPr>
          </w:p>
        </w:tc>
        <w:tc>
          <w:tcPr>
            <w:tcW w:w="6280" w:type="dxa"/>
            <w:vAlign w:val="bottom"/>
            <w:gridSpan w:val="2"/>
          </w:tcPr>
          <w:p>
            <w:pPr>
              <w:spacing w:after="0" w:line="220" w:lineRule="exact"/>
              <w:rPr>
                <w:sz w:val="20"/>
                <w:szCs w:val="20"/>
                <w:color w:val="auto"/>
              </w:rPr>
            </w:pPr>
            <w:r>
              <w:rPr>
                <w:rFonts w:ascii="Times New Roman" w:cs="Times New Roman" w:eastAsia="Times New Roman" w:hAnsi="Times New Roman"/>
                <w:sz w:val="16"/>
                <w:szCs w:val="16"/>
                <w:color w:val="auto"/>
              </w:rPr>
              <w:t xml:space="preserve">Deficiencies under minimum volume commitments, net </w:t>
            </w:r>
            <w:r>
              <w:rPr>
                <w:rFonts w:ascii="Times New Roman" w:cs="Times New Roman" w:eastAsia="Times New Roman" w:hAnsi="Times New Roman"/>
                <w:sz w:val="21"/>
                <w:szCs w:val="21"/>
                <w:color w:val="auto"/>
                <w:vertAlign w:val="superscript"/>
              </w:rPr>
              <w:t>(4)</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20"/>
        </w:trPr>
        <w:tc>
          <w:tcPr>
            <w:tcW w:w="60" w:type="dxa"/>
            <w:vAlign w:val="bottom"/>
          </w:tcPr>
          <w:p>
            <w:pPr>
              <w:spacing w:after="0"/>
              <w:rPr>
                <w:sz w:val="19"/>
                <w:szCs w:val="19"/>
                <w:color w:val="auto"/>
              </w:rPr>
            </w:pPr>
          </w:p>
        </w:tc>
        <w:tc>
          <w:tcPr>
            <w:tcW w:w="62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16"/>
                <w:szCs w:val="16"/>
                <w:color w:val="auto"/>
              </w:rPr>
              <w:t xml:space="preserve">Equity-indexed compensation expense </w:t>
            </w:r>
            <w:r>
              <w:rPr>
                <w:rFonts w:ascii="Times New Roman" w:cs="Times New Roman" w:eastAsia="Times New Roman" w:hAnsi="Times New Roman"/>
                <w:sz w:val="21"/>
                <w:szCs w:val="21"/>
                <w:color w:val="auto"/>
                <w:vertAlign w:val="superscript"/>
              </w:rPr>
              <w:t>(5)</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20"/>
        </w:trPr>
        <w:tc>
          <w:tcPr>
            <w:tcW w:w="60" w:type="dxa"/>
            <w:vAlign w:val="bottom"/>
          </w:tcPr>
          <w:p>
            <w:pPr>
              <w:spacing w:after="0"/>
              <w:rPr>
                <w:sz w:val="19"/>
                <w:szCs w:val="19"/>
                <w:color w:val="auto"/>
              </w:rPr>
            </w:pPr>
          </w:p>
        </w:tc>
        <w:tc>
          <w:tcPr>
            <w:tcW w:w="6280" w:type="dxa"/>
            <w:vAlign w:val="bottom"/>
            <w:tcBorders>
              <w:bottom w:val="single" w:sz="8" w:color="CCEEFF"/>
            </w:tcBorders>
            <w:gridSpan w:val="2"/>
          </w:tcPr>
          <w:p>
            <w:pPr>
              <w:spacing w:after="0" w:line="220" w:lineRule="exact"/>
              <w:rPr>
                <w:sz w:val="20"/>
                <w:szCs w:val="20"/>
                <w:color w:val="auto"/>
              </w:rPr>
            </w:pPr>
            <w:r>
              <w:rPr>
                <w:rFonts w:ascii="Times New Roman" w:cs="Times New Roman" w:eastAsia="Times New Roman" w:hAnsi="Times New Roman"/>
                <w:sz w:val="16"/>
                <w:szCs w:val="16"/>
                <w:color w:val="auto"/>
              </w:rPr>
              <w:t xml:space="preserve">Foreign currency revaluation </w:t>
            </w:r>
            <w:r>
              <w:rPr>
                <w:rFonts w:ascii="Times New Roman" w:cs="Times New Roman" w:eastAsia="Times New Roman" w:hAnsi="Times New Roman"/>
                <w:sz w:val="21"/>
                <w:szCs w:val="21"/>
                <w:color w:val="auto"/>
                <w:vertAlign w:val="superscript"/>
              </w:rPr>
              <w:t>(6)</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60" w:type="dxa"/>
            <w:vAlign w:val="bottom"/>
          </w:tcPr>
          <w:p>
            <w:pPr>
              <w:spacing w:after="0"/>
              <w:rPr>
                <w:sz w:val="18"/>
                <w:szCs w:val="18"/>
                <w:color w:val="auto"/>
              </w:rPr>
            </w:pPr>
          </w:p>
        </w:tc>
        <w:tc>
          <w:tcPr>
            <w:tcW w:w="6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Selected items impacting comparability - Adjusted EBITDA</w:t>
            </w:r>
          </w:p>
        </w:tc>
        <w:tc>
          <w:tcPr>
            <w:tcW w:w="78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20"/>
        </w:trPr>
        <w:tc>
          <w:tcPr>
            <w:tcW w:w="6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Gains/(losses) on asset sales, net</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20"/>
        </w:trPr>
        <w:tc>
          <w:tcPr>
            <w:tcW w:w="60" w:type="dxa"/>
            <w:vAlign w:val="bottom"/>
          </w:tcPr>
          <w:p>
            <w:pPr>
              <w:spacing w:after="0"/>
              <w:rPr>
                <w:sz w:val="19"/>
                <w:szCs w:val="19"/>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effect on selected items impacting comparability</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7"/>
        </w:trPr>
        <w:tc>
          <w:tcPr>
            <w:tcW w:w="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Aggregate selected items impacting noncontrolling interests</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1"/>
        </w:trPr>
        <w:tc>
          <w:tcPr>
            <w:tcW w:w="60" w:type="dxa"/>
            <w:vAlign w:val="bottom"/>
          </w:tcPr>
          <w:p>
            <w:pPr>
              <w:spacing w:after="0"/>
              <w:rPr>
                <w:sz w:val="20"/>
                <w:szCs w:val="20"/>
                <w:color w:val="auto"/>
              </w:rPr>
            </w:pPr>
          </w:p>
        </w:tc>
        <w:tc>
          <w:tcPr>
            <w:tcW w:w="62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Selected items impacting comparability - Adjusted net income attributable to PAA</w:t>
            </w:r>
          </w:p>
        </w:tc>
        <w:tc>
          <w:tcPr>
            <w:tcW w:w="780" w:type="dxa"/>
            <w:vAlign w:val="bottom"/>
            <w:tcBorders>
              <w:top w:val="single" w:sz="8" w:color="auto"/>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6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c>
          <w:tcPr>
            <w:tcW w:w="2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73" w:lineRule="exact"/>
        <w:rPr>
          <w:sz w:val="20"/>
          <w:szCs w:val="20"/>
          <w:color w:val="auto"/>
        </w:rPr>
      </w:pPr>
    </w:p>
    <w:p>
      <w:pPr>
        <w:ind w:left="320" w:right="80" w:hanging="317"/>
        <w:spacing w:after="0" w:line="229" w:lineRule="auto"/>
        <w:tabs>
          <w:tab w:leader="none" w:pos="315"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tables for additional details on how these selected items impacting comparability affect such measures.</w:t>
      </w:r>
    </w:p>
    <w:p>
      <w:pPr>
        <w:spacing w:after="0" w:line="17" w:lineRule="exact"/>
        <w:rPr>
          <w:rFonts w:ascii="Times New Roman" w:cs="Times New Roman" w:eastAsia="Times New Roman" w:hAnsi="Times New Roman"/>
          <w:sz w:val="19"/>
          <w:szCs w:val="19"/>
          <w:color w:val="auto"/>
          <w:vertAlign w:val="superscript"/>
        </w:rPr>
      </w:pPr>
    </w:p>
    <w:p>
      <w:pPr>
        <w:ind w:left="320" w:hanging="317"/>
        <w:spacing w:after="0" w:line="239" w:lineRule="auto"/>
        <w:tabs>
          <w:tab w:leader="none" w:pos="315"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For applicable periods, we excluded gains and losses from the mark-to-market of the embedded derivative associated with the Preferred Distribution Rate Reset Option of our Series A preferred units.</w:t>
      </w:r>
    </w:p>
    <w:p>
      <w:pPr>
        <w:spacing w:after="0" w:line="18" w:lineRule="exact"/>
        <w:rPr>
          <w:rFonts w:ascii="Times New Roman" w:cs="Times New Roman" w:eastAsia="Times New Roman" w:hAnsi="Times New Roman"/>
          <w:sz w:val="19"/>
          <w:szCs w:val="19"/>
          <w:color w:val="auto"/>
          <w:vertAlign w:val="superscript"/>
        </w:rPr>
      </w:pPr>
    </w:p>
    <w:p>
      <w:pPr>
        <w:ind w:left="320" w:right="40" w:hanging="317"/>
        <w:spacing w:after="0" w:line="253" w:lineRule="auto"/>
        <w:tabs>
          <w:tab w:leader="none" w:pos="315"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9" w:lineRule="exact"/>
        <w:rPr>
          <w:rFonts w:ascii="Times New Roman" w:cs="Times New Roman" w:eastAsia="Times New Roman" w:hAnsi="Times New Roman"/>
          <w:sz w:val="18"/>
          <w:szCs w:val="18"/>
          <w:color w:val="auto"/>
          <w:vertAlign w:val="superscript"/>
        </w:rPr>
      </w:pPr>
    </w:p>
    <w:p>
      <w:pPr>
        <w:ind w:left="320" w:hanging="317"/>
        <w:spacing w:after="0"/>
        <w:tabs>
          <w:tab w:leader="none" w:pos="315"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6" w:lineRule="exact"/>
        <w:rPr>
          <w:rFonts w:ascii="Times New Roman" w:cs="Times New Roman" w:eastAsia="Times New Roman" w:hAnsi="Times New Roman"/>
          <w:sz w:val="19"/>
          <w:szCs w:val="19"/>
          <w:color w:val="auto"/>
          <w:vertAlign w:val="superscript"/>
        </w:rPr>
      </w:pPr>
    </w:p>
    <w:p>
      <w:pPr>
        <w:ind w:left="320" w:hanging="317"/>
        <w:spacing w:after="0" w:line="234" w:lineRule="auto"/>
        <w:tabs>
          <w:tab w:leader="none" w:pos="315"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18" w:lineRule="exact"/>
        <w:rPr>
          <w:rFonts w:ascii="Times New Roman" w:cs="Times New Roman" w:eastAsia="Times New Roman" w:hAnsi="Times New Roman"/>
          <w:sz w:val="19"/>
          <w:szCs w:val="19"/>
          <w:color w:val="auto"/>
          <w:vertAlign w:val="superscript"/>
        </w:rPr>
      </w:pPr>
    </w:p>
    <w:p>
      <w:pPr>
        <w:ind w:left="320" w:right="60" w:hanging="317"/>
        <w:spacing w:after="0" w:line="229" w:lineRule="auto"/>
        <w:tabs>
          <w:tab w:leader="none" w:pos="315"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160" w:lineRule="exact"/>
        <w:rPr>
          <w:rFonts w:ascii="Times New Roman" w:cs="Times New Roman" w:eastAsia="Times New Roman" w:hAnsi="Times New Roman"/>
          <w:sz w:val="19"/>
          <w:szCs w:val="19"/>
          <w:color w:val="auto"/>
          <w:vertAlign w:val="superscript"/>
        </w:rPr>
      </w:pPr>
    </w:p>
    <w:p>
      <w:pPr>
        <w:ind w:left="5440" w:hanging="93"/>
        <w:spacing w:after="0"/>
        <w:tabs>
          <w:tab w:leader="none" w:pos="544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auto"/>
        </w:rPr>
        <w:t>Page 15</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FINANCIAL DATA BY SEGMENT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24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780" w:type="dxa"/>
            <w:vAlign w:val="bottom"/>
            <w:tcBorders>
              <w:bottom w:val="single" w:sz="8" w:color="auto"/>
            </w:tcBorders>
          </w:tcPr>
          <w:p>
            <w:pPr>
              <w:spacing w:after="0"/>
              <w:rPr>
                <w:sz w:val="16"/>
                <w:szCs w:val="16"/>
                <w:color w:val="auto"/>
              </w:rPr>
            </w:pPr>
          </w:p>
        </w:tc>
      </w:tr>
      <w:tr>
        <w:trPr>
          <w:trHeight w:val="192"/>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400" w:type="dxa"/>
            <w:vAlign w:val="bottom"/>
          </w:tcPr>
          <w:p>
            <w:pPr>
              <w:spacing w:after="0"/>
              <w:rPr>
                <w:sz w:val="16"/>
                <w:szCs w:val="16"/>
                <w:color w:val="auto"/>
              </w:rPr>
            </w:pPr>
          </w:p>
        </w:tc>
        <w:tc>
          <w:tcPr>
            <w:tcW w:w="760" w:type="dxa"/>
            <w:vAlign w:val="bottom"/>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w w:val="98"/>
              </w:rPr>
              <w:t>NGL</w:t>
            </w:r>
          </w:p>
        </w:tc>
        <w:tc>
          <w:tcPr>
            <w:tcW w:w="2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380" w:type="dxa"/>
            <w:vAlign w:val="bottom"/>
          </w:tcPr>
          <w:p>
            <w:pPr>
              <w:spacing w:after="0"/>
              <w:rPr>
                <w:sz w:val="16"/>
                <w:szCs w:val="16"/>
                <w:color w:val="auto"/>
              </w:rPr>
            </w:pPr>
          </w:p>
        </w:tc>
        <w:tc>
          <w:tcPr>
            <w:tcW w:w="780" w:type="dxa"/>
            <w:vAlign w:val="bottom"/>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NGL</w:t>
            </w:r>
          </w:p>
        </w:tc>
      </w:tr>
      <w:tr>
        <w:trPr>
          <w:trHeight w:val="213"/>
        </w:trPr>
        <w:tc>
          <w:tcPr>
            <w:tcW w:w="6180" w:type="dxa"/>
            <w:vAlign w:val="bottom"/>
            <w:tcBorders>
              <w:top w:val="single" w:sz="8" w:color="CCEEFF"/>
            </w:tcBorders>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Purchases and related costs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(2)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3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618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attributable to noncontrolling interests </w:t>
            </w:r>
            <w:r>
              <w:rPr>
                <w:rFonts w:ascii="Times New Roman" w:cs="Times New Roman" w:eastAsia="Times New Roman" w:hAnsi="Times New Roman"/>
                <w:sz w:val="22"/>
                <w:szCs w:val="22"/>
                <w:color w:val="auto"/>
                <w:vertAlign w:val="superscript"/>
              </w:rPr>
              <w:t>(5)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6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5"/>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121"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63" w:lineRule="exact"/>
        <w:rPr>
          <w:sz w:val="20"/>
          <w:szCs w:val="20"/>
          <w:color w:val="auto"/>
        </w:rPr>
      </w:pPr>
    </w:p>
    <w:p>
      <w:pPr>
        <w:sectPr>
          <w:pgSz w:w="11900" w:h="16838" w:orient="portrait"/>
          <w:cols w:equalWidth="0" w:num="2">
            <w:col w:w="140" w:space="160"/>
            <w:col w:w="10940"/>
          </w:cols>
          <w:pgMar w:left="320" w:top="356" w:right="339" w:bottom="1440" w:gutter="0" w:footer="0" w:header="0"/>
          <w:type w:val="continuous"/>
        </w:sectPr>
      </w:pPr>
    </w:p>
    <w:p>
      <w:pPr>
        <w:ind w:left="320" w:right="580" w:hanging="317"/>
        <w:spacing w:after="0" w:line="230" w:lineRule="auto"/>
        <w:tabs>
          <w:tab w:leader="none" w:pos="30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5" w:lineRule="exact"/>
        <w:rPr>
          <w:rFonts w:ascii="Times New Roman" w:cs="Times New Roman" w:eastAsia="Times New Roman" w:hAnsi="Times New Roman"/>
          <w:sz w:val="22"/>
          <w:szCs w:val="22"/>
          <w:color w:val="auto"/>
          <w:vertAlign w:val="superscript"/>
        </w:rPr>
      </w:pPr>
    </w:p>
    <w:p>
      <w:pPr>
        <w:jc w:val="both"/>
        <w:ind w:left="320" w:right="180" w:hanging="317"/>
        <w:spacing w:after="0" w:line="237" w:lineRule="auto"/>
        <w:tabs>
          <w:tab w:leader="none" w:pos="30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amounts attributable to noncontrolling interests in the Permian JV, Cactus II Pipeline LLC (beginning November 2022) and Red River Pipeline LLC.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auto"/>
        </w:rPr>
        <w:t>Page 16</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FINANCIAL DATA BY SEGMENT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224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780" w:type="dxa"/>
            <w:vAlign w:val="bottom"/>
            <w:tcBorders>
              <w:bottom w:val="single" w:sz="8" w:color="auto"/>
            </w:tcBorders>
          </w:tcPr>
          <w:p>
            <w:pPr>
              <w:spacing w:after="0"/>
              <w:rPr>
                <w:sz w:val="16"/>
                <w:szCs w:val="16"/>
                <w:color w:val="auto"/>
              </w:rPr>
            </w:pPr>
          </w:p>
        </w:tc>
      </w:tr>
      <w:tr>
        <w:trPr>
          <w:trHeight w:val="192"/>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400" w:type="dxa"/>
            <w:vAlign w:val="bottom"/>
          </w:tcPr>
          <w:p>
            <w:pPr>
              <w:spacing w:after="0"/>
              <w:rPr>
                <w:sz w:val="16"/>
                <w:szCs w:val="16"/>
                <w:color w:val="auto"/>
              </w:rPr>
            </w:pPr>
          </w:p>
        </w:tc>
        <w:tc>
          <w:tcPr>
            <w:tcW w:w="760" w:type="dxa"/>
            <w:vAlign w:val="bottom"/>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w w:val="98"/>
              </w:rPr>
              <w:t>NGL</w:t>
            </w:r>
          </w:p>
        </w:tc>
        <w:tc>
          <w:tcPr>
            <w:tcW w:w="2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380" w:type="dxa"/>
            <w:vAlign w:val="bottom"/>
          </w:tcPr>
          <w:p>
            <w:pPr>
              <w:spacing w:after="0"/>
              <w:rPr>
                <w:sz w:val="16"/>
                <w:szCs w:val="16"/>
                <w:color w:val="auto"/>
              </w:rPr>
            </w:pPr>
          </w:p>
        </w:tc>
        <w:tc>
          <w:tcPr>
            <w:tcW w:w="780" w:type="dxa"/>
            <w:vAlign w:val="bottom"/>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NGL</w:t>
            </w:r>
          </w:p>
        </w:tc>
      </w:tr>
      <w:tr>
        <w:trPr>
          <w:trHeight w:val="213"/>
        </w:trPr>
        <w:tc>
          <w:tcPr>
            <w:tcW w:w="6180" w:type="dxa"/>
            <w:vAlign w:val="bottom"/>
            <w:tcBorders>
              <w:top w:val="single" w:sz="8" w:color="CCEEFF"/>
            </w:tcBorders>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24,317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23,053</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Purchases and related costs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(2)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3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618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Segment amounts attributable to noncontrolling interests </w:t>
            </w:r>
            <w:r>
              <w:rPr>
                <w:rFonts w:ascii="Times New Roman" w:cs="Times New Roman" w:eastAsia="Times New Roman" w:hAnsi="Times New Roman"/>
                <w:sz w:val="22"/>
                <w:szCs w:val="22"/>
                <w:color w:val="auto"/>
                <w:vertAlign w:val="superscript"/>
              </w:rPr>
              <w:t>(5)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6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5"/>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121"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63" w:lineRule="exact"/>
        <w:rPr>
          <w:sz w:val="20"/>
          <w:szCs w:val="20"/>
          <w:color w:val="auto"/>
        </w:rPr>
      </w:pPr>
    </w:p>
    <w:p>
      <w:pPr>
        <w:sectPr>
          <w:pgSz w:w="11900" w:h="16838" w:orient="portrait"/>
          <w:cols w:equalWidth="0" w:num="2">
            <w:col w:w="140" w:space="160"/>
            <w:col w:w="10940"/>
          </w:cols>
          <w:pgMar w:left="320" w:top="356" w:right="339" w:bottom="1440" w:gutter="0" w:footer="0" w:header="0"/>
          <w:type w:val="continuous"/>
        </w:sectPr>
      </w:pPr>
    </w:p>
    <w:p>
      <w:pPr>
        <w:ind w:left="320" w:right="580" w:hanging="317"/>
        <w:spacing w:after="0" w:line="230" w:lineRule="auto"/>
        <w:tabs>
          <w:tab w:leader="none" w:pos="3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5" w:lineRule="exact"/>
        <w:rPr>
          <w:rFonts w:ascii="Times New Roman" w:cs="Times New Roman" w:eastAsia="Times New Roman" w:hAnsi="Times New Roman"/>
          <w:sz w:val="22"/>
          <w:szCs w:val="22"/>
          <w:color w:val="auto"/>
          <w:vertAlign w:val="superscript"/>
        </w:rPr>
      </w:pPr>
    </w:p>
    <w:p>
      <w:pPr>
        <w:jc w:val="both"/>
        <w:ind w:left="320" w:right="180" w:hanging="317"/>
        <w:spacing w:after="0" w:line="237" w:lineRule="auto"/>
        <w:tabs>
          <w:tab w:leader="none" w:pos="3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amounts attributable to noncontrolling interests in the Permian JV, Cactus II Pipeline LLC and Red River Pipeline LLC.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auto"/>
        </w:rPr>
        <w:t>Page 17</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OPERATING DATA BY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4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r>
      <w:tr>
        <w:trPr>
          <w:trHeight w:val="188"/>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560" w:type="dxa"/>
            <w:vAlign w:val="bottom"/>
            <w:tcBorders>
              <w:bottom w:val="single" w:sz="8" w:color="auto"/>
            </w:tcBorders>
            <w:gridSpan w:val="3"/>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gridSpan w:val="3"/>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4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20" w:type="dxa"/>
            <w:vAlign w:val="bottom"/>
          </w:tcPr>
          <w:p>
            <w:pPr>
              <w:spacing w:after="0"/>
              <w:rPr>
                <w:sz w:val="17"/>
                <w:szCs w:val="17"/>
                <w:color w:val="auto"/>
              </w:rPr>
            </w:pPr>
          </w:p>
        </w:tc>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Crude Oil Segment Volumes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34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Crude oil pipeline tariff volumes (by region) </w:t>
            </w:r>
            <w:r>
              <w:rPr>
                <w:rFonts w:ascii="Times New Roman" w:cs="Times New Roman" w:eastAsia="Times New Roman" w:hAnsi="Times New Roman"/>
                <w:sz w:val="22"/>
                <w:szCs w:val="22"/>
                <w:color w:val="auto"/>
                <w:vertAlign w:val="superscript"/>
              </w:rPr>
              <w:t>(1)</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6340" w:type="dxa"/>
            <w:vAlign w:val="bottom"/>
            <w:gridSpan w:val="2"/>
            <w:shd w:val="clear" w:color="auto" w:fill="CCEEFF"/>
          </w:tcPr>
          <w:p>
            <w:pPr>
              <w:ind w:left="240"/>
              <w:spacing w:after="0" w:line="220" w:lineRule="exact"/>
              <w:rPr>
                <w:sz w:val="20"/>
                <w:szCs w:val="20"/>
                <w:color w:val="auto"/>
              </w:rPr>
            </w:pPr>
            <w:r>
              <w:rPr>
                <w:rFonts w:ascii="Times New Roman" w:cs="Times New Roman" w:eastAsia="Times New Roman" w:hAnsi="Times New Roman"/>
                <w:sz w:val="17"/>
                <w:szCs w:val="17"/>
                <w:color w:val="auto"/>
              </w:rPr>
              <w:t xml:space="preserve">Permian Basin </w:t>
            </w:r>
            <w:r>
              <w:rPr>
                <w:rFonts w:ascii="Times New Roman" w:cs="Times New Roman" w:eastAsia="Times New Roman" w:hAnsi="Times New Roman"/>
                <w:sz w:val="22"/>
                <w:szCs w:val="22"/>
                <w:color w:val="auto"/>
                <w:vertAlign w:val="superscript"/>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6,299</w:t>
            </w:r>
          </w:p>
        </w:tc>
      </w:tr>
      <w:tr>
        <w:trPr>
          <w:trHeight w:val="220"/>
        </w:trPr>
        <w:tc>
          <w:tcPr>
            <w:tcW w:w="20" w:type="dxa"/>
            <w:vAlign w:val="bottom"/>
          </w:tcPr>
          <w:p>
            <w:pPr>
              <w:spacing w:after="0"/>
              <w:rPr>
                <w:sz w:val="19"/>
                <w:szCs w:val="19"/>
                <w:color w:val="auto"/>
              </w:rPr>
            </w:pPr>
          </w:p>
        </w:tc>
        <w:tc>
          <w:tcPr>
            <w:tcW w:w="6340" w:type="dxa"/>
            <w:vAlign w:val="bottom"/>
            <w:gridSpan w:val="2"/>
          </w:tcPr>
          <w:p>
            <w:pPr>
              <w:ind w:left="240"/>
              <w:spacing w:after="0" w:line="220" w:lineRule="exact"/>
              <w:rPr>
                <w:sz w:val="20"/>
                <w:szCs w:val="20"/>
                <w:color w:val="auto"/>
              </w:rPr>
            </w:pPr>
            <w:r>
              <w:rPr>
                <w:rFonts w:ascii="Times New Roman" w:cs="Times New Roman" w:eastAsia="Times New Roman" w:hAnsi="Times New Roman"/>
                <w:sz w:val="17"/>
                <w:szCs w:val="17"/>
                <w:color w:val="auto"/>
              </w:rPr>
              <w:t xml:space="preserve">South Texas / Eagle Ford </w:t>
            </w:r>
            <w:r>
              <w:rPr>
                <w:rFonts w:ascii="Times New Roman" w:cs="Times New Roman" w:eastAsia="Times New Roman" w:hAnsi="Times New Roman"/>
                <w:sz w:val="22"/>
                <w:szCs w:val="22"/>
                <w:color w:val="auto"/>
                <w:vertAlign w:val="superscript"/>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w:t>
            </w:r>
          </w:p>
        </w:tc>
      </w:tr>
      <w:tr>
        <w:trPr>
          <w:trHeight w:val="220"/>
        </w:trPr>
        <w:tc>
          <w:tcPr>
            <w:tcW w:w="20" w:type="dxa"/>
            <w:vAlign w:val="bottom"/>
          </w:tcPr>
          <w:p>
            <w:pPr>
              <w:spacing w:after="0"/>
              <w:rPr>
                <w:sz w:val="19"/>
                <w:szCs w:val="19"/>
                <w:color w:val="auto"/>
              </w:rPr>
            </w:pPr>
          </w:p>
        </w:tc>
        <w:tc>
          <w:tcPr>
            <w:tcW w:w="6340" w:type="dxa"/>
            <w:vAlign w:val="bottom"/>
            <w:gridSpan w:val="2"/>
            <w:shd w:val="clear" w:color="auto" w:fill="CCEEFF"/>
          </w:tcPr>
          <w:p>
            <w:pPr>
              <w:ind w:left="240"/>
              <w:spacing w:after="0" w:line="220" w:lineRule="exact"/>
              <w:rPr>
                <w:sz w:val="20"/>
                <w:szCs w:val="20"/>
                <w:color w:val="auto"/>
              </w:rPr>
            </w:pPr>
            <w:r>
              <w:rPr>
                <w:rFonts w:ascii="Times New Roman" w:cs="Times New Roman" w:eastAsia="Times New Roman" w:hAnsi="Times New Roman"/>
                <w:sz w:val="17"/>
                <w:szCs w:val="17"/>
                <w:color w:val="auto"/>
              </w:rPr>
              <w:t xml:space="preserve">Mid-Continent </w:t>
            </w:r>
            <w:r>
              <w:rPr>
                <w:rFonts w:ascii="Times New Roman" w:cs="Times New Roman" w:eastAsia="Times New Roman" w:hAnsi="Times New Roman"/>
                <w:sz w:val="22"/>
                <w:szCs w:val="22"/>
                <w:color w:val="auto"/>
                <w:vertAlign w:val="superscript"/>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r>
      <w:tr>
        <w:trPr>
          <w:trHeight w:val="220"/>
        </w:trPr>
        <w:tc>
          <w:tcPr>
            <w:tcW w:w="20" w:type="dxa"/>
            <w:vAlign w:val="bottom"/>
          </w:tcPr>
          <w:p>
            <w:pPr>
              <w:spacing w:after="0"/>
              <w:rPr>
                <w:sz w:val="19"/>
                <w:szCs w:val="19"/>
                <w:color w:val="auto"/>
              </w:rPr>
            </w:pPr>
          </w:p>
        </w:tc>
        <w:tc>
          <w:tcPr>
            <w:tcW w:w="6340" w:type="dxa"/>
            <w:vAlign w:val="bottom"/>
            <w:gridSpan w:val="2"/>
          </w:tcPr>
          <w:p>
            <w:pPr>
              <w:ind w:left="240"/>
              <w:spacing w:after="0" w:line="220" w:lineRule="exact"/>
              <w:rPr>
                <w:sz w:val="20"/>
                <w:szCs w:val="20"/>
                <w:color w:val="auto"/>
              </w:rPr>
            </w:pPr>
            <w:r>
              <w:rPr>
                <w:rFonts w:ascii="Times New Roman" w:cs="Times New Roman" w:eastAsia="Times New Roman" w:hAnsi="Times New Roman"/>
                <w:sz w:val="17"/>
                <w:szCs w:val="17"/>
                <w:color w:val="auto"/>
              </w:rPr>
              <w:t xml:space="preserve">Gulf Coast </w:t>
            </w:r>
            <w:r>
              <w:rPr>
                <w:rFonts w:ascii="Times New Roman" w:cs="Times New Roman" w:eastAsia="Times New Roman" w:hAnsi="Times New Roman"/>
                <w:sz w:val="22"/>
                <w:szCs w:val="22"/>
                <w:color w:val="auto"/>
                <w:vertAlign w:val="superscript"/>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r>
      <w:tr>
        <w:trPr>
          <w:trHeight w:val="220"/>
        </w:trPr>
        <w:tc>
          <w:tcPr>
            <w:tcW w:w="20" w:type="dxa"/>
            <w:vAlign w:val="bottom"/>
          </w:tcPr>
          <w:p>
            <w:pPr>
              <w:spacing w:after="0"/>
              <w:rPr>
                <w:sz w:val="19"/>
                <w:szCs w:val="19"/>
                <w:color w:val="auto"/>
              </w:rPr>
            </w:pPr>
          </w:p>
        </w:tc>
        <w:tc>
          <w:tcPr>
            <w:tcW w:w="6340" w:type="dxa"/>
            <w:vAlign w:val="bottom"/>
            <w:gridSpan w:val="2"/>
            <w:shd w:val="clear" w:color="auto" w:fill="CCEEFF"/>
          </w:tcPr>
          <w:p>
            <w:pPr>
              <w:ind w:left="240"/>
              <w:spacing w:after="0" w:line="220" w:lineRule="exact"/>
              <w:rPr>
                <w:sz w:val="20"/>
                <w:szCs w:val="20"/>
                <w:color w:val="auto"/>
              </w:rPr>
            </w:pPr>
            <w:r>
              <w:rPr>
                <w:rFonts w:ascii="Times New Roman" w:cs="Times New Roman" w:eastAsia="Times New Roman" w:hAnsi="Times New Roman"/>
                <w:sz w:val="17"/>
                <w:szCs w:val="17"/>
                <w:color w:val="auto"/>
              </w:rPr>
              <w:t xml:space="preserve">Rocky Mountain </w:t>
            </w:r>
            <w:r>
              <w:rPr>
                <w:rFonts w:ascii="Times New Roman" w:cs="Times New Roman" w:eastAsia="Times New Roman" w:hAnsi="Times New Roman"/>
                <w:sz w:val="22"/>
                <w:szCs w:val="22"/>
                <w:color w:val="auto"/>
                <w:vertAlign w:val="superscript"/>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w:t>
            </w:r>
          </w:p>
        </w:tc>
      </w:tr>
      <w:tr>
        <w:trPr>
          <w:trHeight w:val="220"/>
        </w:trPr>
        <w:tc>
          <w:tcPr>
            <w:tcW w:w="20" w:type="dxa"/>
            <w:vAlign w:val="bottom"/>
          </w:tcPr>
          <w:p>
            <w:pPr>
              <w:spacing w:after="0"/>
              <w:rPr>
                <w:sz w:val="19"/>
                <w:szCs w:val="19"/>
                <w:color w:val="auto"/>
              </w:rPr>
            </w:pPr>
          </w:p>
        </w:tc>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Western</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20"/>
        </w:trPr>
        <w:tc>
          <w:tcPr>
            <w:tcW w:w="20" w:type="dxa"/>
            <w:vAlign w:val="bottom"/>
          </w:tcPr>
          <w:p>
            <w:pPr>
              <w:spacing w:after="0"/>
              <w:rPr>
                <w:sz w:val="19"/>
                <w:szCs w:val="19"/>
                <w:color w:val="auto"/>
              </w:rPr>
            </w:pPr>
          </w:p>
        </w:tc>
        <w:tc>
          <w:tcPr>
            <w:tcW w:w="6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Canada</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13"/>
        </w:trPr>
        <w:tc>
          <w:tcPr>
            <w:tcW w:w="20" w:type="dxa"/>
            <w:vAlign w:val="bottom"/>
          </w:tcPr>
          <w:p>
            <w:pPr>
              <w:spacing w:after="0"/>
              <w:rPr>
                <w:sz w:val="18"/>
                <w:szCs w:val="18"/>
                <w:color w:val="auto"/>
              </w:rPr>
            </w:pPr>
          </w:p>
        </w:tc>
        <w:tc>
          <w:tcPr>
            <w:tcW w:w="634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Total crude oil pipeline tariff volumes </w:t>
            </w:r>
            <w:r>
              <w:rPr>
                <w:rFonts w:ascii="Times New Roman" w:cs="Times New Roman" w:eastAsia="Times New Roman" w:hAnsi="Times New Roman"/>
                <w:sz w:val="22"/>
                <w:szCs w:val="22"/>
                <w:color w:val="auto"/>
                <w:vertAlign w:val="superscript"/>
              </w:rPr>
              <w:t>(1) (2)</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8,336</w:t>
            </w:r>
          </w:p>
        </w:tc>
      </w:tr>
      <w:tr>
        <w:trPr>
          <w:trHeight w:val="245"/>
        </w:trPr>
        <w:tc>
          <w:tcPr>
            <w:tcW w:w="20" w:type="dxa"/>
            <w:vAlign w:val="bottom"/>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634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Commercial crude oil storage capacity </w:t>
            </w:r>
            <w:r>
              <w:rPr>
                <w:rFonts w:ascii="Times New Roman" w:cs="Times New Roman" w:eastAsia="Times New Roman" w:hAnsi="Times New Roman"/>
                <w:sz w:val="22"/>
                <w:szCs w:val="22"/>
                <w:color w:val="auto"/>
                <w:vertAlign w:val="superscript"/>
              </w:rPr>
              <w:t>(2) (3)</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45"/>
        </w:trPr>
        <w:tc>
          <w:tcPr>
            <w:tcW w:w="20" w:type="dxa"/>
            <w:vAlign w:val="bottom"/>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634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Crude oil lease gathering purchases </w:t>
            </w:r>
            <w:r>
              <w:rPr>
                <w:rFonts w:ascii="Times New Roman" w:cs="Times New Roman" w:eastAsia="Times New Roman" w:hAnsi="Times New Roman"/>
                <w:sz w:val="22"/>
                <w:szCs w:val="22"/>
                <w:color w:val="auto"/>
                <w:vertAlign w:val="superscript"/>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w:t>
            </w:r>
          </w:p>
        </w:tc>
      </w:tr>
      <w:tr>
        <w:trPr>
          <w:trHeight w:val="245"/>
        </w:trPr>
        <w:tc>
          <w:tcPr>
            <w:tcW w:w="20" w:type="dxa"/>
            <w:vAlign w:val="bottom"/>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634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b w:val="1"/>
                <w:bCs w:val="1"/>
                <w:color w:val="auto"/>
              </w:rPr>
              <w:t xml:space="preserve">NGL Segment Volumes </w:t>
            </w:r>
            <w:r>
              <w:rPr>
                <w:rFonts w:ascii="Times New Roman" w:cs="Times New Roman" w:eastAsia="Times New Roman" w:hAnsi="Times New Roman"/>
                <w:sz w:val="22"/>
                <w:szCs w:val="22"/>
                <w:color w:val="auto"/>
                <w:vertAlign w:val="superscript"/>
              </w:rPr>
              <w:t>(1)</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6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NGL fractionation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20"/>
        </w:trPr>
        <w:tc>
          <w:tcPr>
            <w:tcW w:w="20" w:type="dxa"/>
            <w:vAlign w:val="bottom"/>
          </w:tcPr>
          <w:p>
            <w:pPr>
              <w:spacing w:after="0"/>
              <w:rPr>
                <w:sz w:val="19"/>
                <w:szCs w:val="19"/>
                <w:color w:val="auto"/>
              </w:rPr>
            </w:pPr>
          </w:p>
        </w:tc>
        <w:tc>
          <w:tcPr>
            <w:tcW w:w="63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NGL pipeline tariff volumes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20"/>
        </w:trPr>
        <w:tc>
          <w:tcPr>
            <w:tcW w:w="20" w:type="dxa"/>
            <w:vAlign w:val="bottom"/>
          </w:tcPr>
          <w:p>
            <w:pPr>
              <w:spacing w:after="0"/>
              <w:rPr>
                <w:sz w:val="19"/>
                <w:szCs w:val="19"/>
                <w:color w:val="auto"/>
              </w:rPr>
            </w:pPr>
          </w:p>
        </w:tc>
        <w:tc>
          <w:tcPr>
            <w:tcW w:w="6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Propane and butane sales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155"/>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2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r>
    </w:tbl>
    <w:p>
      <w:pPr>
        <w:spacing w:after="0" w:line="126" w:lineRule="exact"/>
        <w:rPr>
          <w:sz w:val="20"/>
          <w:szCs w:val="20"/>
          <w:color w:val="auto"/>
        </w:rPr>
      </w:pPr>
    </w:p>
    <w:p>
      <w:pPr>
        <w:ind w:left="320" w:right="300" w:hanging="317"/>
        <w:spacing w:after="0" w:line="237" w:lineRule="auto"/>
        <w:tabs>
          <w:tab w:leader="none" w:pos="308"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volumes (attributable to our interest) from assets owned by unconsolidated entities.</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monthly capacity in millions of barrels calculated as total volumes for the period divided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auto"/>
        </w:rPr>
        <w:t>Page 18</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SEGMENT RECONCILIATIONS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Adjusted EBITDA attributable to PAA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9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4"/>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Crude Oil Segment Adjusted EBITDA</w:t>
            </w: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w:t>
            </w: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NGL Segment Adjusted EBITDA</w:t>
            </w: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r>
      <w:tr>
        <w:trPr>
          <w:trHeight w:val="220"/>
        </w:trPr>
        <w:tc>
          <w:tcPr>
            <w:tcW w:w="62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other income, net </w:t>
            </w:r>
            <w:r>
              <w:rPr>
                <w:rFonts w:ascii="Times New Roman" w:cs="Times New Roman" w:eastAsia="Times New Roman" w:hAnsi="Times New Roman"/>
                <w:sz w:val="22"/>
                <w:szCs w:val="22"/>
                <w:color w:val="auto"/>
                <w:vertAlign w:val="superscript"/>
              </w:rPr>
              <w:t>(1)</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3"/>
        </w:trPr>
        <w:tc>
          <w:tcPr>
            <w:tcW w:w="628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(2)</w:t>
            </w:r>
          </w:p>
        </w:tc>
        <w:tc>
          <w:tcPr>
            <w:tcW w:w="7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1,312</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8"/>
        </w:trPr>
        <w:tc>
          <w:tcPr>
            <w:tcW w:w="3880" w:type="dxa"/>
            <w:vAlign w:val="bottom"/>
            <w:tcBorders>
              <w:bottom w:val="single" w:sz="8" w:color="auto"/>
            </w:tcBorders>
          </w:tcPr>
          <w:p>
            <w:pPr>
              <w:spacing w:after="0"/>
              <w:rPr>
                <w:sz w:val="17"/>
                <w:szCs w:val="17"/>
                <w:color w:val="auto"/>
              </w:rPr>
            </w:pPr>
          </w:p>
        </w:tc>
        <w:tc>
          <w:tcPr>
            <w:tcW w:w="2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126" w:lineRule="exact"/>
        <w:rPr>
          <w:sz w:val="20"/>
          <w:szCs w:val="20"/>
          <w:color w:val="auto"/>
        </w:rPr>
      </w:pPr>
    </w:p>
    <w:p>
      <w:pPr>
        <w:ind w:left="320" w:right="240" w:hanging="317"/>
        <w:spacing w:after="0" w:line="237" w:lineRule="auto"/>
        <w:tabs>
          <w:tab w:leader="none" w:pos="30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“Other income, net” as reported on our Condensed Consolidated Statements of Operations, excluding interest income on promissory notes between and amongst PAA and related entities, as well as other income, net attributable to noncontrolling interests, adjusted for selected items impacting comparability. See the “Selected Items Impacting Comparability” table for additional information.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“Net Income to Adjusted EBITDA attributable to PAA and Implied DCF Reconciliation” table for reconciliation to Net Income.</w:t>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80"/>
          </w:cols>
          <w:pgMar w:left="320" w:top="356"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auto"/>
        </w:rPr>
        <w:t>Page 19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8"/>
        </w:trPr>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June 30, 2024</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June 30, 2023</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78"/>
        </w:trPr>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8"/>
        </w:trPr>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1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12,933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12,933</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11,602</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11,858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10,544</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3"/>
        </w:trPr>
        <w:tc>
          <w:tcPr>
            <w:tcW w:w="3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12,561</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11,227</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187"/>
        </w:trPr>
        <w:tc>
          <w:tcPr>
            <w:tcW w:w="33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0"/>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187"/>
        </w:trPr>
        <w:tc>
          <w:tcPr>
            <w:tcW w:w="3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r>
      <w:tr>
        <w:trPr>
          <w:trHeight w:val="168"/>
        </w:trPr>
        <w:tc>
          <w:tcPr>
            <w:tcW w:w="3380" w:type="dxa"/>
            <w:vAlign w:val="bottom"/>
            <w:shd w:val="clear" w:color="auto" w:fill="CCEEFF"/>
          </w:tcPr>
          <w:p>
            <w:pPr>
              <w:ind w:left="180"/>
              <w:spacing w:after="0" w:line="168" w:lineRule="exact"/>
              <w:rPr>
                <w:sz w:val="20"/>
                <w:szCs w:val="20"/>
                <w:color w:val="auto"/>
              </w:rPr>
            </w:pPr>
            <w:r>
              <w:rPr>
                <w:rFonts w:ascii="Times New Roman" w:cs="Times New Roman" w:eastAsia="Times New Roman" w:hAnsi="Times New Roman"/>
                <w:sz w:val="17"/>
                <w:szCs w:val="17"/>
                <w:color w:val="auto"/>
              </w:rPr>
              <w:t>Net income attributable to noncontrolling</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3"/>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PAGP</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3"/>
        </w:trPr>
        <w:tc>
          <w:tcPr>
            <w:tcW w:w="3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0"/>
        </w:trPr>
        <w:tc>
          <w:tcPr>
            <w:tcW w:w="4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Basic and diluted weighted average Class A shares outstanding</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207"/>
        </w:trPr>
        <w:tc>
          <w:tcPr>
            <w:tcW w:w="3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6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Class A share</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0.25</w:t>
            </w:r>
          </w:p>
        </w:tc>
      </w:tr>
      <w:tr>
        <w:trPr>
          <w:trHeight w:val="121"/>
        </w:trPr>
        <w:tc>
          <w:tcPr>
            <w:tcW w:w="33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bl>
    <w:p>
      <w:pPr>
        <w:spacing w:after="0" w:line="96" w:lineRule="exact"/>
        <w:rPr>
          <w:sz w:val="20"/>
          <w:szCs w:val="20"/>
          <w:color w:val="auto"/>
        </w:rPr>
      </w:pPr>
    </w:p>
    <w:p>
      <w:pPr>
        <w:ind w:left="300" w:hanging="297"/>
        <w:spacing w:after="0"/>
        <w:tabs>
          <w:tab w:leader="none" w:pos="3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auto"/>
        </w:rPr>
        <w:t>Page 20</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8"/>
        </w:trPr>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June 30, 2024</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June 30, 2023</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78"/>
        </w:trPr>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8"/>
        </w:trPr>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1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24,928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24,928</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23,943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23,943</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22,775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21,867</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13"/>
        </w:trPr>
        <w:tc>
          <w:tcPr>
            <w:tcW w:w="3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24,184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24,187</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23,093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23,098</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r>
      <w:tr>
        <w:trPr>
          <w:trHeight w:val="258"/>
        </w:trPr>
        <w:tc>
          <w:tcPr>
            <w:tcW w:w="3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187"/>
        </w:trPr>
        <w:tc>
          <w:tcPr>
            <w:tcW w:w="33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20"/>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187"/>
        </w:trPr>
        <w:tc>
          <w:tcPr>
            <w:tcW w:w="3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w:t>
            </w:r>
          </w:p>
        </w:tc>
      </w:tr>
      <w:tr>
        <w:trPr>
          <w:trHeight w:val="168"/>
        </w:trPr>
        <w:tc>
          <w:tcPr>
            <w:tcW w:w="3380" w:type="dxa"/>
            <w:vAlign w:val="bottom"/>
            <w:shd w:val="clear" w:color="auto" w:fill="CCEEFF"/>
          </w:tcPr>
          <w:p>
            <w:pPr>
              <w:ind w:left="180"/>
              <w:spacing w:after="0" w:line="168" w:lineRule="exact"/>
              <w:rPr>
                <w:sz w:val="20"/>
                <w:szCs w:val="20"/>
                <w:color w:val="auto"/>
              </w:rPr>
            </w:pPr>
            <w:r>
              <w:rPr>
                <w:rFonts w:ascii="Times New Roman" w:cs="Times New Roman" w:eastAsia="Times New Roman" w:hAnsi="Times New Roman"/>
                <w:sz w:val="17"/>
                <w:szCs w:val="17"/>
                <w:color w:val="auto"/>
              </w:rPr>
              <w:t>Net income attributable to noncontrolling</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3"/>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PAGP</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3"/>
        </w:trPr>
        <w:tc>
          <w:tcPr>
            <w:tcW w:w="3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0"/>
        </w:trPr>
        <w:tc>
          <w:tcPr>
            <w:tcW w:w="46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Basic and diluted weighted average Class A shares outstanding</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207"/>
        </w:trPr>
        <w:tc>
          <w:tcPr>
            <w:tcW w:w="3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6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Class A share</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0.60</w:t>
            </w:r>
          </w:p>
        </w:tc>
      </w:tr>
      <w:tr>
        <w:trPr>
          <w:trHeight w:val="121"/>
        </w:trPr>
        <w:tc>
          <w:tcPr>
            <w:tcW w:w="33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bl>
    <w:p>
      <w:pPr>
        <w:spacing w:after="0" w:line="96" w:lineRule="exact"/>
        <w:rPr>
          <w:sz w:val="20"/>
          <w:szCs w:val="20"/>
          <w:color w:val="auto"/>
        </w:rPr>
      </w:pPr>
    </w:p>
    <w:p>
      <w:pPr>
        <w:ind w:left="300" w:hanging="297"/>
        <w:spacing w:after="0"/>
        <w:tabs>
          <w:tab w:leader="none" w:pos="30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auto"/>
        </w:rPr>
        <w:t>Page 21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June 30, 2024</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
        </w:trPr>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2"/>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8"/>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240" w:type="dxa"/>
            <w:vAlign w:val="bottom"/>
          </w:tcPr>
          <w:p>
            <w:pPr>
              <w:spacing w:after="0"/>
              <w:rPr>
                <w:sz w:val="18"/>
                <w:szCs w:val="18"/>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0"/>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4,916</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15,782</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r>
      <w:tr>
        <w:trPr>
          <w:trHeight w:val="168"/>
        </w:trPr>
        <w:tc>
          <w:tcPr>
            <w:tcW w:w="33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Long-term operating lease right-of-use assets,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r>
      <w:tr>
        <w:trPr>
          <w:trHeight w:val="238"/>
        </w:trPr>
        <w:tc>
          <w:tcPr>
            <w:tcW w:w="3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28,667</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28,597</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5,005</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7,242</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w:t>
            </w:r>
          </w:p>
        </w:tc>
      </w:tr>
      <w:tr>
        <w:trPr>
          <w:trHeight w:val="21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13,867</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13,625</w:t>
            </w:r>
          </w:p>
        </w:tc>
      </w:tr>
      <w:tr>
        <w:trPr>
          <w:trHeight w:val="258"/>
        </w:trPr>
        <w:tc>
          <w:tcPr>
            <w:tcW w:w="3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8"/>
        </w:trPr>
        <w:tc>
          <w:tcPr>
            <w:tcW w:w="33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Partners’ capital excluding noncontrolling</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r>
      <w:tr>
        <w:trPr>
          <w:trHeight w:val="22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3,302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13,310</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13,424</w:t>
            </w:r>
          </w:p>
        </w:tc>
      </w:tr>
      <w:tr>
        <w:trPr>
          <w:trHeight w:val="21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partners’ capital</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14,972</w:t>
            </w:r>
          </w:p>
        </w:tc>
      </w:tr>
      <w:tr>
        <w:trPr>
          <w:trHeight w:val="253"/>
        </w:trPr>
        <w:tc>
          <w:tcPr>
            <w:tcW w:w="33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27,453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1,214</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28,667</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27,355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28,597</w:t>
            </w:r>
          </w:p>
        </w:tc>
      </w:tr>
      <w:tr>
        <w:trPr>
          <w:trHeight w:val="147"/>
        </w:trPr>
        <w:tc>
          <w:tcPr>
            <w:tcW w:w="3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96" w:lineRule="exact"/>
        <w:rPr>
          <w:sz w:val="20"/>
          <w:szCs w:val="20"/>
          <w:color w:val="auto"/>
        </w:rPr>
      </w:pPr>
    </w:p>
    <w:p>
      <w:pPr>
        <w:ind w:left="300" w:hanging="297"/>
        <w:spacing w:after="0"/>
        <w:tabs>
          <w:tab w:leader="none" w:pos="30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auto"/>
        </w:rPr>
        <w:t>Page 22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ind w:right="4880"/>
        <w:spacing w:after="0" w:line="293"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COMPUTATION OF BASIC AND DILUTED NET INCOME PER CLASS A SHARE </w:t>
      </w:r>
      <w:r>
        <w:rPr>
          <w:rFonts w:ascii="Times New Roman" w:cs="Times New Roman" w:eastAsia="Times New Roman" w:hAnsi="Times New Roman"/>
          <w:sz w:val="17"/>
          <w:szCs w:val="17"/>
          <w:color w:val="auto"/>
        </w:rPr>
        <w:t>(in millions,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9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63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63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Net Income per Class A Share</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0"/>
        </w:trPr>
        <w:tc>
          <w:tcPr>
            <w:tcW w:w="6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attributable to PAGP</w:t>
            </w:r>
          </w:p>
        </w:tc>
        <w:tc>
          <w:tcPr>
            <w:tcW w:w="740" w:type="dxa"/>
            <w:vAlign w:val="bottom"/>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740" w:type="dxa"/>
            <w:vAlign w:val="bottom"/>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2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 weighted average Class A shares outstanding</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245"/>
        </w:trPr>
        <w:tc>
          <w:tcPr>
            <w:tcW w:w="6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5"/>
        </w:trPr>
        <w:tc>
          <w:tcPr>
            <w:tcW w:w="6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 net income per Class A share</w:t>
            </w:r>
          </w:p>
        </w:tc>
        <w:tc>
          <w:tcPr>
            <w:tcW w:w="74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Forward-Looking Statements</w:t>
      </w:r>
    </w:p>
    <w:p>
      <w:pPr>
        <w:spacing w:after="0" w:line="302" w:lineRule="exact"/>
        <w:rPr>
          <w:sz w:val="20"/>
          <w:szCs w:val="20"/>
          <w:color w:val="auto"/>
        </w:rPr>
      </w:pPr>
    </w:p>
    <w:p>
      <w:pPr>
        <w:jc w:val="both"/>
        <w:ind w:right="360" w:firstLine="620"/>
        <w:spacing w:after="0" w:line="270" w:lineRule="auto"/>
        <w:rPr>
          <w:sz w:val="20"/>
          <w:szCs w:val="20"/>
          <w:color w:val="auto"/>
        </w:rPr>
      </w:pPr>
      <w:r>
        <w:rPr>
          <w:rFonts w:ascii="Times New Roman" w:cs="Times New Roman" w:eastAsia="Times New Roman" w:hAnsi="Times New Roman"/>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32" w:lineRule="exact"/>
        <w:rPr>
          <w:sz w:val="20"/>
          <w:szCs w:val="20"/>
          <w:color w:val="auto"/>
        </w:rPr>
      </w:pPr>
    </w:p>
    <w:p>
      <w:pPr>
        <w:ind w:left="620" w:right="200" w:hanging="307"/>
        <w:spacing w:after="0" w:line="250" w:lineRule="auto"/>
        <w:tabs>
          <w:tab w:leader="none" w:pos="61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19" w:lineRule="exact"/>
        <w:rPr>
          <w:rFonts w:ascii="Arial" w:cs="Arial" w:eastAsia="Arial" w:hAnsi="Arial"/>
          <w:sz w:val="21"/>
          <w:szCs w:val="21"/>
          <w:color w:val="auto"/>
        </w:rPr>
      </w:pPr>
    </w:p>
    <w:p>
      <w:pPr>
        <w:ind w:left="620" w:right="120" w:hanging="307"/>
        <w:spacing w:after="0" w:line="248" w:lineRule="auto"/>
        <w:tabs>
          <w:tab w:leader="none" w:pos="61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123" w:lineRule="exact"/>
        <w:rPr>
          <w:rFonts w:ascii="Arial" w:cs="Arial" w:eastAsia="Arial" w:hAnsi="Arial"/>
          <w:sz w:val="21"/>
          <w:szCs w:val="21"/>
          <w:color w:val="auto"/>
        </w:rPr>
      </w:pPr>
    </w:p>
    <w:p>
      <w:pPr>
        <w:ind w:left="620" w:right="180" w:hanging="307"/>
        <w:spacing w:after="0" w:line="236" w:lineRule="auto"/>
        <w:tabs>
          <w:tab w:leader="none" w:pos="61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fluctuations in refinery capacity and other factors affecting demand for various grades of crude oil and NGL and resulting changes in pricing conditions or transportation throughput requirements;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unanticipated changes in crude oil and NGL market structure, grade differentials and volatility (or lack thereof);</w:t>
      </w:r>
    </w:p>
    <w:p>
      <w:pPr>
        <w:spacing w:after="0" w:line="125" w:lineRule="exact"/>
        <w:rPr>
          <w:rFonts w:ascii="Arial" w:cs="Arial" w:eastAsia="Arial" w:hAnsi="Arial"/>
          <w:sz w:val="21"/>
          <w:szCs w:val="21"/>
          <w:color w:val="auto"/>
        </w:rPr>
      </w:pPr>
    </w:p>
    <w:p>
      <w:pPr>
        <w:ind w:left="620" w:right="100" w:hanging="307"/>
        <w:spacing w:after="0" w:line="242" w:lineRule="auto"/>
        <w:tabs>
          <w:tab w:leader="none" w:pos="61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124" w:lineRule="exact"/>
        <w:rPr>
          <w:rFonts w:ascii="Arial" w:cs="Arial" w:eastAsia="Arial" w:hAnsi="Arial"/>
          <w:sz w:val="21"/>
          <w:szCs w:val="21"/>
          <w:color w:val="auto"/>
        </w:rPr>
      </w:pPr>
    </w:p>
    <w:p>
      <w:pPr>
        <w:ind w:left="620" w:right="240" w:hanging="307"/>
        <w:spacing w:after="0" w:line="236" w:lineRule="auto"/>
        <w:tabs>
          <w:tab w:leader="none" w:pos="61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environmental liabilities, litigation or other events that are not covered by an indemnity, insurance or existing reserves;</w:t>
      </w:r>
    </w:p>
    <w:p>
      <w:pPr>
        <w:spacing w:after="0" w:line="138" w:lineRule="exact"/>
        <w:rPr>
          <w:rFonts w:ascii="Arial" w:cs="Arial" w:eastAsia="Arial" w:hAnsi="Arial"/>
          <w:sz w:val="21"/>
          <w:szCs w:val="21"/>
          <w:color w:val="auto"/>
        </w:rPr>
      </w:pPr>
    </w:p>
    <w:p>
      <w:pPr>
        <w:ind w:left="620" w:right="360" w:hanging="307"/>
        <w:spacing w:after="0" w:line="236" w:lineRule="auto"/>
        <w:tabs>
          <w:tab w:leader="none" w:pos="61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auto"/>
        </w:rPr>
        <w:t>Page 23</w:t>
      </w:r>
    </w:p>
    <w:p>
      <w:pPr>
        <w:spacing w:after="0" w:line="200" w:lineRule="exact"/>
        <w:rPr>
          <w:sz w:val="20"/>
          <w:szCs w:val="20"/>
          <w:color w:val="auto"/>
        </w:rPr>
      </w:pPr>
    </w:p>
    <w:p>
      <w:pPr>
        <w:spacing w:after="0" w:line="245"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weather interference with business operations or project construction, including the impact of extreme weather events or conditions;</w:t>
      </w:r>
    </w:p>
    <w:p>
      <w:pPr>
        <w:spacing w:after="0" w:line="125" w:lineRule="exact"/>
        <w:rPr>
          <w:rFonts w:ascii="Arial" w:cs="Arial" w:eastAsia="Arial" w:hAnsi="Arial"/>
          <w:sz w:val="21"/>
          <w:szCs w:val="21"/>
          <w:color w:val="auto"/>
        </w:rPr>
      </w:pPr>
    </w:p>
    <w:p>
      <w:pPr>
        <w:ind w:left="620" w:hanging="307"/>
        <w:spacing w:after="0" w:line="242" w:lineRule="auto"/>
        <w:tabs>
          <w:tab w:leader="none" w:pos="61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the impact of current and future laws, rulings, legislation, governmental regulations, executive orders, trade policies,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w:t>
      </w:r>
    </w:p>
    <w:p>
      <w:pPr>
        <w:spacing w:after="0" w:line="124" w:lineRule="exact"/>
        <w:rPr>
          <w:rFonts w:ascii="Arial" w:cs="Arial" w:eastAsia="Arial" w:hAnsi="Arial"/>
          <w:sz w:val="21"/>
          <w:szCs w:val="21"/>
          <w:color w:val="auto"/>
        </w:rPr>
      </w:pPr>
    </w:p>
    <w:p>
      <w:pPr>
        <w:ind w:left="620" w:right="80" w:hanging="307"/>
        <w:spacing w:after="0" w:line="247" w:lineRule="auto"/>
        <w:tabs>
          <w:tab w:leader="none" w:pos="61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100"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loss of key personnel and inability to attract and retain new talent;</w:t>
      </w:r>
    </w:p>
    <w:p>
      <w:pPr>
        <w:spacing w:after="0" w:line="125" w:lineRule="exact"/>
        <w:rPr>
          <w:rFonts w:ascii="Arial" w:cs="Arial" w:eastAsia="Arial" w:hAnsi="Arial"/>
          <w:sz w:val="21"/>
          <w:szCs w:val="21"/>
          <w:color w:val="auto"/>
        </w:rPr>
      </w:pPr>
    </w:p>
    <w:p>
      <w:pPr>
        <w:ind w:left="620" w:right="420" w:hanging="307"/>
        <w:spacing w:after="0" w:line="236" w:lineRule="auto"/>
        <w:tabs>
          <w:tab w:leader="none" w:pos="61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disruptions to futures markets for crude oil, NGL and other petroleum products, which may impair our ability to execute our commercial or hedging strategies;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effectiveness of our risk management activities;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shortages or cost increases of supplies, materials or labor;</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maintenance of our credit rating and ability to receive open credit from our suppliers and trade counterparties;</w:t>
      </w:r>
    </w:p>
    <w:p>
      <w:pPr>
        <w:spacing w:after="0" w:line="138" w:lineRule="exact"/>
        <w:rPr>
          <w:rFonts w:ascii="Arial" w:cs="Arial" w:eastAsia="Arial" w:hAnsi="Arial"/>
          <w:sz w:val="21"/>
          <w:szCs w:val="21"/>
          <w:color w:val="auto"/>
        </w:rPr>
      </w:pPr>
    </w:p>
    <w:p>
      <w:pPr>
        <w:ind w:left="620" w:hanging="307"/>
        <w:spacing w:after="0" w:line="236" w:lineRule="auto"/>
        <w:tabs>
          <w:tab w:leader="none" w:pos="61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the availability of, and our ability to consummate, acquisitions, divestitures, joint ventures or other strategic opportunities;</w:t>
      </w:r>
    </w:p>
    <w:p>
      <w:pPr>
        <w:spacing w:after="0" w:line="125" w:lineRule="exact"/>
        <w:rPr>
          <w:rFonts w:ascii="Arial" w:cs="Arial" w:eastAsia="Arial" w:hAnsi="Arial"/>
          <w:sz w:val="21"/>
          <w:szCs w:val="21"/>
          <w:color w:val="auto"/>
        </w:rPr>
      </w:pPr>
    </w:p>
    <w:p>
      <w:pPr>
        <w:ind w:left="620" w:right="20" w:hanging="307"/>
        <w:spacing w:after="0" w:line="245" w:lineRule="auto"/>
        <w:tabs>
          <w:tab w:leader="none" w:pos="61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23" w:lineRule="exact"/>
        <w:rPr>
          <w:rFonts w:ascii="Arial" w:cs="Arial" w:eastAsia="Arial" w:hAnsi="Arial"/>
          <w:sz w:val="21"/>
          <w:szCs w:val="21"/>
          <w:color w:val="auto"/>
        </w:rPr>
      </w:pPr>
    </w:p>
    <w:p>
      <w:pPr>
        <w:jc w:val="both"/>
        <w:ind w:left="620" w:right="120" w:hanging="307"/>
        <w:spacing w:after="0" w:line="236" w:lineRule="auto"/>
        <w:tabs>
          <w:tab w:leader="none" w:pos="61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the incurrence of costs and expenses related to unexpected or unplanned capital expenditures, third-party claims or other factors;</w:t>
      </w:r>
    </w:p>
    <w:p>
      <w:pPr>
        <w:spacing w:after="0" w:line="125" w:lineRule="exact"/>
        <w:rPr>
          <w:rFonts w:ascii="Arial" w:cs="Arial" w:eastAsia="Arial" w:hAnsi="Arial"/>
          <w:sz w:val="21"/>
          <w:szCs w:val="21"/>
          <w:color w:val="auto"/>
        </w:rPr>
      </w:pPr>
    </w:p>
    <w:p>
      <w:pPr>
        <w:ind w:left="620" w:right="100" w:hanging="307"/>
        <w:spacing w:after="0" w:line="247" w:lineRule="auto"/>
        <w:tabs>
          <w:tab w:leader="none" w:pos="61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failure to implement or capitalize, or delays in implementing or capitalizing, on investment capital projects, whether due to permitting delays, permitting withdrawals or other factors;</w:t>
      </w:r>
    </w:p>
    <w:p>
      <w:pPr>
        <w:spacing w:after="0" w:line="118" w:lineRule="exact"/>
        <w:rPr>
          <w:rFonts w:ascii="Arial" w:cs="Arial" w:eastAsia="Arial" w:hAnsi="Arial"/>
          <w:sz w:val="21"/>
          <w:szCs w:val="21"/>
          <w:color w:val="auto"/>
        </w:rPr>
      </w:pPr>
    </w:p>
    <w:p>
      <w:pPr>
        <w:ind w:left="620" w:right="300" w:hanging="307"/>
        <w:spacing w:after="0" w:line="236" w:lineRule="auto"/>
        <w:tabs>
          <w:tab w:leader="none" w:pos="61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the amplification of other risks caused by volatile financial markets, capital constraints, liquidity concerns and inflation;</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the use or availability of third-party assets upon which our operations depend and over which we have little or no control;</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the currency exchange rate of the Canadian dollar to the United States dollar;</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auto"/>
        </w:rPr>
        <w:t>Page 24</w:t>
      </w:r>
    </w:p>
    <w:p>
      <w:pPr>
        <w:spacing w:after="0" w:line="200" w:lineRule="exact"/>
        <w:rPr>
          <w:sz w:val="20"/>
          <w:szCs w:val="20"/>
          <w:color w:val="auto"/>
        </w:rPr>
      </w:pPr>
    </w:p>
    <w:p>
      <w:pPr>
        <w:spacing w:after="0" w:line="263" w:lineRule="exact"/>
        <w:rPr>
          <w:sz w:val="20"/>
          <w:szCs w:val="20"/>
          <w:color w:val="auto"/>
        </w:rPr>
      </w:pPr>
    </w:p>
    <w:p>
      <w:pPr>
        <w:ind w:left="620" w:right="620" w:hanging="307"/>
        <w:spacing w:after="0" w:line="236" w:lineRule="auto"/>
        <w:tabs>
          <w:tab w:leader="none" w:pos="61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inability to recognize current revenue attributable to deficiency payments received from customers who fail to ship or move more than minimum contracted volumes until the related credits expire or are used;</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significant under-utilization of our assets and facilities;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increased costs, or lack of availability, of insurance;</w:t>
      </w:r>
    </w:p>
    <w:p>
      <w:pPr>
        <w:spacing w:after="0" w:line="120"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fluctuations in the debt and equity markets, including the price of our units at the time of vesting under our long-term incentive plans;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risks related to the development and operation of our assets;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the pace of development of natural gas infrastructure and its impact on expected crude oil production growth in the Permian Basin; and</w:t>
      </w:r>
    </w:p>
    <w:p>
      <w:pPr>
        <w:spacing w:after="0" w:line="125" w:lineRule="exact"/>
        <w:rPr>
          <w:rFonts w:ascii="Arial" w:cs="Arial" w:eastAsia="Arial" w:hAnsi="Arial"/>
          <w:sz w:val="21"/>
          <w:szCs w:val="21"/>
          <w:color w:val="auto"/>
        </w:rPr>
      </w:pPr>
    </w:p>
    <w:p>
      <w:pPr>
        <w:ind w:left="620" w:right="60" w:hanging="307"/>
        <w:spacing w:after="0" w:line="236" w:lineRule="auto"/>
        <w:tabs>
          <w:tab w:leader="none" w:pos="61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About Plains:</w:t>
      </w:r>
    </w:p>
    <w:p>
      <w:pPr>
        <w:spacing w:after="0" w:line="296"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8 million barrels per day of crude oil and NGL.</w:t>
      </w:r>
    </w:p>
    <w:p>
      <w:pPr>
        <w:spacing w:after="0" w:line="196"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are headquartered in Houston, Texas. For more information, please visit www.plains.com.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Contacts</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Blake Fernandez</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Michael Gladstein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712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2"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220"/>
      </w:cols>
      <w:pgMar w:left="320" w:top="35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04"/>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lvl w:ilvl="1">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lvl w:ilvl="1">
      <w:lvlJc w:val="left"/>
      <w:lvlText w:val="-"/>
      <w:numFmt w:val="bullet"/>
      <w:start w:val="1"/>
    </w:lvl>
  </w:abstractNum>
  <w:abstractNum w:abstractNumId="10">
    <w:nsid w:val="519B500D"/>
    <w:multiLevelType w:val="hybridMultilevel"/>
    <w:lvl w:ilvl="0">
      <w:lvlJc w:val="left"/>
      <w:lvlText w:val="(%1)"/>
      <w:numFmt w:val="decimal"/>
      <w:start w:val="1"/>
    </w:lvl>
    <w:lvl w:ilvl="1">
      <w:lvlJc w:val="left"/>
      <w:lvlText w:val="-"/>
      <w:numFmt w:val="bullet"/>
      <w:start w:val="1"/>
    </w:lvl>
  </w:abstractNum>
  <w:abstractNum w:abstractNumId="11">
    <w:nsid w:val="431BD7B7"/>
    <w:multiLevelType w:val="hybridMultilevel"/>
    <w:lvl w:ilvl="0">
      <w:lvlJc w:val="left"/>
      <w:lvlText w:val="(%1)"/>
      <w:numFmt w:val="decimal"/>
      <w:start w:val="1"/>
    </w:lvl>
    <w:lvl w:ilvl="1">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lvl w:ilvl="1">
      <w:lvlJc w:val="left"/>
      <w:lvlText w:val="-"/>
      <w:numFmt w:val="bullet"/>
      <w:start w:val="1"/>
    </w:lvl>
  </w:abstractNum>
  <w:abstractNum w:abstractNumId="14">
    <w:nsid w:val="257130A3"/>
    <w:multiLevelType w:val="hybridMultilevel"/>
    <w:lvl w:ilvl="0">
      <w:lvlJc w:val="left"/>
      <w:lvlText w:val="(%1)"/>
      <w:numFmt w:val="decimal"/>
      <w:start w:val="3"/>
    </w:lvl>
  </w:abstractNum>
  <w:abstractNum w:abstractNumId="15">
    <w:nsid w:val="62BBD95A"/>
    <w:multiLevelType w:val="hybridMultilevel"/>
    <w:lvl w:ilvl="0">
      <w:lvlJc w:val="left"/>
      <w:lvlText w:val="(%1)"/>
      <w:numFmt w:val="decimal"/>
      <w:start w:val="3"/>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2024-08-02T07:51:51Z</dcterms:created>
  <dcterms:modified xsi:type="dcterms:W3CDTF">2024-08-02T07:51:51Z</dcterms:modified>
</cp:coreProperties>
</file>