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03/01/2017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580" w:type="dxa"/>
            <w:vAlign w:val="bottom"/>
            <w:tcBorders>
              <w:right w:val="single" w:sz="8" w:color="9A9A9A"/>
            </w:tcBorders>
            <w:shd w:val="clear" w:color="auto" w:fill="9A9A9A"/>
          </w:tcPr>
          <w:p>
            <w:pPr>
              <w:spacing w:after="0"/>
              <w:rPr>
                <w:sz w:val="2"/>
                <w:szCs w:val="2"/>
                <w:color w:val="auto"/>
              </w:rPr>
            </w:pPr>
          </w:p>
        </w:tc>
        <w:tc>
          <w:tcPr>
            <w:tcW w:w="3580" w:type="dxa"/>
            <w:vAlign w:val="bottom"/>
            <w:gridSpan w:val="9"/>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580" w:type="dxa"/>
            <w:vAlign w:val="bottom"/>
            <w:gridSpan w:val="9"/>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68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6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restart"/>
          </w:tcPr>
          <w:p>
            <w:pPr>
              <w:ind w:left="16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8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9"/>
            <w:vMerge w:val="restart"/>
          </w:tcPr>
          <w:p>
            <w:pPr>
              <w:ind w:left="60"/>
              <w:spacing w:after="0"/>
              <w:rPr>
                <w:sz w:val="20"/>
                <w:szCs w:val="20"/>
                <w:color w:val="auto"/>
              </w:rPr>
            </w:pPr>
            <w:r>
              <w:rPr>
                <w:rFonts w:ascii="Arial" w:cs="Arial" w:eastAsia="Arial" w:hAnsi="Arial"/>
                <w:sz w:val="18"/>
                <w:szCs w:val="18"/>
                <w:color w:val="0000FF"/>
                <w:w w:val="97"/>
              </w:rPr>
              <w:t>Common Units (Limited Partner Interests)</w:t>
            </w:r>
          </w:p>
        </w:tc>
        <w:tc>
          <w:tcPr>
            <w:tcW w:w="1020" w:type="dxa"/>
            <w:vAlign w:val="bottom"/>
            <w:gridSpan w:val="2"/>
            <w:vMerge w:val="restart"/>
          </w:tcPr>
          <w:p>
            <w:pPr>
              <w:jc w:val="right"/>
              <w:ind w:right="58"/>
              <w:spacing w:after="0"/>
              <w:rPr>
                <w:sz w:val="20"/>
                <w:szCs w:val="20"/>
                <w:color w:val="auto"/>
              </w:rPr>
            </w:pPr>
            <w:r>
              <w:rPr>
                <w:rFonts w:ascii="Arial" w:cs="Arial" w:eastAsia="Arial" w:hAnsi="Arial"/>
                <w:sz w:val="18"/>
                <w:szCs w:val="18"/>
                <w:color w:val="0000FF"/>
                <w:w w:val="97"/>
              </w:rPr>
              <w:t>03/01/2017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48,300,000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8"/>
                <w:szCs w:val="18"/>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291,611,545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gridSpan w:val="9"/>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9"/>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5"/>
          </w:tcPr>
          <w:p>
            <w:pPr>
              <w:jc w:val="center"/>
              <w:ind w:left="4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2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60" w:type="dxa"/>
            <w:vAlign w:val="bottom"/>
          </w:tcPr>
          <w:p>
            <w:pPr>
              <w:ind w:left="360"/>
              <w:spacing w:after="0"/>
              <w:rPr>
                <w:sz w:val="20"/>
                <w:szCs w:val="20"/>
                <w:color w:val="auto"/>
              </w:rPr>
            </w:pPr>
            <w:r>
              <w:rPr>
                <w:rFonts w:ascii="Arial" w:cs="Arial" w:eastAsia="Arial" w:hAnsi="Arial"/>
                <w:sz w:val="14"/>
                <w:szCs w:val="14"/>
                <w:color w:val="auto"/>
                <w:w w:val="97"/>
              </w:rPr>
              <w:t>(Zip)</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2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60" w:type="dxa"/>
            <w:vAlign w:val="bottom"/>
          </w:tcPr>
          <w:p>
            <w:pPr>
              <w:ind w:left="360"/>
              <w:spacing w:after="0"/>
              <w:rPr>
                <w:sz w:val="20"/>
                <w:szCs w:val="20"/>
                <w:color w:val="auto"/>
              </w:rPr>
            </w:pPr>
            <w:r>
              <w:rPr>
                <w:rFonts w:ascii="Arial" w:cs="Arial" w:eastAsia="Arial" w:hAnsi="Arial"/>
                <w:sz w:val="14"/>
                <w:szCs w:val="14"/>
                <w:color w:val="auto"/>
                <w:w w:val="97"/>
              </w:rPr>
              <w:t>(Zip)</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2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80" w:firstLine="9"/>
        <w:spacing w:after="0" w:line="228"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that certain Omnibus Agreement (the "Omnibus Agreement") dated November 15, 2016, by and among PAA GP Holdings LLC ("PAGP GP"), Plains GP Holdings, L.P. ("PAGP"), Plains All American GP LLC ("GP LLC"), Plains AAP, L.P. ("AAP"), PAA GP LLC and the Issuer, PAGP has agreed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PAA an equivalent number of common units representing limited partner interests of PAA ("Common Units").</w:t>
      </w:r>
    </w:p>
    <w:p>
      <w:pPr>
        <w:spacing w:after="0" w:line="32"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March 1, 2017, PAGP sold an aggregate of 48,300,000 Class A shares in an underwritten public offering and used the net proceeds therefrom ($1,474,888,800) to purchase an equivalent number of Class A units of AAP.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right="58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the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03/01/2017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2020-01-16T00:55:07Z</dcterms:created>
  <dcterms:modified xsi:type="dcterms:W3CDTF">2020-01-16T00:55:07Z</dcterms:modified>
</cp:coreProperties>
</file>