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14" w:lineRule="exact"/>
        <w:rPr>
          <w:sz w:val="24"/>
          <w:szCs w:val="24"/>
          <w:color w:val="auto"/>
        </w:rPr>
      </w:pPr>
    </w:p>
    <w:p>
      <w:pPr>
        <w:ind w:left="340"/>
        <w:spacing w:after="0" w:line="26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-189865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60" w:type="dxa"/>
            <w:vAlign w:val="bottom"/>
          </w:tcPr>
          <w:p>
            <w:pPr>
              <w:jc w:val="center"/>
              <w:ind w:right="50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01"/>
              <w:spacing w:after="0" w:line="126" w:lineRule="exact"/>
              <w:rPr>
                <w:sz w:val="20"/>
                <w:szCs w:val="20"/>
                <w:color w:val="auto"/>
              </w:rPr>
            </w:pPr>
            <w:r>
              <w:rPr>
                <w:rFonts w:ascii="Arial" w:cs="Arial" w:eastAsia="Arial" w:hAnsi="Arial"/>
                <w:sz w:val="12"/>
                <w:szCs w:val="12"/>
                <w:color w:val="auto"/>
              </w:rPr>
              <w:t>Washington, D.C. 20549</w:t>
            </w:r>
          </w:p>
        </w:tc>
        <w:tc>
          <w:tcPr>
            <w:tcW w:w="2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2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140" w:type="dxa"/>
            <w:vAlign w:val="bottom"/>
            <w:gridSpan w:val="3"/>
            <w:vMerge w:val="restart"/>
          </w:tcPr>
          <w:p>
            <w:pPr>
              <w:ind w:left="4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521"/>
              <w:spacing w:after="0" w:line="176" w:lineRule="exact"/>
              <w:rPr>
                <w:sz w:val="20"/>
                <w:szCs w:val="20"/>
                <w:color w:val="auto"/>
              </w:rPr>
            </w:pPr>
            <w:r>
              <w:rPr>
                <w:rFonts w:ascii="Arial" w:cs="Arial" w:eastAsia="Arial" w:hAnsi="Arial"/>
                <w:sz w:val="19"/>
                <w:szCs w:val="19"/>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260" w:type="dxa"/>
            <w:vAlign w:val="bottom"/>
            <w:vMerge w:val="restart"/>
          </w:tcPr>
          <w:p>
            <w:pPr>
              <w:jc w:val="center"/>
              <w:ind w:right="5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5304790</wp:posOffset>
            </wp:positionH>
            <wp:positionV relativeFrom="paragraph">
              <wp:posOffset>-589280</wp:posOffset>
            </wp:positionV>
            <wp:extent cx="56515" cy="602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261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-589280</wp:posOffset>
            </wp:positionV>
            <wp:extent cx="5651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261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-1893570</wp:posOffset>
            </wp:positionH>
            <wp:positionV relativeFrom="paragraph">
              <wp:posOffset>15240</wp:posOffset>
            </wp:positionV>
            <wp:extent cx="7329805" cy="7078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805" cy="7078345"/>
                    </a:xfrm>
                    <a:prstGeom prst="rect">
                      <a:avLst/>
                    </a:prstGeom>
                    <a:noFill/>
                  </pic:spPr>
                </pic:pic>
              </a:graphicData>
            </a:graphic>
          </wp:anchor>
        </w:drawing>
      </w:r>
    </w:p>
    <w:p>
      <w:pPr>
        <w:spacing w:after="0" w:line="33" w:lineRule="exact"/>
        <w:rPr>
          <w:sz w:val="24"/>
          <w:szCs w:val="24"/>
          <w:color w:val="auto"/>
        </w:rPr>
      </w:pPr>
    </w:p>
    <w:p>
      <w:pPr>
        <w:sectPr>
          <w:pgSz w:w="11900" w:h="16878" w:orient="portrait"/>
          <w:cols w:equalWidth="0" w:num="2">
            <w:col w:w="2320" w:space="640"/>
            <w:col w:w="8560"/>
          </w:cols>
          <w:pgMar w:left="240" w:top="217" w:right="139" w:bottom="0" w:gutter="0" w:footer="0" w:header="0"/>
        </w:sectPr>
      </w:pPr>
    </w:p>
    <w:tbl>
      <w:tblPr>
        <w:tblLayout w:type="fixed"/>
        <w:tblInd w:w="60" w:type="dxa"/>
        <w:tblCellMar>
          <w:top w:w="0" w:type="dxa"/>
          <w:left w:w="0" w:type="dxa"/>
          <w:bottom w:w="0" w:type="dxa"/>
          <w:right w:w="0" w:type="dxa"/>
        </w:tblCellMar>
      </w:tblPr>
      <w:tr>
        <w:trPr>
          <w:trHeight w:val="230"/>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0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4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SINNOTT ROBERT V</w:t>
              </w:r>
            </w:hyperlink>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20" w:type="dxa"/>
            <w:vAlign w:val="bottom"/>
            <w:gridSpan w:val="3"/>
          </w:tcPr>
          <w:p>
            <w:pPr>
              <w:spacing w:after="0" w:line="170"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2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40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60" w:type="dxa"/>
            <w:vAlign w:val="bottom"/>
            <w:tcBorders>
              <w:bottom w:val="single" w:sz="8" w:color="2C2C2C"/>
            </w:tcBorders>
          </w:tcPr>
          <w:p>
            <w:pPr>
              <w:spacing w:after="0"/>
              <w:rPr>
                <w:sz w:val="9"/>
                <w:szCs w:val="9"/>
                <w:color w:val="auto"/>
              </w:rPr>
            </w:pPr>
          </w:p>
        </w:tc>
        <w:tc>
          <w:tcPr>
            <w:tcW w:w="16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3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0000FF"/>
              </w:rPr>
              <w:t>1800 AVE OF THE STARS</w:t>
            </w:r>
          </w:p>
        </w:tc>
        <w:tc>
          <w:tcPr>
            <w:tcW w:w="1400" w:type="dxa"/>
            <w:vAlign w:val="bottom"/>
          </w:tcPr>
          <w:p>
            <w:pPr>
              <w:spacing w:after="0"/>
              <w:rPr>
                <w:sz w:val="19"/>
                <w:szCs w:val="19"/>
                <w:color w:val="auto"/>
              </w:rPr>
            </w:pPr>
          </w:p>
        </w:tc>
        <w:tc>
          <w:tcPr>
            <w:tcW w:w="2420" w:type="dxa"/>
            <w:vAlign w:val="bottom"/>
            <w:gridSpan w:val="4"/>
          </w:tcPr>
          <w:p>
            <w:pPr>
              <w:ind w:left="140"/>
              <w:spacing w:after="0"/>
              <w:rPr>
                <w:sz w:val="20"/>
                <w:szCs w:val="20"/>
                <w:color w:val="auto"/>
              </w:rPr>
            </w:pPr>
            <w:r>
              <w:rPr>
                <w:rFonts w:ascii="Arial" w:cs="Arial" w:eastAsia="Arial" w:hAnsi="Arial"/>
                <w:sz w:val="16"/>
                <w:szCs w:val="16"/>
                <w:color w:val="0000FF"/>
              </w:rPr>
              <w:t>02/10/2016</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3RD FLR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8" w:right="920" w:firstLine="8"/>
        <w:spacing w:after="0" w:line="245" w:lineRule="auto"/>
        <w:tabs>
          <w:tab w:leader="none" w:pos="12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1"/>
          <w:szCs w:val="11"/>
          <w:color w:val="auto"/>
        </w:rPr>
        <w:t>10% Owner</w:t>
      </w:r>
    </w:p>
    <w:p>
      <w:pPr>
        <w:spacing w:after="0" w:line="101" w:lineRule="exact"/>
        <w:rPr>
          <w:sz w:val="20"/>
          <w:szCs w:val="20"/>
          <w:color w:val="auto"/>
        </w:rPr>
      </w:pPr>
    </w:p>
    <w:p>
      <w:pPr>
        <w:jc w:val="right"/>
        <w:ind w:right="54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52"/>
        <w:spacing w:after="0"/>
        <w:tabs>
          <w:tab w:leader="none" w:pos="217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4" w:lineRule="exact"/>
        <w:rPr>
          <w:sz w:val="20"/>
          <w:szCs w:val="20"/>
          <w:color w:val="auto"/>
        </w:rPr>
      </w:pPr>
    </w:p>
    <w:p>
      <w:pPr>
        <w:sectPr>
          <w:pgSz w:w="11900" w:h="16878" w:orient="portrait"/>
          <w:cols w:equalWidth="0" w:num="2">
            <w:col w:w="7980" w:space="68"/>
            <w:col w:w="3472"/>
          </w:cols>
          <w:pgMar w:left="240" w:top="217" w:right="139" w:bottom="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500" w:type="dxa"/>
            <w:vAlign w:val="bottom"/>
            <w:shd w:val="clear" w:color="auto" w:fill="9A9A9A"/>
          </w:tcPr>
          <w:p>
            <w:pPr>
              <w:spacing w:after="0"/>
              <w:rPr>
                <w:sz w:val="2"/>
                <w:szCs w:val="2"/>
                <w:color w:val="auto"/>
              </w:rPr>
            </w:pPr>
          </w:p>
        </w:tc>
        <w:tc>
          <w:tcPr>
            <w:tcW w:w="3340" w:type="dxa"/>
            <w:vAlign w:val="bottom"/>
            <w:gridSpan w:val="8"/>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gridSpan w:val="8"/>
            <w:vMerge w:val="restart"/>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40" w:type="dxa"/>
            <w:vAlign w:val="bottom"/>
            <w:gridSpan w:val="8"/>
            <w:vMerge w:val="continue"/>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66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Form filed by One Reporting Person</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6"/>
                <w:szCs w:val="16"/>
                <w:color w:val="0000FF"/>
              </w:rPr>
              <w:t>LOS ANGELES</w:t>
            </w:r>
          </w:p>
        </w:tc>
        <w:tc>
          <w:tcPr>
            <w:tcW w:w="1040" w:type="dxa"/>
            <w:vAlign w:val="bottom"/>
            <w:vMerge w:val="restart"/>
          </w:tcPr>
          <w:p>
            <w:pPr>
              <w:ind w:left="20"/>
              <w:spacing w:after="0"/>
              <w:rPr>
                <w:sz w:val="20"/>
                <w:szCs w:val="20"/>
                <w:color w:val="auto"/>
              </w:rPr>
            </w:pPr>
            <w:r>
              <w:rPr>
                <w:rFonts w:ascii="Arial" w:cs="Arial" w:eastAsia="Arial" w:hAnsi="Arial"/>
                <w:sz w:val="16"/>
                <w:szCs w:val="16"/>
                <w:color w:val="0000FF"/>
              </w:rPr>
              <w:t>CA</w:t>
            </w:r>
          </w:p>
        </w:tc>
        <w:tc>
          <w:tcPr>
            <w:tcW w:w="1020" w:type="dxa"/>
            <w:vAlign w:val="bottom"/>
            <w:vMerge w:val="restart"/>
          </w:tcPr>
          <w:p>
            <w:pPr>
              <w:ind w:left="260"/>
              <w:spacing w:after="0"/>
              <w:rPr>
                <w:sz w:val="20"/>
                <w:szCs w:val="20"/>
                <w:color w:val="auto"/>
              </w:rPr>
            </w:pPr>
            <w:r>
              <w:rPr>
                <w:rFonts w:ascii="Arial" w:cs="Arial" w:eastAsia="Arial" w:hAnsi="Arial"/>
                <w:sz w:val="16"/>
                <w:szCs w:val="16"/>
                <w:color w:val="0000FF"/>
              </w:rPr>
              <w:t>90067</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40" w:type="dxa"/>
            <w:vAlign w:val="bottom"/>
            <w:gridSpan w:val="6"/>
            <w:vMerge w:val="restart"/>
          </w:tcPr>
          <w:p>
            <w:pPr>
              <w:spacing w:after="0"/>
              <w:rPr>
                <w:sz w:val="20"/>
                <w:szCs w:val="20"/>
                <w:color w:val="auto"/>
              </w:rPr>
            </w:pPr>
            <w:r>
              <w:rPr>
                <w:rFonts w:ascii="Arial" w:cs="Arial" w:eastAsia="Arial" w:hAnsi="Arial"/>
                <w:sz w:val="12"/>
                <w:szCs w:val="12"/>
                <w:color w:val="auto"/>
              </w:rPr>
              <w:t>Form filed by More than One Reporting Person</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260"/>
              <w:spacing w:after="0"/>
              <w:rPr>
                <w:sz w:val="20"/>
                <w:szCs w:val="20"/>
                <w:color w:val="auto"/>
              </w:rPr>
            </w:pPr>
            <w:r>
              <w:rPr>
                <w:rFonts w:ascii="Arial" w:cs="Arial" w:eastAsia="Arial" w:hAnsi="Arial"/>
                <w:sz w:val="12"/>
                <w:szCs w:val="12"/>
                <w:color w:val="auto"/>
              </w:rPr>
              <w:t>(Zip)</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6"/>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5"/>
          </w:tcPr>
          <w:p>
            <w:pPr>
              <w:ind w:left="32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3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3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2400" w:type="dxa"/>
            <w:vAlign w:val="bottom"/>
            <w:tcBorders>
              <w:bottom w:val="single" w:sz="8" w:color="2C2C2C"/>
            </w:tcBorders>
            <w:gridSpan w:val="4"/>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52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5. Amount of</w:t>
            </w:r>
          </w:p>
        </w:tc>
        <w:tc>
          <w:tcPr>
            <w:tcW w:w="38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 Indirect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ind w:left="780"/>
              <w:spacing w:after="0" w:line="120" w:lineRule="exact"/>
              <w:rPr>
                <w:sz w:val="20"/>
                <w:szCs w:val="20"/>
                <w:color w:val="auto"/>
              </w:rPr>
            </w:pPr>
            <w:r>
              <w:rPr>
                <w:rFonts w:ascii="Arial" w:cs="Arial" w:eastAsia="Arial" w:hAnsi="Arial"/>
                <w:sz w:val="11"/>
                <w:szCs w:val="11"/>
                <w:b w:val="1"/>
                <w:bCs w:val="1"/>
                <w:color w:val="auto"/>
                <w:w w:val="92"/>
              </w:rPr>
              <w:t>Date</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5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0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 (D)</w:t>
            </w:r>
          </w:p>
        </w:tc>
        <w:tc>
          <w:tcPr>
            <w:tcW w:w="13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 Ownership</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3"/>
          </w:tcPr>
          <w:p>
            <w:pPr>
              <w:jc w:val="center"/>
              <w:ind w:left="591"/>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tcPr>
          <w:p>
            <w:pPr>
              <w:spacing w:after="0" w:line="122" w:lineRule="exact"/>
              <w:rPr>
                <w:sz w:val="20"/>
                <w:szCs w:val="20"/>
                <w:color w:val="auto"/>
              </w:rPr>
            </w:pPr>
            <w:r>
              <w:rPr>
                <w:rFonts w:ascii="Arial" w:cs="Arial" w:eastAsia="Arial" w:hAnsi="Arial"/>
                <w:sz w:val="11"/>
                <w:szCs w:val="11"/>
                <w:b w:val="1"/>
                <w:bCs w:val="1"/>
                <w:color w:val="auto"/>
                <w:w w:val="97"/>
              </w:rPr>
              <w:t>if any</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or Indirect (I)</w:t>
            </w:r>
          </w:p>
        </w:tc>
        <w:tc>
          <w:tcPr>
            <w:tcW w:w="13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Following Reported</w:t>
            </w:r>
          </w:p>
        </w:tc>
        <w:tc>
          <w:tcPr>
            <w:tcW w:w="9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(Instr. 4)</w:t>
            </w: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7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8"/>
              </w:rPr>
              <w:t>(Instr. 3 and 4)</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9"/>
                <w:szCs w:val="19"/>
                <w:color w:val="auto"/>
              </w:rPr>
            </w:pPr>
          </w:p>
        </w:tc>
        <w:tc>
          <w:tcPr>
            <w:tcW w:w="1800" w:type="dxa"/>
            <w:vAlign w:val="bottom"/>
            <w:gridSpan w:val="3"/>
            <w:vMerge w:val="restart"/>
          </w:tcPr>
          <w:p>
            <w:pPr>
              <w:jc w:val="center"/>
              <w:ind w:left="611"/>
              <w:spacing w:after="0"/>
              <w:rPr>
                <w:sz w:val="20"/>
                <w:szCs w:val="20"/>
                <w:color w:val="auto"/>
              </w:rPr>
            </w:pPr>
            <w:r>
              <w:rPr>
                <w:rFonts w:ascii="Arial" w:cs="Arial" w:eastAsia="Arial" w:hAnsi="Arial"/>
                <w:sz w:val="16"/>
                <w:szCs w:val="16"/>
                <w:color w:val="0000FF"/>
                <w:w w:val="89"/>
              </w:rPr>
              <w:t>02/10/2016</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20" w:type="dxa"/>
            <w:vAlign w:val="bottom"/>
          </w:tcPr>
          <w:p>
            <w:pPr>
              <w:spacing w:after="0"/>
              <w:rPr>
                <w:sz w:val="19"/>
                <w:szCs w:val="19"/>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17,562,144</w:t>
            </w:r>
          </w:p>
        </w:tc>
        <w:tc>
          <w:tcPr>
            <w:tcW w:w="44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Pr>
          <w:p>
            <w:pPr>
              <w:spacing w:after="0"/>
              <w:rPr>
                <w:sz w:val="19"/>
                <w:szCs w:val="19"/>
                <w:color w:val="auto"/>
              </w:rPr>
            </w:pPr>
          </w:p>
        </w:tc>
        <w:tc>
          <w:tcPr>
            <w:tcW w:w="1140" w:type="dxa"/>
            <w:vAlign w:val="bottom"/>
            <w:gridSpan w:val="4"/>
            <w:vMerge w:val="restart"/>
          </w:tcPr>
          <w:p>
            <w:pPr>
              <w:jc w:val="center"/>
              <w:ind w:right="64"/>
              <w:spacing w:after="0"/>
              <w:rPr>
                <w:sz w:val="20"/>
                <w:szCs w:val="20"/>
                <w:color w:val="auto"/>
              </w:rPr>
            </w:pPr>
            <w:r>
              <w:rPr>
                <w:rFonts w:ascii="Arial" w:cs="Arial" w:eastAsia="Arial" w:hAnsi="Arial"/>
                <w:sz w:val="16"/>
                <w:szCs w:val="16"/>
                <w:color w:val="0000FF"/>
                <w:w w:val="87"/>
              </w:rPr>
              <w:t>17,562,144</w:t>
            </w:r>
          </w:p>
        </w:tc>
        <w:tc>
          <w:tcPr>
            <w:tcW w:w="380" w:type="dxa"/>
            <w:vAlign w:val="bottom"/>
          </w:tcPr>
          <w:p>
            <w:pPr>
              <w:spacing w:after="0"/>
              <w:rPr>
                <w:sz w:val="19"/>
                <w:szCs w:val="19"/>
                <w:color w:val="auto"/>
              </w:rPr>
            </w:pPr>
          </w:p>
        </w:tc>
        <w:tc>
          <w:tcPr>
            <w:tcW w:w="520" w:type="dxa"/>
            <w:vAlign w:val="bottom"/>
            <w:vMerge w:val="restart"/>
          </w:tcPr>
          <w:p>
            <w:pPr>
              <w:jc w:val="center"/>
              <w:ind w:right="354"/>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3"/>
              </w:rPr>
              <w:t>See Footnotes</w:t>
            </w:r>
            <w:r>
              <w:rPr>
                <w:rFonts w:ascii="Arial" w:cs="Arial" w:eastAsia="Arial" w:hAnsi="Arial"/>
                <w:sz w:val="20"/>
                <w:szCs w:val="20"/>
                <w:color w:val="008000"/>
                <w:w w:val="93"/>
                <w:vertAlign w:val="superscript"/>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36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340" w:type="dxa"/>
            <w:vAlign w:val="bottom"/>
            <w:vMerge w:val="restart"/>
          </w:tcPr>
          <w:p>
            <w:pPr>
              <w:ind w:left="60"/>
              <w:spacing w:after="0"/>
              <w:rPr>
                <w:sz w:val="20"/>
                <w:szCs w:val="20"/>
                <w:color w:val="auto"/>
              </w:rPr>
            </w:pPr>
            <w:r>
              <w:rPr>
                <w:rFonts w:ascii="Arial" w:cs="Arial" w:eastAsia="Arial" w:hAnsi="Arial"/>
                <w:sz w:val="10"/>
                <w:szCs w:val="10"/>
                <w:color w:val="008000"/>
              </w:rPr>
              <w:t>(3)(4)(5)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rPr>
              <w:t>Rosa Sinnott201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6"/>
                <w:szCs w:val="16"/>
                <w:color w:val="auto"/>
              </w:rPr>
            </w:pPr>
          </w:p>
        </w:tc>
        <w:tc>
          <w:tcPr>
            <w:tcW w:w="1800" w:type="dxa"/>
            <w:vAlign w:val="bottom"/>
            <w:gridSpan w:val="3"/>
            <w:vMerge w:val="restart"/>
          </w:tcPr>
          <w:p>
            <w:pPr>
              <w:jc w:val="center"/>
              <w:ind w:left="611"/>
              <w:spacing w:after="0"/>
              <w:rPr>
                <w:sz w:val="20"/>
                <w:szCs w:val="20"/>
                <w:color w:val="auto"/>
              </w:rPr>
            </w:pPr>
            <w:r>
              <w:rPr>
                <w:rFonts w:ascii="Arial" w:cs="Arial" w:eastAsia="Arial" w:hAnsi="Arial"/>
                <w:sz w:val="16"/>
                <w:szCs w:val="16"/>
                <w:color w:val="0000FF"/>
                <w:w w:val="89"/>
              </w:rPr>
              <w:t>02/10/2016</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2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1,487,244</w:t>
            </w:r>
          </w:p>
        </w:tc>
        <w:tc>
          <w:tcPr>
            <w:tcW w:w="44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Pr>
          <w:p>
            <w:pPr>
              <w:spacing w:after="0"/>
              <w:rPr>
                <w:sz w:val="16"/>
                <w:szCs w:val="16"/>
                <w:color w:val="auto"/>
              </w:rPr>
            </w:pPr>
          </w:p>
        </w:tc>
        <w:tc>
          <w:tcPr>
            <w:tcW w:w="1140" w:type="dxa"/>
            <w:vAlign w:val="bottom"/>
            <w:gridSpan w:val="4"/>
            <w:vMerge w:val="restart"/>
          </w:tcPr>
          <w:p>
            <w:pPr>
              <w:jc w:val="center"/>
              <w:ind w:right="64"/>
              <w:spacing w:after="0"/>
              <w:rPr>
                <w:sz w:val="20"/>
                <w:szCs w:val="20"/>
                <w:color w:val="auto"/>
              </w:rPr>
            </w:pPr>
            <w:r>
              <w:rPr>
                <w:rFonts w:ascii="Arial" w:cs="Arial" w:eastAsia="Arial" w:hAnsi="Arial"/>
                <w:sz w:val="16"/>
                <w:szCs w:val="16"/>
                <w:color w:val="0000FF"/>
                <w:w w:val="87"/>
              </w:rPr>
              <w:t>1,487,244</w:t>
            </w:r>
          </w:p>
        </w:tc>
        <w:tc>
          <w:tcPr>
            <w:tcW w:w="380" w:type="dxa"/>
            <w:vAlign w:val="bottom"/>
          </w:tcPr>
          <w:p>
            <w:pPr>
              <w:spacing w:after="0"/>
              <w:rPr>
                <w:sz w:val="16"/>
                <w:szCs w:val="16"/>
                <w:color w:val="auto"/>
              </w:rPr>
            </w:pPr>
          </w:p>
        </w:tc>
        <w:tc>
          <w:tcPr>
            <w:tcW w:w="520" w:type="dxa"/>
            <w:vAlign w:val="bottom"/>
            <w:vMerge w:val="restart"/>
          </w:tcPr>
          <w:p>
            <w:pPr>
              <w:jc w:val="center"/>
              <w:ind w:right="354"/>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99"/>
              </w:rPr>
              <w:t>GRAT dtd 1/28/10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36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6"/>
                <w:szCs w:val="16"/>
                <w:color w:val="0000FF"/>
              </w:rPr>
              <w:t>John Sinnott,</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TTEE</w:t>
            </w:r>
            <w:r>
              <w:rPr>
                <w:rFonts w:ascii="Arial" w:cs="Arial" w:eastAsia="Arial" w:hAnsi="Arial"/>
                <w:sz w:val="20"/>
                <w:szCs w:val="20"/>
                <w:color w:val="008000"/>
                <w:vertAlign w:val="superscript"/>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rPr>
              <w:t>Robert Sinnott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6"/>
                <w:szCs w:val="16"/>
                <w:color w:val="auto"/>
              </w:rPr>
            </w:pPr>
          </w:p>
        </w:tc>
        <w:tc>
          <w:tcPr>
            <w:tcW w:w="1800" w:type="dxa"/>
            <w:vAlign w:val="bottom"/>
            <w:gridSpan w:val="3"/>
            <w:vMerge w:val="restart"/>
          </w:tcPr>
          <w:p>
            <w:pPr>
              <w:jc w:val="center"/>
              <w:ind w:left="611"/>
              <w:spacing w:after="0"/>
              <w:rPr>
                <w:sz w:val="20"/>
                <w:szCs w:val="20"/>
                <w:color w:val="auto"/>
              </w:rPr>
            </w:pPr>
            <w:r>
              <w:rPr>
                <w:rFonts w:ascii="Arial" w:cs="Arial" w:eastAsia="Arial" w:hAnsi="Arial"/>
                <w:sz w:val="16"/>
                <w:szCs w:val="16"/>
                <w:color w:val="0000FF"/>
                <w:w w:val="89"/>
              </w:rPr>
              <w:t>02/10/2016</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2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1,487,244</w:t>
            </w:r>
          </w:p>
        </w:tc>
        <w:tc>
          <w:tcPr>
            <w:tcW w:w="44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Pr>
          <w:p>
            <w:pPr>
              <w:spacing w:after="0"/>
              <w:rPr>
                <w:sz w:val="16"/>
                <w:szCs w:val="16"/>
                <w:color w:val="auto"/>
              </w:rPr>
            </w:pPr>
          </w:p>
        </w:tc>
        <w:tc>
          <w:tcPr>
            <w:tcW w:w="1140" w:type="dxa"/>
            <w:vAlign w:val="bottom"/>
            <w:gridSpan w:val="4"/>
            <w:vMerge w:val="restart"/>
          </w:tcPr>
          <w:p>
            <w:pPr>
              <w:jc w:val="center"/>
              <w:ind w:right="64"/>
              <w:spacing w:after="0"/>
              <w:rPr>
                <w:sz w:val="20"/>
                <w:szCs w:val="20"/>
                <w:color w:val="auto"/>
              </w:rPr>
            </w:pPr>
            <w:r>
              <w:rPr>
                <w:rFonts w:ascii="Arial" w:cs="Arial" w:eastAsia="Arial" w:hAnsi="Arial"/>
                <w:sz w:val="16"/>
                <w:szCs w:val="16"/>
                <w:color w:val="0000FF"/>
                <w:w w:val="87"/>
              </w:rPr>
              <w:t>1,487,244</w:t>
            </w:r>
          </w:p>
        </w:tc>
        <w:tc>
          <w:tcPr>
            <w:tcW w:w="380" w:type="dxa"/>
            <w:vAlign w:val="bottom"/>
          </w:tcPr>
          <w:p>
            <w:pPr>
              <w:spacing w:after="0"/>
              <w:rPr>
                <w:sz w:val="16"/>
                <w:szCs w:val="16"/>
                <w:color w:val="auto"/>
              </w:rPr>
            </w:pPr>
          </w:p>
        </w:tc>
        <w:tc>
          <w:tcPr>
            <w:tcW w:w="520" w:type="dxa"/>
            <w:vAlign w:val="bottom"/>
            <w:vMerge w:val="restart"/>
          </w:tcPr>
          <w:p>
            <w:pPr>
              <w:jc w:val="center"/>
              <w:ind w:right="354"/>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rPr>
              <w:t>2010 GRAT dtd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36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6"/>
                <w:szCs w:val="16"/>
                <w:color w:val="0000FF"/>
              </w:rPr>
              <w:t>1/28/10 John</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0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Sinnott, TTEE</w:t>
            </w:r>
            <w:r>
              <w:rPr>
                <w:rFonts w:ascii="Arial" w:cs="Arial" w:eastAsia="Arial" w:hAnsi="Arial"/>
                <w:sz w:val="20"/>
                <w:szCs w:val="20"/>
                <w:color w:val="008000"/>
                <w:vertAlign w:val="superscript"/>
              </w:rPr>
              <w:t>(6)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11"/>
              <w:spacing w:after="0"/>
              <w:rPr>
                <w:sz w:val="20"/>
                <w:szCs w:val="20"/>
                <w:color w:val="auto"/>
              </w:rPr>
            </w:pPr>
            <w:r>
              <w:rPr>
                <w:rFonts w:ascii="Arial" w:cs="Arial" w:eastAsia="Arial" w:hAnsi="Arial"/>
                <w:sz w:val="16"/>
                <w:szCs w:val="16"/>
                <w:color w:val="0000FF"/>
                <w:w w:val="89"/>
              </w:rPr>
              <w:t>02/10/2016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82"/>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200,000</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5.65</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left="194"/>
              <w:spacing w:after="0"/>
              <w:rPr>
                <w:sz w:val="20"/>
                <w:szCs w:val="20"/>
                <w:color w:val="auto"/>
              </w:rPr>
            </w:pPr>
            <w:r>
              <w:rPr>
                <w:rFonts w:ascii="Arial" w:cs="Arial" w:eastAsia="Arial" w:hAnsi="Arial"/>
                <w:sz w:val="16"/>
                <w:szCs w:val="16"/>
                <w:color w:val="0000FF"/>
                <w:w w:val="86"/>
              </w:rPr>
              <w:t>200,000</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54"/>
              <w:spacing w:after="0"/>
              <w:rPr>
                <w:sz w:val="20"/>
                <w:szCs w:val="20"/>
                <w:color w:val="auto"/>
              </w:rPr>
            </w:pPr>
            <w:r>
              <w:rPr>
                <w:rFonts w:ascii="Arial" w:cs="Arial" w:eastAsia="Arial" w:hAnsi="Arial"/>
                <w:sz w:val="16"/>
                <w:szCs w:val="16"/>
                <w:color w:val="0000FF"/>
              </w:rPr>
              <w:t>I</w:t>
            </w: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11"/>
              <w:spacing w:after="0"/>
              <w:rPr>
                <w:sz w:val="20"/>
                <w:szCs w:val="20"/>
                <w:color w:val="auto"/>
              </w:rPr>
            </w:pPr>
            <w:r>
              <w:rPr>
                <w:rFonts w:ascii="Arial" w:cs="Arial" w:eastAsia="Arial" w:hAnsi="Arial"/>
                <w:sz w:val="16"/>
                <w:szCs w:val="16"/>
                <w:color w:val="0000FF"/>
                <w:w w:val="89"/>
              </w:rPr>
              <w:t>02/10/2016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82"/>
              <w:spacing w:after="0"/>
              <w:rPr>
                <w:sz w:val="20"/>
                <w:szCs w:val="20"/>
                <w:color w:val="auto"/>
              </w:rPr>
            </w:pPr>
            <w:r>
              <w:rPr>
                <w:rFonts w:ascii="Arial" w:cs="Arial" w:eastAsia="Arial" w:hAnsi="Arial"/>
                <w:sz w:val="12"/>
                <w:szCs w:val="12"/>
                <w:color w:val="0000FF"/>
                <w:w w:val="74"/>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100,000</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5.72</w:t>
            </w: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left="194"/>
              <w:spacing w:after="0"/>
              <w:rPr>
                <w:sz w:val="20"/>
                <w:szCs w:val="20"/>
                <w:color w:val="auto"/>
              </w:rPr>
            </w:pPr>
            <w:r>
              <w:rPr>
                <w:rFonts w:ascii="Arial" w:cs="Arial" w:eastAsia="Arial" w:hAnsi="Arial"/>
                <w:sz w:val="16"/>
                <w:szCs w:val="16"/>
                <w:color w:val="0000FF"/>
                <w:w w:val="86"/>
              </w:rPr>
              <w:t>100,000</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54"/>
              <w:spacing w:after="0"/>
              <w:rPr>
                <w:sz w:val="20"/>
                <w:szCs w:val="20"/>
                <w:color w:val="auto"/>
              </w:rPr>
            </w:pPr>
            <w:r>
              <w:rPr>
                <w:rFonts w:ascii="Arial" w:cs="Arial" w:eastAsia="Arial" w:hAnsi="Arial"/>
                <w:sz w:val="16"/>
                <w:szCs w:val="16"/>
                <w:color w:val="0000FF"/>
              </w:rPr>
              <w:t>I</w:t>
            </w: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See Footnote</w:t>
            </w:r>
            <w:r>
              <w:rPr>
                <w:rFonts w:ascii="Arial" w:cs="Arial" w:eastAsia="Arial" w:hAnsi="Arial"/>
                <w:sz w:val="20"/>
                <w:szCs w:val="20"/>
                <w:color w:val="008000"/>
                <w:vertAlign w:val="superscript"/>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6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Pr>
          <w:p>
            <w:pPr>
              <w:spacing w:after="0"/>
              <w:rPr>
                <w:sz w:val="19"/>
                <w:szCs w:val="19"/>
                <w:color w:val="auto"/>
              </w:rPr>
            </w:pPr>
          </w:p>
        </w:tc>
        <w:tc>
          <w:tcPr>
            <w:tcW w:w="1800" w:type="dxa"/>
            <w:vAlign w:val="bottom"/>
            <w:gridSpan w:val="3"/>
            <w:vMerge w:val="restart"/>
          </w:tcPr>
          <w:p>
            <w:pPr>
              <w:jc w:val="center"/>
              <w:ind w:left="611"/>
              <w:spacing w:after="0"/>
              <w:rPr>
                <w:sz w:val="20"/>
                <w:szCs w:val="20"/>
                <w:color w:val="auto"/>
              </w:rPr>
            </w:pPr>
            <w:r>
              <w:rPr>
                <w:rFonts w:ascii="Arial" w:cs="Arial" w:eastAsia="Arial" w:hAnsi="Arial"/>
                <w:sz w:val="16"/>
                <w:szCs w:val="16"/>
                <w:color w:val="0000FF"/>
                <w:w w:val="89"/>
              </w:rPr>
              <w:t>02/11/2016</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vMerge w:val="restart"/>
          </w:tcPr>
          <w:p>
            <w:pPr>
              <w:jc w:val="center"/>
              <w:ind w:left="82"/>
              <w:spacing w:after="0"/>
              <w:rPr>
                <w:sz w:val="20"/>
                <w:szCs w:val="20"/>
                <w:color w:val="auto"/>
              </w:rPr>
            </w:pPr>
            <w:r>
              <w:rPr>
                <w:rFonts w:ascii="Arial" w:cs="Arial" w:eastAsia="Arial" w:hAnsi="Arial"/>
                <w:sz w:val="12"/>
                <w:szCs w:val="12"/>
                <w:color w:val="0000FF"/>
              </w:rPr>
              <w:t>A</w:t>
            </w:r>
          </w:p>
        </w:tc>
        <w:tc>
          <w:tcPr>
            <w:tcW w:w="520" w:type="dxa"/>
            <w:vAlign w:val="bottom"/>
          </w:tcPr>
          <w:p>
            <w:pPr>
              <w:spacing w:after="0"/>
              <w:rPr>
                <w:sz w:val="19"/>
                <w:szCs w:val="19"/>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704,075</w:t>
            </w:r>
          </w:p>
        </w:tc>
        <w:tc>
          <w:tcPr>
            <w:tcW w:w="44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Pr>
          <w:p>
            <w:pPr>
              <w:spacing w:after="0"/>
              <w:rPr>
                <w:sz w:val="19"/>
                <w:szCs w:val="19"/>
                <w:color w:val="auto"/>
              </w:rPr>
            </w:pPr>
          </w:p>
        </w:tc>
        <w:tc>
          <w:tcPr>
            <w:tcW w:w="760" w:type="dxa"/>
            <w:vAlign w:val="bottom"/>
            <w:gridSpan w:val="3"/>
            <w:vMerge w:val="restart"/>
          </w:tcPr>
          <w:p>
            <w:pPr>
              <w:jc w:val="center"/>
              <w:ind w:left="194"/>
              <w:spacing w:after="0"/>
              <w:rPr>
                <w:sz w:val="20"/>
                <w:szCs w:val="20"/>
                <w:color w:val="auto"/>
              </w:rPr>
            </w:pPr>
            <w:r>
              <w:rPr>
                <w:rFonts w:ascii="Arial" w:cs="Arial" w:eastAsia="Arial" w:hAnsi="Arial"/>
                <w:sz w:val="16"/>
                <w:szCs w:val="16"/>
                <w:color w:val="0000FF"/>
                <w:w w:val="86"/>
              </w:rPr>
              <w:t>704,075</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vMerge w:val="restart"/>
          </w:tcPr>
          <w:p>
            <w:pPr>
              <w:jc w:val="center"/>
              <w:ind w:right="354"/>
              <w:spacing w:after="0"/>
              <w:rPr>
                <w:sz w:val="20"/>
                <w:szCs w:val="20"/>
                <w:color w:val="auto"/>
              </w:rPr>
            </w:pPr>
            <w:r>
              <w:rPr>
                <w:rFonts w:ascii="Arial" w:cs="Arial" w:eastAsia="Arial" w:hAnsi="Arial"/>
                <w:sz w:val="16"/>
                <w:szCs w:val="16"/>
                <w:color w:val="0000FF"/>
              </w:rPr>
              <w:t>I</w:t>
            </w:r>
          </w:p>
        </w:tc>
        <w:tc>
          <w:tcPr>
            <w:tcW w:w="1360" w:type="dxa"/>
            <w:vAlign w:val="bottom"/>
            <w:gridSpan w:val="2"/>
          </w:tcPr>
          <w:p>
            <w:pPr>
              <w:ind w:left="60"/>
              <w:spacing w:after="0"/>
              <w:rPr>
                <w:sz w:val="20"/>
                <w:szCs w:val="20"/>
                <w:color w:val="auto"/>
              </w:rPr>
            </w:pPr>
            <w:r>
              <w:rPr>
                <w:rFonts w:ascii="Arial" w:cs="Arial" w:eastAsia="Arial" w:hAnsi="Arial"/>
                <w:sz w:val="16"/>
                <w:szCs w:val="16"/>
                <w:color w:val="0000FF"/>
                <w:w w:val="88"/>
              </w:rPr>
              <w:t>See Footnote</w:t>
            </w:r>
            <w:r>
              <w:rPr>
                <w:rFonts w:ascii="Arial" w:cs="Arial" w:eastAsia="Arial" w:hAnsi="Arial"/>
                <w:sz w:val="20"/>
                <w:szCs w:val="20"/>
                <w:color w:val="008000"/>
                <w:w w:val="88"/>
                <w:vertAlign w:val="superscript"/>
              </w:rPr>
              <w:t>(1)(2)(3)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360" w:type="dxa"/>
            <w:vAlign w:val="bottom"/>
            <w:gridSpan w:val="3"/>
            <w:vMerge w:val="continue"/>
          </w:tcPr>
          <w:p>
            <w:pPr>
              <w:spacing w:after="0"/>
              <w:rPr>
                <w:sz w:val="6"/>
                <w:szCs w:val="6"/>
                <w:color w:val="auto"/>
              </w:rPr>
            </w:pPr>
          </w:p>
        </w:tc>
        <w:tc>
          <w:tcPr>
            <w:tcW w:w="1040" w:type="dxa"/>
            <w:vAlign w:val="bottom"/>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340" w:type="dxa"/>
            <w:vAlign w:val="bottom"/>
            <w:vMerge w:val="restart"/>
          </w:tcPr>
          <w:p>
            <w:pPr>
              <w:ind w:left="60"/>
              <w:spacing w:after="0"/>
              <w:rPr>
                <w:sz w:val="20"/>
                <w:szCs w:val="20"/>
                <w:color w:val="auto"/>
              </w:rPr>
            </w:pPr>
            <w:r>
              <w:rPr>
                <w:rFonts w:ascii="Arial" w:cs="Arial" w:eastAsia="Arial" w:hAnsi="Arial"/>
                <w:sz w:val="10"/>
                <w:szCs w:val="10"/>
                <w:color w:val="008000"/>
              </w:rPr>
              <w:t>(4)(5)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360" w:type="dxa"/>
            <w:vAlign w:val="bottom"/>
            <w:tcBorders>
              <w:bottom w:val="single" w:sz="8" w:color="2C2C2C"/>
            </w:tcBorders>
            <w:gridSpan w:val="3"/>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11"/>
              <w:spacing w:after="0"/>
              <w:rPr>
                <w:sz w:val="20"/>
                <w:szCs w:val="20"/>
                <w:color w:val="auto"/>
              </w:rPr>
            </w:pPr>
            <w:r>
              <w:rPr>
                <w:rFonts w:ascii="Arial" w:cs="Arial" w:eastAsia="Arial" w:hAnsi="Arial"/>
                <w:sz w:val="16"/>
                <w:szCs w:val="16"/>
                <w:color w:val="0000FF"/>
                <w:w w:val="89"/>
              </w:rPr>
              <w:t>02/10/2016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82"/>
              <w:spacing w:after="0"/>
              <w:rPr>
                <w:sz w:val="20"/>
                <w:szCs w:val="20"/>
                <w:color w:val="auto"/>
              </w:rPr>
            </w:pPr>
            <w:r>
              <w:rPr>
                <w:rFonts w:ascii="Arial" w:cs="Arial" w:eastAsia="Arial" w:hAnsi="Arial"/>
                <w:sz w:val="12"/>
                <w:szCs w:val="12"/>
                <w:color w:val="0000FF"/>
                <w:w w:val="99"/>
              </w:rPr>
              <w:t>J</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17,562,144</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left="414"/>
              <w:spacing w:after="0"/>
              <w:rPr>
                <w:sz w:val="20"/>
                <w:szCs w:val="20"/>
                <w:color w:val="auto"/>
              </w:rPr>
            </w:pPr>
            <w:r>
              <w:rPr>
                <w:rFonts w:ascii="Arial" w:cs="Arial" w:eastAsia="Arial" w:hAnsi="Arial"/>
                <w:sz w:val="16"/>
                <w:szCs w:val="16"/>
                <w:color w:val="0000FF"/>
                <w:w w:val="89"/>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spacing w:after="0" w:line="290" w:lineRule="exact"/>
              <w:rPr>
                <w:sz w:val="20"/>
                <w:szCs w:val="20"/>
                <w:color w:val="auto"/>
              </w:rPr>
            </w:pPr>
            <w:r>
              <w:rPr>
                <w:rFonts w:ascii="Arial" w:cs="Arial" w:eastAsia="Arial" w:hAnsi="Arial"/>
                <w:sz w:val="31"/>
                <w:szCs w:val="31"/>
                <w:color w:val="0000FF"/>
                <w:w w:val="95"/>
                <w:vertAlign w:val="subscript"/>
              </w:rPr>
              <w:t>I</w:t>
            </w:r>
            <w:r>
              <w:rPr>
                <w:rFonts w:ascii="Arial" w:cs="Arial" w:eastAsia="Arial" w:hAnsi="Arial"/>
                <w:sz w:val="10"/>
                <w:szCs w:val="10"/>
                <w:color w:val="008000"/>
                <w:w w:val="95"/>
              </w:rPr>
              <w:t>(1)(2)(3)(4)(5)</w:t>
            </w:r>
          </w:p>
        </w:tc>
        <w:tc>
          <w:tcPr>
            <w:tcW w:w="13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See Footnotes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Shares</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11"/>
              <w:spacing w:after="0"/>
              <w:rPr>
                <w:sz w:val="20"/>
                <w:szCs w:val="20"/>
                <w:color w:val="auto"/>
              </w:rPr>
            </w:pPr>
            <w:r>
              <w:rPr>
                <w:rFonts w:ascii="Arial" w:cs="Arial" w:eastAsia="Arial" w:hAnsi="Arial"/>
                <w:sz w:val="16"/>
                <w:szCs w:val="16"/>
                <w:color w:val="0000FF"/>
                <w:w w:val="89"/>
              </w:rPr>
              <w:t>02/11/2016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82"/>
              <w:spacing w:after="0"/>
              <w:rPr>
                <w:sz w:val="20"/>
                <w:szCs w:val="20"/>
                <w:color w:val="auto"/>
              </w:rPr>
            </w:pPr>
            <w:r>
              <w:rPr>
                <w:rFonts w:ascii="Arial" w:cs="Arial" w:eastAsia="Arial" w:hAnsi="Arial"/>
                <w:sz w:val="12"/>
                <w:szCs w:val="12"/>
                <w:color w:val="0000FF"/>
                <w:w w:val="99"/>
              </w:rPr>
              <w:t>J</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704,072</w:t>
            </w:r>
          </w:p>
        </w:tc>
        <w:tc>
          <w:tcPr>
            <w:tcW w:w="44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tcPr>
          <w:p>
            <w:pPr>
              <w:jc w:val="center"/>
              <w:ind w:left="8"/>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left="414"/>
              <w:spacing w:after="0"/>
              <w:rPr>
                <w:sz w:val="20"/>
                <w:szCs w:val="20"/>
                <w:color w:val="auto"/>
              </w:rPr>
            </w:pPr>
            <w:r>
              <w:rPr>
                <w:rFonts w:ascii="Arial" w:cs="Arial" w:eastAsia="Arial" w:hAnsi="Arial"/>
                <w:sz w:val="16"/>
                <w:szCs w:val="16"/>
                <w:color w:val="0000FF"/>
                <w:w w:val="89"/>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spacing w:after="0" w:line="290" w:lineRule="exact"/>
              <w:rPr>
                <w:sz w:val="20"/>
                <w:szCs w:val="20"/>
                <w:color w:val="auto"/>
              </w:rPr>
            </w:pPr>
            <w:r>
              <w:rPr>
                <w:rFonts w:ascii="Arial" w:cs="Arial" w:eastAsia="Arial" w:hAnsi="Arial"/>
                <w:sz w:val="31"/>
                <w:szCs w:val="31"/>
                <w:color w:val="0000FF"/>
                <w:w w:val="95"/>
                <w:vertAlign w:val="subscript"/>
              </w:rPr>
              <w:t>I</w:t>
            </w:r>
            <w:r>
              <w:rPr>
                <w:rFonts w:ascii="Arial" w:cs="Arial" w:eastAsia="Arial" w:hAnsi="Arial"/>
                <w:sz w:val="10"/>
                <w:szCs w:val="10"/>
                <w:color w:val="008000"/>
                <w:w w:val="95"/>
              </w:rPr>
              <w:t>(1)(2)(3)(4)(5)</w:t>
            </w: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See Footnotes</w:t>
            </w: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0" w:type="dxa"/>
            <w:vAlign w:val="bottom"/>
            <w:gridSpan w:val="14"/>
          </w:tcPr>
          <w:p>
            <w:pPr>
              <w:jc w:val="center"/>
              <w:ind w:left="451"/>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20" w:type="dxa"/>
            <w:vAlign w:val="bottom"/>
            <w:gridSpan w:val="11"/>
          </w:tcPr>
          <w:p>
            <w:pPr>
              <w:jc w:val="center"/>
              <w:ind w:left="24"/>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4.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5. Number of</w:t>
            </w:r>
          </w:p>
        </w:tc>
        <w:tc>
          <w:tcPr>
            <w:tcW w:w="24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w w:val="98"/>
              </w:rPr>
              <w:t>7. Title and Amount of</w:t>
            </w:r>
          </w:p>
        </w:tc>
        <w:tc>
          <w:tcPr>
            <w:tcW w:w="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1360" w:type="dxa"/>
            <w:vAlign w:val="bottom"/>
            <w:gridSpan w:val="2"/>
          </w:tcPr>
          <w:p>
            <w:pPr>
              <w:ind w:left="300"/>
              <w:spacing w:after="0"/>
              <w:rPr>
                <w:sz w:val="20"/>
                <w:szCs w:val="20"/>
                <w:color w:val="auto"/>
              </w:rPr>
            </w:pPr>
            <w:r>
              <w:rPr>
                <w:rFonts w:ascii="Arial" w:cs="Arial" w:eastAsia="Arial" w:hAnsi="Arial"/>
                <w:sz w:val="11"/>
                <w:szCs w:val="11"/>
                <w:b w:val="1"/>
                <w:bCs w:val="1"/>
                <w:color w:val="auto"/>
              </w:rPr>
              <w:t>11. Nature of</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Execution Date,</w:t>
            </w:r>
          </w:p>
        </w:tc>
        <w:tc>
          <w:tcPr>
            <w:tcW w:w="10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 8)</w:t>
            </w:r>
          </w:p>
        </w:tc>
        <w:tc>
          <w:tcPr>
            <w:tcW w:w="7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3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88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Ownership  Indirect Beneficial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3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Security</w:t>
            </w:r>
          </w:p>
        </w:tc>
        <w:tc>
          <w:tcPr>
            <w:tcW w:w="2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w:t>
            </w:r>
          </w:p>
        </w:tc>
        <w:tc>
          <w:tcPr>
            <w:tcW w:w="1360" w:type="dxa"/>
            <w:vAlign w:val="bottom"/>
            <w:gridSpan w:val="2"/>
          </w:tcPr>
          <w:p>
            <w:pPr>
              <w:ind w:left="300"/>
              <w:spacing w:after="0" w:line="122" w:lineRule="exact"/>
              <w:rPr>
                <w:sz w:val="20"/>
                <w:szCs w:val="20"/>
                <w:color w:val="auto"/>
              </w:rPr>
            </w:pPr>
            <w:r>
              <w:rPr>
                <w:rFonts w:ascii="Arial" w:cs="Arial" w:eastAsia="Arial" w:hAnsi="Arial"/>
                <w:sz w:val="11"/>
                <w:szCs w:val="11"/>
                <w:b w:val="1"/>
                <w:bCs w:val="1"/>
                <w:color w:val="auto"/>
              </w:rPr>
              <w:t>Ownership (Instr.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6"/>
              </w:rPr>
              <w:t>(Instr. 5)</w:t>
            </w:r>
          </w:p>
        </w:tc>
        <w:tc>
          <w:tcPr>
            <w:tcW w:w="2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188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Direct (D)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Disposed of (D)</w:t>
            </w: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2"/>
              </w:rPr>
              <w:t>Owned</w:t>
            </w:r>
          </w:p>
        </w:tc>
        <w:tc>
          <w:tcPr>
            <w:tcW w:w="380" w:type="dxa"/>
            <w:vAlign w:val="bottom"/>
          </w:tcPr>
          <w:p>
            <w:pPr>
              <w:spacing w:after="0"/>
              <w:rPr>
                <w:sz w:val="10"/>
                <w:szCs w:val="10"/>
                <w:color w:val="auto"/>
              </w:rPr>
            </w:pPr>
          </w:p>
        </w:tc>
        <w:tc>
          <w:tcPr>
            <w:tcW w:w="188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or Indirect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(Instr. 3, 4 and</w:t>
            </w: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880" w:type="dxa"/>
            <w:vAlign w:val="bottom"/>
            <w:gridSpan w:val="3"/>
          </w:tcPr>
          <w:p>
            <w:pPr>
              <w:ind w:left="120"/>
              <w:spacing w:after="0" w:line="122" w:lineRule="exact"/>
              <w:rPr>
                <w:sz w:val="20"/>
                <w:szCs w:val="20"/>
                <w:color w:val="auto"/>
              </w:rPr>
            </w:pPr>
            <w:r>
              <w:rPr>
                <w:rFonts w:ascii="Arial" w:cs="Arial" w:eastAsia="Arial" w:hAnsi="Arial"/>
                <w:sz w:val="11"/>
                <w:szCs w:val="11"/>
                <w:b w:val="1"/>
                <w:bCs w:val="1"/>
                <w:color w:val="auto"/>
              </w:rPr>
              <w:t>(I) (Instr. 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w w:val="94"/>
              </w:rPr>
              <w:t>Transaction(s)</w:t>
            </w:r>
          </w:p>
        </w:tc>
        <w:tc>
          <w:tcPr>
            <w:tcW w:w="5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860" w:type="dxa"/>
            <w:vAlign w:val="bottom"/>
          </w:tcPr>
          <w:p>
            <w:pPr>
              <w:jc w:val="center"/>
              <w:ind w:left="92"/>
              <w:spacing w:after="0" w:line="122" w:lineRule="exact"/>
              <w:rPr>
                <w:sz w:val="20"/>
                <w:szCs w:val="20"/>
                <w:color w:val="auto"/>
              </w:rPr>
            </w:pPr>
            <w:r>
              <w:rPr>
                <w:rFonts w:ascii="Arial" w:cs="Arial" w:eastAsia="Arial" w:hAnsi="Arial"/>
                <w:sz w:val="11"/>
                <w:szCs w:val="11"/>
                <w:b w:val="1"/>
                <w:bCs w:val="1"/>
                <w:color w:val="auto"/>
              </w:rPr>
              <w:t>Expiration</w:t>
            </w:r>
          </w:p>
        </w:tc>
        <w:tc>
          <w:tcPr>
            <w:tcW w:w="440" w:type="dxa"/>
            <w:vAlign w:val="bottom"/>
          </w:tcPr>
          <w:p>
            <w:pPr>
              <w:spacing w:after="0"/>
              <w:rPr>
                <w:sz w:val="10"/>
                <w:szCs w:val="10"/>
                <w:color w:val="auto"/>
              </w:rPr>
            </w:pPr>
          </w:p>
        </w:tc>
        <w:tc>
          <w:tcPr>
            <w:tcW w:w="7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gridSpan w:val="2"/>
          </w:tcPr>
          <w:p>
            <w:pPr>
              <w:jc w:val="center"/>
              <w:ind w:right="319"/>
              <w:spacing w:after="0"/>
              <w:rPr>
                <w:sz w:val="20"/>
                <w:szCs w:val="20"/>
                <w:color w:val="auto"/>
              </w:rPr>
            </w:pPr>
            <w:r>
              <w:rPr>
                <w:rFonts w:ascii="Arial" w:cs="Arial" w:eastAsia="Arial" w:hAnsi="Arial"/>
                <w:sz w:val="11"/>
                <w:szCs w:val="11"/>
                <w:b w:val="1"/>
                <w:bCs w:val="1"/>
                <w:color w:val="auto"/>
              </w:rPr>
              <w:t>Code</w:t>
            </w:r>
          </w:p>
        </w:tc>
        <w:tc>
          <w:tcPr>
            <w:tcW w:w="300" w:type="dxa"/>
            <w:vAlign w:val="bottom"/>
          </w:tcPr>
          <w:p>
            <w:pPr>
              <w:ind w:left="120"/>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240" w:type="dxa"/>
            <w:vAlign w:val="bottom"/>
          </w:tcPr>
          <w:p>
            <w:pPr>
              <w:spacing w:after="0"/>
              <w:rPr>
                <w:sz w:val="12"/>
                <w:szCs w:val="12"/>
                <w:color w:val="auto"/>
              </w:rPr>
            </w:pPr>
          </w:p>
        </w:tc>
        <w:tc>
          <w:tcPr>
            <w:tcW w:w="13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  Date</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color w:val="0000FF"/>
              </w:rPr>
              <w:t>Class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vMerge w:val="restart"/>
          </w:tcPr>
          <w:p>
            <w:pPr>
              <w:ind w:left="980"/>
              <w:spacing w:after="0"/>
              <w:rPr>
                <w:sz w:val="20"/>
                <w:szCs w:val="20"/>
                <w:color w:val="auto"/>
              </w:rPr>
            </w:pPr>
            <w:r>
              <w:rPr>
                <w:rFonts w:ascii="Arial" w:cs="Arial" w:eastAsia="Arial" w:hAnsi="Arial"/>
                <w:sz w:val="10"/>
                <w:szCs w:val="10"/>
                <w:color w:val="008000"/>
                <w:w w:val="92"/>
              </w:rPr>
              <w:t>(1)(2)(3)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60"/>
              <w:spacing w:after="0" w:line="118"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gridSpan w:val="2"/>
            <w:vMerge w:val="restart"/>
          </w:tcPr>
          <w:p>
            <w:pPr>
              <w:ind w:left="80"/>
              <w:spacing w:after="0" w:line="191" w:lineRule="exact"/>
              <w:rPr>
                <w:sz w:val="20"/>
                <w:szCs w:val="20"/>
                <w:color w:val="auto"/>
              </w:rPr>
            </w:pPr>
            <w:r>
              <w:rPr>
                <w:rFonts w:ascii="Arial" w:cs="Arial" w:eastAsia="Arial" w:hAnsi="Arial"/>
                <w:sz w:val="22"/>
                <w:szCs w:val="22"/>
                <w:color w:val="0000FF"/>
                <w:w w:val="92"/>
                <w:vertAlign w:val="subscript"/>
              </w:rPr>
              <w:t>M</w:t>
            </w:r>
            <w:r>
              <w:rPr>
                <w:rFonts w:ascii="Arial" w:cs="Arial" w:eastAsia="Arial" w:hAnsi="Arial"/>
                <w:sz w:val="10"/>
                <w:szCs w:val="10"/>
                <w:color w:val="008000"/>
                <w:w w:val="92"/>
              </w:rPr>
              <w:t>(1)(2)(3)(4)(5)</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vMerge w:val="restart"/>
          </w:tcPr>
          <w:p>
            <w:pPr>
              <w:jc w:val="center"/>
              <w:ind w:left="107"/>
              <w:spacing w:after="0"/>
              <w:rPr>
                <w:sz w:val="20"/>
                <w:szCs w:val="20"/>
                <w:color w:val="auto"/>
              </w:rPr>
            </w:pPr>
            <w:r>
              <w:rPr>
                <w:rFonts w:ascii="Arial" w:cs="Arial" w:eastAsia="Arial" w:hAnsi="Arial"/>
                <w:sz w:val="10"/>
                <w:szCs w:val="10"/>
                <w:color w:val="008000"/>
                <w:w w:val="97"/>
              </w:rPr>
              <w:t>(1)(2)</w:t>
            </w:r>
          </w:p>
        </w:tc>
        <w:tc>
          <w:tcPr>
            <w:tcW w:w="860" w:type="dxa"/>
            <w:vAlign w:val="bottom"/>
            <w:vMerge w:val="restart"/>
          </w:tcPr>
          <w:p>
            <w:pPr>
              <w:jc w:val="center"/>
              <w:ind w:left="112"/>
              <w:spacing w:after="0"/>
              <w:rPr>
                <w:sz w:val="20"/>
                <w:szCs w:val="20"/>
                <w:color w:val="auto"/>
              </w:rPr>
            </w:pPr>
            <w:r>
              <w:rPr>
                <w:rFonts w:ascii="Arial" w:cs="Arial" w:eastAsia="Arial" w:hAnsi="Arial"/>
                <w:sz w:val="10"/>
                <w:szCs w:val="10"/>
                <w:color w:val="008000"/>
                <w:w w:val="97"/>
              </w:rPr>
              <w:t>(1)(2)</w:t>
            </w:r>
          </w:p>
        </w:tc>
        <w:tc>
          <w:tcPr>
            <w:tcW w:w="440" w:type="dxa"/>
            <w:vAlign w:val="bottom"/>
            <w:vMerge w:val="continue"/>
          </w:tcPr>
          <w:p>
            <w:pPr>
              <w:spacing w:after="0"/>
              <w:rPr>
                <w:sz w:val="5"/>
                <w:szCs w:val="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6"/>
                <w:szCs w:val="16"/>
                <w:color w:val="0000FF"/>
                <w:w w:val="94"/>
              </w:rPr>
              <w:t>20,536,632</w:t>
            </w: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660" w:type="dxa"/>
            <w:vAlign w:val="bottom"/>
            <w:gridSpan w:val="2"/>
            <w:vMerge w:val="continue"/>
          </w:tcPr>
          <w:p>
            <w:pPr>
              <w:spacing w:after="0"/>
              <w:rPr>
                <w:sz w:val="4"/>
                <w:szCs w:val="4"/>
                <w:color w:val="auto"/>
              </w:rPr>
            </w:pPr>
          </w:p>
        </w:tc>
        <w:tc>
          <w:tcPr>
            <w:tcW w:w="700" w:type="dxa"/>
            <w:vAlign w:val="bottom"/>
            <w:vMerge w:val="restart"/>
          </w:tcPr>
          <w:p>
            <w:pPr>
              <w:ind w:left="300"/>
              <w:spacing w:after="0" w:line="13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40" w:type="dxa"/>
            <w:vAlign w:val="bottom"/>
            <w:vMerge w:val="restart"/>
          </w:tcPr>
          <w:p>
            <w:pPr>
              <w:jc w:val="right"/>
              <w:ind w:right="159"/>
              <w:spacing w:after="0" w:line="130" w:lineRule="exact"/>
              <w:rPr>
                <w:sz w:val="20"/>
                <w:szCs w:val="20"/>
                <w:color w:val="auto"/>
              </w:rPr>
            </w:pPr>
            <w:r>
              <w:rPr>
                <w:rFonts w:ascii="Arial" w:cs="Arial" w:eastAsia="Arial" w:hAnsi="Arial"/>
                <w:sz w:val="12"/>
                <w:szCs w:val="12"/>
                <w:color w:val="0000FF"/>
              </w:rPr>
              <w:t>02/10/2016</w:t>
            </w:r>
          </w:p>
        </w:tc>
        <w:tc>
          <w:tcPr>
            <w:tcW w:w="10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gridSpan w:val="3"/>
            <w:vMerge w:val="restart"/>
          </w:tcPr>
          <w:p>
            <w:pPr>
              <w:jc w:val="right"/>
              <w:ind w:right="42"/>
              <w:spacing w:after="0" w:line="130" w:lineRule="exact"/>
              <w:rPr>
                <w:sz w:val="20"/>
                <w:szCs w:val="20"/>
                <w:color w:val="auto"/>
              </w:rPr>
            </w:pPr>
            <w:r>
              <w:rPr>
                <w:rFonts w:ascii="Arial" w:cs="Arial" w:eastAsia="Arial" w:hAnsi="Arial"/>
                <w:sz w:val="12"/>
                <w:szCs w:val="12"/>
                <w:color w:val="0000FF"/>
              </w:rPr>
              <w:t>20,536,632</w:t>
            </w:r>
          </w:p>
        </w:tc>
        <w:tc>
          <w:tcPr>
            <w:tcW w:w="5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40" w:type="dxa"/>
            <w:vAlign w:val="bottom"/>
            <w:vMerge w:val="restart"/>
          </w:tcPr>
          <w:p>
            <w:pPr>
              <w:ind w:left="180"/>
              <w:spacing w:after="0" w:line="130" w:lineRule="exact"/>
              <w:rPr>
                <w:sz w:val="20"/>
                <w:szCs w:val="20"/>
                <w:color w:val="auto"/>
              </w:rPr>
            </w:pPr>
            <w:r>
              <w:rPr>
                <w:rFonts w:ascii="Arial" w:cs="Arial" w:eastAsia="Arial" w:hAnsi="Arial"/>
                <w:sz w:val="12"/>
                <w:szCs w:val="12"/>
                <w:color w:val="0000FF"/>
              </w:rPr>
              <w:t>A</w:t>
            </w:r>
          </w:p>
        </w:tc>
        <w:tc>
          <w:tcPr>
            <w:tcW w:w="780" w:type="dxa"/>
            <w:vAlign w:val="bottom"/>
            <w:gridSpan w:val="2"/>
            <w:vMerge w:val="continue"/>
          </w:tcPr>
          <w:p>
            <w:pPr>
              <w:spacing w:after="0"/>
              <w:rPr>
                <w:sz w:val="4"/>
                <w:szCs w:val="4"/>
                <w:color w:val="auto"/>
              </w:rPr>
            </w:pPr>
          </w:p>
        </w:tc>
        <w:tc>
          <w:tcPr>
            <w:tcW w:w="560" w:type="dxa"/>
            <w:vAlign w:val="bottom"/>
            <w:gridSpan w:val="2"/>
            <w:vMerge w:val="restart"/>
          </w:tcPr>
          <w:p>
            <w:pPr>
              <w:ind w:left="320"/>
              <w:spacing w:after="0" w:line="130"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200" w:type="dxa"/>
            <w:vAlign w:val="bottom"/>
          </w:tcPr>
          <w:p>
            <w:pPr>
              <w:spacing w:after="0"/>
              <w:rPr>
                <w:sz w:val="4"/>
                <w:szCs w:val="4"/>
                <w:color w:val="auto"/>
              </w:rPr>
            </w:pPr>
          </w:p>
        </w:tc>
        <w:tc>
          <w:tcPr>
            <w:tcW w:w="760" w:type="dxa"/>
            <w:vAlign w:val="bottom"/>
            <w:gridSpan w:val="2"/>
            <w:vMerge w:val="restart"/>
          </w:tcPr>
          <w:p>
            <w:pPr>
              <w:ind w:left="120"/>
              <w:spacing w:after="0" w:line="130" w:lineRule="exact"/>
              <w:rPr>
                <w:sz w:val="20"/>
                <w:szCs w:val="20"/>
                <w:color w:val="auto"/>
              </w:rPr>
            </w:pPr>
            <w:r>
              <w:rPr>
                <w:rFonts w:ascii="Arial" w:cs="Arial" w:eastAsia="Arial" w:hAnsi="Arial"/>
                <w:sz w:val="12"/>
                <w:szCs w:val="12"/>
                <w:color w:val="0000FF"/>
              </w:rPr>
              <w:t>75,162,447</w:t>
            </w:r>
          </w:p>
        </w:tc>
        <w:tc>
          <w:tcPr>
            <w:tcW w:w="520" w:type="dxa"/>
            <w:vAlign w:val="bottom"/>
            <w:vMerge w:val="restart"/>
          </w:tcPr>
          <w:p>
            <w:pPr>
              <w:ind w:left="380"/>
              <w:spacing w:after="0" w:line="130" w:lineRule="exact"/>
              <w:rPr>
                <w:sz w:val="20"/>
                <w:szCs w:val="20"/>
                <w:color w:val="auto"/>
              </w:rPr>
            </w:pPr>
            <w:r>
              <w:rPr>
                <w:rFonts w:ascii="Arial" w:cs="Arial" w:eastAsia="Arial" w:hAnsi="Arial"/>
                <w:sz w:val="12"/>
                <w:szCs w:val="12"/>
                <w:color w:val="0000FF"/>
              </w:rPr>
              <w:t>I</w:t>
            </w: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360" w:type="dxa"/>
            <w:vAlign w:val="bottom"/>
            <w:gridSpan w:val="2"/>
          </w:tcPr>
          <w:p>
            <w:pPr>
              <w:ind w:left="300"/>
              <w:spacing w:after="0" w:line="73" w:lineRule="exact"/>
              <w:rPr>
                <w:sz w:val="20"/>
                <w:szCs w:val="20"/>
                <w:color w:val="auto"/>
              </w:rPr>
            </w:pPr>
            <w:r>
              <w:rPr>
                <w:rFonts w:ascii="Arial" w:cs="Arial" w:eastAsia="Arial" w:hAnsi="Arial"/>
                <w:sz w:val="8"/>
                <w:szCs w:val="8"/>
                <w:color w:val="0000FF"/>
              </w:rPr>
              <w:t>See Footnotes</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color w:val="0000FF"/>
                <w:w w:val="94"/>
              </w:rPr>
              <w:t>Shares</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tcPr>
          <w:p>
            <w:pPr>
              <w:ind w:left="300"/>
              <w:spacing w:after="0" w:line="76" w:lineRule="exact"/>
              <w:rPr>
                <w:sz w:val="20"/>
                <w:szCs w:val="20"/>
                <w:color w:val="auto"/>
              </w:rPr>
            </w:pPr>
            <w:r>
              <w:rPr>
                <w:rFonts w:ascii="Arial" w:cs="Arial" w:eastAsia="Arial" w:hAnsi="Arial"/>
                <w:sz w:val="8"/>
                <w:szCs w:val="8"/>
                <w:color w:val="008000"/>
              </w:rPr>
              <w:t>(4)(5)</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color w:val="0000FF"/>
              </w:rPr>
              <w:t>Class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vMerge w:val="restart"/>
          </w:tcPr>
          <w:p>
            <w:pPr>
              <w:ind w:left="980"/>
              <w:spacing w:after="0"/>
              <w:rPr>
                <w:sz w:val="20"/>
                <w:szCs w:val="20"/>
                <w:color w:val="auto"/>
              </w:rPr>
            </w:pPr>
            <w:r>
              <w:rPr>
                <w:rFonts w:ascii="Arial" w:cs="Arial" w:eastAsia="Arial" w:hAnsi="Arial"/>
                <w:sz w:val="10"/>
                <w:szCs w:val="10"/>
                <w:color w:val="008000"/>
                <w:w w:val="92"/>
              </w:rPr>
              <w:t>(1)(2)(3)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60"/>
              <w:spacing w:after="0" w:line="118" w:lineRule="exact"/>
              <w:rPr>
                <w:sz w:val="20"/>
                <w:szCs w:val="20"/>
                <w:color w:val="auto"/>
              </w:rPr>
            </w:pPr>
            <w:r>
              <w:rPr>
                <w:rFonts w:ascii="Arial" w:cs="Arial" w:eastAsia="Arial" w:hAnsi="Arial"/>
                <w:sz w:val="12"/>
                <w:szCs w:val="12"/>
                <w:color w:val="0000FF"/>
              </w:rPr>
              <w:t>Units in</w:t>
            </w: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gridSpan w:val="2"/>
            <w:vMerge w:val="restart"/>
          </w:tcPr>
          <w:p>
            <w:pPr>
              <w:ind w:left="80"/>
              <w:spacing w:after="0" w:line="179" w:lineRule="exact"/>
              <w:rPr>
                <w:sz w:val="20"/>
                <w:szCs w:val="20"/>
                <w:color w:val="auto"/>
              </w:rPr>
            </w:pPr>
            <w:r>
              <w:rPr>
                <w:rFonts w:ascii="Arial" w:cs="Arial" w:eastAsia="Arial" w:hAnsi="Arial"/>
                <w:sz w:val="20"/>
                <w:szCs w:val="20"/>
                <w:color w:val="0000FF"/>
                <w:vertAlign w:val="subscript"/>
              </w:rPr>
              <w:t>M</w:t>
            </w:r>
            <w:r>
              <w:rPr>
                <w:rFonts w:ascii="Arial" w:cs="Arial" w:eastAsia="Arial" w:hAnsi="Arial"/>
                <w:sz w:val="9"/>
                <w:szCs w:val="9"/>
                <w:color w:val="008000"/>
              </w:rPr>
              <w:t>(1)(2)(3)(4)(5)</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vMerge w:val="restart"/>
          </w:tcPr>
          <w:p>
            <w:pPr>
              <w:jc w:val="center"/>
              <w:ind w:left="107"/>
              <w:spacing w:after="0"/>
              <w:rPr>
                <w:sz w:val="20"/>
                <w:szCs w:val="20"/>
                <w:color w:val="auto"/>
              </w:rPr>
            </w:pPr>
            <w:r>
              <w:rPr>
                <w:rFonts w:ascii="Arial" w:cs="Arial" w:eastAsia="Arial" w:hAnsi="Arial"/>
                <w:sz w:val="10"/>
                <w:szCs w:val="10"/>
                <w:color w:val="008000"/>
                <w:w w:val="97"/>
              </w:rPr>
              <w:t>(1)(2)</w:t>
            </w:r>
          </w:p>
        </w:tc>
        <w:tc>
          <w:tcPr>
            <w:tcW w:w="860" w:type="dxa"/>
            <w:vAlign w:val="bottom"/>
            <w:vMerge w:val="restart"/>
          </w:tcPr>
          <w:p>
            <w:pPr>
              <w:jc w:val="center"/>
              <w:ind w:left="112"/>
              <w:spacing w:after="0"/>
              <w:rPr>
                <w:sz w:val="20"/>
                <w:szCs w:val="20"/>
                <w:color w:val="auto"/>
              </w:rPr>
            </w:pPr>
            <w:r>
              <w:rPr>
                <w:rFonts w:ascii="Arial" w:cs="Arial" w:eastAsia="Arial" w:hAnsi="Arial"/>
                <w:sz w:val="10"/>
                <w:szCs w:val="10"/>
                <w:color w:val="008000"/>
                <w:w w:val="97"/>
              </w:rPr>
              <w:t>(1)(2)</w:t>
            </w:r>
          </w:p>
        </w:tc>
        <w:tc>
          <w:tcPr>
            <w:tcW w:w="440" w:type="dxa"/>
            <w:vAlign w:val="bottom"/>
            <w:vMerge w:val="continue"/>
          </w:tcPr>
          <w:p>
            <w:pPr>
              <w:spacing w:after="0"/>
              <w:rPr>
                <w:sz w:val="5"/>
                <w:szCs w:val="5"/>
                <w:color w:val="auto"/>
              </w:rPr>
            </w:pPr>
          </w:p>
        </w:tc>
        <w:tc>
          <w:tcPr>
            <w:tcW w:w="720" w:type="dxa"/>
            <w:vAlign w:val="bottom"/>
            <w:vMerge w:val="restart"/>
          </w:tcPr>
          <w:p>
            <w:pPr>
              <w:jc w:val="right"/>
              <w:spacing w:after="0" w:line="179" w:lineRule="exact"/>
              <w:rPr>
                <w:sz w:val="20"/>
                <w:szCs w:val="20"/>
                <w:color w:val="auto"/>
              </w:rPr>
            </w:pPr>
            <w:r>
              <w:rPr>
                <w:rFonts w:ascii="Arial" w:cs="Arial" w:eastAsia="Arial" w:hAnsi="Arial"/>
                <w:sz w:val="16"/>
                <w:szCs w:val="16"/>
                <w:color w:val="0000FF"/>
              </w:rPr>
              <w:t>704,075</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660" w:type="dxa"/>
            <w:vAlign w:val="bottom"/>
            <w:gridSpan w:val="2"/>
            <w:vMerge w:val="continue"/>
          </w:tcPr>
          <w:p>
            <w:pPr>
              <w:spacing w:after="0"/>
              <w:rPr>
                <w:sz w:val="4"/>
                <w:szCs w:val="4"/>
                <w:color w:val="auto"/>
              </w:rPr>
            </w:pPr>
          </w:p>
        </w:tc>
        <w:tc>
          <w:tcPr>
            <w:tcW w:w="700" w:type="dxa"/>
            <w:vAlign w:val="bottom"/>
            <w:vMerge w:val="restart"/>
          </w:tcPr>
          <w:p>
            <w:pPr>
              <w:ind w:left="300"/>
              <w:spacing w:after="0" w:line="11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40" w:type="dxa"/>
            <w:vAlign w:val="bottom"/>
            <w:vMerge w:val="restart"/>
          </w:tcPr>
          <w:p>
            <w:pPr>
              <w:jc w:val="right"/>
              <w:ind w:right="159"/>
              <w:spacing w:after="0" w:line="118" w:lineRule="exact"/>
              <w:rPr>
                <w:sz w:val="20"/>
                <w:szCs w:val="20"/>
                <w:color w:val="auto"/>
              </w:rPr>
            </w:pPr>
            <w:r>
              <w:rPr>
                <w:rFonts w:ascii="Arial" w:cs="Arial" w:eastAsia="Arial" w:hAnsi="Arial"/>
                <w:sz w:val="12"/>
                <w:szCs w:val="12"/>
                <w:color w:val="0000FF"/>
              </w:rPr>
              <w:t>02/11/2016</w:t>
            </w:r>
          </w:p>
        </w:tc>
        <w:tc>
          <w:tcPr>
            <w:tcW w:w="10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gridSpan w:val="3"/>
            <w:vMerge w:val="restart"/>
          </w:tcPr>
          <w:p>
            <w:pPr>
              <w:jc w:val="right"/>
              <w:ind w:right="122"/>
              <w:spacing w:after="0" w:line="118" w:lineRule="exact"/>
              <w:rPr>
                <w:sz w:val="20"/>
                <w:szCs w:val="20"/>
                <w:color w:val="auto"/>
              </w:rPr>
            </w:pPr>
            <w:r>
              <w:rPr>
                <w:rFonts w:ascii="Arial" w:cs="Arial" w:eastAsia="Arial" w:hAnsi="Arial"/>
                <w:sz w:val="12"/>
                <w:szCs w:val="12"/>
                <w:color w:val="0000FF"/>
              </w:rPr>
              <w:t>704,075</w:t>
            </w:r>
          </w:p>
        </w:tc>
        <w:tc>
          <w:tcPr>
            <w:tcW w:w="5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440" w:type="dxa"/>
            <w:vAlign w:val="bottom"/>
            <w:vMerge w:val="restart"/>
          </w:tcPr>
          <w:p>
            <w:pPr>
              <w:ind w:left="180"/>
              <w:spacing w:after="0" w:line="118" w:lineRule="exact"/>
              <w:rPr>
                <w:sz w:val="20"/>
                <w:szCs w:val="20"/>
                <w:color w:val="auto"/>
              </w:rPr>
            </w:pPr>
            <w:r>
              <w:rPr>
                <w:rFonts w:ascii="Arial" w:cs="Arial" w:eastAsia="Arial" w:hAnsi="Arial"/>
                <w:sz w:val="12"/>
                <w:szCs w:val="12"/>
                <w:color w:val="0000FF"/>
              </w:rPr>
              <w:t>A</w:t>
            </w:r>
          </w:p>
        </w:tc>
        <w:tc>
          <w:tcPr>
            <w:tcW w:w="7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gridSpan w:val="2"/>
            <w:vMerge w:val="restart"/>
          </w:tcPr>
          <w:p>
            <w:pPr>
              <w:ind w:left="320"/>
              <w:spacing w:after="0" w:line="11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200" w:type="dxa"/>
            <w:vAlign w:val="bottom"/>
          </w:tcPr>
          <w:p>
            <w:pPr>
              <w:spacing w:after="0"/>
              <w:rPr>
                <w:sz w:val="4"/>
                <w:szCs w:val="4"/>
                <w:color w:val="auto"/>
              </w:rPr>
            </w:pPr>
          </w:p>
        </w:tc>
        <w:tc>
          <w:tcPr>
            <w:tcW w:w="760" w:type="dxa"/>
            <w:vAlign w:val="bottom"/>
            <w:gridSpan w:val="2"/>
            <w:vMerge w:val="restart"/>
          </w:tcPr>
          <w:p>
            <w:pPr>
              <w:ind w:left="120"/>
              <w:spacing w:after="0" w:line="118" w:lineRule="exact"/>
              <w:rPr>
                <w:sz w:val="20"/>
                <w:szCs w:val="20"/>
                <w:color w:val="auto"/>
              </w:rPr>
            </w:pPr>
            <w:r>
              <w:rPr>
                <w:rFonts w:ascii="Arial" w:cs="Arial" w:eastAsia="Arial" w:hAnsi="Arial"/>
                <w:sz w:val="12"/>
                <w:szCs w:val="12"/>
                <w:color w:val="0000FF"/>
              </w:rPr>
              <w:t>74,458,372</w:t>
            </w:r>
          </w:p>
        </w:tc>
        <w:tc>
          <w:tcPr>
            <w:tcW w:w="520" w:type="dxa"/>
            <w:vAlign w:val="bottom"/>
            <w:vMerge w:val="restart"/>
          </w:tcPr>
          <w:p>
            <w:pPr>
              <w:ind w:left="380"/>
              <w:spacing w:after="0" w:line="118" w:lineRule="exact"/>
              <w:rPr>
                <w:sz w:val="20"/>
                <w:szCs w:val="20"/>
                <w:color w:val="auto"/>
              </w:rPr>
            </w:pPr>
            <w:r>
              <w:rPr>
                <w:rFonts w:ascii="Arial" w:cs="Arial" w:eastAsia="Arial" w:hAnsi="Arial"/>
                <w:sz w:val="12"/>
                <w:szCs w:val="12"/>
                <w:color w:val="0000FF"/>
              </w:rPr>
              <w:t>I</w:t>
            </w: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Plains</w:t>
            </w:r>
          </w:p>
        </w:tc>
        <w:tc>
          <w:tcPr>
            <w:tcW w:w="7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360" w:type="dxa"/>
            <w:vAlign w:val="bottom"/>
            <w:gridSpan w:val="2"/>
          </w:tcPr>
          <w:p>
            <w:pPr>
              <w:ind w:left="300"/>
              <w:spacing w:after="0" w:line="61" w:lineRule="exact"/>
              <w:rPr>
                <w:sz w:val="20"/>
                <w:szCs w:val="20"/>
                <w:color w:val="auto"/>
              </w:rPr>
            </w:pPr>
            <w:r>
              <w:rPr>
                <w:rFonts w:ascii="Arial" w:cs="Arial" w:eastAsia="Arial" w:hAnsi="Arial"/>
                <w:sz w:val="7"/>
                <w:szCs w:val="7"/>
                <w:color w:val="0000FF"/>
              </w:rPr>
              <w:t>See Footnotes</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6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color w:val="0000FF"/>
                <w:w w:val="94"/>
              </w:rPr>
              <w:t>Shares</w:t>
            </w: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tcPr>
          <w:p>
            <w:pPr>
              <w:ind w:left="300"/>
              <w:spacing w:after="0" w:line="88" w:lineRule="exact"/>
              <w:rPr>
                <w:sz w:val="20"/>
                <w:szCs w:val="20"/>
                <w:color w:val="auto"/>
              </w:rPr>
            </w:pPr>
            <w:r>
              <w:rPr>
                <w:rFonts w:ascii="Arial" w:cs="Arial" w:eastAsia="Arial" w:hAnsi="Arial"/>
                <w:sz w:val="10"/>
                <w:szCs w:val="10"/>
                <w:color w:val="008000"/>
              </w:rPr>
              <w:t>(4)(5)</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AAP, L.P.</w:t>
            </w: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0" w:lineRule="exact"/>
        <w:rPr>
          <w:sz w:val="20"/>
          <w:szCs w:val="20"/>
          <w:color w:val="auto"/>
        </w:rPr>
      </w:pPr>
    </w:p>
    <w:p>
      <w:pPr>
        <w:ind w:left="40" w:right="160" w:hanging="7"/>
        <w:spacing w:after="0" w:line="279"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Chief Executive Officer of Kayne Anderson Capital Advisors, L.P. ("KACALP"), an SEC registered investment adviser and the managing member of KAFU which is also an affiliate of FRCI, LLC ("FRCI")by virtue of common ownership. The Reporting Person may be deemed to be the beneficial owner of all of the interests held by KAFU and KACALP as applicable.</w:t>
      </w:r>
    </w:p>
    <w:p>
      <w:pPr>
        <w:spacing w:after="0" w:line="7" w:lineRule="exact"/>
        <w:rPr>
          <w:rFonts w:ascii="Arial" w:cs="Arial" w:eastAsia="Arial" w:hAnsi="Arial"/>
          <w:sz w:val="11"/>
          <w:szCs w:val="11"/>
          <w:color w:val="008000"/>
        </w:rPr>
      </w:pPr>
    </w:p>
    <w:p>
      <w:pPr>
        <w:ind w:left="40" w:right="200" w:hanging="7"/>
        <w:spacing w:after="0" w:line="270" w:lineRule="auto"/>
        <w:tabs>
          <w:tab w:leader="none" w:pos="16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connection with the initial public offering of the Issuer, the limited partnership agreement of AAP was amended and restated to provide that each limited partner of AAP, including KAFU and KACALP, will have the right at any time (without expiration) to immediately exchange (the "Exchange Right") its Class A units in AAP together with a like number of Class B shares and the GP Units, for a like number of Class A shares of the Issuer. The Exchange Right may be settled in cash at the option of the Issuer and, as a result the Reporting person may not be deemed to beneficially own any Class A shares reported herein. Nonetheless, the number of derivative securities included in the table above represents the number of Class B shares owned by KAFU and KACALP, that are potentially exchangeable for an equivalent number of Class A shares</w:t>
      </w:r>
    </w:p>
    <w:p>
      <w:pPr>
        <w:spacing w:after="0" w:line="12" w:lineRule="exact"/>
        <w:rPr>
          <w:rFonts w:ascii="Arial" w:cs="Arial" w:eastAsia="Arial" w:hAnsi="Arial"/>
          <w:sz w:val="11"/>
          <w:szCs w:val="11"/>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securities held by KAFU and KACALP, except to the extent of his pecuniary interest therein.</w:t>
      </w:r>
    </w:p>
    <w:p>
      <w:pPr>
        <w:spacing w:after="0" w:line="43" w:lineRule="exact"/>
        <w:rPr>
          <w:rFonts w:ascii="Arial" w:cs="Arial" w:eastAsia="Arial" w:hAnsi="Arial"/>
          <w:sz w:val="12"/>
          <w:szCs w:val="12"/>
          <w:color w:val="008000"/>
        </w:rPr>
      </w:pPr>
    </w:p>
    <w:p>
      <w:pPr>
        <w:ind w:left="40" w:right="200" w:hanging="7"/>
        <w:spacing w:after="0" w:line="259"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may have been deemed to beneficially own the AAP Units held by KAFU prior to the consummation of the initial public offering of the Issuer. The AAP Units, collectively with the Class B shares and the GP Units, constitute the derivative security as described herein.</w:t>
      </w:r>
    </w:p>
    <w:p>
      <w:pPr>
        <w:spacing w:after="0" w:line="17" w:lineRule="exact"/>
        <w:rPr>
          <w:rFonts w:ascii="Arial" w:cs="Arial" w:eastAsia="Arial" w:hAnsi="Arial"/>
          <w:sz w:val="12"/>
          <w:szCs w:val="12"/>
          <w:color w:val="008000"/>
        </w:rPr>
      </w:pPr>
    </w:p>
    <w:p>
      <w:pPr>
        <w:ind w:left="40" w:right="260" w:hanging="7"/>
        <w:spacing w:after="0" w:line="259" w:lineRule="auto"/>
        <w:tabs>
          <w:tab w:leader="none" w:pos="16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in-kind distributions to redeeming limited partners of KAFU, other than distributions to accounts in which the Reporting Person has a beneficial ownership interest (see note 6). Such redemptions are made in-kind with Class A shares.</w:t>
      </w:r>
    </w:p>
    <w:p>
      <w:pPr>
        <w:spacing w:after="0" w:line="17"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that portion of the Class A shares converted by KAFU in which the Reporting Person has a beneficial ownership interest, which are in addition to the Class A shares addressed in footnote 5.</w:t>
      </w:r>
    </w:p>
    <w:p>
      <w:pPr>
        <w:spacing w:after="0" w:line="43" w:lineRule="exact"/>
        <w:rPr>
          <w:rFonts w:ascii="Arial" w:cs="Arial" w:eastAsia="Arial" w:hAnsi="Arial"/>
          <w:sz w:val="12"/>
          <w:szCs w:val="12"/>
          <w:color w:val="008000"/>
        </w:rPr>
      </w:pPr>
    </w:p>
    <w:p>
      <w:pPr>
        <w:ind w:left="160" w:hanging="127"/>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Cliffwood Energy Partners, L.P. is a family investment vehicle. Mr. Sinnott is the managing member of the general partner. Class A shares were purchased in the open market at prices between $5.52 and $5.83 per share.</w:t>
      </w:r>
    </w:p>
    <w:p>
      <w:pPr>
        <w:spacing w:after="0" w:line="55" w:lineRule="exact"/>
        <w:rPr>
          <w:rFonts w:ascii="Arial" w:cs="Arial" w:eastAsia="Arial" w:hAnsi="Arial"/>
          <w:sz w:val="11"/>
          <w:szCs w:val="11"/>
          <w:color w:val="008000"/>
        </w:rPr>
      </w:pPr>
    </w:p>
    <w:p>
      <w:pPr>
        <w:ind w:left="160" w:hanging="127"/>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Robert and Rosa Sinnott Living Trust dtd 10/24/97, Robert V. Sinnott and Rosa K. Sinnott, Trustees. Class A shares were purchased in the open market at prices between $5.52 and $5.83 per share.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6"/>
                <w:szCs w:val="16"/>
                <w:color w:val="0000FF"/>
                <w:w w:val="88"/>
              </w:rPr>
              <w:t>Robert V. Sinnott</w:t>
            </w:r>
          </w:p>
        </w:tc>
        <w:tc>
          <w:tcPr>
            <w:tcW w:w="92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Arial" w:cs="Arial" w:eastAsia="Arial" w:hAnsi="Arial"/>
                <w:sz w:val="16"/>
                <w:szCs w:val="16"/>
                <w:color w:val="0000FF"/>
                <w:w w:val="84"/>
              </w:rPr>
              <w:t>02/12/2016</w:t>
            </w:r>
          </w:p>
        </w:tc>
      </w:tr>
      <w:tr>
        <w:trPr>
          <w:trHeight w:val="20"/>
        </w:trPr>
        <w:tc>
          <w:tcPr>
            <w:tcW w:w="6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10"/>
        </w:trPr>
        <w:tc>
          <w:tcPr>
            <w:tcW w:w="682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80" w:type="dxa"/>
            <w:vAlign w:val="bottom"/>
            <w:gridSpan w:val="2"/>
          </w:tcPr>
          <w:p>
            <w:pPr>
              <w:ind w:left="280"/>
              <w:spacing w:after="0"/>
              <w:rPr>
                <w:sz w:val="20"/>
                <w:szCs w:val="20"/>
                <w:color w:val="auto"/>
              </w:rPr>
            </w:pPr>
            <w:r>
              <w:rPr>
                <w:rFonts w:ascii="Arial" w:cs="Arial" w:eastAsia="Arial" w:hAnsi="Arial"/>
                <w:sz w:val="12"/>
                <w:szCs w:val="12"/>
                <w:color w:val="auto"/>
              </w:rPr>
              <w:t>Date</w:t>
            </w:r>
          </w:p>
        </w:tc>
      </w:tr>
      <w:tr>
        <w:trPr>
          <w:trHeight w:val="182"/>
        </w:trPr>
        <w:tc>
          <w:tcPr>
            <w:tcW w:w="8840" w:type="dxa"/>
            <w:vAlign w:val="bottom"/>
            <w:gridSpan w:val="3"/>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8840" w:type="dxa"/>
            <w:vAlign w:val="bottom"/>
            <w:gridSpan w:val="3"/>
          </w:tcPr>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ectPr>
          <w:pgSz w:w="11900" w:h="16878" w:orient="portrait"/>
          <w:cols w:equalWidth="0" w:num="1">
            <w:col w:w="11520"/>
          </w:cols>
          <w:pgMar w:left="240" w:top="217"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2020-01-19T05:55:49Z</dcterms:created>
  <dcterms:modified xsi:type="dcterms:W3CDTF">2020-01-19T05:55:49Z</dcterms:modified>
</cp:coreProperties>
</file>