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720" w:right="300" w:hanging="388"/>
        <w:spacing w:after="0" w:line="256" w:lineRule="auto"/>
        <w:tabs>
          <w:tab w:leader="none" w:pos="58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240" w:hanging="388"/>
        <w:spacing w:after="0" w:line="256" w:lineRule="auto"/>
        <w:tabs>
          <w:tab w:leader="none" w:pos="62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6660" w:type="dxa"/>
            <w:vAlign w:val="bottom"/>
          </w:tcPr>
          <w:p>
            <w:pPr>
              <w:jc w:val="center"/>
              <w:ind w:left="2410"/>
              <w:spacing w:after="0"/>
              <w:rPr>
                <w:sz w:val="20"/>
                <w:szCs w:val="20"/>
                <w:color w:val="auto"/>
              </w:rPr>
            </w:pPr>
            <w:r>
              <w:rPr>
                <w:rFonts w:ascii="Arial" w:cs="Arial" w:eastAsia="Arial" w:hAnsi="Arial"/>
                <w:sz w:val="18"/>
                <w:szCs w:val="18"/>
                <w:color w:val="auto"/>
                <w:w w:val="90"/>
              </w:rPr>
              <w:t>(Exact name of registrant as specified in its charter)</w:t>
            </w:r>
          </w:p>
        </w:tc>
        <w:tc>
          <w:tcPr>
            <w:tcW w:w="1500" w:type="dxa"/>
            <w:vAlign w:val="bottom"/>
          </w:tcPr>
          <w:p>
            <w:pPr>
              <w:spacing w:after="0"/>
              <w:rPr>
                <w:sz w:val="20"/>
                <w:szCs w:val="20"/>
                <w:color w:val="auto"/>
              </w:rPr>
            </w:pPr>
          </w:p>
        </w:tc>
      </w:tr>
      <w:tr>
        <w:trPr>
          <w:trHeight w:val="402"/>
        </w:trPr>
        <w:tc>
          <w:tcPr>
            <w:tcW w:w="6660" w:type="dxa"/>
            <w:vAlign w:val="bottom"/>
          </w:tcPr>
          <w:p>
            <w:pPr>
              <w:jc w:val="center"/>
              <w:ind w:right="3250"/>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16"/>
        </w:trPr>
        <w:tc>
          <w:tcPr>
            <w:tcW w:w="6660" w:type="dxa"/>
            <w:vAlign w:val="bottom"/>
          </w:tcPr>
          <w:p>
            <w:pPr>
              <w:jc w:val="center"/>
              <w:ind w:right="3250"/>
              <w:spacing w:after="0"/>
              <w:rPr>
                <w:sz w:val="20"/>
                <w:szCs w:val="20"/>
                <w:color w:val="auto"/>
              </w:rPr>
            </w:pPr>
            <w:r>
              <w:rPr>
                <w:rFonts w:ascii="Arial" w:cs="Arial" w:eastAsia="Arial" w:hAnsi="Arial"/>
                <w:sz w:val="18"/>
                <w:szCs w:val="18"/>
                <w:color w:val="auto"/>
                <w:w w:val="92"/>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30"/>
        </w:trPr>
        <w:tc>
          <w:tcPr>
            <w:tcW w:w="6660" w:type="dxa"/>
            <w:vAlign w:val="bottom"/>
          </w:tcPr>
          <w:p>
            <w:pPr>
              <w:jc w:val="center"/>
              <w:ind w:right="325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60" w:type="dxa"/>
            <w:vAlign w:val="bottom"/>
          </w:tcPr>
          <w:p>
            <w:pPr>
              <w:jc w:val="center"/>
              <w:ind w:right="32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60" w:type="dxa"/>
            <w:vAlign w:val="bottom"/>
          </w:tcPr>
          <w:p>
            <w:pPr>
              <w:jc w:val="center"/>
              <w:ind w:right="323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1"/>
              </w:rPr>
              <w:t>(Zip Code)</w:t>
            </w:r>
          </w:p>
        </w:tc>
      </w:tr>
      <w:tr>
        <w:trPr>
          <w:trHeight w:val="418"/>
        </w:trPr>
        <w:tc>
          <w:tcPr>
            <w:tcW w:w="6660" w:type="dxa"/>
            <w:vAlign w:val="bottom"/>
          </w:tcPr>
          <w:p>
            <w:pPr>
              <w:jc w:val="center"/>
              <w:ind w:left="2410"/>
              <w:spacing w:after="0"/>
              <w:rPr>
                <w:sz w:val="20"/>
                <w:szCs w:val="20"/>
                <w:color w:val="auto"/>
              </w:rPr>
            </w:pPr>
            <w:r>
              <w:rPr>
                <w:rFonts w:ascii="Arial" w:cs="Arial" w:eastAsia="Arial" w:hAnsi="Arial"/>
                <w:sz w:val="18"/>
                <w:szCs w:val="18"/>
                <w:b w:val="1"/>
                <w:bCs w:val="1"/>
                <w:color w:val="auto"/>
                <w:w w:val="90"/>
              </w:rPr>
              <w:t>(713) 646-4100</w:t>
            </w:r>
          </w:p>
        </w:tc>
        <w:tc>
          <w:tcPr>
            <w:tcW w:w="1500" w:type="dxa"/>
            <w:vAlign w:val="bottom"/>
          </w:tcPr>
          <w:p>
            <w:pPr>
              <w:spacing w:after="0"/>
              <w:rPr>
                <w:sz w:val="24"/>
                <w:szCs w:val="24"/>
                <w:color w:val="auto"/>
              </w:rPr>
            </w:pPr>
          </w:p>
        </w:tc>
      </w:tr>
      <w:tr>
        <w:trPr>
          <w:trHeight w:val="230"/>
        </w:trPr>
        <w:tc>
          <w:tcPr>
            <w:tcW w:w="6660" w:type="dxa"/>
            <w:vAlign w:val="bottom"/>
          </w:tcPr>
          <w:p>
            <w:pPr>
              <w:jc w:val="center"/>
              <w:ind w:left="2390"/>
              <w:spacing w:after="0"/>
              <w:rPr>
                <w:sz w:val="20"/>
                <w:szCs w:val="20"/>
                <w:color w:val="auto"/>
              </w:rPr>
            </w:pPr>
            <w:r>
              <w:rPr>
                <w:rFonts w:ascii="Arial" w:cs="Arial" w:eastAsia="Arial" w:hAnsi="Arial"/>
                <w:sz w:val="18"/>
                <w:szCs w:val="18"/>
                <w:color w:val="auto"/>
                <w:w w:val="90"/>
              </w:rPr>
              <w:t>(Registrant’s telephone number, including area code)</w:t>
            </w:r>
          </w:p>
        </w:tc>
        <w:tc>
          <w:tcPr>
            <w:tcW w:w="1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20"/>
        <w:spacing w:after="0"/>
        <w:tabs>
          <w:tab w:leader="none" w:pos="794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1, 2015, there were 397,241,697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sectPr>
      </w:pPr>
    </w:p>
    <w:p>
      <w:pPr>
        <w:spacing w:after="0" w:line="202" w:lineRule="exact"/>
        <w:rPr>
          <w:sz w:val="24"/>
          <w:szCs w:val="24"/>
          <w:color w:val="auto"/>
        </w:rPr>
      </w:pPr>
    </w:p>
    <w:p>
      <w:pPr>
        <w:ind w:left="1060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6462395</wp:posOffset>
            </wp:positionH>
            <wp:positionV relativeFrom="paragraph">
              <wp:posOffset>20955</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220" w:type="dxa"/>
            <w:vAlign w:val="bottom"/>
            <w:gridSpan w:val="17"/>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642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UNAUDITED CONDENSED CONSOLIDATED FINANCIAL STATEMENTS:</w:t>
              </w:r>
            </w:hyperlink>
          </w:p>
        </w:tc>
        <w:tc>
          <w:tcPr>
            <w:tcW w:w="3880" w:type="dxa"/>
            <w:vAlign w:val="bottom"/>
            <w:gridSpan w:val="10"/>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March 31, 2015 and December 31, 2014</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62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ended March 31, 2015 and 2014</w:t>
              </w:r>
            </w:hyperlink>
          </w:p>
        </w:tc>
        <w:tc>
          <w:tcPr>
            <w:tcW w:w="2480" w:type="dxa"/>
            <w:vAlign w:val="bottom"/>
            <w:gridSpan w:val="6"/>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Comprehensive Income / (Loss): For the three months ended March 31, 2015 and 2014</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9180" w:type="dxa"/>
            <w:vAlign w:val="bottom"/>
            <w:tcBorders>
              <w:top w:val="single" w:sz="8" w:color="0000EE"/>
            </w:tcBorders>
            <w:gridSpan w:val="30"/>
          </w:tcPr>
          <w:p>
            <w:pPr>
              <w:spacing w:after="0" w:line="19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Changes in Accumulated Other Comprehensive Income / (Loss): For the three</w:t>
              </w:r>
            </w:hyperlink>
          </w:p>
        </w:tc>
        <w:tc>
          <w:tcPr>
            <w:tcW w:w="92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9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months ended March 31, 2015 and 2014</w:t>
              </w:r>
            </w:hyperlink>
          </w:p>
        </w:tc>
        <w:tc>
          <w:tcPr>
            <w:tcW w:w="5420" w:type="dxa"/>
            <w:vAlign w:val="bottom"/>
            <w:tcBorders>
              <w:top w:val="single" w:sz="8" w:color="0000EE"/>
            </w:tcBorders>
            <w:gridSpan w:val="11"/>
          </w:tcPr>
          <w:p>
            <w:pPr>
              <w:spacing w:after="0"/>
              <w:rPr>
                <w:sz w:val="17"/>
                <w:szCs w:val="17"/>
                <w:color w:val="auto"/>
              </w:rPr>
            </w:pPr>
          </w:p>
        </w:tc>
        <w:tc>
          <w:tcPr>
            <w:tcW w:w="1600" w:type="dxa"/>
            <w:vAlign w:val="bottom"/>
            <w:gridSpan w:val="4"/>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For the three months ended March 31, 2015 and 2014</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Changes in Partners’ Capital: For the three months ended March 31, 2015 and 2014</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88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22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gridSpan w:val="3"/>
          </w:tcPr>
          <w:p>
            <w:pPr>
              <w:ind w:left="160"/>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1.</w:t>
              </w:r>
            </w:hyperlink>
          </w:p>
        </w:tc>
        <w:tc>
          <w:tcPr>
            <w:tcW w:w="9780" w:type="dxa"/>
            <w:vAlign w:val="bottom"/>
            <w:gridSpan w:val="29"/>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Organization and Basis of Consolidation and Presentation</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8</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2.</w:t>
              </w:r>
            </w:hyperlink>
          </w:p>
        </w:tc>
        <w:tc>
          <w:tcPr>
            <w:tcW w:w="9780" w:type="dxa"/>
            <w:vAlign w:val="bottom"/>
            <w:gridSpan w:val="29"/>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Recent Accounting Pronouncements</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9</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3.</w:t>
              </w:r>
            </w:hyperlink>
          </w:p>
        </w:tc>
        <w:tc>
          <w:tcPr>
            <w:tcW w:w="9780" w:type="dxa"/>
            <w:vAlign w:val="bottom"/>
            <w:gridSpan w:val="29"/>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Net Income Per Limited Partner Unit</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10</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4.</w:t>
              </w:r>
            </w:hyperlink>
          </w:p>
        </w:tc>
        <w:tc>
          <w:tcPr>
            <w:tcW w:w="9780" w:type="dxa"/>
            <w:vAlign w:val="bottom"/>
            <w:gridSpan w:val="29"/>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Accounts Receivable</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11</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5.</w:t>
              </w:r>
            </w:hyperlink>
          </w:p>
        </w:tc>
        <w:tc>
          <w:tcPr>
            <w:tcW w:w="9780" w:type="dxa"/>
            <w:vAlign w:val="bottom"/>
            <w:gridSpan w:val="29"/>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Inventory, Linefill and Base Gas and Long-term Inventory</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12</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6.</w:t>
              </w:r>
            </w:hyperlink>
          </w:p>
        </w:tc>
        <w:tc>
          <w:tcPr>
            <w:tcW w:w="9780" w:type="dxa"/>
            <w:vAlign w:val="bottom"/>
            <w:gridSpan w:val="29"/>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Debt</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13</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7.</w:t>
              </w:r>
            </w:hyperlink>
          </w:p>
        </w:tc>
        <w:tc>
          <w:tcPr>
            <w:tcW w:w="9780" w:type="dxa"/>
            <w:vAlign w:val="bottom"/>
            <w:gridSpan w:val="29"/>
          </w:tcPr>
          <w:p>
            <w:pPr>
              <w:ind w:left="2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Partners’ Capital and Distributions</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14</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8.</w:t>
              </w:r>
            </w:hyperlink>
          </w:p>
        </w:tc>
        <w:tc>
          <w:tcPr>
            <w:tcW w:w="9780" w:type="dxa"/>
            <w:vAlign w:val="bottom"/>
            <w:gridSpan w:val="29"/>
          </w:tcPr>
          <w:p>
            <w:pPr>
              <w:ind w:left="2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Derivatives and Risk Management Activities</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14</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9.</w:t>
              </w:r>
            </w:hyperlink>
          </w:p>
        </w:tc>
        <w:tc>
          <w:tcPr>
            <w:tcW w:w="9780" w:type="dxa"/>
            <w:vAlign w:val="bottom"/>
            <w:gridSpan w:val="29"/>
          </w:tcPr>
          <w:p>
            <w:pPr>
              <w:ind w:left="2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Equity-Indexed Compensation Plans</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10. Commitments and Contingencies</w:t>
              </w:r>
            </w:hyperlink>
          </w:p>
        </w:tc>
        <w:tc>
          <w:tcPr>
            <w:tcW w:w="120" w:type="dxa"/>
            <w:vAlign w:val="bottom"/>
            <w:tcBorders>
              <w:top w:val="single" w:sz="8" w:color="0000EE"/>
            </w:tcBorders>
            <w:gridSpan w:val="2"/>
          </w:tcPr>
          <w:p>
            <w:pPr>
              <w:spacing w:after="0"/>
              <w:rPr>
                <w:sz w:val="17"/>
                <w:szCs w:val="17"/>
                <w:color w:val="auto"/>
              </w:rPr>
            </w:pPr>
          </w:p>
        </w:tc>
        <w:tc>
          <w:tcPr>
            <w:tcW w:w="7120" w:type="dxa"/>
            <w:vAlign w:val="bottom"/>
            <w:gridSpan w:val="16"/>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6">
              <w:r>
                <w:rPr>
                  <w:rFonts w:ascii="Arial" w:cs="Arial" w:eastAsia="Arial" w:hAnsi="Arial"/>
                  <w:sz w:val="18"/>
                  <w:szCs w:val="18"/>
                  <w:color w:val="0000EE"/>
                  <w:w w:val="86"/>
                </w:rPr>
                <w:t>11. Operating Segments</w:t>
              </w:r>
            </w:hyperlink>
          </w:p>
        </w:tc>
        <w:tc>
          <w:tcPr>
            <w:tcW w:w="8200" w:type="dxa"/>
            <w:vAlign w:val="bottom"/>
            <w:gridSpan w:val="23"/>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3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12. Related Party Transactions</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24</w:t>
            </w:r>
          </w:p>
        </w:tc>
      </w:tr>
      <w:tr>
        <w:trPr>
          <w:trHeight w:val="20"/>
        </w:trPr>
        <w:tc>
          <w:tcPr>
            <w:tcW w:w="400" w:type="dxa"/>
            <w:vAlign w:val="bottom"/>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9480" w:type="dxa"/>
            <w:vAlign w:val="bottom"/>
            <w:tcBorders>
              <w:bottom w:val="single" w:sz="8" w:color="0000EE"/>
            </w:tcBorders>
            <w:gridSpan w:val="32"/>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Item 2. MANAGEMENT’S DISCUSSION AND ANALYSIS OF FINANCIAL CONDITION AND RESULTS OF OPERATIONS</w:t>
              </w:r>
            </w:hyperlink>
          </w:p>
        </w:tc>
        <w:tc>
          <w:tcPr>
            <w:tcW w:w="820" w:type="dxa"/>
            <w:vAlign w:val="bottom"/>
          </w:tcPr>
          <w:p>
            <w:pPr>
              <w:spacing w:after="0"/>
              <w:rPr>
                <w:sz w:val="24"/>
                <w:szCs w:val="24"/>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25</w:t>
            </w:r>
          </w:p>
        </w:tc>
      </w:tr>
      <w:tr>
        <w:trPr>
          <w:trHeight w:val="196"/>
        </w:trPr>
        <w:tc>
          <w:tcPr>
            <w:tcW w:w="10300" w:type="dxa"/>
            <w:vAlign w:val="bottom"/>
            <w:gridSpan w:val="3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3. QUANTITATIVE AND QUALITATIVE DISCLOSURES ABOUT MARKET RISK</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41</w:t>
            </w:r>
          </w:p>
        </w:tc>
      </w:tr>
      <w:tr>
        <w:trPr>
          <w:trHeight w:val="196"/>
        </w:trPr>
        <w:tc>
          <w:tcPr>
            <w:tcW w:w="67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3600" w:type="dxa"/>
            <w:vAlign w:val="bottom"/>
            <w:gridSpan w:val="7"/>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42</w:t>
            </w:r>
          </w:p>
        </w:tc>
      </w:tr>
      <w:tr>
        <w:trPr>
          <w:trHeight w:val="412"/>
        </w:trPr>
        <w:tc>
          <w:tcPr>
            <w:tcW w:w="2780" w:type="dxa"/>
            <w:vAlign w:val="bottom"/>
            <w:tcBorders>
              <w:top w:val="single" w:sz="8" w:color="0000EE"/>
              <w:bottom w:val="single" w:sz="8" w:color="0000EE"/>
            </w:tcBorders>
            <w:gridSpan w:val="1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4"/>
          </w:tcPr>
          <w:p>
            <w:pPr>
              <w:spacing w:after="0"/>
              <w:rPr>
                <w:sz w:val="24"/>
                <w:szCs w:val="24"/>
                <w:color w:val="auto"/>
              </w:rPr>
            </w:pPr>
          </w:p>
        </w:tc>
        <w:tc>
          <w:tcPr>
            <w:tcW w:w="7120" w:type="dxa"/>
            <w:vAlign w:val="bottom"/>
            <w:gridSpan w:val="16"/>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1. LEGAL PROCEEDINGS</w:t>
              </w:r>
            </w:hyperlink>
          </w:p>
        </w:tc>
        <w:tc>
          <w:tcPr>
            <w:tcW w:w="7860" w:type="dxa"/>
            <w:vAlign w:val="bottom"/>
            <w:gridSpan w:val="22"/>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43</w:t>
            </w:r>
          </w:p>
        </w:tc>
      </w:tr>
      <w:tr>
        <w:trPr>
          <w:trHeight w:val="196"/>
        </w:trPr>
        <w:tc>
          <w:tcPr>
            <w:tcW w:w="10300" w:type="dxa"/>
            <w:vAlign w:val="bottom"/>
            <w:gridSpan w:val="3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43</w:t>
            </w:r>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2. UNREGISTERED SALES OF EQUITY SECURITIES AND USE OF PROCEEDS</w:t>
              </w:r>
            </w:hyperlink>
          </w:p>
        </w:tc>
        <w:tc>
          <w:tcPr>
            <w:tcW w:w="3660" w:type="dxa"/>
            <w:vAlign w:val="bottom"/>
            <w:gridSpan w:val="8"/>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43</w:t>
            </w:r>
          </w:p>
        </w:tc>
      </w:tr>
      <w:tr>
        <w:trPr>
          <w:trHeight w:val="196"/>
        </w:trPr>
        <w:tc>
          <w:tcPr>
            <w:tcW w:w="10300" w:type="dxa"/>
            <w:vAlign w:val="bottom"/>
            <w:gridSpan w:val="3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3. DEFAULTS UPON SENIOR SECURITIES</w:t>
              </w:r>
            </w:hyperlink>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43</w:t>
            </w:r>
          </w:p>
        </w:tc>
      </w:tr>
      <w:tr>
        <w:trPr>
          <w:trHeight w:val="196"/>
        </w:trPr>
        <w:tc>
          <w:tcPr>
            <w:tcW w:w="37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4. MINE SAFETY DISCLOSURES</w:t>
              </w:r>
            </w:hyperlink>
          </w:p>
        </w:tc>
        <w:tc>
          <w:tcPr>
            <w:tcW w:w="6520" w:type="dxa"/>
            <w:vAlign w:val="bottom"/>
            <w:gridSpan w:val="14"/>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43</w:t>
            </w:r>
          </w:p>
        </w:tc>
      </w:tr>
      <w:tr>
        <w:trPr>
          <w:trHeight w:val="196"/>
        </w:trPr>
        <w:tc>
          <w:tcPr>
            <w:tcW w:w="3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5. OTHER INFORMATION</w:t>
              </w:r>
            </w:hyperlink>
          </w:p>
        </w:tc>
        <w:tc>
          <w:tcPr>
            <w:tcW w:w="7300" w:type="dxa"/>
            <w:vAlign w:val="bottom"/>
            <w:gridSpan w:val="19"/>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43</w:t>
            </w:r>
          </w:p>
        </w:tc>
      </w:tr>
      <w:tr>
        <w:trPr>
          <w:trHeight w:val="196"/>
        </w:trPr>
        <w:tc>
          <w:tcPr>
            <w:tcW w:w="24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6. EXHIBITS</w:t>
              </w:r>
            </w:hyperlink>
          </w:p>
        </w:tc>
        <w:tc>
          <w:tcPr>
            <w:tcW w:w="7860" w:type="dxa"/>
            <w:vAlign w:val="bottom"/>
            <w:gridSpan w:val="22"/>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43</w:t>
            </w:r>
          </w:p>
        </w:tc>
      </w:tr>
      <w:tr>
        <w:trPr>
          <w:trHeight w:val="196"/>
        </w:trPr>
        <w:tc>
          <w:tcPr>
            <w:tcW w:w="1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8920" w:type="dxa"/>
            <w:vAlign w:val="bottom"/>
            <w:gridSpan w:val="26"/>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44</w:t>
            </w:r>
          </w:p>
        </w:tc>
      </w:tr>
      <w:tr>
        <w:trPr>
          <w:trHeight w:val="453"/>
        </w:trPr>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5320" w:type="dxa"/>
            <w:vAlign w:val="bottom"/>
            <w:gridSpan w:val="17"/>
          </w:tcPr>
          <w:p>
            <w:pPr>
              <w:jc w:val="right"/>
              <w:ind w:right="6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Inventory</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assets</w:t>
            </w:r>
          </w:p>
        </w:tc>
        <w:tc>
          <w:tcPr>
            <w:tcW w:w="2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14,436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Property and equipment, net</w:t>
            </w:r>
          </w:p>
        </w:tc>
        <w:tc>
          <w:tcPr>
            <w:tcW w:w="2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12,484</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1,784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21,724</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LIABILITIES AND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Short-term debt</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553</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$17 and $18, respectively</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long-term debt</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long-term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9,357</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(397,241,697 and 375,107,793 units outstanding, respectively)</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 excluding noncontrolling interests</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21,724</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184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5,632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9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5,042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Interest expense (net of capitalized interest of $14 and $11, respectively)</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40" w:type="dxa"/>
            <w:vAlign w:val="bottom"/>
          </w:tcPr>
          <w:p>
            <w:pPr>
              <w:ind w:left="160"/>
              <w:spacing w:after="0"/>
              <w:rPr>
                <w:sz w:val="20"/>
                <w:szCs w:val="20"/>
                <w:color w:val="auto"/>
              </w:rPr>
            </w:pPr>
            <w:r>
              <w:rPr>
                <w:rFonts w:ascii="Arial" w:cs="Arial" w:eastAsia="Arial" w:hAnsi="Arial"/>
                <w:sz w:val="18"/>
                <w:szCs w:val="18"/>
                <w:b w:val="1"/>
                <w:bCs w:val="1"/>
                <w:color w:val="auto"/>
              </w:rPr>
              <w:t>LIMITED PARTNERS</w:t>
            </w:r>
          </w:p>
        </w:tc>
        <w:tc>
          <w:tcPr>
            <w:tcW w:w="184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GENERAL PARTNER</w:t>
            </w: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184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184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WEIGHTED AVERAGE LIMITED PARTNER UNITS OUTSTANDING</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3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 WEIGHTED AVERAGE LIMITED PARTNER UNITS OUTSTANDING</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 (LOSS) (in millions)</w:t>
      </w:r>
    </w:p>
    <w:p>
      <w:pPr>
        <w:spacing w:after="0" w:line="386"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4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income/(loss)</w:t>
            </w:r>
          </w:p>
        </w:tc>
        <w:tc>
          <w:tcPr>
            <w:tcW w:w="18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income/(loss) attributable to PAA</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24"/>
                <w:szCs w:val="2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284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(benefit)/expense</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8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paid in connection with acquisitions, net of cash acquired</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equipment and other</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sales of linefill and base gas</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paid for purchases of linefill and base gas</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8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repayments under commercial paper program (Note 6)</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issuance of common units (Note 7)</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1,099</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Contributions from general partner</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common unitholders (Note 7)</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Distributions paid to general partner (Note 7)</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noncontrolling interests</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8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vMerge w:val="continue"/>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403</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Interest, net of amounts capitalized</w:t>
            </w:r>
          </w:p>
        </w:tc>
        <w:tc>
          <w:tcPr>
            <w:tcW w:w="24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net of amounts refunded</w:t>
            </w:r>
          </w:p>
        </w:tc>
        <w:tc>
          <w:tcPr>
            <w:tcW w:w="24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Partners’ Capital</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w w:val="96"/>
              </w:rPr>
              <w:t>Common 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Excluding</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740" w:type="dxa"/>
            <w:vAlign w:val="bottom"/>
            <w:tcBorders>
              <w:top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w w:val="91"/>
              </w:rPr>
              <w:t>Units</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Partner</w:t>
            </w:r>
          </w:p>
        </w:tc>
        <w:tc>
          <w:tcPr>
            <w:tcW w:w="140" w:type="dxa"/>
            <w:vAlign w:val="bottom"/>
          </w:tcPr>
          <w:p>
            <w:pPr>
              <w:spacing w:after="0"/>
              <w:rPr>
                <w:sz w:val="12"/>
                <w:szCs w:val="12"/>
                <w:color w:val="auto"/>
              </w:rPr>
            </w:pPr>
          </w:p>
        </w:tc>
        <w:tc>
          <w:tcPr>
            <w:tcW w:w="15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5"/>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375.1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7,793</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283</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284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Issuance of common units</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2"/>
        </w:trPr>
        <w:tc>
          <w:tcPr>
            <w:tcW w:w="3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7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Distribution equivalent right</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payments</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7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397.2</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Partners’ Capital</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w w:val="96"/>
              </w:rPr>
              <w:t>Common 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Excluding</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740" w:type="dxa"/>
            <w:vAlign w:val="bottom"/>
            <w:tcBorders>
              <w:top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w w:val="91"/>
              </w:rPr>
              <w:t>Units</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Partner</w:t>
            </w:r>
          </w:p>
        </w:tc>
        <w:tc>
          <w:tcPr>
            <w:tcW w:w="140" w:type="dxa"/>
            <w:vAlign w:val="bottom"/>
          </w:tcPr>
          <w:p>
            <w:pPr>
              <w:spacing w:after="0"/>
              <w:rPr>
                <w:sz w:val="12"/>
                <w:szCs w:val="12"/>
                <w:color w:val="auto"/>
              </w:rPr>
            </w:pPr>
          </w:p>
        </w:tc>
        <w:tc>
          <w:tcPr>
            <w:tcW w:w="15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5"/>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359.1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7,349</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268</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384</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385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Issuance of common units</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2"/>
        </w:trPr>
        <w:tc>
          <w:tcPr>
            <w:tcW w:w="3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units under</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LTIP, net of units tendered by</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employees to satisfy tax</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withholding obligations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37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expense</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Distribution equivalent right</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r>
      <w:tr>
        <w:trPr>
          <w:trHeight w:val="21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10-Q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11 for further discussion of our operating segments.</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2% general partner interest is held by PAA GP LLC, a Delaware limited liability company, whose sole member is Plains AAP, L.P. (“AAP”), a Delaware limited partnership. In addition to its ownership of PAA GP LLC, AAP also owns all of our incentive distribution rights (“IDRs”). Plains All American GP LLC (“GP LLC”), a Delaware limited liability company, is AAP’s general partner. Plains GP Holdings, L.P. (“PAGP”) is the sole member of GP LLC, and at March 31, 2015, owned an approximate 37% limited partner interest in AAP.</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GP LLC manages our operations and activities and employs our domestic officers and personnel. Our Canadian officers and personnel are employed by our subsidiary, Plains Midstream Canada ULC (“PMC”). References to our “general partner,” as the context requires, include any or all of PAA GP LLC, AAP and GP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AOCI</w:t>
            </w:r>
          </w:p>
        </w:tc>
        <w:tc>
          <w:tcPr>
            <w:tcW w:w="10280" w:type="dxa"/>
            <w:vAlign w:val="bottom"/>
            <w:gridSpan w:val="2"/>
          </w:tcPr>
          <w:p>
            <w:pPr>
              <w:ind w:left="500"/>
              <w:spacing w:after="0"/>
              <w:rPr>
                <w:sz w:val="20"/>
                <w:szCs w:val="20"/>
                <w:color w:val="auto"/>
              </w:rPr>
            </w:pPr>
            <w:r>
              <w:rPr>
                <w:rFonts w:ascii="Arial" w:cs="Arial" w:eastAsia="Arial" w:hAnsi="Arial"/>
                <w:sz w:val="18"/>
                <w:szCs w:val="18"/>
                <w:color w:val="auto"/>
              </w:rPr>
              <w:t>=   Accumulated other comprehensive income / (loss)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Bcf</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Billion cubic feet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Btu</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British thermal unit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CAD</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Canadian dollar</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DERs</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EPA</w:t>
            </w:r>
          </w:p>
        </w:tc>
        <w:tc>
          <w:tcPr>
            <w:tcW w:w="10280" w:type="dxa"/>
            <w:vAlign w:val="bottom"/>
            <w:gridSpan w:val="2"/>
          </w:tcPr>
          <w:p>
            <w:pPr>
              <w:ind w:left="500"/>
              <w:spacing w:after="0"/>
              <w:rPr>
                <w:sz w:val="20"/>
                <w:szCs w:val="20"/>
                <w:color w:val="auto"/>
              </w:rPr>
            </w:pPr>
            <w:r>
              <w:rPr>
                <w:rFonts w:ascii="Arial" w:cs="Arial" w:eastAsia="Arial" w:hAnsi="Arial"/>
                <w:sz w:val="18"/>
                <w:szCs w:val="18"/>
                <w:color w:val="auto"/>
              </w:rPr>
              <w:t>=   United States Environmental Protection Agency</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FASB</w:t>
            </w:r>
          </w:p>
        </w:tc>
        <w:tc>
          <w:tcPr>
            <w:tcW w:w="10280" w:type="dxa"/>
            <w:vAlign w:val="bottom"/>
            <w:gridSpan w:val="2"/>
          </w:tcPr>
          <w:p>
            <w:pPr>
              <w:ind w:left="500"/>
              <w:spacing w:after="0"/>
              <w:rPr>
                <w:sz w:val="20"/>
                <w:szCs w:val="20"/>
                <w:color w:val="auto"/>
              </w:rPr>
            </w:pPr>
            <w:r>
              <w:rPr>
                <w:rFonts w:ascii="Arial" w:cs="Arial" w:eastAsia="Arial" w:hAnsi="Arial"/>
                <w:sz w:val="18"/>
                <w:szCs w:val="18"/>
                <w:color w:val="auto"/>
              </w:rPr>
              <w:t>=   Financial Accounting Standards Board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GAAP</w:t>
            </w:r>
          </w:p>
        </w:tc>
        <w:tc>
          <w:tcPr>
            <w:tcW w:w="10280" w:type="dxa"/>
            <w:vAlign w:val="bottom"/>
            <w:gridSpan w:val="2"/>
          </w:tcPr>
          <w:p>
            <w:pPr>
              <w:ind w:left="500"/>
              <w:spacing w:after="0"/>
              <w:rPr>
                <w:sz w:val="20"/>
                <w:szCs w:val="20"/>
                <w:color w:val="auto"/>
              </w:rPr>
            </w:pPr>
            <w:r>
              <w:rPr>
                <w:rFonts w:ascii="Arial" w:cs="Arial" w:eastAsia="Arial" w:hAnsi="Arial"/>
                <w:sz w:val="18"/>
                <w:szCs w:val="18"/>
                <w:color w:val="auto"/>
              </w:rPr>
              <w:t>=   Generally accepted accounting principles in the United States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ICE</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Intercontinental Exchange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LIBOR</w:t>
            </w:r>
          </w:p>
        </w:tc>
        <w:tc>
          <w:tcPr>
            <w:tcW w:w="10280" w:type="dxa"/>
            <w:vAlign w:val="bottom"/>
            <w:gridSpan w:val="2"/>
          </w:tcPr>
          <w:p>
            <w:pPr>
              <w:ind w:left="500"/>
              <w:spacing w:after="0"/>
              <w:rPr>
                <w:sz w:val="20"/>
                <w:szCs w:val="20"/>
                <w:color w:val="auto"/>
              </w:rPr>
            </w:pPr>
            <w:r>
              <w:rPr>
                <w:rFonts w:ascii="Arial" w:cs="Arial" w:eastAsia="Arial" w:hAnsi="Arial"/>
                <w:sz w:val="18"/>
                <w:szCs w:val="18"/>
                <w:color w:val="auto"/>
              </w:rPr>
              <w:t>=   London Interbank Offered Rate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LTIP</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Long-term incentive plan</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Mcf</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Thousand cubic feet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MLP</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NGL</w:t>
            </w:r>
          </w:p>
        </w:tc>
        <w:tc>
          <w:tcPr>
            <w:tcW w:w="10280" w:type="dxa"/>
            <w:vAlign w:val="bottom"/>
            <w:gridSpan w:val="2"/>
          </w:tcPr>
          <w:p>
            <w:pPr>
              <w:ind w:left="500"/>
              <w:spacing w:after="0"/>
              <w:rPr>
                <w:sz w:val="20"/>
                <w:szCs w:val="20"/>
                <w:color w:val="auto"/>
              </w:rPr>
            </w:pPr>
            <w:r>
              <w:rPr>
                <w:rFonts w:ascii="Arial" w:cs="Arial" w:eastAsia="Arial" w:hAnsi="Arial"/>
                <w:sz w:val="18"/>
                <w:szCs w:val="18"/>
                <w:color w:val="auto"/>
              </w:rPr>
              <w:t>=   Natural gas liquids, including ethane, propane and butane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NYMEX</w:t>
            </w:r>
          </w:p>
        </w:tc>
        <w:tc>
          <w:tcPr>
            <w:tcW w:w="10280" w:type="dxa"/>
            <w:vAlign w:val="bottom"/>
            <w:gridSpan w:val="2"/>
          </w:tcPr>
          <w:p>
            <w:pPr>
              <w:ind w:left="500"/>
              <w:spacing w:after="0"/>
              <w:rPr>
                <w:sz w:val="20"/>
                <w:szCs w:val="20"/>
                <w:color w:val="auto"/>
              </w:rPr>
            </w:pPr>
            <w:r>
              <w:rPr>
                <w:rFonts w:ascii="Arial" w:cs="Arial" w:eastAsia="Arial" w:hAnsi="Arial"/>
                <w:sz w:val="18"/>
                <w:szCs w:val="18"/>
                <w:color w:val="auto"/>
              </w:rPr>
              <w:t>=   New York Mercantile Exchange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Oxy</w:t>
            </w:r>
          </w:p>
        </w:tc>
        <w:tc>
          <w:tcPr>
            <w:tcW w:w="10280" w:type="dxa"/>
            <w:vAlign w:val="bottom"/>
            <w:gridSpan w:val="2"/>
          </w:tcPr>
          <w:p>
            <w:pPr>
              <w:ind w:left="500"/>
              <w:spacing w:after="0"/>
              <w:rPr>
                <w:sz w:val="20"/>
                <w:szCs w:val="20"/>
                <w:color w:val="auto"/>
              </w:rPr>
            </w:pPr>
            <w:r>
              <w:rPr>
                <w:rFonts w:ascii="Arial" w:cs="Arial" w:eastAsia="Arial" w:hAnsi="Arial"/>
                <w:sz w:val="18"/>
                <w:szCs w:val="18"/>
                <w:color w:val="auto"/>
              </w:rPr>
              <w:t>=   Occidental Petroleum Corporation or its subsidiaries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PLA</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Pipeline loss allowance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USD</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United States dollar</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WTI</w:t>
            </w: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West Texas Intermediate</w:t>
            </w:r>
          </w:p>
        </w:tc>
      </w:tr>
      <w:tr>
        <w:trPr>
          <w:trHeight w:val="432"/>
        </w:trPr>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560" w:type="dxa"/>
            <w:vAlign w:val="bottom"/>
          </w:tcPr>
          <w:p>
            <w:pPr>
              <w:ind w:left="3760"/>
              <w:spacing w:after="0"/>
              <w:rPr>
                <w:sz w:val="20"/>
                <w:szCs w:val="20"/>
                <w:color w:val="auto"/>
              </w:rPr>
            </w:pPr>
            <w:r>
              <w:rPr>
                <w:rFonts w:ascii="Arial" w:cs="Arial" w:eastAsia="Arial" w:hAnsi="Arial"/>
                <w:sz w:val="18"/>
                <w:szCs w:val="18"/>
                <w:color w:val="auto"/>
              </w:rPr>
              <w:t>8</w:t>
            </w:r>
          </w:p>
        </w:tc>
      </w:tr>
      <w:tr>
        <w:trPr>
          <w:trHeight w:val="132"/>
        </w:trPr>
        <w:tc>
          <w:tcPr>
            <w:tcW w:w="11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95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2014 Annual Report on Form 10-K. The accompanying consolidated financial statements include the accounts of PAA and all of its wholly owned subsidiaries and those entities that it controls. Investments in entities over which we have significant influence but not control are accounted for by the equity method.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These reclassifications do not affect net income attributable to PAA. The condensed</w:t>
      </w:r>
    </w:p>
    <w:p>
      <w:pPr>
        <w:sectPr>
          <w:pgSz w:w="11900" w:h="16838" w:orient="portrait"/>
          <w:cols w:equalWidth="0" w:num="1">
            <w:col w:w="11460"/>
          </w:cols>
          <w:pgMar w:left="240" w:top="125" w:right="199" w:bottom="0" w:gutter="0" w:footer="0" w:header="0"/>
        </w:sectPr>
      </w:pPr>
    </w:p>
    <w:bookmarkStart w:id="6" w:name="page7"/>
    <w:bookmarkEnd w:id="6"/>
    <w:p>
      <w:pPr>
        <w:spacing w:after="0" w:line="3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consolidated balance sheet data as of December 31, 2014 was derived from audited financial statements, but does not include all disclosures required by GAAP. The results of operations for the three months ended March 31, 2015 should not be taken as indicative of results to be expected for the entire year.</w:t>
      </w:r>
    </w:p>
    <w:p>
      <w:pPr>
        <w:spacing w:after="0" w:line="12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In April 2015, the FASB issued guidance to simplify the presentation of debt issuance costs in entities’ financial statements. Under this revised guidance, an entity will present such costs as a direct reduction from the related debt liability (rather than as an asset under current guidance). Additionally, amortization of the debt issuance costs will be reported as interest expense. This guidance will become effective for interim and annual periods beginning after December 15, 2015 and will be adopted retrospectively to all prior periods. Early adoption is permitted for financial statements that have not been previously issued. We expect to adopt this guidance on January 1, 2016, and we are currently evaluating the effect that adopting this guidance will have on our financial position, results of operations and cash flows.</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w:t>
      </w:r>
    </w:p>
    <w:p>
      <w:pPr>
        <w:ind w:right="20" w:firstLine="8"/>
        <w:spacing w:after="0" w:line="252"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will become effective for interim and annual periods beginning after December 15, 2015. Early adoption is permitted, including adoption in an interim period. We expect to adopt this guidance on January 1, 2016, and we are currently evaluating the effect that adopting this guidance will have on our financial position, results of operations and cash flows.</w:t>
      </w:r>
    </w:p>
    <w:p>
      <w:pPr>
        <w:spacing w:after="0" w:line="194"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January 2015, as part of its initiative to reduce complexity in accounting standards, the FASB issued guidance to eliminate the concept of extraordinary items from GAAP. This guidance will become effective for interim and annual periods beginning after December 15, 2015. We expect to adopt this guidance on January 1, 2016. We do not believe our adoption will have a material impact on our financial position, results of operations or cash flows.</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becomes effective for interim and annual periods beginning after December 15, 2016 and can be adopted either with a full retrospective approach or a modified retrospective approach with a cumulative-effect adjustment as of the date of adoption. We currently expect to adopt this guidance on January 1, 2017, and we are evaluating which transition approach to apply and the effect that adopting this guidance will have on our financial position, results of operations and cash flows. In April 2015, the FASB proposed a one year deferral of the effective date of this standard.</w:t>
      </w:r>
    </w:p>
    <w:p>
      <w:pPr>
        <w:spacing w:after="0" w:line="16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We adopted this guidance on January 1, 2015. Our adoption did not have a material impact on our financial position, results of operations or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Limited Partner Unit</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Basic and diluted net income per limited partner unit is determined pursuant to the two-class method for MLPs as prescribed in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calculate basic and diluted net income per limited partner unit by dividing net income attributable to PAA (after deducting the amount allocated to the general partner’s interest, IDRs and participating securities) by the basic and diluted weighted-average number of limited partner units outstanding during the period. Participating securities include LTIP awards that have vested DERs, which entitle the grantee to a cash payment equal to the cash distribution paid on our outstanding common units.</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Diluted net income per limited partner unit is computed based on the weighted average number of limited partner units plus the effect of dilutive potential limited partner units outstanding during the period using the two-class method.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limited partner unit repurchase based on the remaining unamortized fair value, as prescribed by the treasury stock method in guidance issued by the FASB. See Note 16 to our Consolidated Financial Statements included in Part IV of our 2014 Annual Report on Form 10-K for a complete discussion of our LTIP awards including specific discussion regarding DERs.</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limited partner unit for the three months ended March 31, 2015 and 2014 (in millions, except per unit data):</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PAA</w:t>
            </w:r>
          </w:p>
        </w:tc>
        <w:tc>
          <w:tcPr>
            <w:tcW w:w="31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60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606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0"/>
        </w:trPr>
        <w:tc>
          <w:tcPr>
            <w:tcW w:w="60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income available to limited partners</w:t>
            </w:r>
          </w:p>
        </w:tc>
        <w:tc>
          <w:tcPr>
            <w:tcW w:w="2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70"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 xml:space="preserve">Less: Undistributed earnings allocated and distributions to participating securities </w:t>
            </w:r>
            <w:r>
              <w:rPr>
                <w:rFonts w:ascii="Arial" w:cs="Arial" w:eastAsia="Arial" w:hAnsi="Arial"/>
                <w:sz w:val="23"/>
                <w:szCs w:val="23"/>
                <w:color w:val="auto"/>
                <w:vertAlign w:val="superscript"/>
              </w:rPr>
              <w:t>(1)</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Net income available to limited partners in accordance with application of the two-class method for MLPs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limited partner units outstanding</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limited partner unit</w:t>
            </w:r>
          </w:p>
        </w:tc>
        <w:tc>
          <w:tcPr>
            <w:tcW w:w="7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Net income attributable to PAA</w:t>
            </w:r>
          </w:p>
        </w:tc>
        <w:tc>
          <w:tcPr>
            <w:tcW w:w="7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limited partners</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Less: Undistributed earnings allocated and distributions to participating securities </w:t>
            </w:r>
            <w:r>
              <w:rPr>
                <w:rFonts w:ascii="Arial" w:cs="Arial" w:eastAsia="Arial" w:hAnsi="Arial"/>
                <w:sz w:val="23"/>
                <w:szCs w:val="23"/>
                <w:color w:val="auto"/>
                <w:vertAlign w:val="superscript"/>
              </w:rPr>
              <w:t>(1)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Net income available to limited partners in accordance with application of the two-class method for MLPs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limited partner units outstanding</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Effect of dilutive securities: Weighted average LTIP units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limited partner units outstanding</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net income per limited partner unit</w:t>
            </w: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jc w:val="right"/>
              <w:ind w:right="219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120" w:hanging="652"/>
        <w:spacing w:after="0" w:line="238"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Pursuant to the terms of our partnership agreement, the general partner’s incentive distribution is limited to a percentage of available cash, which, as defined in the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 distributed to them under the terms of the partnership agreement, basic and diluted net income per limited partner unit as reflected in the table above would be impacted as follows:</w:t>
      </w:r>
    </w:p>
    <w:p>
      <w:pPr>
        <w:spacing w:after="0" w:line="180"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limited partner unit impact</w:t>
            </w:r>
          </w:p>
        </w:tc>
        <w:tc>
          <w:tcPr>
            <w:tcW w:w="2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6"/>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 impact</w:t>
            </w:r>
          </w:p>
        </w:tc>
        <w:tc>
          <w:tcPr>
            <w:tcW w:w="336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(0.05)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4—Accounts Receivable</w:t>
            </w:r>
          </w:p>
        </w:tc>
        <w:tc>
          <w:tcPr>
            <w:tcW w:w="2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March 31, 2015 and December 31, 2014, we had received $130 million and $180 million, respectively, of advance cash payments from third parties to mitigate credit risk. Furthermore, as of March 31, 2015 and December 31, 2014, we had received $12 million and $198 million, respectively, of standby letters of credit to support obligations due from third parties, a portion of which applies to future business. The decrease in standby letters of credit and advance cash payments from third parties as of March 31, 2015 compared to December 31, 2014 is largely due to a decrease in exposure to various customers requiring letters of credit. Furthermore,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pacing w:after="0" w:line="178"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2015 and December 31, 2014, substantially all of our accounts receivable (net of allowance for doubtful accounts) were less than 30 days past their scheduled invoice date. Our allowance for doubtful accounts receivable totaled $4 million as of both March 31, 2015 and December 31, 2014. Although we consider our allowance for doubtful accounts receivable to be adequate, actual amounts could vary significantly from estimated amounts.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ectPr>
          <w:pgSz w:w="11900" w:h="16838" w:orient="portrait"/>
          <w:cols w:equalWidth="0" w:num="1">
            <w:col w:w="11460"/>
          </w:cols>
          <w:pgMar w:left="240" w:top="91" w:right="199" w:bottom="0" w:gutter="0" w:footer="0" w:header="0"/>
        </w:sectPr>
      </w:pPr>
    </w:p>
    <w:bookmarkStart w:id="8" w:name="page9"/>
    <w:bookmarkEnd w:id="8"/>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March 31, 2015</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Volumes</w:t>
            </w:r>
          </w:p>
        </w:tc>
        <w:tc>
          <w:tcPr>
            <w:tcW w:w="92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Unit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68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Volumes</w:t>
            </w:r>
          </w:p>
        </w:tc>
        <w:tc>
          <w:tcPr>
            <w:tcW w:w="92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Unit of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Measure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tcPr>
          <w:p>
            <w:pPr>
              <w:ind w:left="180"/>
              <w:spacing w:after="0"/>
              <w:rPr>
                <w:sz w:val="20"/>
                <w:szCs w:val="20"/>
                <w:color w:val="auto"/>
              </w:rPr>
            </w:pPr>
            <w:r>
              <w:rPr>
                <w:rFonts w:ascii="Arial" w:cs="Arial" w:eastAsia="Arial" w:hAnsi="Arial"/>
                <w:sz w:val="14"/>
                <w:szCs w:val="14"/>
                <w:b w:val="1"/>
                <w:bCs w:val="1"/>
                <w:color w:val="auto"/>
              </w:rPr>
              <w:t>Measure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xml:space="preserve">Unit </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15,351</w:t>
            </w:r>
          </w:p>
        </w:tc>
        <w:tc>
          <w:tcPr>
            <w:tcW w:w="920" w:type="dxa"/>
            <w:vAlign w:val="bottom"/>
          </w:tcPr>
          <w:p>
            <w:pPr>
              <w:spacing w:after="0"/>
              <w:rPr>
                <w:sz w:val="20"/>
                <w:szCs w:val="20"/>
                <w:color w:val="auto"/>
              </w:rPr>
            </w:pPr>
            <w:r>
              <w:rPr>
                <w:rFonts w:ascii="Arial" w:cs="Arial" w:eastAsia="Arial" w:hAnsi="Arial"/>
                <w:sz w:val="18"/>
                <w:szCs w:val="18"/>
                <w:color w:val="auto"/>
              </w:rPr>
              <w:t>barrels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44.69</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6,465</w:t>
            </w:r>
          </w:p>
        </w:tc>
        <w:tc>
          <w:tcPr>
            <w:tcW w:w="920" w:type="dxa"/>
            <w:vAlign w:val="bottom"/>
          </w:tcPr>
          <w:p>
            <w:pPr>
              <w:spacing w:after="0"/>
              <w:rPr>
                <w:sz w:val="20"/>
                <w:szCs w:val="20"/>
                <w:color w:val="auto"/>
              </w:rPr>
            </w:pPr>
            <w:r>
              <w:rPr>
                <w:rFonts w:ascii="Arial" w:cs="Arial" w:eastAsia="Arial" w:hAnsi="Arial"/>
                <w:sz w:val="18"/>
                <w:szCs w:val="18"/>
                <w:color w:val="auto"/>
              </w:rPr>
              <w:t>barrels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7,277</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21.16</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13,553</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Natural gas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10,965</w:t>
            </w:r>
          </w:p>
        </w:tc>
        <w:tc>
          <w:tcPr>
            <w:tcW w:w="920" w:type="dxa"/>
            <w:vAlign w:val="bottom"/>
          </w:tcPr>
          <w:p>
            <w:pPr>
              <w:spacing w:after="0"/>
              <w:rPr>
                <w:sz w:val="20"/>
                <w:szCs w:val="20"/>
                <w:color w:val="auto"/>
              </w:rPr>
            </w:pPr>
            <w:r>
              <w:rPr>
                <w:rFonts w:ascii="Arial" w:cs="Arial" w:eastAsia="Arial" w:hAnsi="Arial"/>
                <w:sz w:val="18"/>
                <w:szCs w:val="18"/>
                <w:color w:val="auto"/>
              </w:rPr>
              <w:t>Mcf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2.83</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32,317</w:t>
            </w:r>
          </w:p>
        </w:tc>
        <w:tc>
          <w:tcPr>
            <w:tcW w:w="920" w:type="dxa"/>
            <w:vAlign w:val="bottom"/>
          </w:tcPr>
          <w:p>
            <w:pPr>
              <w:spacing w:after="0"/>
              <w:rPr>
                <w:sz w:val="20"/>
                <w:szCs w:val="20"/>
                <w:color w:val="auto"/>
              </w:rPr>
            </w:pPr>
            <w:r>
              <w:rPr>
                <w:rFonts w:ascii="Arial" w:cs="Arial" w:eastAsia="Arial" w:hAnsi="Arial"/>
                <w:sz w:val="18"/>
                <w:szCs w:val="18"/>
                <w:color w:val="auto"/>
              </w:rPr>
              <w:t>Mcf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12,970</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59.91</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11,810</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NGL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1,215</w:t>
            </w:r>
          </w:p>
        </w:tc>
        <w:tc>
          <w:tcPr>
            <w:tcW w:w="920" w:type="dxa"/>
            <w:vAlign w:val="bottom"/>
          </w:tcPr>
          <w:p>
            <w:pPr>
              <w:spacing w:after="0"/>
              <w:rPr>
                <w:sz w:val="20"/>
                <w:szCs w:val="20"/>
                <w:color w:val="auto"/>
              </w:rPr>
            </w:pPr>
            <w:r>
              <w:rPr>
                <w:rFonts w:ascii="Arial" w:cs="Arial" w:eastAsia="Arial" w:hAnsi="Arial"/>
                <w:sz w:val="18"/>
                <w:szCs w:val="18"/>
                <w:color w:val="auto"/>
              </w:rPr>
              <w:t>barrels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39.51</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1,212</w:t>
            </w:r>
          </w:p>
        </w:tc>
        <w:tc>
          <w:tcPr>
            <w:tcW w:w="920" w:type="dxa"/>
            <w:vAlign w:val="bottom"/>
          </w:tcPr>
          <w:p>
            <w:pPr>
              <w:spacing w:after="0"/>
              <w:rPr>
                <w:sz w:val="20"/>
                <w:szCs w:val="20"/>
                <w:color w:val="auto"/>
              </w:rPr>
            </w:pPr>
            <w:r>
              <w:rPr>
                <w:rFonts w:ascii="Arial" w:cs="Arial" w:eastAsia="Arial" w:hAnsi="Arial"/>
                <w:sz w:val="18"/>
                <w:szCs w:val="18"/>
                <w:color w:val="auto"/>
              </w:rPr>
              <w:t>barrels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28,612</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28,612</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Linefill and base gas subtotal</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2,646</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44.22</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2,582</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NGL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1,681</w:t>
            </w:r>
          </w:p>
        </w:tc>
        <w:tc>
          <w:tcPr>
            <w:tcW w:w="920" w:type="dxa"/>
            <w:vAlign w:val="bottom"/>
          </w:tcPr>
          <w:p>
            <w:pPr>
              <w:spacing w:after="0"/>
              <w:rPr>
                <w:sz w:val="20"/>
                <w:szCs w:val="20"/>
                <w:color w:val="auto"/>
              </w:rPr>
            </w:pPr>
            <w:r>
              <w:rPr>
                <w:rFonts w:ascii="Arial" w:cs="Arial" w:eastAsia="Arial" w:hAnsi="Arial"/>
                <w:sz w:val="18"/>
                <w:szCs w:val="18"/>
                <w:color w:val="auto"/>
              </w:rPr>
              <w:t>barrels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19.04</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1,681</w:t>
            </w:r>
          </w:p>
        </w:tc>
        <w:tc>
          <w:tcPr>
            <w:tcW w:w="920" w:type="dxa"/>
            <w:vAlign w:val="bottom"/>
          </w:tcPr>
          <w:p>
            <w:pPr>
              <w:spacing w:after="0"/>
              <w:rPr>
                <w:sz w:val="20"/>
                <w:szCs w:val="20"/>
                <w:color w:val="auto"/>
              </w:rPr>
            </w:pPr>
            <w:r>
              <w:rPr>
                <w:rFonts w:ascii="Arial" w:cs="Arial" w:eastAsia="Arial" w:hAnsi="Arial"/>
                <w:sz w:val="18"/>
                <w:szCs w:val="18"/>
                <w:color w:val="auto"/>
              </w:rPr>
              <w:t>barrels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inventory subtotal</w:t>
            </w: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$24 million during the three months ended March 31, 2015 primarily related to the writedown of our NGL inventory due to declines in prices. The loss was substantially offset by a portion of the derivative mark-to-market gain that was recognized in the fourth quarter of 2014 for which the related derivatives were still open as of March 31, 2015. See Note 8 for discussion of our derivative and risk management activities. During the three months ended March 31, 2014, we recorded a charge of $37 million related to the writedown of our natural gas inventory that was purchased in conjunction with managing natural gas storage deliverability requirements during the extended period of severe cold weather in the first quarter of 2014.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as of the dates indicated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SHORT-TERM DEBT</w:t>
            </w: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w w:val="95"/>
              </w:rPr>
              <w:t xml:space="preserve">Commercial paper notes, bearing a weighted-average interest rate of 0.46% at December 31, 2014 </w:t>
            </w:r>
            <w:r>
              <w:rPr>
                <w:rFonts w:ascii="Arial" w:cs="Arial" w:eastAsia="Arial" w:hAnsi="Arial"/>
                <w:sz w:val="23"/>
                <w:szCs w:val="23"/>
                <w:color w:val="auto"/>
                <w:w w:val="95"/>
                <w:vertAlign w:val="superscript"/>
              </w:rPr>
              <w:t>(1)</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Senior notes: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5.25% senior notes due June 2015</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3.95% senior notes due September 2015</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Total short-term debt</w:t>
            </w: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$17 and $18, respectively</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52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5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80" w:hanging="11"/>
        <w:spacing w:after="0" w:line="264" w:lineRule="auto"/>
        <w:rPr>
          <w:sz w:val="20"/>
          <w:szCs w:val="20"/>
          <w:color w:val="auto"/>
        </w:rPr>
      </w:pPr>
      <w:r>
        <w:rPr>
          <w:rFonts w:ascii="Arial" w:cs="Arial" w:eastAsia="Arial" w:hAnsi="Arial"/>
          <w:sz w:val="18"/>
          <w:szCs w:val="18"/>
          <w:color w:val="auto"/>
        </w:rPr>
        <w:t>At December 31, 2014, we classified all of the borrowings under our commercial paper program as short-term as these borrowings were primarily designated as working capital borrowings, must be repaid within one year and were primarily for hedged NGL and crude oil inventory and NYMEX and ICE margin deposits.</w:t>
      </w:r>
    </w:p>
    <w:p>
      <w:pPr>
        <w:spacing w:after="0" w:line="181" w:lineRule="exact"/>
        <w:rPr>
          <w:sz w:val="20"/>
          <w:szCs w:val="20"/>
          <w:color w:val="auto"/>
        </w:rPr>
      </w:pPr>
    </w:p>
    <w:p>
      <w:pPr>
        <w:ind w:hanging="11"/>
        <w:spacing w:after="0" w:line="255" w:lineRule="auto"/>
        <w:rPr>
          <w:sz w:val="20"/>
          <w:szCs w:val="20"/>
          <w:color w:val="auto"/>
        </w:rPr>
      </w:pPr>
      <w:r>
        <w:rPr>
          <w:rFonts w:ascii="Arial" w:cs="Arial" w:eastAsia="Arial" w:hAnsi="Arial"/>
          <w:sz w:val="18"/>
          <w:szCs w:val="18"/>
          <w:color w:val="auto"/>
        </w:rPr>
        <w:t>Our fixed-rate senior notes (including current maturities) had a face value of approximately $9.3 billion as of both March 31, 2015 and December 31, 2014. We estimated the aggregate fair value of these notes as of March 31, 2015 and December 31, 2014 to be approximately $10.0 billion and $9.9 billion, respectively. Our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ectPr>
          <w:pgSz w:w="11900" w:h="16838" w:orient="portrait"/>
          <w:cols w:equalWidth="0" w:num="2">
            <w:col w:w="140" w:space="520"/>
            <w:col w:w="10760"/>
          </w:cols>
          <w:pgMar w:left="240" w:top="125" w:right="239"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PAA senior unsecured 364-day revolving credit facility. </w:t>
      </w:r>
      <w:r>
        <w:rPr>
          <w:rFonts w:ascii="Arial" w:cs="Arial" w:eastAsia="Arial" w:hAnsi="Arial"/>
          <w:sz w:val="18"/>
          <w:szCs w:val="18"/>
          <w:color w:val="auto"/>
        </w:rPr>
        <w:t>In January 2015, we entered into a 364-day senior unsecured credit agreement with a</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capacity of $1.0 billion. Borrowings will accrue interest based, at our election, on either the Eurocurrency Rate or the Base Rate, as defined in the agreement, in each case plus a margin based on our credit rating at the applicable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Total borrowings under our credit agreements and commercial paper program for the three months ended March 31, 2015 and 2014 were approximately $7.0 billion and $19.2 billion, respectively. Total repayments under our credit agreements and commercial paper program were approximately $7.7 billion and $19.3 billion for the three months ended March 31, 2015 and 2014,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and construction activities. At March 31, 2015 and December 31, 2014, we had outstanding letters of credit of $83 million and $87 million,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details the distributions paid during or pertaining to the first three months of 2015, net of reductions to the general partner’s incentive distributions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46"/>
              <w:spacing w:after="0"/>
              <w:rPr>
                <w:sz w:val="20"/>
                <w:szCs w:val="20"/>
                <w:color w:val="auto"/>
              </w:rPr>
            </w:pPr>
            <w:r>
              <w:rPr>
                <w:rFonts w:ascii="Arial" w:cs="Arial" w:eastAsia="Arial" w:hAnsi="Arial"/>
                <w:sz w:val="14"/>
                <w:szCs w:val="14"/>
                <w:b w:val="1"/>
                <w:bCs w:val="1"/>
                <w:color w:val="auto"/>
              </w:rPr>
              <w:t>Distributions Paid</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Distributions</w:t>
            </w:r>
          </w:p>
        </w:tc>
      </w:tr>
      <w:tr>
        <w:trPr>
          <w:trHeight w:val="142"/>
        </w:trPr>
        <w:tc>
          <w:tcPr>
            <w:tcW w:w="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Limited</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right"/>
              <w:ind w:right="406"/>
              <w:spacing w:after="0" w:line="142" w:lineRule="exact"/>
              <w:rPr>
                <w:sz w:val="20"/>
                <w:szCs w:val="20"/>
                <w:color w:val="auto"/>
              </w:rPr>
            </w:pPr>
            <w:r>
              <w:rPr>
                <w:rFonts w:ascii="Arial" w:cs="Arial" w:eastAsia="Arial" w:hAnsi="Arial"/>
                <w:sz w:val="14"/>
                <w:szCs w:val="14"/>
                <w:b w:val="1"/>
                <w:bCs w:val="1"/>
                <w:color w:val="auto"/>
              </w:rPr>
              <w:t>General Partner</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5"/>
              </w:rPr>
              <w:t>per limited</w:t>
            </w:r>
          </w:p>
        </w:tc>
      </w:tr>
      <w:tr>
        <w:trPr>
          <w:trHeight w:val="142"/>
        </w:trPr>
        <w:tc>
          <w:tcPr>
            <w:tcW w:w="2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1700" w:type="dxa"/>
            <w:vAlign w:val="bottom"/>
          </w:tcPr>
          <w:p>
            <w:pPr>
              <w:spacing w:after="0" w:line="142" w:lineRule="exact"/>
              <w:rPr>
                <w:sz w:val="20"/>
                <w:szCs w:val="20"/>
                <w:color w:val="auto"/>
              </w:rPr>
            </w:pPr>
            <w:r>
              <w:rPr>
                <w:rFonts w:ascii="Arial" w:cs="Arial" w:eastAsia="Arial" w:hAnsi="Arial"/>
                <w:sz w:val="14"/>
                <w:szCs w:val="14"/>
                <w:b w:val="1"/>
                <w:bCs w:val="1"/>
                <w:color w:val="auto"/>
              </w:rPr>
              <w:t>Distribution Date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Partners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81"/>
              <w:spacing w:after="0" w:line="142" w:lineRule="exact"/>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Incentive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7"/>
              </w:rPr>
              <w:t>partner unit</w:t>
            </w: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7,</w:t>
            </w:r>
          </w:p>
        </w:tc>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May 15, 2015</w:t>
            </w:r>
            <w:r>
              <w:rPr>
                <w:rFonts w:ascii="Arial" w:cs="Arial" w:eastAsia="Arial" w:hAnsi="Arial"/>
                <w:sz w:val="23"/>
                <w:szCs w:val="23"/>
                <w:color w:val="auto"/>
                <w:vertAlign w:val="superscript"/>
              </w:rPr>
              <w:t>(1)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0"/>
              </w:rPr>
              <w:t>January</w:t>
            </w:r>
          </w:p>
        </w:tc>
        <w:tc>
          <w:tcPr>
            <w:tcW w:w="1700" w:type="dxa"/>
            <w:vAlign w:val="bottom"/>
          </w:tcPr>
          <w:p>
            <w:pPr>
              <w:ind w:left="20"/>
              <w:spacing w:after="0"/>
              <w:rPr>
                <w:sz w:val="20"/>
                <w:szCs w:val="20"/>
                <w:color w:val="auto"/>
              </w:rPr>
            </w:pPr>
            <w:r>
              <w:rPr>
                <w:rFonts w:ascii="Arial" w:cs="Arial" w:eastAsia="Arial" w:hAnsi="Arial"/>
                <w:sz w:val="18"/>
                <w:szCs w:val="18"/>
                <w:color w:val="auto"/>
              </w:rPr>
              <w:t>8, 2015</w:t>
            </w:r>
          </w:p>
        </w:tc>
        <w:tc>
          <w:tcPr>
            <w:tcW w:w="2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February 13, 2015</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131</w:t>
            </w:r>
          </w:p>
        </w:tc>
        <w:tc>
          <w:tcPr>
            <w:tcW w:w="92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0.6750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596"/>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May 1, 2015 for the period January 1, 2015 through March 31, 2015.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Equity Offerings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Continuous Offering Program</w:t>
      </w:r>
      <w:r>
        <w:rPr>
          <w:rFonts w:ascii="Arial" w:cs="Arial" w:eastAsia="Arial" w:hAnsi="Arial"/>
          <w:sz w:val="18"/>
          <w:szCs w:val="18"/>
          <w:color w:val="auto"/>
        </w:rPr>
        <w:t>. During the three months ended March 31, 2015, we issued an aggregate of approximately 1.1 million common units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continuous offering program, generating proceeds of $59 million, including our general partner’s proportionate capital contribution of $1 million, net of $1 million of commissions to our sales agents.</w:t>
      </w:r>
    </w:p>
    <w:p>
      <w:pPr>
        <w:spacing w:after="0" w:line="181" w:lineRule="exact"/>
        <w:rPr>
          <w:sz w:val="20"/>
          <w:szCs w:val="20"/>
          <w:color w:val="auto"/>
        </w:rPr>
      </w:pPr>
    </w:p>
    <w:p>
      <w:pPr>
        <w:jc w:val="both"/>
        <w:ind w:right="660" w:firstLine="648"/>
        <w:spacing w:after="0" w:line="342" w:lineRule="auto"/>
        <w:rPr>
          <w:sz w:val="20"/>
          <w:szCs w:val="20"/>
          <w:color w:val="auto"/>
        </w:rPr>
      </w:pPr>
      <w:r>
        <w:rPr>
          <w:rFonts w:ascii="Arial" w:cs="Arial" w:eastAsia="Arial" w:hAnsi="Arial"/>
          <w:sz w:val="16"/>
          <w:szCs w:val="16"/>
          <w:i w:val="1"/>
          <w:iCs w:val="1"/>
          <w:color w:val="auto"/>
        </w:rPr>
        <w:t xml:space="preserve">Underwritten Offering. </w:t>
      </w:r>
      <w:r>
        <w:rPr>
          <w:rFonts w:ascii="Arial" w:cs="Arial" w:eastAsia="Arial" w:hAnsi="Arial"/>
          <w:sz w:val="16"/>
          <w:szCs w:val="16"/>
          <w:color w:val="auto"/>
        </w:rPr>
        <w:t>In March 2015, we completed an underwritten public offering of 21.0 million common units, generating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$1.1 billion, including our general partner’s proportionate capital contribution of $21 million, net of costs associated with the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2015, noncontrolling interests in our subsidiaries consisted of a 25% interest in SLC Pipeline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Commodity Purchases and Sales </w:t>
      </w:r>
      <w:r>
        <w:rPr>
          <w:rFonts w:ascii="Arial" w:cs="Arial" w:eastAsia="Arial" w:hAnsi="Arial"/>
          <w:sz w:val="18"/>
          <w:szCs w:val="18"/>
          <w:color w:val="auto"/>
        </w:rPr>
        <w:t>— In the normal course of our operations, we purchase and sell commodities. We use derivatives to manage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risks and to optimize profits. As of March 31, 2015, net derivative positions related to these activities included:</w:t>
      </w:r>
    </w:p>
    <w:p>
      <w:pPr>
        <w:sectPr>
          <w:pgSz w:w="11900" w:h="16838" w:orient="portrait"/>
          <w:cols w:equalWidth="0" w:num="1">
            <w:col w:w="11420"/>
          </w:cols>
          <w:pgMar w:left="240" w:top="125" w:right="239" w:bottom="0" w:gutter="0" w:footer="0" w:header="0"/>
        </w:sectPr>
      </w:pPr>
    </w:p>
    <w:bookmarkStart w:id="10" w:name="page11"/>
    <w:bookmarkEnd w:id="10"/>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7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average of 233,600 barrels per day net long position (total of 7.0 million barrels) associated with our crude oil purchases, which was unwound ratably during April 2015 to match monthly average pricing.</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net short time spread position averaging 18,200 barrels per day (total of 7.2 million barrels), which hedges a portion of our anticipated crude oil lease gathering purchases through June 2016.</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average of 37,500 barrels per day (total of 9.1 million barrels) of crude oil grade spread positions through December 2015. These derivatives allow us to lock in grade basis differentials.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net short position of 6.8 Bcf through April 2016 related to anticipated sales of natural gas inventory and base gas requirements.</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net short position of 16.8 million barrels through March 2017 related to anticipated purchases and sales of our crude oil, NGL and refined products inventory.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fractionation and sell the resulting individual specification products (including ethane, propane, butane and condensate). In conjunction with these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we hedge the price risk associated with the purchase of the natural gas and the subsequent sale of the individual specification products.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2015, we had a long natural gas position of 18.1 Bcf through December 2016, a short propane position of 3.5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2016, a short butane position of 1.0 million barrels through December 2016 and a short WTI position of 0.4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2016. In addition, we had a long power position of 0.4 million megawatt hours, which hedges a portion of our power supply requirements at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natural gas processing and fractionation plants through December 2016.</w:t>
      </w:r>
    </w:p>
    <w:p>
      <w:pPr>
        <w:spacing w:after="0" w:line="21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To the extent they qualify and we decide to make the election, all of our commodity derivatives for which we elect hedge accounting are designated as cash flow hedges. 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purchase and sale agreements qualify for the normal purchases and normal sales scope exception.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March 31, 2015, AOCI includes deferred losses of $234 million that relate to open and terminated interest rate derivatives that were designated as cash flow hedges.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debt issuances through 2019. The following table summarizes the terms of our forward starting interest rate swaps as of March 31, 2015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Number and Types of</w:t>
            </w:r>
          </w:p>
        </w:tc>
        <w:tc>
          <w:tcPr>
            <w:tcW w:w="1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Expected</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Average Rate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Derivatives Employed</w:t>
            </w:r>
          </w:p>
        </w:tc>
        <w:tc>
          <w:tcPr>
            <w:tcW w:w="1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Termination Date</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Locked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debt offering</w:t>
            </w:r>
          </w:p>
        </w:tc>
        <w:tc>
          <w:tcPr>
            <w:tcW w:w="30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10 forward starting swaps (30-</w:t>
            </w: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line="195" w:lineRule="exact"/>
              <w:rPr>
                <w:sz w:val="20"/>
                <w:szCs w:val="20"/>
                <w:color w:val="auto"/>
              </w:rPr>
            </w:pPr>
            <w:r>
              <w:rPr>
                <w:rFonts w:ascii="Arial" w:cs="Arial" w:eastAsia="Arial" w:hAnsi="Arial"/>
                <w:sz w:val="18"/>
                <w:szCs w:val="18"/>
                <w:color w:val="auto"/>
                <w:w w:val="79"/>
              </w:rPr>
              <w:t>250</w:t>
            </w: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6/15/2015</w:t>
            </w: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3.60%</w:t>
            </w:r>
          </w:p>
        </w:tc>
        <w:tc>
          <w:tcPr>
            <w:tcW w:w="2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year)</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Anticipated debt offering</w:t>
            </w:r>
          </w:p>
        </w:tc>
        <w:tc>
          <w:tcPr>
            <w:tcW w:w="24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1"/>
              </w:rPr>
              <w:t>8 forward starting swaps (30-</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200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2"/>
              </w:rPr>
              <w:t>6/15/2016</w:t>
            </w:r>
          </w:p>
        </w:tc>
        <w:tc>
          <w:tcPr>
            <w:tcW w:w="28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3.06%</w:t>
            </w:r>
          </w:p>
        </w:tc>
        <w:tc>
          <w:tcPr>
            <w:tcW w:w="280" w:type="dxa"/>
            <w:vAlign w:val="bottom"/>
          </w:tcPr>
          <w:p>
            <w:pPr>
              <w:spacing w:after="0"/>
              <w:rPr>
                <w:sz w:val="17"/>
                <w:szCs w:val="17"/>
                <w:color w:val="auto"/>
              </w:rPr>
            </w:pP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year)</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debt offering</w:t>
            </w:r>
          </w:p>
        </w:tc>
        <w:tc>
          <w:tcPr>
            <w:tcW w:w="246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8 forward starting swaps (30-</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200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6/15/2017</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3.14%</w:t>
            </w:r>
          </w:p>
        </w:tc>
        <w:tc>
          <w:tcPr>
            <w:tcW w:w="2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year)</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Anticipated debt offering</w:t>
            </w:r>
          </w:p>
        </w:tc>
        <w:tc>
          <w:tcPr>
            <w:tcW w:w="24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1"/>
              </w:rPr>
              <w:t>8 forward starting swaps (30-</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200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2"/>
              </w:rPr>
              <w:t>6/15/2018</w:t>
            </w:r>
          </w:p>
        </w:tc>
        <w:tc>
          <w:tcPr>
            <w:tcW w:w="28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3.20%</w:t>
            </w:r>
          </w:p>
        </w:tc>
        <w:tc>
          <w:tcPr>
            <w:tcW w:w="280" w:type="dxa"/>
            <w:vAlign w:val="bottom"/>
          </w:tcPr>
          <w:p>
            <w:pPr>
              <w:spacing w:after="0"/>
              <w:rPr>
                <w:sz w:val="17"/>
                <w:szCs w:val="17"/>
                <w:color w:val="auto"/>
              </w:rPr>
            </w:pP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year)</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debt offering</w:t>
            </w:r>
          </w:p>
        </w:tc>
        <w:tc>
          <w:tcPr>
            <w:tcW w:w="246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8 forward starting swaps (30-</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200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6/14/2019</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2.83%</w:t>
            </w:r>
          </w:p>
        </w:tc>
        <w:tc>
          <w:tcPr>
            <w:tcW w:w="2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year)</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As of March 31, 2015,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2015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USD to CAD</w:t>
            </w: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jc w:val="right"/>
              <w:ind w:right="195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88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147</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187</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$1.00 - $1.27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2016</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152</w:t>
            </w:r>
          </w:p>
        </w:tc>
        <w:tc>
          <w:tcPr>
            <w:tcW w:w="2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194</w:t>
            </w:r>
          </w:p>
        </w:tc>
        <w:tc>
          <w:tcPr>
            <w:tcW w:w="300" w:type="dxa"/>
            <w:vAlign w:val="bottom"/>
            <w:tcBorders>
              <w:bottom w:val="single" w:sz="8" w:color="CCEEFF"/>
            </w:tcBorders>
          </w:tcPr>
          <w:p>
            <w:pPr>
              <w:spacing w:after="0"/>
              <w:rPr>
                <w:sz w:val="21"/>
                <w:szCs w:val="21"/>
                <w:color w:val="auto"/>
              </w:rPr>
            </w:pPr>
          </w:p>
        </w:tc>
        <w:tc>
          <w:tcPr>
            <w:tcW w:w="2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1" w:name="page12"/>
    <w:bookmarkEnd w:id="1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 exchange contracts that exchange USD for CAD: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2015</w:t>
            </w:r>
          </w:p>
        </w:tc>
        <w:tc>
          <w:tcPr>
            <w:tcW w:w="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w:t>
            </w:r>
          </w:p>
        </w:tc>
        <w:tc>
          <w:tcPr>
            <w:tcW w:w="21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$1.00 - $1.24</w:t>
            </w:r>
          </w:p>
        </w:tc>
      </w:tr>
      <w:tr>
        <w:trPr>
          <w:trHeight w:val="216"/>
        </w:trPr>
        <w:tc>
          <w:tcPr>
            <w:tcW w:w="652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2120" w:type="dxa"/>
            <w:vAlign w:val="bottom"/>
          </w:tcPr>
          <w:p>
            <w:pPr>
              <w:jc w:val="right"/>
              <w:ind w:right="610"/>
              <w:spacing w:after="0"/>
              <w:rPr>
                <w:sz w:val="20"/>
                <w:szCs w:val="20"/>
                <w:color w:val="auto"/>
              </w:rPr>
            </w:pPr>
            <w:r>
              <w:rPr>
                <w:rFonts w:ascii="Arial" w:cs="Arial" w:eastAsia="Arial" w:hAnsi="Arial"/>
                <w:sz w:val="18"/>
                <w:szCs w:val="18"/>
                <w:color w:val="auto"/>
              </w:rPr>
              <w:t>$1.00 - $1.27</w:t>
            </w:r>
          </w:p>
        </w:tc>
      </w:tr>
      <w:tr>
        <w:trPr>
          <w:trHeight w:val="210"/>
        </w:trPr>
        <w:tc>
          <w:tcPr>
            <w:tcW w:w="65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three months ended March 31, 2015 and 2014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Three Months Ended March 31, 2015</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left="103"/>
              <w:spacing w:after="0" w:line="119" w:lineRule="exact"/>
              <w:rPr>
                <w:sz w:val="20"/>
                <w:szCs w:val="20"/>
                <w:color w:val="auto"/>
              </w:rPr>
            </w:pPr>
            <w:r>
              <w:rPr>
                <w:rFonts w:ascii="Arial" w:cs="Arial" w:eastAsia="Arial" w:hAnsi="Arial"/>
                <w:sz w:val="13"/>
                <w:szCs w:val="13"/>
                <w:b w:val="1"/>
                <w:bCs w:val="1"/>
                <w:color w:val="auto"/>
              </w:rPr>
              <w:t>Derivatives in</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Derivatives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Derivatives in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Derivatives</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200" w:type="dxa"/>
            <w:vAlign w:val="bottom"/>
          </w:tcPr>
          <w:p>
            <w:pPr>
              <w:jc w:val="center"/>
              <w:ind w:left="123"/>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60" w:type="dxa"/>
            <w:vAlign w:val="bottom"/>
            <w:gridSpan w:val="3"/>
            <w:vMerge w:val="continue"/>
          </w:tcPr>
          <w:p>
            <w:pPr>
              <w:spacing w:after="0"/>
              <w:rPr>
                <w:sz w:val="14"/>
                <w:szCs w:val="14"/>
                <w:color w:val="auto"/>
              </w:rPr>
            </w:pPr>
          </w:p>
        </w:tc>
        <w:tc>
          <w:tcPr>
            <w:tcW w:w="1200" w:type="dxa"/>
            <w:vAlign w:val="bottom"/>
          </w:tcPr>
          <w:p>
            <w:pPr>
              <w:jc w:val="center"/>
              <w:ind w:left="103"/>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as a Hedge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as a Hedge</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1200" w:type="dxa"/>
            <w:vAlign w:val="bottom"/>
            <w:shd w:val="clear" w:color="auto" w:fill="CCEEFF"/>
          </w:tcPr>
          <w:p>
            <w:pPr>
              <w:jc w:val="right"/>
              <w:ind w:right="1023"/>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Transportation segment</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Derivatives</w:t>
            </w: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segment revenues</w:t>
            </w:r>
          </w:p>
        </w:tc>
        <w:tc>
          <w:tcPr>
            <w:tcW w:w="1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Derivatives Recognized in</w:t>
            </w:r>
          </w:p>
        </w:tc>
        <w:tc>
          <w:tcPr>
            <w:tcW w:w="1200" w:type="dxa"/>
            <w:vAlign w:val="bottom"/>
            <w:vMerge w:val="restart"/>
            <w:shd w:val="clear" w:color="auto" w:fill="CCEEFF"/>
          </w:tcPr>
          <w:p>
            <w:pPr>
              <w:jc w:val="right"/>
              <w:ind w:right="1023"/>
              <w:spacing w:after="0"/>
              <w:rPr>
                <w:sz w:val="20"/>
                <w:szCs w:val="20"/>
                <w:color w:val="auto"/>
              </w:rPr>
            </w:pPr>
            <w:r>
              <w:rPr>
                <w:rFonts w:ascii="Arial" w:cs="Arial" w:eastAsia="Arial" w:hAnsi="Arial"/>
                <w:sz w:val="18"/>
                <w:szCs w:val="18"/>
                <w:color w:val="auto"/>
                <w:w w:val="79"/>
              </w:rPr>
              <w:t>$</w:t>
            </w:r>
          </w:p>
        </w:tc>
        <w:tc>
          <w:tcPr>
            <w:tcW w:w="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120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12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3620" w:hanging="5576"/>
        <w:spacing w:after="0" w:line="461" w:lineRule="auto"/>
        <w:tabs>
          <w:tab w:leader="none" w:pos="636"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Represents gains/(losses) on cash flow hedges reclassified from AOCI to income during the period.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2015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Asset Derivatives</w:t>
            </w: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w w:val="98"/>
              </w:rPr>
              <w:t>Liability Derivatives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6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w:t>
            </w: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2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Commodity derivatives</w:t>
            </w:r>
          </w:p>
        </w:tc>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Other current assets</w:t>
            </w:r>
          </w:p>
        </w:tc>
        <w:tc>
          <w:tcPr>
            <w:tcW w:w="840" w:type="dxa"/>
            <w:vAlign w:val="bottom"/>
          </w:tcPr>
          <w:p>
            <w:pPr>
              <w:jc w:val="right"/>
              <w:ind w:right="656"/>
              <w:spacing w:after="0" w:line="201" w:lineRule="exact"/>
              <w:rPr>
                <w:sz w:val="20"/>
                <w:szCs w:val="20"/>
                <w:color w:val="auto"/>
              </w:rPr>
            </w:pPr>
            <w:r>
              <w:rPr>
                <w:rFonts w:ascii="Arial" w:cs="Arial" w:eastAsia="Arial" w:hAnsi="Arial"/>
                <w:sz w:val="18"/>
                <w:szCs w:val="18"/>
                <w:color w:val="auto"/>
                <w:w w:val="79"/>
              </w:rPr>
              <w:t>$</w:t>
            </w:r>
          </w:p>
        </w:tc>
        <w:tc>
          <w:tcPr>
            <w:tcW w:w="380" w:type="dxa"/>
            <w:vAlign w:val="bottom"/>
            <w:tcBorders>
              <w:right w:val="single" w:sz="8" w:color="auto"/>
            </w:tcBorders>
            <w:gridSpan w:val="2"/>
          </w:tcPr>
          <w:p>
            <w:pPr>
              <w:jc w:val="right"/>
              <w:ind w:right="200"/>
              <w:spacing w:after="0" w:line="201" w:lineRule="exact"/>
              <w:rPr>
                <w:sz w:val="20"/>
                <w:szCs w:val="20"/>
                <w:color w:val="auto"/>
              </w:rPr>
            </w:pPr>
            <w:r>
              <w:rPr>
                <w:rFonts w:ascii="Arial" w:cs="Arial" w:eastAsia="Arial" w:hAnsi="Arial"/>
                <w:sz w:val="18"/>
                <w:szCs w:val="18"/>
                <w:color w:val="auto"/>
                <w:w w:val="79"/>
              </w:rPr>
              <w:t>18</w:t>
            </w:r>
          </w:p>
        </w:tc>
        <w:tc>
          <w:tcPr>
            <w:tcW w:w="2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Other long-term liabilities and</w:t>
            </w:r>
          </w:p>
        </w:tc>
        <w:tc>
          <w:tcPr>
            <w:tcW w:w="2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2"/>
          </w:tcPr>
          <w:p>
            <w:pPr>
              <w:ind w:left="180"/>
              <w:spacing w:after="0"/>
              <w:rPr>
                <w:sz w:val="20"/>
                <w:szCs w:val="20"/>
                <w:color w:val="auto"/>
              </w:rPr>
            </w:pPr>
            <w:r>
              <w:rPr>
                <w:rFonts w:ascii="Arial" w:cs="Arial" w:eastAsia="Arial" w:hAnsi="Arial"/>
                <w:sz w:val="18"/>
                <w:szCs w:val="18"/>
                <w:color w:val="auto"/>
              </w:rPr>
              <w:t>deferred credits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long-term liabilities and</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840" w:type="dxa"/>
            <w:vAlign w:val="bottom"/>
            <w:shd w:val="clear" w:color="auto" w:fill="CCEEFF"/>
          </w:tcPr>
          <w:p>
            <w:pPr>
              <w:spacing w:after="0"/>
              <w:rPr>
                <w:sz w:val="20"/>
                <w:szCs w:val="20"/>
                <w:color w:val="auto"/>
              </w:rPr>
            </w:pPr>
          </w:p>
        </w:tc>
        <w:tc>
          <w:tcPr>
            <w:tcW w:w="3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Other long-term liabilities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CCEEFF"/>
              <w:right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deferred credits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derivatives designated as hedging</w:t>
            </w:r>
          </w:p>
        </w:tc>
        <w:tc>
          <w:tcPr>
            <w:tcW w:w="2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3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79"/>
              </w:rPr>
              <w:t>21</w:t>
            </w:r>
          </w:p>
        </w:tc>
        <w:tc>
          <w:tcPr>
            <w:tcW w:w="1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80" w:type="dxa"/>
            <w:vAlign w:val="bottom"/>
            <w:tcBorders>
              <w:right w:val="single" w:sz="8" w:color="auto"/>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420"/>
          </w:cols>
          <w:pgMar w:left="240" w:top="337" w:right="23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2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92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205</w:t>
            </w:r>
          </w:p>
        </w:tc>
        <w:tc>
          <w:tcPr>
            <w:tcW w:w="250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long-term assets, net</w:t>
            </w:r>
          </w:p>
        </w:tc>
        <w:tc>
          <w:tcPr>
            <w:tcW w:w="4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920" w:type="dxa"/>
            <w:vAlign w:val="bottom"/>
          </w:tcPr>
          <w:p>
            <w:pPr>
              <w:ind w:left="320"/>
              <w:spacing w:after="0" w:line="201" w:lineRule="exact"/>
              <w:rPr>
                <w:sz w:val="20"/>
                <w:szCs w:val="20"/>
                <w:color w:val="auto"/>
              </w:rPr>
            </w:pPr>
            <w:r>
              <w:rPr>
                <w:rFonts w:ascii="Arial" w:cs="Arial" w:eastAsia="Arial" w:hAnsi="Arial"/>
                <w:sz w:val="18"/>
                <w:szCs w:val="18"/>
                <w:color w:val="auto"/>
              </w:rPr>
              <w:t>Other long-term liabilities and</w:t>
            </w:r>
          </w:p>
        </w:tc>
        <w:tc>
          <w:tcPr>
            <w:tcW w:w="42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200"/>
              <w:spacing w:after="0" w:line="201" w:lineRule="exact"/>
              <w:rPr>
                <w:sz w:val="20"/>
                <w:szCs w:val="20"/>
                <w:color w:val="auto"/>
              </w:rPr>
            </w:pPr>
            <w:r>
              <w:rPr>
                <w:rFonts w:ascii="Arial" w:cs="Arial" w:eastAsia="Arial" w:hAnsi="Arial"/>
                <w:sz w:val="18"/>
                <w:szCs w:val="18"/>
                <w:color w:val="auto"/>
              </w:rPr>
              <w:t>2</w:t>
            </w:r>
          </w:p>
        </w:tc>
        <w:tc>
          <w:tcPr>
            <w:tcW w:w="2500" w:type="dxa"/>
            <w:vAlign w:val="bottom"/>
          </w:tcPr>
          <w:p>
            <w:pPr>
              <w:ind w:left="140"/>
              <w:spacing w:after="0" w:line="201" w:lineRule="exact"/>
              <w:rPr>
                <w:sz w:val="20"/>
                <w:szCs w:val="20"/>
                <w:color w:val="auto"/>
              </w:rPr>
            </w:pPr>
            <w:r>
              <w:rPr>
                <w:rFonts w:ascii="Arial" w:cs="Arial" w:eastAsia="Arial" w:hAnsi="Arial"/>
                <w:sz w:val="18"/>
                <w:szCs w:val="18"/>
                <w:color w:val="auto"/>
                <w:w w:val="99"/>
              </w:rPr>
              <w:t>Other long-term liabilities and</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920" w:type="dxa"/>
            <w:vAlign w:val="bottom"/>
          </w:tcPr>
          <w:p>
            <w:pPr>
              <w:ind w:left="500"/>
              <w:spacing w:after="0"/>
              <w:rPr>
                <w:sz w:val="20"/>
                <w:szCs w:val="20"/>
                <w:color w:val="auto"/>
              </w:rPr>
            </w:pPr>
            <w:r>
              <w:rPr>
                <w:rFonts w:ascii="Arial" w:cs="Arial" w:eastAsia="Arial" w:hAnsi="Arial"/>
                <w:sz w:val="18"/>
                <w:szCs w:val="18"/>
                <w:color w:val="auto"/>
              </w:rPr>
              <w:t>deferred credits</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8"/>
              </w:rPr>
              <w:t>Total derivatives not designated as hedging</w:t>
            </w:r>
          </w:p>
        </w:tc>
        <w:tc>
          <w:tcPr>
            <w:tcW w:w="29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vMerge w:val="continue"/>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25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29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0" w:type="dxa"/>
            <w:vAlign w:val="bottom"/>
            <w:tcBorders>
              <w:right w:val="single" w:sz="8" w:color="auto"/>
            </w:tcBorders>
            <w:gridSpan w:val="2"/>
            <w:vMerge w:val="continue"/>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9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25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Asset Derivatives</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w w:val="98"/>
              </w:rPr>
              <w:t>Liability Derivatives</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600" w:type="dxa"/>
            <w:vAlign w:val="bottom"/>
            <w:gridSpan w:val="2"/>
          </w:tcPr>
          <w:p>
            <w:pPr>
              <w:ind w:left="720"/>
              <w:spacing w:after="0" w:line="119" w:lineRule="exact"/>
              <w:rPr>
                <w:sz w:val="20"/>
                <w:szCs w:val="20"/>
                <w:color w:val="auto"/>
              </w:rPr>
            </w:pPr>
            <w:r>
              <w:rPr>
                <w:rFonts w:ascii="Arial" w:cs="Arial" w:eastAsia="Arial" w:hAnsi="Arial"/>
                <w:sz w:val="13"/>
                <w:szCs w:val="13"/>
                <w:b w:val="1"/>
                <w:bCs w:val="1"/>
                <w:color w:val="auto"/>
              </w:rPr>
              <w:t>Balance Sheet</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0" w:type="dxa"/>
            <w:vAlign w:val="bottom"/>
            <w:gridSpan w:val="2"/>
          </w:tcPr>
          <w:p>
            <w:pPr>
              <w:ind w:left="880"/>
              <w:spacing w:after="0"/>
              <w:rPr>
                <w:sz w:val="20"/>
                <w:szCs w:val="20"/>
                <w:color w:val="auto"/>
              </w:rPr>
            </w:pPr>
            <w:r>
              <w:rPr>
                <w:rFonts w:ascii="Arial" w:cs="Arial" w:eastAsia="Arial" w:hAnsi="Arial"/>
                <w:sz w:val="14"/>
                <w:szCs w:val="14"/>
                <w:b w:val="1"/>
                <w:bCs w:val="1"/>
                <w:color w:val="auto"/>
              </w:rPr>
              <w:t>Location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2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23</w:t>
            </w:r>
          </w:p>
        </w:tc>
        <w:tc>
          <w:tcPr>
            <w:tcW w:w="262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720" w:type="dxa"/>
            <w:vAlign w:val="bottom"/>
            <w:shd w:val="clear" w:color="auto" w:fill="CCEEFF"/>
          </w:tcPr>
          <w:p>
            <w:pPr>
              <w:spacing w:after="0"/>
              <w:rPr>
                <w:sz w:val="18"/>
                <w:szCs w:val="18"/>
                <w:color w:val="auto"/>
              </w:rPr>
            </w:pP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assets, net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Other long-term liabilities and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CCEEFF"/>
              <w:right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deferred credits</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derivatives designated as hedging</w:t>
            </w:r>
          </w:p>
        </w:tc>
        <w:tc>
          <w:tcPr>
            <w:tcW w:w="2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500" w:type="dxa"/>
            <w:vAlign w:val="bottom"/>
            <w:tcBorders>
              <w:right w:val="single" w:sz="8" w:color="auto"/>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3"/>
              </w:rPr>
              <w:t>439</w:t>
            </w:r>
          </w:p>
        </w:tc>
        <w:tc>
          <w:tcPr>
            <w:tcW w:w="262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720" w:type="dxa"/>
            <w:vAlign w:val="bottom"/>
            <w:shd w:val="clear" w:color="auto" w:fill="CCEEFF"/>
          </w:tcPr>
          <w:p>
            <w:pPr>
              <w:spacing w:after="0"/>
              <w:rPr>
                <w:sz w:val="18"/>
                <w:szCs w:val="18"/>
                <w:color w:val="auto"/>
              </w:rPr>
            </w:pP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assets, net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2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2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Other long-term liabilities and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vMerge w:val="restart"/>
          </w:tcPr>
          <w:p>
            <w:pPr>
              <w:jc w:val="right"/>
              <w:ind w:right="536"/>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w w:val="93"/>
              </w:rPr>
              <w:t>462</w:t>
            </w: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instruments</w:t>
            </w:r>
          </w:p>
        </w:tc>
        <w:tc>
          <w:tcPr>
            <w:tcW w:w="2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500" w:type="dxa"/>
            <w:vAlign w:val="bottom"/>
            <w:tcBorders>
              <w:right w:val="single" w:sz="8" w:color="auto"/>
            </w:tcBorders>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derivatives</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3"/>
              </w:rPr>
              <w:t>493</w:t>
            </w:r>
          </w:p>
        </w:tc>
        <w:tc>
          <w:tcPr>
            <w:tcW w:w="1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00" w:type="dxa"/>
            <w:vAlign w:val="bottom"/>
            <w:vMerge w:val="restart"/>
          </w:tcPr>
          <w:p>
            <w:pPr>
              <w:ind w:left="184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2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March 31, 2015, we had a net broker payable of $112 million (consisting of initial margin of $61 million reduced by $173 million of variation margin that had been returned to us). As of December 31, 2014, we had a net broker payable of $133 million (consisting of initial margin of $126 million reduced by $259 million of variation margin that had been returned to us).</w:t>
      </w:r>
    </w:p>
    <w:p>
      <w:pPr>
        <w:spacing w:after="0" w:line="17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tables present information about derivatives and financial assets and liabilities that are subject to offsetting, including enforceable master netting arrangements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5"/>
              <w:spacing w:after="0" w:line="119" w:lineRule="exact"/>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5"/>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Asset Positions</w:t>
            </w:r>
          </w:p>
        </w:tc>
        <w:tc>
          <w:tcPr>
            <w:tcW w:w="12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Liability Positions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Asset Positions</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assets</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(91)</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23"/>
        </w:trPr>
        <w:tc>
          <w:tcPr>
            <w:tcW w:w="5000" w:type="dxa"/>
            <w:vAlign w:val="bottom"/>
          </w:tcPr>
          <w:p>
            <w:pPr>
              <w:spacing w:after="0"/>
              <w:rPr>
                <w:sz w:val="19"/>
                <w:szCs w:val="19"/>
                <w:color w:val="auto"/>
              </w:rPr>
            </w:pPr>
          </w:p>
        </w:tc>
        <w:tc>
          <w:tcPr>
            <w:tcW w:w="6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79"/>
              </w:rPr>
              <w:t>82</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79"/>
              </w:rPr>
              <w:t>98</w:t>
            </w: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648"/>
        <w:spacing w:after="0" w:line="291" w:lineRule="auto"/>
        <w:rPr>
          <w:sz w:val="20"/>
          <w:szCs w:val="20"/>
          <w:color w:val="auto"/>
        </w:rPr>
      </w:pPr>
      <w:r>
        <w:rPr>
          <w:rFonts w:ascii="Arial" w:cs="Arial" w:eastAsia="Arial" w:hAnsi="Arial"/>
          <w:sz w:val="16"/>
          <w:szCs w:val="16"/>
          <w:color w:val="auto"/>
        </w:rPr>
        <w:t>As of March 31, 2015, there was a net loss of $237 million deferred in AOCI including tax effects. The deferred net loss recorded in AOCI is expected to be reclassified to future earnings contemporaneously with (i) the earnings recognition of the underlying hedged commodity transaction or</w:t>
      </w:r>
    </w:p>
    <w:p>
      <w:pPr>
        <w:ind w:right="100" w:firstLine="8"/>
        <w:spacing w:after="0" w:line="254"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expense accruals associated with underlying debt instruments. Of the total net loss deferred in AOCI at March 31, 2015, we expect to reclassify a net gain of $9 million to earnings in the next twelve months. The remaining deferred loss of $246 million is expected to be reclassified to earnings through 2049. A portion of these amounts are based on market prices as of March 31, 2015; thus, actual amounts to be reclassified will differ and could vary materially as a result of changes in market conditions.</w:t>
      </w:r>
    </w:p>
    <w:p>
      <w:pPr>
        <w:spacing w:after="0" w:line="1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three months ended March 31, 2015 and 2014 was as follows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6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3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w w:val="72"/>
              </w:rPr>
              <w:t>(12)</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w w:val="99"/>
              </w:rPr>
              <w:t>(20)</w:t>
            </w:r>
          </w:p>
        </w:tc>
      </w:tr>
      <w:tr>
        <w:trPr>
          <w:trHeight w:val="223"/>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4"/>
              </w:rPr>
              <w:t>(32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At March 31, 2015 and December 31, 2014,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March 31, 2015 and December 31,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5"/>
              </w:rPr>
              <w:t>Fair Value as of March 31, 2015</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jc w:val="right"/>
              <w:ind w:right="5"/>
              <w:spacing w:after="0"/>
              <w:rPr>
                <w:sz w:val="20"/>
                <w:szCs w:val="20"/>
                <w:color w:val="auto"/>
              </w:rPr>
            </w:pPr>
            <w:r>
              <w:rPr>
                <w:rFonts w:ascii="Arial" w:cs="Arial" w:eastAsia="Arial" w:hAnsi="Arial"/>
                <w:sz w:val="14"/>
                <w:szCs w:val="14"/>
                <w:b w:val="1"/>
                <w:bCs w:val="1"/>
                <w:color w:val="auto"/>
              </w:rPr>
              <w:t>Fair Value as of December 31, 2014</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Total net derivative asset/(liability)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140"/>
        <w:spacing w:after="0" w:line="255" w:lineRule="auto"/>
        <w:rPr>
          <w:sz w:val="20"/>
          <w:szCs w:val="20"/>
          <w:color w:val="auto"/>
        </w:rPr>
      </w:pPr>
      <w:r>
        <w:rPr>
          <w:rFonts w:ascii="Arial" w:cs="Arial" w:eastAsia="Arial" w:hAnsi="Arial"/>
          <w:sz w:val="18"/>
          <w:szCs w:val="18"/>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 We reported unrealized gains and losses associated with Level 3 commodity derivatives in our Condensed Consolidated Statements of Operations as Supply and Logistics segment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for the three months ended March 31, 2015 and 2014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Total gains/(losses) for the period: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97"/>
        </w:trPr>
        <w:tc>
          <w:tcPr>
            <w:tcW w:w="8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140"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Derivatives entered into during the period</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 in unrealized gains/(losses) included in earnings relating to Level 3 derivatives still held at the end of</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period</w:t>
            </w:r>
          </w:p>
        </w:tc>
        <w:tc>
          <w:tcPr>
            <w:tcW w:w="8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right"/>
              <w:ind w:right="221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9—Equity-Indexed Compensation Plans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refer to the PAA LTIPs and AAP Management Units collectively as our “equity-indexed compensation plans.” For additional discussion of our equity-indexed compensation plans and awards, see Note 16 to our Consolidated Financial Statements included in Part IV of our 2014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LTIP Awards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units is summarized in the following table (units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080" w:type="dxa"/>
            <w:vAlign w:val="bottom"/>
          </w:tcPr>
          <w:p>
            <w:pPr>
              <w:spacing w:after="0"/>
              <w:rPr>
                <w:sz w:val="12"/>
                <w:szCs w:val="12"/>
                <w:color w:val="auto"/>
              </w:rPr>
            </w:pPr>
          </w:p>
        </w:tc>
        <w:tc>
          <w:tcPr>
            <w:tcW w:w="10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8"/>
                <w:szCs w:val="8"/>
                <w:b w:val="1"/>
                <w:bCs w:val="1"/>
                <w:color w:val="auto"/>
              </w:rPr>
              <w:t>(1)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 per Unit</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line="20" w:lineRule="exact"/>
              <w:rPr>
                <w:sz w:val="1"/>
                <w:szCs w:val="1"/>
                <w:color w:val="auto"/>
              </w:rPr>
            </w:pPr>
          </w:p>
        </w:tc>
      </w:tr>
      <w:tr>
        <w:trPr>
          <w:trHeight w:val="197"/>
        </w:trPr>
        <w:tc>
          <w:tcPr>
            <w:tcW w:w="80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16"/>
        </w:trPr>
        <w:tc>
          <w:tcPr>
            <w:tcW w:w="908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2015, less than 0.1 million PAA LTIP awards were settled in cash.</w:t>
      </w:r>
    </w:p>
    <w:p>
      <w:pPr>
        <w:spacing w:after="0" w:line="200" w:lineRule="exact"/>
        <w:rPr>
          <w:sz w:val="20"/>
          <w:szCs w:val="20"/>
          <w:color w:val="auto"/>
        </w:rPr>
      </w:pPr>
    </w:p>
    <w:p>
      <w:pPr>
        <w:sectPr>
          <w:pgSz w:w="11900" w:h="16838" w:orient="portrait"/>
          <w:cols w:equalWidth="0" w:num="2">
            <w:col w:w="140" w:space="500"/>
            <w:col w:w="10820"/>
          </w:cols>
          <w:pgMar w:left="240" w:top="140"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AAP Management Units is summarized in the following table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Reserved for</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Outstanding</w:t>
            </w: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Fair Value of Outstanding</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Future Grants</w:t>
            </w:r>
          </w:p>
        </w:tc>
        <w:tc>
          <w:tcPr>
            <w:tcW w:w="1660" w:type="dxa"/>
            <w:vAlign w:val="bottom"/>
            <w:gridSpan w:val="2"/>
            <w:vMerge w:val="continue"/>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Units Earned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AAP Management Units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5"/>
              </w:rPr>
              <w:t>49.1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ind w:left="180"/>
              <w:spacing w:after="0"/>
              <w:rPr>
                <w:sz w:val="20"/>
                <w:szCs w:val="20"/>
                <w:color w:val="auto"/>
              </w:rPr>
            </w:pPr>
            <w:r>
              <w:rPr>
                <w:rFonts w:ascii="Arial" w:cs="Arial" w:eastAsia="Arial" w:hAnsi="Arial"/>
                <w:sz w:val="18"/>
                <w:szCs w:val="18"/>
                <w:color w:val="auto"/>
              </w:rPr>
              <w:t>Earned</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ind w:left="1060"/>
              <w:spacing w:after="0" w:line="196" w:lineRule="exact"/>
              <w:rPr>
                <w:sz w:val="20"/>
                <w:szCs w:val="20"/>
                <w:color w:val="auto"/>
              </w:rPr>
            </w:pPr>
            <w:r>
              <w:rPr>
                <w:rFonts w:ascii="Arial" w:cs="Arial" w:eastAsia="Arial" w:hAnsi="Arial"/>
                <w:sz w:val="18"/>
                <w:szCs w:val="18"/>
                <w:color w:val="auto"/>
                <w:w w:val="99"/>
              </w:rPr>
              <w:t>N/A</w:t>
            </w:r>
          </w:p>
        </w:tc>
        <w:tc>
          <w:tcPr>
            <w:tcW w:w="28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right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5"/>
              </w:rPr>
              <w:t>49.1</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right="100" w:hanging="692"/>
        <w:spacing w:after="0" w:line="227" w:lineRule="auto"/>
        <w:tabs>
          <w:tab w:leader="none" w:pos="689"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Of the $64 million grant date fair value, $56 million had been recognized through March 31, 2015 on a cumulative basis. Of this amount, $1 million was recognized as expense during the three months ended March 31, 2015.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table below summarizes the expense recognized and the value of vested LTIP awards (settled both in common units and cash) under our equity-indexed compensation plans and includes both liability-classified and equity-classified awards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4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LTIP unit-settled vestings</w:t>
            </w:r>
          </w:p>
        </w:tc>
        <w:tc>
          <w:tcPr>
            <w:tcW w:w="3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5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LTIP cash-settled vestings </w:t>
            </w:r>
            <w:r>
              <w:rPr>
                <w:rFonts w:ascii="Arial" w:cs="Arial" w:eastAsia="Arial" w:hAnsi="Arial"/>
                <w:sz w:val="23"/>
                <w:szCs w:val="23"/>
                <w:color w:val="auto"/>
                <w:vertAlign w:val="superscript"/>
              </w:rPr>
              <w:t>(1)</w:t>
            </w:r>
          </w:p>
        </w:tc>
        <w:tc>
          <w:tcPr>
            <w:tcW w:w="3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DER cash payments</w:t>
            </w:r>
          </w:p>
        </w:tc>
        <w:tc>
          <w:tcPr>
            <w:tcW w:w="3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5620" w:right="1760" w:hanging="5612"/>
        <w:spacing w:after="0" w:line="461" w:lineRule="auto"/>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2015, the value of PAA LTIP awards that were settled in cash was less than $1 million.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ectPr>
          <w:pgSz w:w="11900" w:h="16838" w:orient="portrait"/>
          <w:cols w:equalWidth="0" w:num="1">
            <w:col w:w="11460"/>
          </w:cols>
          <w:pgMar w:left="240" w:top="140" w:right="199" w:bottom="0" w:gutter="0" w:footer="0" w:header="0"/>
          <w:type w:val="continuous"/>
        </w:sectPr>
      </w:pPr>
    </w:p>
    <w:bookmarkStart w:id="15" w:name="page16"/>
    <w:bookmarkEnd w:id="15"/>
    <w:p>
      <w:pPr>
        <w:spacing w:after="0" w:line="6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color w:val="auto"/>
        </w:rPr>
        <w:t>At March 31, 2015, our estimated undiscounted reserve for environmental liabilities totaled $75 million, of which $11 million was classified as short-term and $64 million was classified as long-term. At December 31, 2014, our estimated undiscounted reserve for environmental liabilities totaled</w:t>
      </w:r>
    </w:p>
    <w:p>
      <w:pPr>
        <w:spacing w:after="0" w:line="271" w:lineRule="auto"/>
        <w:rPr>
          <w:sz w:val="20"/>
          <w:szCs w:val="20"/>
          <w:color w:val="auto"/>
        </w:rPr>
      </w:pPr>
      <w:r>
        <w:rPr>
          <w:rFonts w:ascii="Arial" w:cs="Arial" w:eastAsia="Arial" w:hAnsi="Arial"/>
          <w:sz w:val="17"/>
          <w:szCs w:val="17"/>
          <w:color w:val="auto"/>
        </w:rPr>
        <w:t>$82 million, of which $13 million was classified as short-term and $69 million was classified as long-term. The short- and long-term environmental liabilities referenced above are reflected in “Accounts payable and accrued liabilities” and “Other long-term liabilities and deferred credits,” respectively, on our Condensed Consolidated Balance Sheets. At March 31, 2015 and December 31, 2014, we had recorded receivables totaling $7 million and $8 million, respectively, for amounts probable of recovery under insurance and from third parties under indemnification agreements, which are predominantly reflected in “Trade accounts receivable and other receivables, net” on our Condensed Consolidated Balance Sheets.</w:t>
      </w:r>
    </w:p>
    <w:p>
      <w:pPr>
        <w:spacing w:after="0" w:line="17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years or longer.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$6 million.</w:t>
      </w:r>
    </w:p>
    <w:p>
      <w:pPr>
        <w:spacing w:after="0" w:line="17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 xml:space="preserve">Kemp River Pipeline Releases. </w:t>
      </w:r>
      <w:r>
        <w:rPr>
          <w:rFonts w:ascii="Arial" w:cs="Arial" w:eastAsia="Arial" w:hAnsi="Arial"/>
          <w:sz w:val="17"/>
          <w:szCs w:val="17"/>
          <w:color w:val="auto"/>
        </w:rPr>
        <w:t>During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$15 million. Through March 31, 2015, we spent $9 million in connection with clean-up and remediation activities.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 PMC that various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from a 2010 audit had not been completed to the satisfaction of the NEB. The NEB initiated a process to assess PMC’s approach to compliance with the NEB’s Onshore Pipeline Regulations, which process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PAA’s</w:t>
      </w:r>
      <w:r>
        <w:rPr>
          <w:rFonts w:ascii="Arial" w:cs="Arial" w:eastAsia="Arial" w:hAnsi="Arial"/>
          <w:sz w:val="18"/>
          <w:szCs w:val="18"/>
          <w:i w:val="1"/>
          <w:iCs w:val="1"/>
          <w:color w:val="auto"/>
        </w:rPr>
        <w:t xml:space="preserve"> </w:t>
      </w:r>
      <w:r>
        <w:rPr>
          <w:rFonts w:ascii="Arial" w:cs="Arial" w:eastAsia="Arial" w:hAnsi="Arial"/>
          <w:sz w:val="18"/>
          <w:szCs w:val="18"/>
          <w:color w:val="auto"/>
        </w:rPr>
        <w:t>Bakersfield Crude Terminal LLC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04" w:lineRule="exact"/>
        <w:rPr>
          <w:sz w:val="20"/>
          <w:szCs w:val="20"/>
          <w:color w:val="auto"/>
        </w:rPr>
      </w:pPr>
    </w:p>
    <w:tbl>
      <w:tblPr>
        <w:tblLayout w:type="fixed"/>
        <w:tblInd w:w="522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15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Facilities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Supply and</w:t>
            </w:r>
          </w:p>
        </w:tc>
        <w:tc>
          <w:tcPr>
            <w:tcW w:w="88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3"/>
        </w:trPr>
        <w:tc>
          <w:tcPr>
            <w:tcW w:w="140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7"/>
              </w:rPr>
              <w:t>Logistics</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Three Months Ended March 31, 2015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ectPr>
          <w:pgSz w:w="11900" w:h="16902" w:orient="portrait"/>
          <w:cols w:equalWidth="0" w:num="1">
            <w:col w:w="11420"/>
          </w:cols>
          <w:pgMar w:left="240" w:top="125"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9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9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260" w:type="dxa"/>
            <w:vAlign w:val="bottom"/>
          </w:tcPr>
          <w:p>
            <w:pPr>
              <w:spacing w:after="0"/>
              <w:rPr>
                <w:sz w:val="24"/>
                <w:szCs w:val="2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24"/>
                <w:szCs w:val="24"/>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2014</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Revenues: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9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9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60" w:hanging="11"/>
        <w:spacing w:after="0" w:line="264" w:lineRule="auto"/>
        <w:rPr>
          <w:sz w:val="20"/>
          <w:szCs w:val="20"/>
          <w:color w:val="auto"/>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2014 Annual Report on Form 10-K.</w:t>
      </w:r>
    </w:p>
    <w:p>
      <w:pPr>
        <w:spacing w:after="0" w:line="181"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$1 million and $2 million for the three months ended March 31, 2015 and 2014, respectively.</w:t>
      </w:r>
    </w:p>
    <w:p>
      <w:pPr>
        <w:spacing w:after="0" w:line="170"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820"/>
          </w:cols>
          <w:pgMar w:left="240" w:top="140" w:right="19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following table reconciles segment profit to net income attributable to PAA (in millions):</w:t>
      </w:r>
    </w:p>
    <w:p>
      <w:pPr>
        <w:spacing w:after="0" w:line="193"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Three Months Ended</w:t>
      </w:r>
    </w:p>
    <w:p>
      <w:pPr>
        <w:jc w:val="center"/>
        <w:ind w:left="64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28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Other expense, net</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2014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of March 31, 2015, Oxy owned approximately 13% of the limited partner interests in our general partner and had a representative on the board of directors of GP LLC. During the three months ended March 31, 2015 and 2014, we recognized sales and transportation revenues and purchased petroleum products from Oxy. These transactions were conducted at posted tariff rates or prices that we believe approximate market. See detail below (in millions):</w:t>
      </w:r>
    </w:p>
    <w:p>
      <w:pPr>
        <w:spacing w:after="0" w:line="138"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3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760" w:type="dxa"/>
            <w:vAlign w:val="bottom"/>
          </w:tcPr>
          <w:p>
            <w:pPr>
              <w:jc w:val="right"/>
              <w:ind w:right="241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40" w:right="199" w:bottom="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40" w:right="80" w:firstLine="612"/>
        <w:spacing w:after="0" w:line="279" w:lineRule="auto"/>
        <w:rPr>
          <w:sz w:val="20"/>
          <w:szCs w:val="20"/>
          <w:color w:val="auto"/>
        </w:rPr>
      </w:pPr>
      <w:r>
        <w:rPr>
          <w:rFonts w:ascii="Arial" w:cs="Arial" w:eastAsia="Arial" w:hAnsi="Arial"/>
          <w:sz w:val="17"/>
          <w:szCs w:val="17"/>
          <w:color w:val="auto"/>
        </w:rPr>
        <w:t>During the first three months of 2015, we recognized net income attributable to PAA of $283 million as compared to net income attributable to PAA of $384 million recognized during the first three months of 2014. The decrease in operating results was due to less favorable results from our Supply and Logistics and Facilities segments partially offset by growth in our Transportation segment (see further discussion of our segment operating results in the following sections). Net income attributable to PAA for the first three months of 2015 was also impacted by:</w:t>
      </w:r>
    </w:p>
    <w:p>
      <w:pPr>
        <w:spacing w:after="0" w:line="171" w:lineRule="exact"/>
        <w:rPr>
          <w:sz w:val="20"/>
          <w:szCs w:val="20"/>
          <w:color w:val="auto"/>
        </w:rPr>
      </w:pPr>
    </w:p>
    <w:p>
      <w:pPr>
        <w:ind w:left="1300" w:right="180" w:hanging="320"/>
        <w:spacing w:after="0" w:line="277"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depreciation and amortization expense and interest expense associated with our growing asset base and related financing activities; and</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income tax expense resulting from derivative mark-to-market losses in our Canadian operations.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invested $586 million in midstream infrastructure projects during the three months ended March 31, 2015, with a targeted expansion capital plan for the full year of 2015 of $2.15 billion. To fund such capital activities, we issued approximately 22.1 million common units for net proceeds of approximately $1.1 billion during the first quarter. In addition, we paid $390 million of cash distributions to our limited partners and general partner during the three months ended March 31, 2015, and we declared a quarterly distribution of $0.6850 per limited partner unit to be paid on May 15,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for the periods indicated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80" w:type="dxa"/>
            <w:vAlign w:val="bottom"/>
            <w:tcBorders>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5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2880" w:type="dxa"/>
            <w:vAlign w:val="bottom"/>
          </w:tcPr>
          <w:p>
            <w:pPr>
              <w:spacing w:after="0" w:line="216"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w:t>
            </w:r>
          </w:p>
        </w:tc>
        <w:tc>
          <w:tcPr>
            <w:tcW w:w="5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5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5"/>
        </w:trPr>
        <w:tc>
          <w:tcPr>
            <w:tcW w:w="2880" w:type="dxa"/>
            <w:vAlign w:val="bottom"/>
            <w:tcBorders>
              <w:bottom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337" w:right="239" w:bottom="76" w:gutter="0" w:footer="0" w:header="0"/>
        </w:sectPr>
      </w:pPr>
    </w:p>
    <w:bookmarkStart w:id="18" w:name="page19"/>
    <w:bookmarkEnd w:id="18"/>
    <w:p>
      <w:pPr>
        <w:ind w:left="660" w:right="280" w:hanging="652"/>
        <w:spacing w:after="0" w:line="263" w:lineRule="auto"/>
        <w:tabs>
          <w:tab w:leader="none" w:pos="648" w:val="left"/>
        </w:tabs>
        <w:numPr>
          <w:ilvl w:val="0"/>
          <w:numId w:val="16"/>
        </w:numPr>
        <w:rPr>
          <w:rFonts w:ascii="Arial" w:cs="Arial" w:eastAsia="Arial" w:hAnsi="Arial"/>
          <w:sz w:val="12"/>
          <w:szCs w:val="12"/>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Capital Projects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capital program is highlighted by a large number of small-to-medium sized projects spread across multiple geographic regions/resource plays. We believe the diversity of our program mitigates the impact of delays, cost overruns or adverse market developments with respect to a particular project or geographic region/resource play. The majority of our 2015 expansion capital program will be invested in our fee-based Transportation and Facilities segments. We expect that our investments will have minimal contributions to our 2015 results, but will provide growth for 2016 and beyond. The following table summarizes our notable projects in progress during 2015 and the forecasted expenditures for the year ending December 31, 2015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gridSpan w:val="3"/>
          </w:tcPr>
          <w:p>
            <w:pPr>
              <w:spacing w:after="0"/>
              <w:rPr>
                <w:sz w:val="20"/>
                <w:szCs w:val="20"/>
                <w:color w:val="auto"/>
              </w:rPr>
            </w:pPr>
            <w:r>
              <w:rPr>
                <w:rFonts w:ascii="Arial" w:cs="Arial" w:eastAsia="Arial" w:hAnsi="Arial"/>
                <w:sz w:val="14"/>
                <w:szCs w:val="14"/>
                <w:b w:val="1"/>
                <w:bCs w:val="1"/>
                <w:color w:val="auto"/>
              </w:rPr>
              <w:t>Projects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Fort Saskatchewan Facility Projects / NGL Line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Cactus Pipeline </w:t>
            </w:r>
            <w:r>
              <w:rPr>
                <w:rFonts w:ascii="Arial" w:cs="Arial" w:eastAsia="Arial" w:hAnsi="Arial"/>
                <w:sz w:val="23"/>
                <w:szCs w:val="23"/>
                <w:color w:val="auto"/>
                <w:vertAlign w:val="superscript"/>
              </w:rPr>
              <w:t>(2)</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Diamond Pipeline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Red River Pipeline (Cushing to Longview)</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Saddlehorn Pipeline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Eagle Ford JV Project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Cowboy Pipeline (Cheyenne to Carr)</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Eagle Ford Area Projects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Cushing Terminal Expansions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Line 63 Reactivation</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$2,150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(3)</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-$50 + $100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Projected Expansion Capital Expenditures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$2,100 - $2,250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Maintenance Capital Expenditures</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$205 - $225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railcar purchases and projects located in or near St. James, LA and Kerrobert, Canada.</w:t>
      </w:r>
    </w:p>
    <w:p>
      <w:pPr>
        <w:sectPr>
          <w:pgSz w:w="11900" w:h="16838" w:orient="portrait"/>
          <w:cols w:equalWidth="0" w:num="1">
            <w:col w:w="11420"/>
          </w:cols>
          <w:pgMar w:left="240" w:top="72" w:right="239" w:bottom="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Includes linefill costs associated with the project.</w:t>
      </w:r>
    </w:p>
    <w:p>
      <w:pPr>
        <w:spacing w:after="0" w:line="225"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permits, regulatory approvals and weather.</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72"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such segment performance based on a variety of measures including segment profit, segment volumes, segment profit per barrel and maintenance capital investment. See Note 19 to our Consolidated Financial Statements included in Part IV of our 2014 Annual Report on Form 10-K for further discussion of how we evaluate segment profit.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gridSpan w:val="5"/>
          </w:tcPr>
          <w:p>
            <w:pPr>
              <w:jc w:val="center"/>
              <w:ind w:right="55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95"/>
              </w:rPr>
              <w:t>Variance</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Total segment profit</w:t>
            </w: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Basic net income per limited partner unit</w:t>
            </w:r>
          </w:p>
        </w:tc>
        <w:tc>
          <w:tcPr>
            <w:tcW w:w="102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(0.38)</w:t>
            </w: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income per limited partner unit</w:t>
            </w:r>
          </w:p>
        </w:tc>
        <w:tc>
          <w:tcPr>
            <w:tcW w:w="102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w w:val="94"/>
              </w:rPr>
              <w:t>Basic weighted average limited partner units outstanding</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Diluted weighted average limited partner units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2" w:right="239" w:bottom="0" w:gutter="0" w:footer="0" w:header="0"/>
          <w:type w:val="continuous"/>
        </w:sectPr>
      </w:pPr>
    </w:p>
    <w:bookmarkStart w:id="19" w:name="page20"/>
    <w:bookmarkEnd w:id="19"/>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Condensed Consolidated Financial Statements and footnotes.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 GAAP measures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jc w:val="center"/>
              <w:ind w:right="47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5"/>
              </w:rPr>
              <w:t>Variance</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52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30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3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Selected Items Impacting Comparability of EBITDA</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Gains/(losses) from derivative activities net of inventory valuation</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1060" w:type="dxa"/>
            <w:vAlign w:val="bottom"/>
            <w:gridSpan w:val="2"/>
            <w:shd w:val="clear" w:color="auto" w:fill="CCEEFF"/>
          </w:tcPr>
          <w:p>
            <w:pPr>
              <w:jc w:val="right"/>
              <w:ind w:right="606"/>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20" w:type="dxa"/>
            <w:vAlign w:val="bottom"/>
            <w:tcBorders>
              <w:right w:val="single" w:sz="8" w:color="auto"/>
            </w:tcBorders>
            <w:shd w:val="clear" w:color="auto" w:fill="CCEEFF"/>
          </w:tcPr>
          <w:p>
            <w:pPr>
              <w:spacing w:after="0"/>
              <w:rPr>
                <w:sz w:val="20"/>
                <w:szCs w:val="20"/>
                <w:color w:val="auto"/>
              </w:rPr>
            </w:pPr>
          </w:p>
        </w:tc>
        <w:tc>
          <w:tcPr>
            <w:tcW w:w="5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18"/>
                <w:szCs w:val="18"/>
                <w:color w:val="auto"/>
              </w:rPr>
            </w:pPr>
          </w:p>
        </w:tc>
        <w:tc>
          <w:tcPr>
            <w:tcW w:w="62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78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(4)</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5260" w:type="dxa"/>
            <w:vAlign w:val="bottom"/>
            <w:gridSpan w:val="2"/>
          </w:tcPr>
          <w:p>
            <w:pPr>
              <w:spacing w:after="0"/>
              <w:rPr>
                <w:sz w:val="20"/>
                <w:szCs w:val="20"/>
                <w:color w:val="auto"/>
              </w:rPr>
            </w:pPr>
            <w:r>
              <w:rPr>
                <w:rFonts w:ascii="Arial" w:cs="Arial" w:eastAsia="Arial" w:hAnsi="Arial"/>
                <w:sz w:val="18"/>
                <w:szCs w:val="18"/>
                <w:color w:val="auto"/>
              </w:rPr>
              <w:t>Selected Items Impacting Comparability of EBITDA</w:t>
            </w:r>
          </w:p>
        </w:tc>
        <w:tc>
          <w:tcPr>
            <w:tcW w:w="30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(113)</w:t>
            </w:r>
          </w:p>
        </w:tc>
        <w:tc>
          <w:tcPr>
            <w:tcW w:w="3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EBITDA</w:t>
            </w:r>
          </w:p>
        </w:tc>
        <w:tc>
          <w:tcPr>
            <w:tcW w:w="106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509</w:t>
            </w: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607</w:t>
            </w:r>
          </w:p>
        </w:tc>
        <w:tc>
          <w:tcPr>
            <w:tcW w:w="220" w:type="dxa"/>
            <w:vAlign w:val="bottom"/>
            <w:tcBorders>
              <w:right w:val="single" w:sz="8" w:color="auto"/>
            </w:tcBorders>
          </w:tcPr>
          <w:p>
            <w:pPr>
              <w:spacing w:after="0"/>
              <w:rPr>
                <w:sz w:val="18"/>
                <w:szCs w:val="18"/>
                <w:color w:val="auto"/>
              </w:rPr>
            </w:pP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of EBITDA</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78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3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gridSpan w:val="2"/>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622</w:t>
            </w:r>
          </w:p>
        </w:tc>
        <w:tc>
          <w:tcPr>
            <w:tcW w:w="300" w:type="dxa"/>
            <w:vAlign w:val="bottom"/>
            <w:vMerge w:val="continue"/>
          </w:tcPr>
          <w:p>
            <w:pPr>
              <w:spacing w:after="0"/>
              <w:rPr>
                <w:sz w:val="21"/>
                <w:szCs w:val="21"/>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567</w:t>
            </w:r>
          </w:p>
        </w:tc>
        <w:tc>
          <w:tcPr>
            <w:tcW w:w="20" w:type="dxa"/>
            <w:vAlign w:val="bottom"/>
            <w:vMerge w:val="continue"/>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20" w:type="dxa"/>
            <w:vAlign w:val="bottom"/>
            <w:vMerge w:val="continue"/>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Adjusted EBITDA</w:t>
            </w:r>
          </w:p>
        </w:tc>
        <w:tc>
          <w:tcPr>
            <w:tcW w:w="106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622</w:t>
            </w: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220" w:type="dxa"/>
            <w:vAlign w:val="bottom"/>
            <w:tcBorders>
              <w:right w:val="single" w:sz="8" w:color="auto"/>
            </w:tcBorders>
          </w:tcPr>
          <w:p>
            <w:pPr>
              <w:spacing w:after="0"/>
              <w:rPr>
                <w:sz w:val="18"/>
                <w:szCs w:val="18"/>
                <w:color w:val="auto"/>
              </w:rPr>
            </w:pP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(102)</w:t>
            </w:r>
          </w:p>
        </w:tc>
        <w:tc>
          <w:tcPr>
            <w:tcW w:w="78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(6)</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780" w:type="dxa"/>
            <w:vAlign w:val="bottom"/>
          </w:tcPr>
          <w:p>
            <w:pPr>
              <w:spacing w:after="0"/>
              <w:rPr>
                <w:sz w:val="18"/>
                <w:szCs w:val="18"/>
                <w:color w:val="auto"/>
              </w:rPr>
            </w:pPr>
          </w:p>
        </w:tc>
        <w:tc>
          <w:tcPr>
            <w:tcW w:w="6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Equity earnings in unconsolidated entities, net of distributions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Arial" w:cs="Arial" w:eastAsia="Arial" w:hAnsi="Arial"/>
                <w:sz w:val="18"/>
                <w:szCs w:val="18"/>
                <w:color w:val="auto"/>
              </w:rPr>
              <w:t>Implied DCF</w:t>
            </w:r>
          </w:p>
        </w:tc>
        <w:tc>
          <w:tcPr>
            <w:tcW w:w="3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444</w:t>
            </w:r>
          </w:p>
        </w:tc>
        <w:tc>
          <w:tcPr>
            <w:tcW w:w="300" w:type="dxa"/>
            <w:vAlign w:val="bottom"/>
            <w:vMerge w:val="continue"/>
          </w:tcPr>
          <w:p>
            <w:pPr>
              <w:spacing w:after="0"/>
              <w:rPr>
                <w:sz w:val="18"/>
                <w:szCs w:val="18"/>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411</w:t>
            </w:r>
          </w:p>
        </w:tc>
        <w:tc>
          <w:tcPr>
            <w:tcW w:w="2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0" w:type="dxa"/>
            <w:vAlign w:val="bottom"/>
            <w:vMerge w:val="continue"/>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23"/>
                <w:szCs w:val="23"/>
                <w:color w:val="auto"/>
                <w:vertAlign w:val="superscript"/>
              </w:rPr>
              <w:t>(7)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(420)</w:t>
            </w:r>
          </w:p>
        </w:tc>
        <w:tc>
          <w:tcPr>
            <w:tcW w:w="780" w:type="dxa"/>
            <w:vAlign w:val="bottom"/>
            <w:shd w:val="clear" w:color="auto" w:fill="CCEEFF"/>
          </w:tcPr>
          <w:p>
            <w:pPr>
              <w:spacing w:after="0"/>
              <w:rPr>
                <w:sz w:val="18"/>
                <w:szCs w:val="18"/>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(344)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line="210"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3"/>
                <w:szCs w:val="23"/>
                <w:color w:val="auto"/>
                <w:vertAlign w:val="superscript"/>
              </w:rPr>
              <w:t>(8)</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10"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40" w:hanging="11"/>
        <w:spacing w:after="0" w:line="271" w:lineRule="auto"/>
        <w:rPr>
          <w:sz w:val="20"/>
          <w:szCs w:val="20"/>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8 to our Condensed Consolidated Financial Statements for a comprehensive discussion regarding our derivatives and risk management activities.</w:t>
      </w:r>
    </w:p>
    <w:p>
      <w:pPr>
        <w:spacing w:after="0" w:line="179" w:lineRule="exact"/>
        <w:rPr>
          <w:sz w:val="20"/>
          <w:szCs w:val="20"/>
          <w:color w:val="auto"/>
        </w:rPr>
      </w:pPr>
    </w:p>
    <w:p>
      <w:pPr>
        <w:ind w:right="40" w:hanging="11"/>
        <w:spacing w:after="0" w:line="255" w:lineRule="auto"/>
        <w:rPr>
          <w:sz w:val="20"/>
          <w:szCs w:val="20"/>
          <w:color w:val="auto"/>
        </w:rPr>
      </w:pPr>
      <w:r>
        <w:rPr>
          <w:rFonts w:ascii="Arial" w:cs="Arial" w:eastAsia="Arial" w:hAnsi="Arial"/>
          <w:sz w:val="18"/>
          <w:szCs w:val="18"/>
          <w:color w:val="auto"/>
        </w:rPr>
        <w:t>We carry approximately 4 million barrels of crude oil and NGL inventory that consists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2014 Annual Report on Form 10-K for a complete discussion of our long-term inventory.</w:t>
      </w:r>
    </w:p>
    <w:p>
      <w:pPr>
        <w:sectPr>
          <w:pgSz w:w="11900" w:h="16910" w:orient="portrait"/>
          <w:cols w:equalWidth="0" w:num="2">
            <w:col w:w="140" w:space="520"/>
            <w:col w:w="10760"/>
          </w:cols>
          <w:pgMar w:left="240" w:top="341" w:right="239" w:bottom="0" w:gutter="0" w:footer="0" w:header="0"/>
          <w:type w:val="continuous"/>
        </w:sectPr>
      </w:pPr>
    </w:p>
    <w:bookmarkStart w:id="20" w:name="page21"/>
    <w:bookmarkEnd w:id="20"/>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hanging="652"/>
        <w:spacing w:after="0" w:line="259" w:lineRule="auto"/>
        <w:tabs>
          <w:tab w:leader="none" w:pos="648"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2014 Annual Report on Form 10-K for a comprehensive discussion regarding our equity-indexed compensation plans.</w:t>
      </w:r>
    </w:p>
    <w:p>
      <w:pPr>
        <w:spacing w:after="0" w:line="189" w:lineRule="exact"/>
        <w:rPr>
          <w:rFonts w:ascii="Arial" w:cs="Arial" w:eastAsia="Arial" w:hAnsi="Arial"/>
          <w:sz w:val="22"/>
          <w:szCs w:val="22"/>
          <w:color w:val="auto"/>
          <w:vertAlign w:val="superscript"/>
        </w:rPr>
      </w:pPr>
    </w:p>
    <w:p>
      <w:pPr>
        <w:jc w:val="both"/>
        <w:ind w:left="660" w:right="420" w:hanging="652"/>
        <w:spacing w:after="0" w:line="234"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March 31, 2015 and 2014, there were fluctuations in the value of the Canadian dollar (“CAD”) to the U.S. dollar (“USD”), resulting in gains and losses that were not related to our core operating results for the period and were thus classified as selected items impacting comparability.</w:t>
      </w:r>
    </w:p>
    <w:p>
      <w:pPr>
        <w:sectPr>
          <w:pgSz w:w="11900" w:h="16900" w:orient="portrait"/>
          <w:cols w:equalWidth="0" w:num="1">
            <w:col w:w="11460"/>
          </w:cols>
          <w:pgMar w:left="240" w:top="341" w:right="19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Includes other immaterial selected items impacting comparability.</w:t>
      </w:r>
    </w:p>
    <w:p>
      <w:pPr>
        <w:spacing w:after="0" w:line="225" w:lineRule="exact"/>
        <w:rPr>
          <w:sz w:val="20"/>
          <w:szCs w:val="20"/>
          <w:color w:val="auto"/>
        </w:rPr>
      </w:pPr>
    </w:p>
    <w:p>
      <w:pPr>
        <w:ind w:left="20" w:right="20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distributions that pertain to the current period’s net income and are paid in the subsequent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00" w:lineRule="exact"/>
        <w:rPr>
          <w:sz w:val="20"/>
          <w:szCs w:val="20"/>
          <w:color w:val="auto"/>
        </w:rPr>
      </w:pPr>
    </w:p>
    <w:p>
      <w:pPr>
        <w:sectPr>
          <w:pgSz w:w="11900" w:h="16900" w:orient="portrait"/>
          <w:cols w:equalWidth="0" w:num="2">
            <w:col w:w="160" w:space="480"/>
            <w:col w:w="10820"/>
          </w:cols>
          <w:pgMar w:left="240" w:top="341" w:right="19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8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4"/>
              </w:rPr>
              <w:t>Favorable/(Unfavorable)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95"/>
              </w:rPr>
              <w:t>Variance</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Tariff activities</w:t>
            </w:r>
          </w:p>
        </w:tc>
        <w:tc>
          <w:tcPr>
            <w:tcW w:w="6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358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336</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Arial" w:cs="Arial" w:eastAsia="Arial" w:hAnsi="Arial"/>
                <w:sz w:val="18"/>
                <w:szCs w:val="18"/>
                <w:color w:val="auto"/>
              </w:rPr>
              <w:t>Total transportation revenues</w:t>
            </w: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 - operations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Equity-indexed compensation expense - general and administrative</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3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20"/>
                <w:szCs w:val="20"/>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40" w:type="dxa"/>
            <w:vAlign w:val="bottom"/>
            <w:tcBorders>
              <w:right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2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80" w:type="dxa"/>
            <w:vAlign w:val="bottom"/>
            <w:tcBorders>
              <w:top w:val="single" w:sz="8" w:color="CCEEFF"/>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gridSpan w:val="5"/>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gridSpan w:val="2"/>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4"/>
              </w:rPr>
              <w:t>Favorable/(Unfavorable)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4"/>
                <w:szCs w:val="14"/>
                <w:b w:val="1"/>
                <w:bCs w:val="1"/>
                <w:color w:val="auto"/>
                <w:w w:val="95"/>
              </w:rPr>
              <w:t>Variance</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Volumes</w:t>
            </w:r>
          </w:p>
        </w:tc>
        <w:tc>
          <w:tcPr>
            <w:tcW w:w="820" w:type="dxa"/>
            <w:vAlign w:val="bottom"/>
          </w:tcPr>
          <w:p>
            <w:pPr>
              <w:jc w:val="right"/>
              <w:ind w:right="41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Crude Oil Pipelines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American</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3"/>
                <w:szCs w:val="23"/>
                <w:color w:val="auto"/>
                <w:vertAlign w:val="superscript"/>
              </w:rPr>
              <w:t>(5)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Basin / Mesa / Sunrise</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BridgeTex</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3"/>
                <w:szCs w:val="23"/>
                <w:color w:val="auto"/>
                <w:vertAlign w:val="superscript"/>
              </w:rPr>
              <w:t>(5)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Line 63 / Line 2000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Manito</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Mid-Continent Area Systems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Permian Basin Area Systems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754</w:t>
            </w: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Rangeland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131</w:t>
            </w: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-2738755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-2738755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South Saskatchewan</w:t>
            </w: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White Cliffs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687</w:t>
            </w:r>
          </w:p>
        </w:tc>
        <w:tc>
          <w:tcPr>
            <w:tcW w:w="13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Co-Ed</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13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Tariff activities total</w:t>
            </w: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3,710</w:t>
            </w:r>
          </w:p>
        </w:tc>
        <w:tc>
          <w:tcPr>
            <w:tcW w:w="220" w:type="dxa"/>
            <w:vAlign w:val="bottom"/>
            <w:tcBorders>
              <w:right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w:t>
            </w:r>
          </w:p>
        </w:tc>
        <w:tc>
          <w:tcPr>
            <w:tcW w:w="280" w:type="dxa"/>
            <w:vAlign w:val="bottom"/>
            <w:vMerge w:val="continue"/>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13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Transportation segment total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3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2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we employed the assets divided by the number of days in the period.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Area systems include volumes (attributable to our interest) from our investments in unconsolidated entities.</w:t>
      </w:r>
    </w:p>
    <w:p>
      <w:pPr>
        <w:spacing w:after="0" w:line="200"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spacing w:after="0" w:line="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agreements generally reflects a negotiated amount. Revenues and expenses from our Canadian based subsidiaries, which use the Canadian dollar as their functional currency, are translated at the prevailing average exchange rates for each month.</w:t>
      </w:r>
    </w:p>
    <w:p>
      <w:pPr>
        <w:spacing w:after="0" w:line="18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for the three months ended March 31, 2015 compared to the three months ended March 31, 2014. Our Transportation segment results for the comparative periods were impacted by the following:</w:t>
      </w:r>
    </w:p>
    <w:p>
      <w:pPr>
        <w:spacing w:after="0" w:line="181" w:lineRule="exact"/>
        <w:rPr>
          <w:sz w:val="20"/>
          <w:szCs w:val="20"/>
          <w:color w:val="auto"/>
        </w:rPr>
      </w:pPr>
    </w:p>
    <w:p>
      <w:pPr>
        <w:ind w:left="660" w:right="80" w:hanging="328"/>
        <w:spacing w:after="0" w:line="257"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North American Crude Oil Production and Related Expansion Projects— Production growth from the development of certain North American crude oil resource plays increased volumes and revenues on our existing pipeline systems over the comparative periods presented. We estimate that the impact of increased throughput and related infrastructure projects, most notably on our Eagle Ford and Mid-Continent Area Systems and certain pipelines in our Permian Basin Area Systems, and our recently constructed Sunrise, Pascagoula and Bakken North pipelines, increased our revenues by $20 million.</w:t>
      </w:r>
    </w:p>
    <w:p>
      <w:pPr>
        <w:spacing w:after="0" w:line="188" w:lineRule="exact"/>
        <w:rPr>
          <w:rFonts w:ascii="Arial" w:cs="Arial" w:eastAsia="Arial" w:hAnsi="Arial"/>
          <w:sz w:val="18"/>
          <w:szCs w:val="18"/>
          <w:color w:val="auto"/>
        </w:rPr>
      </w:pPr>
    </w:p>
    <w:p>
      <w:pPr>
        <w:ind w:left="660" w:right="280" w:hanging="328"/>
        <w:spacing w:after="0" w:line="276" w:lineRule="auto"/>
        <w:tabs>
          <w:tab w:leader="none" w:pos="62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Tariff Rates— Revenues on our pipelines are impacted by various tariff rate changes that may occur during the period, which include (i) rate increases or decreases on our intrastate and Canadian pipelines and fees on related system assets, (ii) the indexing of rates on our FERC regulated pipelines or (iii) other negotiated rate changes. We estimate that the net impact of such rate changes on our pipelines increased revenues by $18 million primarily due to tariff rate increases on certain of our Canadian crude oil pipelines and incremental fees on related system assets, and, to a much lesser extent, the FERC indexing effective July 1, 2014 and rate increases on our intrastate pipelines.</w:t>
      </w:r>
    </w:p>
    <w:p>
      <w:pPr>
        <w:spacing w:after="0" w:line="172" w:lineRule="exact"/>
        <w:rPr>
          <w:rFonts w:ascii="Arial" w:cs="Arial" w:eastAsia="Arial" w:hAnsi="Arial"/>
          <w:sz w:val="17"/>
          <w:szCs w:val="17"/>
          <w:color w:val="auto"/>
        </w:rPr>
      </w:pPr>
    </w:p>
    <w:p>
      <w:pPr>
        <w:ind w:left="660" w:right="220" w:hanging="328"/>
        <w:spacing w:after="0" w:line="257"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Allowance Revenue—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$9 million primarily due to a lower average realized price per barrel, partially offset by higher volumes.</w:t>
      </w:r>
    </w:p>
    <w:p>
      <w:pPr>
        <w:spacing w:after="0" w:line="188"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Exchange Impact —We estimate that revenues from our Canadian pipeline systems and trucking operations were unfavorably impacted by $11 million for the three months ended March 31, 2015 compared to the three months ended March 31, 2014 due to the depreciation of CAD relative to USD.</w:t>
      </w:r>
    </w:p>
    <w:p>
      <w:pPr>
        <w:spacing w:after="0" w:line="181"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increased during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2015 compared to the three months ended March 31, 2014 primarily due to increased salary and related expenses and higher property tax expense associated with the growth and capital expansion in the segment. The increase in operating costs for the comparative quarter ended periods was partially offset by lower maintenance and repairs cost and a $4 million favorable impact of foreign exchange.</w:t>
      </w:r>
    </w:p>
    <w:p>
      <w:pPr>
        <w:spacing w:after="0" w:line="17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across all segments, equity-indexed compensation expense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2015 compared to the same period in 2014 primarily due to the impact of the decrease in unit price during the period compared to the impact of the increase in unit price for the same period in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Allocations of equity-indexed compensation expense vary over time (i) between field operating costs and general and administrative expenses and</w:t>
      </w:r>
    </w:p>
    <w:p>
      <w:pPr>
        <w:spacing w:after="0" w:line="46" w:lineRule="exact"/>
        <w:rPr>
          <w:sz w:val="20"/>
          <w:szCs w:val="20"/>
          <w:color w:val="auto"/>
        </w:rPr>
      </w:pPr>
    </w:p>
    <w:p>
      <w:pPr>
        <w:ind w:firstLine="8"/>
        <w:spacing w:after="0" w:line="255"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between segments and could result in variances in those expense categories or segments that differ from the consolidated variance explanations above. See Note 16 to our Consolidated Financial Statements included in Part IV of our 2014 Annual Report on Form 10-K for additional information regarding our equity-indexed compensation plans.</w:t>
      </w:r>
    </w:p>
    <w:p>
      <w:pPr>
        <w:sectPr>
          <w:pgSz w:w="11900" w:h="16838" w:orient="portrait"/>
          <w:cols w:equalWidth="0" w:num="1">
            <w:col w:w="11420"/>
          </w:cols>
          <w:pgMar w:left="240" w:top="140" w:right="239" w:bottom="0" w:gutter="0" w:footer="0" w:header="0"/>
          <w:type w:val="continuous"/>
        </w:sectPr>
      </w:pPr>
    </w:p>
    <w:bookmarkStart w:id="22" w:name="page23"/>
    <w:bookmarkEnd w:id="22"/>
    <w:p>
      <w:pPr>
        <w:spacing w:after="0" w:line="137" w:lineRule="exact"/>
        <w:rPr>
          <w:sz w:val="20"/>
          <w:szCs w:val="20"/>
          <w:color w:val="auto"/>
        </w:rPr>
      </w:pPr>
    </w:p>
    <w:p>
      <w:pPr>
        <w:ind w:right="380" w:firstLine="648"/>
        <w:spacing w:after="0" w:line="288" w:lineRule="auto"/>
        <w:rPr>
          <w:sz w:val="20"/>
          <w:szCs w:val="20"/>
          <w:color w:val="auto"/>
        </w:rPr>
      </w:pPr>
      <w:r>
        <w:rPr>
          <w:rFonts w:ascii="Arial" w:cs="Arial" w:eastAsia="Arial" w:hAnsi="Arial"/>
          <w:sz w:val="16"/>
          <w:szCs w:val="16"/>
          <w:i w:val="1"/>
          <w:iCs w:val="1"/>
          <w:color w:val="auto"/>
        </w:rPr>
        <w:t>Equity Earnings in Unconsolidated Entities</w:t>
      </w:r>
      <w:r>
        <w:rPr>
          <w:rFonts w:ascii="Arial" w:cs="Arial" w:eastAsia="Arial" w:hAnsi="Arial"/>
          <w:sz w:val="16"/>
          <w:szCs w:val="16"/>
          <w:color w:val="auto"/>
        </w:rPr>
        <w:t>. The favorable variance in equity earnings in unconsolidated entities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2015 compared to the three months ended March 31, 2014 was primarily driven by (i) earnings from our 50% interest in BridgeTex, which we acquired in November 2014, (ii) increased throughput on the White Cliffs pipeline due to an expansion of the pipeline that was placed into service in</w:t>
      </w:r>
    </w:p>
    <w:p>
      <w:pPr>
        <w:ind w:right="20"/>
        <w:spacing w:after="0" w:line="261" w:lineRule="auto"/>
        <w:rPr>
          <w:sz w:val="20"/>
          <w:szCs w:val="20"/>
          <w:color w:val="auto"/>
        </w:rPr>
      </w:pPr>
      <w:r>
        <w:rPr>
          <w:rFonts w:ascii="Arial" w:cs="Arial" w:eastAsia="Arial" w:hAnsi="Arial"/>
          <w:sz w:val="18"/>
          <w:szCs w:val="18"/>
          <w:color w:val="auto"/>
        </w:rPr>
        <w:t>July 2014 and (iii) increased throughput on the Eagle Ford pipeline as a result of increased crude oil production, as discussed in “Net Operating Revenues and Volumes”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 Revenues and expenses from our Canadian based subsidiaries, which use the Canadian dollar as their functional currency, are translated at the prevailing average exchange rates for each month.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5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95"/>
              </w:rPr>
              <w:t>Variance</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Storage related costs (natural gas related)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Equity-indexed compensation expense - operations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w w:val="97"/>
              </w:rPr>
              <w:t>Equity-indexed compensation expense - general and administrative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40" w:type="dxa"/>
            <w:vAlign w:val="bottom"/>
            <w:tcBorders>
              <w:right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7"/>
        </w:trPr>
        <w:tc>
          <w:tcPr>
            <w:tcW w:w="52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2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80" w:type="dxa"/>
            <w:vAlign w:val="bottom"/>
            <w:tcBorders>
              <w:top w:val="single" w:sz="8" w:color="CCEEFF"/>
              <w:bottom w:val="single" w:sz="8" w:color="CCEEFF"/>
              <w:right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26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(4)</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5"/>
              </w:rPr>
              <w:t>Variance</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Volumes</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Crude oil, refined products and NGL terminalling and storage (average</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monthly capacity in millions of barrels)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0"/>
              </w:rPr>
              <w:t>Rail load / unload volumes (average volumes in thousands of barrels per</w:t>
            </w: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3"/>
                <w:szCs w:val="13"/>
                <w:color w:val="auto"/>
              </w:rPr>
            </w:pPr>
          </w:p>
        </w:tc>
        <w:tc>
          <w:tcPr>
            <w:tcW w:w="110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day)</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right w:val="single" w:sz="8" w:color="auto"/>
            </w:tcBorders>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7"/>
              </w:rPr>
              <w:t>Natural gas storage (average monthly working capacity in billions of</w:t>
            </w: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6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right w:val="single" w:sz="8" w:color="auto"/>
            </w:tcBorders>
            <w:vMerge w:val="restart"/>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vMerge w:val="restart"/>
            <w:shd w:val="clear" w:color="auto" w:fill="CCEEFF"/>
          </w:tcPr>
          <w:p>
            <w:pPr>
              <w:spacing w:after="0"/>
              <w:rPr>
                <w:sz w:val="13"/>
                <w:szCs w:val="13"/>
                <w:color w:val="auto"/>
              </w:rPr>
            </w:pPr>
          </w:p>
        </w:tc>
        <w:tc>
          <w:tcPr>
            <w:tcW w:w="300" w:type="dxa"/>
            <w:vAlign w:val="bottom"/>
            <w:vMerge w:val="restart"/>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cubic feet)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NGL fractionation (average volumes in thousands of barrels per day)</w:t>
            </w: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4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vMerge w:val="restart"/>
            <w:shd w:val="clear" w:color="auto" w:fill="CCEEFF"/>
          </w:tcPr>
          <w:p>
            <w:pPr>
              <w:spacing w:after="0" w:line="136" w:lineRule="exact"/>
              <w:rPr>
                <w:sz w:val="20"/>
                <w:szCs w:val="20"/>
                <w:color w:val="auto"/>
              </w:rPr>
            </w:pPr>
            <w:r>
              <w:rPr>
                <w:rFonts w:ascii="Arial" w:cs="Arial" w:eastAsia="Arial" w:hAnsi="Arial"/>
                <w:sz w:val="15"/>
                <w:szCs w:val="15"/>
                <w:color w:val="auto"/>
              </w:rPr>
              <w:t>Facilities segment total (average monthly volumes in millions of barrels)</w:t>
            </w: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26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0"/>
                <w:szCs w:val="10"/>
                <w:color w:val="auto"/>
              </w:rPr>
            </w:pPr>
          </w:p>
        </w:tc>
        <w:tc>
          <w:tcPr>
            <w:tcW w:w="110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22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(5)</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tcBorders>
              <w:right w:val="single" w:sz="8" w:color="auto"/>
            </w:tcBorders>
            <w:gridSpan w:val="2"/>
            <w:vMerge w:val="continue"/>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right w:val="single" w:sz="8" w:color="CCEEFF"/>
            </w:tcBorders>
            <w:vMerge w:val="continue"/>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75"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Volumes associated with assets employed through acquisitions and capital expansion projects represent total volumes for the number of months we employed the assets divided by the number of months in the period.</w:t>
      </w:r>
    </w:p>
    <w:p>
      <w:pPr>
        <w:spacing w:after="0" w:line="170" w:lineRule="exact"/>
        <w:rPr>
          <w:sz w:val="20"/>
          <w:szCs w:val="20"/>
          <w:color w:val="auto"/>
        </w:rPr>
      </w:pPr>
    </w:p>
    <w:p>
      <w:pPr>
        <w:ind w:left="20" w:hanging="7"/>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5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75" w:orient="portrait"/>
          <w:cols w:equalWidth="0" w:num="2">
            <w:col w:w="160" w:space="480"/>
            <w:col w:w="10780"/>
          </w:cols>
          <w:pgMar w:left="240" w:top="341"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Facilities segment revenues, less storage related costs, decreased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2015 as compared to the same period in 2014, while total volumes increased slightly. Our Facilities segment results for the comparative periods were impacted by:</w:t>
      </w:r>
    </w:p>
    <w:p>
      <w:pPr>
        <w:spacing w:after="0" w:line="181" w:lineRule="exact"/>
        <w:rPr>
          <w:sz w:val="20"/>
          <w:szCs w:val="20"/>
          <w:color w:val="auto"/>
        </w:rPr>
      </w:pPr>
    </w:p>
    <w:p>
      <w:pPr>
        <w:jc w:val="both"/>
        <w:ind w:left="660" w:right="420" w:hanging="328"/>
        <w:spacing w:after="0" w:line="342" w:lineRule="auto"/>
        <w:tabs>
          <w:tab w:leader="none" w:pos="6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Rail Terminals —Revenues from our rail activities decreased by $9 million due to lower rail fees related to the movement of certain volumes of Bakken crude oil, primarily to our St. James rail terminal, partially offset by volumes and revenues from our Bakersfield rail terminal that came</w:t>
      </w:r>
    </w:p>
    <w:p>
      <w:pPr>
        <w:sectPr>
          <w:pgSz w:w="11900" w:h="16975" w:orient="portrait"/>
          <w:cols w:equalWidth="0" w:num="1">
            <w:col w:w="11420"/>
          </w:cols>
          <w:pgMar w:left="240" w:top="341" w:right="239" w:bottom="0" w:gutter="0" w:footer="0" w:header="0"/>
          <w:type w:val="continuous"/>
        </w:sectPr>
      </w:pPr>
    </w:p>
    <w:bookmarkStart w:id="23" w:name="page24"/>
    <w:bookmarkEnd w:id="23"/>
    <w:p>
      <w:pPr>
        <w:ind w:left="660"/>
        <w:spacing w:after="0"/>
        <w:rPr>
          <w:sz w:val="20"/>
          <w:szCs w:val="20"/>
          <w:color w:val="auto"/>
        </w:rPr>
      </w:pPr>
      <w:r>
        <w:rPr>
          <w:rFonts w:ascii="Arial" w:cs="Arial" w:eastAsia="Arial" w:hAnsi="Arial"/>
          <w:sz w:val="18"/>
          <w:szCs w:val="18"/>
          <w:color w:val="auto"/>
        </w:rPr>
        <w:t>online in the fourth quarter of 2014.</w:t>
      </w:r>
    </w:p>
    <w:p>
      <w:pPr>
        <w:spacing w:after="0" w:line="225" w:lineRule="exact"/>
        <w:rPr>
          <w:sz w:val="20"/>
          <w:szCs w:val="20"/>
          <w:color w:val="auto"/>
        </w:rPr>
      </w:pPr>
    </w:p>
    <w:p>
      <w:pPr>
        <w:ind w:left="660" w:right="100" w:hanging="328"/>
        <w:spacing w:after="0" w:line="25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NGL Storage, NGL Fractionation and Natural Gas Processing Activities — Revenues from our Canadian NGL storage, NGL fractionation and natural gas processing activities decreased by $7 million primarily due to unfavorable foreign currency effects of $9 million from the depreciation of CAD relative to USD. Excluding foreign currency effects, revenue increases from higher facility fees at certain of our fractionation and gas processing facilities were largely offset by lower physical processing gains related to component mix at our fractionation facilities and significantly lower NGL prices during the first quarter of 2015.</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during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2015 compared to the three months ended March 31, 2014 primarily due to lower gas and power costs. Other decreases in maintenance and repairs costs and certain joint venture expenses were offset by increases in property taxes and salary and related expenses primarily associated with new rail facilities. The decrease in field operating costs was also impacted by a $4 million favorable foreign exchange effect.</w:t>
      </w:r>
    </w:p>
    <w:p>
      <w:pPr>
        <w:spacing w:after="0" w:line="17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for the three months ended March 31, 2015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was primarily due to various tank projects and equipment replacements.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we expect our segment profit to increase or decrease directionally with (i) increases or decreases in our Supply and Logistics segment volumes (which consist of lease gathering crude oil purchase volumes and NGL sales volumes),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We do not anticipate that future changes in revenues resulting from variances in commodity prices will be a primary driver of segment profit.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5"/>
          </w:tcPr>
          <w:p>
            <w:pPr>
              <w:jc w:val="center"/>
              <w:ind w:right="430"/>
              <w:spacing w:after="0"/>
              <w:rPr>
                <w:sz w:val="20"/>
                <w:szCs w:val="20"/>
                <w:color w:val="auto"/>
              </w:rPr>
            </w:pPr>
            <w:r>
              <w:rPr>
                <w:rFonts w:ascii="Arial" w:cs="Arial" w:eastAsia="Arial" w:hAnsi="Arial"/>
                <w:sz w:val="14"/>
                <w:szCs w:val="14"/>
                <w:b w:val="1"/>
                <w:bCs w:val="1"/>
                <w:color w:val="auto"/>
                <w:w w:val="94"/>
              </w:rPr>
              <w:t>Favorable/(Unfavorable)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95"/>
              </w:rPr>
              <w:t>Variance</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6"/>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(5,353)</w:t>
            </w:r>
          </w:p>
        </w:tc>
        <w:tc>
          <w:tcPr>
            <w:tcW w:w="5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(10,975)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5,622</w:t>
            </w:r>
          </w:p>
        </w:tc>
        <w:tc>
          <w:tcPr>
            <w:tcW w:w="36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5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Equity-indexed compensation expense - operations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(3) (4)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 general and</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vMerge w:val="restart"/>
            <w:shd w:val="clear" w:color="auto" w:fill="CCEEFF"/>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right w:val="single" w:sz="8" w:color="auto"/>
            </w:tcBorders>
            <w:vMerge w:val="continue"/>
            <w:shd w:val="clear" w:color="auto" w:fill="CCEEFF"/>
          </w:tcPr>
          <w:p>
            <w:pPr>
              <w:spacing w:after="0"/>
              <w:rPr>
                <w:sz w:val="18"/>
                <w:szCs w:val="18"/>
                <w:color w:val="auto"/>
              </w:rPr>
            </w:pP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300" w:type="dxa"/>
            <w:vAlign w:val="bottom"/>
            <w:vMerge w:val="continue"/>
          </w:tcPr>
          <w:p>
            <w:pPr>
              <w:spacing w:after="0"/>
              <w:rPr>
                <w:sz w:val="20"/>
                <w:szCs w:val="20"/>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4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w:t>
            </w:r>
          </w:p>
        </w:tc>
        <w:tc>
          <w:tcPr>
            <w:tcW w:w="1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28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1"/>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256"/>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4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3"/>
            <w:vMerge w:val="restart"/>
          </w:tcPr>
          <w:p>
            <w:pPr>
              <w:jc w:val="center"/>
              <w:ind w:left="436"/>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5"/>
            <w:vMerge w:val="restart"/>
          </w:tcPr>
          <w:p>
            <w:pPr>
              <w:jc w:val="center"/>
              <w:ind w:right="450"/>
              <w:spacing w:after="0"/>
              <w:rPr>
                <w:sz w:val="20"/>
                <w:szCs w:val="20"/>
                <w:color w:val="auto"/>
              </w:rPr>
            </w:pPr>
            <w:r>
              <w:rPr>
                <w:rFonts w:ascii="Arial" w:cs="Arial" w:eastAsia="Arial" w:hAnsi="Arial"/>
                <w:sz w:val="14"/>
                <w:szCs w:val="14"/>
                <w:b w:val="1"/>
                <w:bCs w:val="1"/>
                <w:color w:val="auto"/>
                <w:w w:val="96"/>
              </w:rPr>
              <w:t>Favorable/(Unfavorable)</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56"/>
              <w:spacing w:after="0"/>
              <w:rPr>
                <w:sz w:val="20"/>
                <w:szCs w:val="20"/>
                <w:color w:val="auto"/>
              </w:rPr>
            </w:pPr>
            <w:r>
              <w:rPr>
                <w:rFonts w:ascii="Arial" w:cs="Arial" w:eastAsia="Arial" w:hAnsi="Arial"/>
                <w:sz w:val="14"/>
                <w:szCs w:val="14"/>
                <w:b w:val="1"/>
                <w:bCs w:val="1"/>
                <w:color w:val="auto"/>
                <w:w w:val="92"/>
              </w:rPr>
              <w:t>Variance</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Volumes</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6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-1279525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-1279525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inventory purchases) of $1 million and $2 million for the three months ended March 31, 2015 and 2014, respectively.</w:t>
      </w:r>
    </w:p>
    <w:p>
      <w:pPr>
        <w:spacing w:after="0" w:line="170"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presents the range of the NYMEX WTI benchmark price of crude oil during the periods indicated (in dollars per barrel):</w:t>
      </w:r>
    </w:p>
    <w:p>
      <w:pPr>
        <w:spacing w:after="0" w:line="200" w:lineRule="exact"/>
        <w:rPr>
          <w:sz w:val="20"/>
          <w:szCs w:val="20"/>
          <w:color w:val="auto"/>
        </w:rPr>
      </w:pPr>
    </w:p>
    <w:p>
      <w:pPr>
        <w:sectPr>
          <w:pgSz w:w="11900" w:h="16838" w:orient="portrait"/>
          <w:cols w:equalWidth="0" w:num="2">
            <w:col w:w="160" w:space="480"/>
            <w:col w:w="10820"/>
          </w:cols>
          <w:pgMar w:left="240" w:top="125" w:right="199" w:bottom="0" w:gutter="0" w:footer="0" w:header="0"/>
          <w:type w:val="continuous"/>
        </w:sectPr>
      </w:pPr>
    </w:p>
    <w:p>
      <w:pPr>
        <w:spacing w:after="0" w:line="28"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NYMEX WTI</w:t>
      </w:r>
    </w:p>
    <w:p>
      <w:pPr>
        <w:ind w:left="9320"/>
        <w:spacing w:after="0" w:line="236" w:lineRule="auto"/>
        <w:rPr>
          <w:sz w:val="20"/>
          <w:szCs w:val="20"/>
          <w:color w:val="auto"/>
        </w:rPr>
      </w:pPr>
      <w:r>
        <w:rPr>
          <w:rFonts w:ascii="Arial" w:cs="Arial" w:eastAsia="Arial" w:hAnsi="Arial"/>
          <w:sz w:val="14"/>
          <w:szCs w:val="14"/>
          <w:b w:val="1"/>
          <w:bCs w:val="1"/>
          <w:color w:val="auto"/>
        </w:rPr>
        <w:t>Crude Oil Price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8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Low</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2015</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Three months ended March 31, 2014</w:t>
            </w:r>
          </w:p>
        </w:tc>
        <w:tc>
          <w:tcPr>
            <w:tcW w:w="384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bl>
    <w:p>
      <w:pPr>
        <w:spacing w:after="0" w:line="187"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w:t>
      </w:r>
    </w:p>
    <w:p>
      <w:pPr>
        <w:sectPr>
          <w:pgSz w:w="11900" w:h="16838" w:orient="portrait"/>
          <w:cols w:equalWidth="0" w:num="1">
            <w:col w:w="11460"/>
          </w:cols>
          <w:pgMar w:left="240" w:top="125" w:right="199" w:bottom="0" w:gutter="0" w:footer="0" w:header="0"/>
          <w:type w:val="continuous"/>
        </w:sectPr>
      </w:pPr>
    </w:p>
    <w:bookmarkStart w:id="24" w:name="page25"/>
    <w:bookmarkEnd w:id="24"/>
    <w:p>
      <w:pPr>
        <w:ind w:right="260"/>
        <w:spacing w:after="0" w:line="277" w:lineRule="auto"/>
        <w:rPr>
          <w:sz w:val="20"/>
          <w:szCs w:val="20"/>
          <w:color w:val="auto"/>
        </w:rPr>
      </w:pPr>
      <w:r>
        <w:rPr>
          <w:rFonts w:ascii="Arial" w:cs="Arial" w:eastAsia="Arial" w:hAnsi="Arial"/>
          <w:sz w:val="18"/>
          <w:szCs w:val="18"/>
          <w:color w:val="auto"/>
        </w:rPr>
        <w:t>increase or decrease. The absolute amount of our revenues and purchases decreased for the three months ended March 31, 2015 due to lower crude oil and NGL prices relative to the comparative 2014 period.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 costs,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2015 compared to the three months ended March 31, 2014. The following summarizes the more significant items in the comparative periods:</w:t>
      </w:r>
    </w:p>
    <w:p>
      <w:pPr>
        <w:spacing w:after="0" w:line="181" w:lineRule="exact"/>
        <w:rPr>
          <w:sz w:val="20"/>
          <w:szCs w:val="20"/>
          <w:color w:val="auto"/>
        </w:rPr>
      </w:pPr>
    </w:p>
    <w:p>
      <w:pPr>
        <w:ind w:left="660" w:right="240" w:hanging="328"/>
        <w:spacing w:after="0" w:line="259" w:lineRule="auto"/>
        <w:tabs>
          <w:tab w:leader="none" w:pos="6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months ended March 31, 2015 as compared to the same period in 2014, primarily driven by the compression of certain differentials during the 2015 period, which resulted in fewer opportunities to capture above-baseline margins as compared to the first quarter of 2014. Such unfavorable results were partially offset by incremental lease gathering revenues from higher volumes.</w:t>
      </w:r>
    </w:p>
    <w:p>
      <w:pPr>
        <w:spacing w:after="0" w:line="186" w:lineRule="exact"/>
        <w:rPr>
          <w:rFonts w:ascii="Arial" w:cs="Arial" w:eastAsia="Arial" w:hAnsi="Arial"/>
          <w:sz w:val="18"/>
          <w:szCs w:val="18"/>
          <w:color w:val="auto"/>
        </w:rPr>
      </w:pPr>
    </w:p>
    <w:p>
      <w:pPr>
        <w:ind w:left="660" w:right="140" w:hanging="328"/>
        <w:spacing w:after="0" w:line="259" w:lineRule="auto"/>
        <w:tabs>
          <w:tab w:leader="none" w:pos="6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Gas Storage Commercial Optimization — During the first quarter of 2014, our natural gas storage commercial optimization activities were unfavorably impacted by costs incurred to manage deliverability requirements in conjunction with the extended period of severe cold weather. We did not incur similar costs during the first quarter of 2015 and, therefore, we experienced more favorable results from our natural gas storage activities in the 2015 period as compared to the first quarter of 2014.</w:t>
      </w:r>
    </w:p>
    <w:p>
      <w:pPr>
        <w:spacing w:after="0" w:line="186" w:lineRule="exact"/>
        <w:rPr>
          <w:rFonts w:ascii="Arial" w:cs="Arial" w:eastAsia="Arial" w:hAnsi="Arial"/>
          <w:sz w:val="18"/>
          <w:szCs w:val="18"/>
          <w:color w:val="auto"/>
        </w:rPr>
      </w:pPr>
    </w:p>
    <w:p>
      <w:pPr>
        <w:jc w:val="both"/>
        <w:ind w:left="660" w:right="160" w:hanging="328"/>
        <w:spacing w:after="0" w:line="264" w:lineRule="auto"/>
        <w:tabs>
          <w:tab w:leader="none" w:pos="6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increased for the three months ended March 31, 2015 as compared to the three months ended March 31, 2014. The favorable variance was driven by higher sales volumes during the end of our winter heating season, partially offset by increased facility fees.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40" w:hanging="328"/>
        <w:spacing w:after="0" w:line="277" w:lineRule="auto"/>
        <w:tabs>
          <w:tab w:leader="none" w:pos="6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impacted our net revenues as shown in the table below (in millions):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179"/>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Variance</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504"/>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Gains/(losses) from certain derivative activities net of</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inventory valuation adjustments </w:t>
            </w:r>
            <w:r>
              <w:rPr>
                <w:rFonts w:ascii="Arial" w:cs="Arial" w:eastAsia="Arial" w:hAnsi="Arial"/>
                <w:sz w:val="23"/>
                <w:szCs w:val="23"/>
                <w:color w:val="auto"/>
                <w:vertAlign w:val="superscript"/>
              </w:rPr>
              <w:t>(1)</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120" w:hanging="644"/>
        <w:spacing w:after="0" w:line="273" w:lineRule="auto"/>
        <w:tabs>
          <w:tab w:leader="none" w:pos="1287" w:val="left"/>
        </w:tabs>
        <w:numPr>
          <w:ilvl w:val="1"/>
          <w:numId w:val="25"/>
        </w:numPr>
        <w:rPr>
          <w:rFonts w:ascii="Arial" w:cs="Arial" w:eastAsia="Arial" w:hAnsi="Arial"/>
          <w:sz w:val="21"/>
          <w:szCs w:val="21"/>
          <w:color w:val="auto"/>
          <w:vertAlign w:val="superscript"/>
        </w:rPr>
      </w:pPr>
      <w:r>
        <w:rPr>
          <w:rFonts w:ascii="Arial" w:cs="Arial" w:eastAsia="Arial" w:hAnsi="Arial"/>
          <w:sz w:val="16"/>
          <w:szCs w:val="16"/>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w:t>
      </w:r>
    </w:p>
    <w:p>
      <w:pPr>
        <w:spacing w:after="0" w:line="177" w:lineRule="exact"/>
        <w:rPr>
          <w:rFonts w:ascii="Arial" w:cs="Arial" w:eastAsia="Arial" w:hAnsi="Arial"/>
          <w:sz w:val="21"/>
          <w:szCs w:val="21"/>
          <w:color w:val="auto"/>
          <w:vertAlign w:val="superscript"/>
        </w:rPr>
      </w:pPr>
    </w:p>
    <w:p>
      <w:pPr>
        <w:ind w:left="660" w:right="120" w:hanging="328"/>
        <w:spacing w:after="0" w:line="257" w:lineRule="auto"/>
        <w:tabs>
          <w:tab w:leader="none" w:pos="6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Inventory Costing Adjustment — Our operating results for the first quarter of 2015 were unfavorably impacted by a $38 million reduction in the value of our long-term crude oil and NGL inventory pools resulting from the decrease in the price of crude oil and NGL during the period. This costing adjustment is related to inventory necessary to meet our minimum inventory requirements in third-party assets and other working inventory that is needed for our commercial operations. We consider this inventory necessary to conduct our operations and we intend to carry this inventory for the foreseeable future.</w:t>
      </w:r>
    </w:p>
    <w:p>
      <w:pPr>
        <w:spacing w:after="0" w:line="188"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Exchange — During the three months ended March 31, 2015 and 2014, there were fluctuations in the value of CAD to USD, resulting in net foreign exchange gains on U.S. denominated net assets within our Canadian operations of $32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(excluding equity-indexed compensation expense) for the three months ended</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March 31, 2015 compared to the three months ended March 31, 2014 was primarily due to increases in driver salaries and related expenses and trucking costs associated with higher crude oil lease gathering purchases volumes. The increase in field operating costs for the comparative periods was partially offset by a reduction in fuel costs due to lower average diesel fuel cost per gallon.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Depreciation and amortization expense increased for the three months ended March 31, 2015 compared to the three months ended March 31, 2014, primarily due to various internal growth projects completed since March 31, 2014.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increase in interest expense for the three months ended March 31, 2015 over the three months ended March 31, 2014 was primarily due to a higher weighted average debt balance driven by an aggregate of $2.6 billion of senior notes issued in 2014.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ectPr>
          <w:pgSz w:w="11900" w:h="16838" w:orient="portrait"/>
          <w:cols w:equalWidth="0" w:num="1">
            <w:col w:w="11380"/>
          </w:cols>
          <w:pgMar w:left="240" w:top="125" w:right="279" w:bottom="0" w:gutter="0" w:footer="0" w:header="0"/>
        </w:sectPr>
      </w:pPr>
    </w:p>
    <w:bookmarkStart w:id="25" w:name="page26"/>
    <w:bookmarkEnd w:id="25"/>
    <w:p>
      <w:pPr>
        <w:ind w:right="80" w:firstLine="648"/>
        <w:spacing w:after="0" w:line="286" w:lineRule="auto"/>
        <w:rPr>
          <w:sz w:val="20"/>
          <w:szCs w:val="20"/>
          <w:color w:val="auto"/>
        </w:rPr>
      </w:pPr>
      <w:r>
        <w:rPr>
          <w:rFonts w:ascii="Arial" w:cs="Arial" w:eastAsia="Arial" w:hAnsi="Arial"/>
          <w:sz w:val="17"/>
          <w:szCs w:val="17"/>
          <w:color w:val="auto"/>
        </w:rPr>
        <w:t>Income tax expense decreased for the three months ended March 31, 2015 compared to the three months ended March 31, 2014 primarily as a result of a deferred income tax benefit associated with derivative mark-to-market losses in our Canadian operations. This benefit was partially offset by higher current income tax expense as a result of increased year-over-year taxable earnings from our Canadian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w:t>
      </w:r>
    </w:p>
    <w:p>
      <w:pPr>
        <w:spacing w:after="0" w:line="2" w:lineRule="exact"/>
        <w:rPr>
          <w:sz w:val="20"/>
          <w:szCs w:val="20"/>
          <w:color w:val="auto"/>
        </w:rPr>
      </w:pPr>
    </w:p>
    <w:p>
      <w:pPr>
        <w:ind w:right="120" w:firstLine="8"/>
        <w:spacing w:after="0" w:line="252"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distributions to our unitholders and general partner.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March 31, 2015, we had a working capital deficit of $78 million and approximately $4.4 billion of liquidity available to meet our ongoing operating, investing and financing needs as noted below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2015</w:t>
            </w:r>
          </w:p>
        </w:tc>
      </w:tr>
      <w:tr>
        <w:trPr>
          <w:trHeight w:val="210"/>
        </w:trPr>
        <w:tc>
          <w:tcPr>
            <w:tcW w:w="9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senior unsecured 364-day revolving credit facility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740" w:hanging="652"/>
        <w:spacing w:after="0" w:line="227" w:lineRule="auto"/>
        <w:tabs>
          <w:tab w:leader="none" w:pos="64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Borrowings under our commercial paper program reduce available capacity under the facility. There were no commercial paper borrowings outstanding as of March 31, 2015.</w:t>
      </w:r>
    </w:p>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our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2014 Annual Report on Form 10-K for further discussion regarding such risks that may impact our liquidity and capital resources. Usage of our credit facilities, certain of which provide the backstop for our commercial paper program, is subject to ongoing compliance with covenants. As of March 31, 2015, we were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“Liquidity and Capital Resources—Cash Flow from Operating Activities” under Item 7 of our 2014 Annual Report on Form 10-K.</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Net cash provided by operating activities for the first three months of 2015 and 2014 was $732 million and $822 million, respectively, and primarily resulted from earnings from our operations. Additionally, as discussed further below, changes in our inventory levels during these periods impacted our cash flow from operating activities.</w:t>
      </w:r>
    </w:p>
    <w:p>
      <w:pPr>
        <w:spacing w:after="0" w:line="18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During the three months ended March 31, 2015, we decreased the volume of inventory that we held, primarily due to the seasonal sale of NGL and natural gas inventory. The net proceeds received from liquidation of such inventory during the quarter were used to repay borrowings under our commercial paper program and favorably impacted cash flow from operating activities. Additionally, lower inventory levels were further impacted by lower prices for such inventory stored at the end of the quarter compared to the prior year end. However, the favorable effects from liquidation of our NGL and natural gas inventory were partially offset by increased levels of crude oil inventory purchased and stored due to contango market conditions.</w:t>
      </w:r>
    </w:p>
    <w:p>
      <w:pPr>
        <w:spacing w:after="0" w:line="15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During the first three months of 2014, we decreased the volume of our inventory, primarily due to the sale of NGL and natural gas inventory related to high demand for product used for heating during the extended 2014 winter season. The net proceeds received from liquidation of such inventory were used to repay borrowings under our commercial paper program and favorably impacted cash flow from operating activities.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to operating needs discussed above, we also use cash for our acquisition activities and capital projects. We have made and will continue to make capital expenditures for acquisitions, expansion capital and maintenance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2015 Capital Projects. </w:t>
      </w:r>
      <w:r>
        <w:rPr>
          <w:rFonts w:ascii="Arial" w:cs="Arial" w:eastAsia="Arial" w:hAnsi="Arial"/>
          <w:sz w:val="16"/>
          <w:szCs w:val="16"/>
          <w:color w:val="auto"/>
        </w:rPr>
        <w:t>“See —Acquisitions and Capital Projects” for detail of our projected capital expenditures for the year ending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2015. We expect the majority of funding for our remaining 2015 capital program will be provided by borrowings under our commercial paper program as</w:t>
      </w:r>
    </w:p>
    <w:p>
      <w:pPr>
        <w:sectPr>
          <w:pgSz w:w="11900" w:h="16838" w:orient="portrait"/>
          <w:cols w:equalWidth="0" w:num="1">
            <w:col w:w="11420"/>
          </w:cols>
          <w:pgMar w:left="240" w:top="125" w:right="239" w:bottom="0" w:gutter="0" w:footer="0" w:header="0"/>
        </w:sectPr>
      </w:pPr>
    </w:p>
    <w:bookmarkStart w:id="26" w:name="page27"/>
    <w:bookmarkEnd w:id="26"/>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well as through proceeds received from our March 2015 underwritten equity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financing activities primarily relate to funding acquisitions, expansion capital projects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 and general partner.</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At March 31, 2015, we had approximately $555 million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The March 2015 underwritten equity offering, as discussed further below, was conducted under our WKSI Shelf.</w:t>
      </w:r>
    </w:p>
    <w:p>
      <w:pPr>
        <w:spacing w:after="0" w:line="189"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i w:val="1"/>
          <w:iCs w:val="1"/>
          <w:color w:val="auto"/>
        </w:rPr>
        <w:t>Continuous Offering Program</w:t>
      </w:r>
      <w:r>
        <w:rPr>
          <w:rFonts w:ascii="Arial" w:cs="Arial" w:eastAsia="Arial" w:hAnsi="Arial"/>
          <w:sz w:val="17"/>
          <w:szCs w:val="17"/>
          <w:color w:val="auto"/>
        </w:rPr>
        <w:t>. During the three months ended March 31, 2015, we issued an aggregate of approximately 1.1 million common units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continuous offering program, generating proceeds of $59 million, including our general partner’s proportionate capital contribution of $1 million, net of $1 million of commissions to our sales agents. The net proceeds from sales were used for general partnership purposes.</w:t>
      </w:r>
    </w:p>
    <w:p>
      <w:pPr>
        <w:spacing w:after="0" w:line="16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Underwritten Offering</w:t>
      </w:r>
      <w:r>
        <w:rPr>
          <w:rFonts w:ascii="Arial" w:cs="Arial" w:eastAsia="Arial" w:hAnsi="Arial"/>
          <w:sz w:val="16"/>
          <w:szCs w:val="16"/>
          <w:color w:val="auto"/>
        </w:rPr>
        <w:t>. In March 2015, we completed an underwritten public offering of 21.0 million common units generating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$1.1 billion, including our general partner’s proportionate capital contribution of $21 million and net of costs associated with the offering. We used a portion of the net proceeds from this offering to repay outstanding borrowings under our commercial paper program and for general partnership purposes, and we intend to use the remaining net proceeds for general partnership purposes, including expenditures for our 2015 capital program.</w:t>
      </w:r>
    </w:p>
    <w:p>
      <w:pPr>
        <w:spacing w:after="0" w:line="154" w:lineRule="exact"/>
        <w:rPr>
          <w:sz w:val="20"/>
          <w:szCs w:val="20"/>
          <w:color w:val="auto"/>
        </w:rPr>
      </w:pPr>
    </w:p>
    <w:p>
      <w:pPr>
        <w:ind w:firstLine="684"/>
        <w:spacing w:after="0" w:line="257"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Our credit agreements (which impact our ability to access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March 31, 2015.</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During the three months ended March 31, 2015 and 2014, we had net repayments on our credit agreements and commercial paper program of $734 million and $128 million, respectively. The net repayments during both periods resulted primarily from cash flow from operating activities, including sales of NGL and natural gas inventory that was liquidated during the periods, as well as cash received from our equity activities.</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January 2015, we entered into a new $1.0 billion, 364-day senior unsecured credit agreement. Borrowings, if any, accrue interest based, at our election, on either the Eurocurrency Rate or the Base Rate, as defined in the agreement, in each case plus a margin based on our credit rating at the applicable time.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$150 million, 5.25% senior notes will mature in June 2015, and our $400 million, 3.95% senior notes will mature in September 2015. We intend to use borrowings under our commercial paper program to repay these senior notes when they mature.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Paid to Our Unitholders, General Partner and Noncontrolling Interests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Distributions to our unitholders and general partner. </w:t>
      </w:r>
      <w:r>
        <w:rPr>
          <w:rFonts w:ascii="Arial" w:cs="Arial" w:eastAsia="Arial" w:hAnsi="Arial"/>
          <w:sz w:val="18"/>
          <w:szCs w:val="18"/>
          <w:color w:val="auto"/>
        </w:rPr>
        <w:t>We distribute 100% of our available cash within 45 days following the end of each quarter to</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record and to our general partner. Available cash is generally defined as all of our cash and cash equivalents on hand at the end of each quarter less reserves established in the discretion of our general partner for future requirements. On May 15, 2015, we will pay a quarterly distribution of $0.6850 per limited partner unit. This distribution represents a year-over-year distribution increase of approximately 8.7%. See Note 7 to our Condensed Consolidated Financial Statements for details of distributions paid. Also, see Item 5. “Market for Registrant’s Common Units, Related Unitholder Matters and Issuer Purchases of Equity Securities—Cash Distribution Policy” included in our 2014 Annual Report on Form 10-K for additional discussion regarding distributions.</w:t>
      </w:r>
    </w:p>
    <w:p>
      <w:pPr>
        <w:spacing w:after="0" w:line="18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We paid $1 million for distributions to noncontrolling interests during each of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2015 and 2014, respectively.</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extending up to nine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w:t>
      </w:r>
    </w:p>
    <w:p>
      <w:pPr>
        <w:sectPr>
          <w:pgSz w:w="11900" w:h="16877" w:orient="portrait"/>
          <w:cols w:equalWidth="0" w:num="1">
            <w:col w:w="11420"/>
          </w:cols>
          <w:pgMar w:left="240" w:top="125" w:right="239" w:bottom="0" w:gutter="0" w:footer="0" w:header="0"/>
        </w:sectPr>
      </w:pPr>
    </w:p>
    <w:bookmarkStart w:id="27" w:name="page28"/>
    <w:bookmarkEnd w:id="27"/>
    <w:p>
      <w:pPr>
        <w:ind w:right="120"/>
        <w:spacing w:after="0" w:line="279" w:lineRule="auto"/>
        <w:rPr>
          <w:sz w:val="20"/>
          <w:szCs w:val="20"/>
          <w:color w:val="auto"/>
        </w:rPr>
      </w:pPr>
      <w:r>
        <w:rPr>
          <w:rFonts w:ascii="Arial" w:cs="Arial" w:eastAsia="Arial" w:hAnsi="Arial"/>
          <w:sz w:val="17"/>
          <w:szCs w:val="17"/>
          <w:color w:val="auto"/>
        </w:rPr>
        <w:t>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2015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2020 and</w:t>
            </w:r>
          </w:p>
        </w:tc>
        <w:tc>
          <w:tcPr>
            <w:tcW w:w="180" w:type="dxa"/>
            <w:vAlign w:val="bottom"/>
          </w:tcPr>
          <w:p>
            <w:pPr>
              <w:spacing w:after="0"/>
              <w:rPr>
                <w:sz w:val="14"/>
                <w:szCs w:val="1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Thereafter</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w:t>
            </w: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maturities and related interest payments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884</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799</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1,188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10,605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15,052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120" w:type="dxa"/>
            <w:vAlign w:val="bottom"/>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 NGL and other</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purchases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3,125</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 w:hanging="11"/>
        <w:spacing w:after="0" w:line="259" w:lineRule="auto"/>
        <w:rPr>
          <w:sz w:val="20"/>
          <w:szCs w:val="20"/>
          <w:color w:val="auto"/>
        </w:rPr>
      </w:pPr>
      <w:r>
        <w:rPr>
          <w:rFonts w:ascii="Arial" w:cs="Arial" w:eastAsia="Arial" w:hAnsi="Arial"/>
          <w:sz w:val="18"/>
          <w:szCs w:val="18"/>
          <w:color w:val="auto"/>
        </w:rPr>
        <w:t>Includes debt service payments, interest payments due on senior notes and the commitment fee on assumed available capacity under the PAA revolving credit facilities. Although there may be short-term borrowings under the PAA revolving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187"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652"/>
        <w:spacing w:after="0" w:line="269" w:lineRule="auto"/>
        <w:tabs>
          <w:tab w:leader="none" w:pos="64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Includes (i) other long-term liabilities, (ii) storage, processing and transportation agreements and (iii) non-cancelable commitments related to our capital expansion projects, including projected contributions for our share of the capital spending of our equity-method investments. Excludes a non-current liability of approximately $90 million related to derivative activity included in Crude oil, natural gas, NGL and other purchases.</w:t>
      </w:r>
    </w:p>
    <w:p>
      <w:pPr>
        <w:spacing w:after="0" w:line="181" w:lineRule="exact"/>
        <w:rPr>
          <w:rFonts w:ascii="Arial" w:cs="Arial" w:eastAsia="Arial" w:hAnsi="Arial"/>
          <w:sz w:val="21"/>
          <w:szCs w:val="21"/>
          <w:color w:val="auto"/>
          <w:vertAlign w:val="superscript"/>
        </w:rPr>
      </w:pPr>
    </w:p>
    <w:p>
      <w:pPr>
        <w:ind w:left="660" w:right="220" w:hanging="652"/>
        <w:spacing w:after="0" w:line="249" w:lineRule="auto"/>
        <w:tabs>
          <w:tab w:leader="none" w:pos="648"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March 2015.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of crude oil, NGL and natural gas. Additionally, we issue letters of credit to support insurance programs and construction activities. At March 31, 2015 and December 31, 2014, we had outstanding letters of credit of approximately $83 million and $87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2014 Annual Report on Form 10-K.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25" w:lineRule="exact"/>
        <w:rPr>
          <w:rFonts w:ascii="Arial" w:cs="Arial" w:eastAsia="Arial" w:hAnsi="Arial"/>
          <w:sz w:val="18"/>
          <w:szCs w:val="18"/>
          <w:color w:val="auto"/>
        </w:rPr>
      </w:pPr>
    </w:p>
    <w:p>
      <w:pPr>
        <w:ind w:left="980" w:right="220" w:hanging="324"/>
        <w:spacing w:after="0" w:line="259"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ectPr>
          <w:pgSz w:w="11900" w:h="16838" w:orient="portrait"/>
          <w:cols w:equalWidth="0" w:num="1">
            <w:col w:w="11420"/>
          </w:cols>
          <w:pgMar w:left="240" w:top="125" w:right="239" w:bottom="0" w:gutter="0" w:footer="0" w:header="0"/>
          <w:type w:val="continuous"/>
        </w:sectPr>
      </w:pPr>
    </w:p>
    <w:bookmarkStart w:id="28" w:name="page29"/>
    <w:bookmarkEnd w:id="28"/>
    <w:p>
      <w:pPr>
        <w:spacing w:after="0" w:line="36"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80" w:hanging="324"/>
        <w:spacing w:after="0" w:line="308" w:lineRule="auto"/>
        <w:tabs>
          <w:tab w:leader="none" w:pos="944" w:val="left"/>
        </w:tabs>
        <w:numPr>
          <w:ilvl w:val="0"/>
          <w:numId w:val="30"/>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300" w:hanging="324"/>
        <w:spacing w:after="0" w:line="342" w:lineRule="auto"/>
        <w:tabs>
          <w:tab w:leader="none" w:pos="94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right="12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right="4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20" w:hanging="324"/>
        <w:spacing w:after="0" w:line="308" w:lineRule="auto"/>
        <w:tabs>
          <w:tab w:leader="none" w:pos="9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2014 Annual Report on Form 10-K. Except as required by applicable securities laws, we do not intend to update these forward-looking statements and information.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ectPr>
          <w:pgSz w:w="11900" w:h="16874" w:orient="portrait"/>
          <w:cols w:equalWidth="0" w:num="1">
            <w:col w:w="11400"/>
          </w:cols>
          <w:pgMar w:left="240" w:top="125" w:right="259" w:bottom="0" w:gutter="0" w:footer="0" w:header="0"/>
        </w:sectPr>
      </w:pPr>
    </w:p>
    <w:bookmarkStart w:id="29" w:name="page30"/>
    <w:bookmarkEnd w:id="29"/>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200"/>
        <w:spacing w:after="0" w:line="312" w:lineRule="auto"/>
        <w:rPr>
          <w:sz w:val="20"/>
          <w:szCs w:val="20"/>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47" w:lineRule="exact"/>
        <w:rPr>
          <w:sz w:val="20"/>
          <w:szCs w:val="20"/>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jc w:val="both"/>
        <w:ind w:left="980" w:right="26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3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2015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Price 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3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Natural gas</w:t>
            </w:r>
          </w:p>
        </w:tc>
        <w:tc>
          <w:tcPr>
            <w:tcW w:w="3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31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180" w:type="dxa"/>
            <w:vAlign w:val="bottom"/>
            <w:vMerge w:val="restart"/>
          </w:tcPr>
          <w:p>
            <w:pPr>
              <w:jc w:val="right"/>
              <w:ind w:right="750"/>
              <w:spacing w:after="0"/>
              <w:rPr>
                <w:sz w:val="20"/>
                <w:szCs w:val="20"/>
                <w:color w:val="auto"/>
              </w:rPr>
            </w:pPr>
            <w:r>
              <w:rPr>
                <w:rFonts w:ascii="Arial" w:cs="Arial" w:eastAsia="Arial" w:hAnsi="Arial"/>
                <w:sz w:val="18"/>
                <w:szCs w:val="18"/>
                <w:color w:val="auto"/>
              </w:rPr>
              <w:t>41</w:t>
            </w: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6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We did not have any variable rate debt outstanding as of March 31, 2015. The average interest rate on variable rate debt that was outstanding during the three months ended March 31, 2015 was 0.4%, based upon rates in effect during such period. The fair value of our interest rate derivatives is a liability of $144 million as of March 31, 2015. A 10% increase in the forward LIBOR curve as of March 31, 2015 would result in an increase of $57 million to the fair value of our interest rate derivatives. A 10% decrease in the forward LIBOR curve as of March 31, 2015 would result in a decrease of $57 million to the fair value of our interest rate derivatives. See Note 8 to our Condensed Consolidated Financial Statements for a discussion of our interest rate risk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$4 million as of March 31, 2015. A 10% increase in the exchange rate (USD-to-CAD) would result in a decrease of $15 million to the fair value of our foreign currency derivatives. A 10% decrease in the exchange rate (USD-to-CAD) would result in an increase of $15 million to the fair value of our foreign currency derivatives. See Note 8 to our Condensed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ectPr>
          <w:pgSz w:w="11900" w:h="16838" w:orient="portrait"/>
          <w:cols w:equalWidth="0" w:num="1">
            <w:col w:w="11460"/>
          </w:cols>
          <w:pgMar w:left="240" w:top="341" w:right="199" w:bottom="0" w:gutter="0" w:footer="0" w:header="0"/>
        </w:sectPr>
      </w:pPr>
    </w:p>
    <w:bookmarkStart w:id="30" w:name="page31"/>
    <w:bookmarkEnd w:id="30"/>
    <w:p>
      <w:pPr>
        <w:ind w:right="14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2015,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2015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10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its sole member</w:t>
      </w:r>
    </w:p>
    <w:p>
      <w:pPr>
        <w:spacing w:after="0" w:line="211"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its general partner</w:t>
      </w:r>
    </w:p>
    <w:p>
      <w:pPr>
        <w:sectPr>
          <w:pgSz w:w="11900" w:h="16838" w:orient="portrait"/>
          <w:cols w:equalWidth="0" w:num="1">
            <w:col w:w="11380"/>
          </w:cols>
          <w:pgMar w:left="240" w:top="125" w:right="279" w:bottom="0" w:gutter="0" w:footer="0" w:header="0"/>
        </w:sectPr>
      </w:pPr>
    </w:p>
    <w:bookmarkStart w:id="31" w:name="page32"/>
    <w:bookmarkEnd w:id="3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20" w:type="dxa"/>
            <w:vAlign w:val="bottom"/>
          </w:tcPr>
          <w:p>
            <w:pPr>
              <w:ind w:left="38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L. Armstrong</w:t>
            </w:r>
          </w:p>
        </w:tc>
        <w:tc>
          <w:tcPr>
            <w:tcW w:w="40" w:type="dxa"/>
            <w:vAlign w:val="bottom"/>
          </w:tcPr>
          <w:p>
            <w:pPr>
              <w:spacing w:after="0"/>
              <w:rPr>
                <w:sz w:val="20"/>
                <w:szCs w:val="20"/>
                <w:color w:val="auto"/>
              </w:rPr>
            </w:pPr>
          </w:p>
        </w:tc>
      </w:tr>
      <w:tr>
        <w:trPr>
          <w:trHeight w:val="195"/>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b w:val="1"/>
                <w:bCs w:val="1"/>
                <w:color w:val="auto"/>
              </w:rPr>
              <w:t>Greg L. Armstrong,</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w w:val="96"/>
              </w:rPr>
              <w:t>Chairman of the Board, Chief Executive Officer and Director of</w:t>
            </w: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Plains All American GP LLC</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May 8, 2015</w:t>
            </w:r>
          </w:p>
        </w:tc>
        <w:tc>
          <w:tcPr>
            <w:tcW w:w="4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20" w:type="dxa"/>
            <w:vAlign w:val="bottom"/>
          </w:tcPr>
          <w:p>
            <w:pPr>
              <w:ind w:left="38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b w:val="1"/>
                <w:bCs w:val="1"/>
                <w:color w:val="auto"/>
              </w:rPr>
              <w:t>Al Swanson,</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w w:val="93"/>
              </w:rPr>
              <w:t>Executive Vice President and Chief Financial Officer of Plains All</w:t>
            </w: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American GP LLC</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May 8, 2015</w:t>
            </w:r>
          </w:p>
        </w:tc>
        <w:tc>
          <w:tcPr>
            <w:tcW w:w="4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20" w:type="dxa"/>
            <w:vAlign w:val="bottom"/>
          </w:tcPr>
          <w:p>
            <w:pPr>
              <w:ind w:left="38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Herbold</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b w:val="1"/>
                <w:bCs w:val="1"/>
                <w:color w:val="auto"/>
              </w:rPr>
              <w:t>Chris Herbold,</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w w:val="88"/>
              </w:rPr>
              <w:t>Vice President —Accounting and Chief Accounting Officer of Plains</w:t>
            </w: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All American GP LLC</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(Principal Accounting Officer)</w:t>
            </w:r>
          </w:p>
        </w:tc>
        <w:tc>
          <w:tcPr>
            <w:tcW w:w="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May 8, 2015</w:t>
            </w:r>
          </w:p>
        </w:tc>
        <w:tc>
          <w:tcPr>
            <w:tcW w:w="4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20" w:type="dxa"/>
            <w:vAlign w:val="bottom"/>
          </w:tcPr>
          <w:p>
            <w:pPr>
              <w:ind w:left="3800"/>
              <w:spacing w:after="0"/>
              <w:rPr>
                <w:sz w:val="20"/>
                <w:szCs w:val="20"/>
                <w:color w:val="auto"/>
              </w:rPr>
            </w:pPr>
            <w:r>
              <w:rPr>
                <w:rFonts w:ascii="Arial" w:cs="Arial" w:eastAsia="Arial" w:hAnsi="Arial"/>
                <w:sz w:val="18"/>
                <w:szCs w:val="18"/>
                <w:color w:val="auto"/>
              </w:rPr>
              <w:t>44</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80" w:type="dxa"/>
            <w:vAlign w:val="bottom"/>
            <w:gridSpan w:val="2"/>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4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0" w:type="dxa"/>
            <w:vAlign w:val="bottom"/>
            <w:gridSpan w:val="2"/>
          </w:tcPr>
          <w:p>
            <w:pPr>
              <w:ind w:left="32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2"/>
              </w:rPr>
              <w:t>Fourth Amended and Restated Agreement of Limited Partnership of Plains All American Pipeline, L.P. dated as of May 17, 2012</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rPr>
              <w:t>(incorporated by reference to Exhibit 3.1 to our Current Report on Form 8-K filed May 23, 2012).</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3"/>
              </w:rPr>
              <w:t>Amendment No. 1 dated October 1, 2012 to the Fourth Amended and Restated Agreement of Limited Partnership of Plains All</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6"/>
              </w:rPr>
              <w:t>American Pipeline, L.P. (incorporated by reference to Exhibit 3.1 to our Current Report on Form 8-K filed October 2, 2012).</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1"/>
              </w:rPr>
              <w:t>Amendment No. 2 dated December 31, 2013 to the Fourth Amended and Restated Agreement of Limited Partnership of Plains All</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3"/>
              </w:rPr>
              <w:t>American Pipeline, L.P. (incorporated by reference to Exhibit 3.1 to our Current Report on Form 8-K filed December 31, 2013).</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2"/>
              </w:rPr>
              <w:t>Third Amended and Restated Agreement of Limited Partnership of Plains Marketing, L.P. dated as of April 1, 2004 (incorporated</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rPr>
              <w:t>by reference to Exhibit 3.2 to our Quarterly Report on Form 10-Q for the quarter ended March 31, 2004).</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4"/>
              </w:rPr>
              <w:t>Amendment No. 1 dated December 31, 2010 to the Third Amended and Restated Agreement of Limited Partnership of Plains</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3"/>
              </w:rPr>
              <w:t>Marketing, L.P. (incorporated by reference to Exhibit 3.9 to our Annual Report on Form 10-K for the year ended December 31,</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2010).</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7"/>
              </w:rPr>
              <w:t>Amendment No. 2 dated January 1, 2011 to the Third Amended and Restated Agreement of Limited Partnership of Plains</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2"/>
              </w:rPr>
              <w:t>Marketing, L.P. (incorporated by reference to Exhibit 3.10 to our Annual Report on Form 10-K for the year ended December 31,</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2010).</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8"/>
              </w:rPr>
              <w:t>Amendment No. 3 dated June 30, 2011 to the Third Amended and Restated Agreement of Limited Partnership of Plains</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3"/>
              </w:rPr>
              <w:t>Marketing, L.P. (incorporated by reference to Exhibit 3.7 to our Annual Report on Form 10-K for the year ended December 31,</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2013).</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7"/>
              </w:rPr>
              <w:t>Amendment No. 4 dated January 1, 2013 to the Third Amended and Restated Agreement of Limited Partnership of Plains</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4"/>
              </w:rPr>
              <w:t>Marketing, L.P (incorporated by reference to Exhibit 3.8 to our Annual Report on Form 10-K for the year ended December 31,</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2013).</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1"/>
              </w:rPr>
              <w:t>Third Amended and Restated Agreement of Limited Partnership of Plains Pipeline, L.P. dated as of April 1, 2004 (incorporated by</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rPr>
              <w:t>reference to Exhibit 3.3 to our Quarterly Report on Form 10-Q for the quarter ended March 31, 2004).</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7"/>
              </w:rPr>
              <w:t>Amendment No. 1 dated January 1, 2013 to the Third Amended and Restated Agreement of Limited Partnership of Plains</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4"/>
              </w:rPr>
              <w:t>Pipeline, L.P. (incorporated by reference to Exhibit 3.10 to our Annual Report on Form 10-K for the year ended December 31,</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2013).</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5"/>
              </w:rPr>
              <w:t>Sixth Amended and Restated Limited Liability Company Agreement of Plains All American GP LLC dated October 21, 2013</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rPr>
              <w:t>(incorporated by reference to Exhibit 3.2 to our Current Report on Form 8-K filed October 25, 2013).</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4"/>
              </w:rPr>
              <w:t>Seventh Amended and Restated Limited Partnership Agreement of Plains AAP, L.P. dated October 21, 2013 (incorporated by</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rPr>
              <w:t>reference to Exhibit 3.1 to our Current Report on Form 8-K filed October 25, 2013).</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3"/>
              </w:rPr>
              <w:t>Amendment No. 1 dated December 31, 2013 to the Seventh Amended and Restated Limited Partnership Agreement of Plains</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rPr>
              <w:t>AAP, L.P. (incorporated by reference to Exhibit 3.2 to our Current Report on Form 8-K filed December 31, 2013).</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gridSpan w:val="2"/>
          </w:tcPr>
          <w:p>
            <w:pPr>
              <w:ind w:left="180"/>
              <w:spacing w:after="0"/>
              <w:rPr>
                <w:sz w:val="20"/>
                <w:szCs w:val="20"/>
                <w:color w:val="auto"/>
              </w:rPr>
            </w:pPr>
            <w:r>
              <w:rPr>
                <w:rFonts w:ascii="Arial" w:cs="Arial" w:eastAsia="Arial" w:hAnsi="Arial"/>
                <w:sz w:val="18"/>
                <w:szCs w:val="18"/>
                <w:color w:val="auto"/>
                <w:w w:val="91"/>
              </w:rPr>
              <w:t>Certificate of Incorporation of PAA Finance Corp (f/k/a Pacific Energy Finance Corporation, successor-by-merger to PAA Finance</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-6973570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-6973570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25" w:right="199" w:bottom="0" w:gutter="0" w:footer="0" w:header="0"/>
        </w:sectPr>
      </w:pPr>
    </w:p>
    <w:bookmarkStart w:id="32" w:name="page33"/>
    <w:bookmarkEnd w:id="3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4"/>
              </w:rPr>
              <w:t>Corp.) (incorporated by reference to Exhibit 3.10 to our Annual Report on Form 10-K for the year ended December 31, 2006).</w:t>
            </w: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40" w:type="dxa"/>
            <w:vAlign w:val="bottom"/>
          </w:tcPr>
          <w:p>
            <w:pPr>
              <w:ind w:left="3800"/>
              <w:spacing w:after="0"/>
              <w:rPr>
                <w:sz w:val="20"/>
                <w:szCs w:val="20"/>
                <w:color w:val="auto"/>
              </w:rPr>
            </w:pPr>
            <w:r>
              <w:rPr>
                <w:rFonts w:ascii="Arial" w:cs="Arial" w:eastAsia="Arial" w:hAnsi="Arial"/>
                <w:sz w:val="18"/>
                <w:szCs w:val="18"/>
                <w:color w:val="auto"/>
              </w:rPr>
              <w:t>45</w:t>
            </w:r>
          </w:p>
        </w:tc>
      </w:tr>
      <w:tr>
        <w:trPr>
          <w:trHeight w:val="132"/>
        </w:trPr>
        <w:tc>
          <w:tcPr>
            <w:tcW w:w="1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40" w:type="dxa"/>
            <w:vAlign w:val="bottom"/>
            <w:tcBorders>
              <w:bottom w:val="single" w:sz="8" w:color="010101"/>
            </w:tcBorders>
          </w:tcPr>
          <w:p>
            <w:pPr>
              <w:spacing w:after="0"/>
              <w:rPr>
                <w:sz w:val="11"/>
                <w:szCs w:val="11"/>
                <w:color w:val="auto"/>
              </w:rPr>
            </w:pPr>
          </w:p>
        </w:tc>
      </w:tr>
      <w:tr>
        <w:trPr>
          <w:trHeight w:val="523"/>
        </w:trPr>
        <w:tc>
          <w:tcPr>
            <w:tcW w:w="1380" w:type="dxa"/>
            <w:vAlign w:val="bottom"/>
            <w:gridSpan w:val="2"/>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44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Bylaws of PAA Finance Corp (f/k/a Pacific Energy Finance Corporation, successor-by-merger to PAA Finance Corp.)</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(incorporated by reference to Exhibit 3.11 to our Annual Report on Form 10-K for the year ended December 31,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Limited Liability Company Agreement of PAA GP LLC dated December 28, 2007 (incorporated by reference to Exhibit 3.3 to our</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1"/>
              </w:rPr>
              <w:t>Indenture dated September 25, 2002 among Plains All American Pipeline, L.P., PAA Finance Corp. and Wachovia Bank, National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5"/>
              </w:rPr>
              <w:t>Association, as trustee (incorporated by reference to Exhibit 4.1 to our Quarterly Report on Form 10-Q for the quarter ended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September 30,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Fourth Supplemental Indenture (Series A and Series B 5.875% Senior Notes due 2016) dated August 12, 2004 among Plains All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as trustee (incorporated by reference to Exhibit 4.5 to our Registration Statement on Form S-4, File No. 333-121168).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7"/>
              </w:rPr>
              <w:t>Fifth Supplemental Indenture (Series A and Series B 5.25% Senior Notes due 2015) dated May 27, 2005 among Plains All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as trustee (incorporated by reference to Exhibit 4.1 to our Current Report on Form 8-K filed May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6"/>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as trustee (incorporated by reference to Exhibit 4.1 to our Current Report on Form 8-K filed May 12,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trustee (incorporated by reference to Exhibit 4.1 to our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trustee (incorporated by reference to Exhibit 4.2 to our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Thirteenth Supplemental Indenture (Series A and Series B 6.50% Senior Notes due 2018) dated April 23, 2008 among Plains All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trustee (incorporated by reference to Exhibit 4.1 to our Current Report on Form 8-K filed April 23,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Fifteenth Supplemental Indenture (8.75% Senior Notes due 2019) dated April 20, 2009 among Plains All American Pipeline, L.P.,</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3"/>
              </w:rPr>
              <w:t>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reference to Exhibit 4.1 to our Current Report on Form 8-K filed April 20,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6"/>
              </w:rPr>
              <w:t>Seventeenth Supplemental Indenture (5.75% Senior Notes due 2020) dated September 4, 2009 among Plains All American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5"/>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(incorporated by reference to Exhibit 4.1 to our Current Report on Form 8-K filed September 4,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0"/>
              </w:rPr>
              <w:t>Eighteenth Supplemental Indenture (3.95% Senior Notes due 2015) dated July 14, 2010 among Plains All American Pipeline, L.P.,</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3"/>
              </w:rPr>
              <w:t>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reference to Exhibit 4.1 to our Current Report on Form 8-K filed July 13, 2010).</w:t>
            </w: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40" w:type="dxa"/>
            <w:vAlign w:val="bottom"/>
          </w:tcPr>
          <w:p>
            <w:pPr>
              <w:ind w:left="3800"/>
              <w:spacing w:after="0"/>
              <w:rPr>
                <w:sz w:val="20"/>
                <w:szCs w:val="20"/>
                <w:color w:val="auto"/>
              </w:rPr>
            </w:pPr>
            <w:r>
              <w:rPr>
                <w:rFonts w:ascii="Arial" w:cs="Arial" w:eastAsia="Arial" w:hAnsi="Arial"/>
                <w:sz w:val="18"/>
                <w:szCs w:val="18"/>
                <w:color w:val="auto"/>
              </w:rPr>
              <w:t>46</w:t>
            </w:r>
          </w:p>
        </w:tc>
      </w:tr>
      <w:tr>
        <w:trPr>
          <w:trHeight w:val="132"/>
        </w:trPr>
        <w:tc>
          <w:tcPr>
            <w:tcW w:w="1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40" w:type="dxa"/>
            <w:vAlign w:val="bottom"/>
            <w:tcBorders>
              <w:bottom w:val="single" w:sz="8" w:color="010101"/>
            </w:tcBorders>
          </w:tcPr>
          <w:p>
            <w:pPr>
              <w:spacing w:after="0"/>
              <w:rPr>
                <w:sz w:val="11"/>
                <w:szCs w:val="11"/>
                <w:color w:val="auto"/>
              </w:rPr>
            </w:pPr>
          </w:p>
        </w:tc>
      </w:tr>
      <w:tr>
        <w:trPr>
          <w:trHeight w:val="523"/>
        </w:trPr>
        <w:tc>
          <w:tcPr>
            <w:tcW w:w="1380" w:type="dxa"/>
            <w:vAlign w:val="bottom"/>
            <w:gridSpan w:val="2"/>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44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1"/>
              </w:rPr>
              <w:t>Nineteenth Supplemental Indenture (5.00% Senior Notes due 2021) dated January 14, 2011 among Plains All American Pipeline,</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L.P., PAA Finance Corp., the Subsidiary Guarantors named therein and U.S. Bank National Association, as trustee (incorporated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by reference to Exhibit 4.1 to our Current Report on Form 8-K filed January 11,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3"/>
              </w:rPr>
              <w:t>Twentieth Supplemental Indenture (3.65% Senior Notes due 2022) dated March 22, 2012 among Plains All American Pipeline,</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L.P., PAA Finance Corp. and U.S. Bank National Association, as trustee (incorporated by reference to Exhibit 4.1 to our Current</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1"/>
              </w:rPr>
              <w:t>Twenty-First Supplemental Indenture (5.15% Senior Notes due 2042) dated March 22, 2012 among Plains All American Pipeline,</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L.P., PAA Finance Corp. and U.S. Bank National Association, as trustee (incorporated by reference to Exhibit 4.3 to our Current</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4"/>
              </w:rPr>
              <w:t>Twenty-Second Supplemental Indenture (2.85% Senior Notes due 2023) dated December 10, 2012, by and among Plains All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Exhibit 4.1 to our Current Report on Form 8-K filed December 12,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6"/>
              </w:rPr>
              <w:t>Twenty-Third Supplemental Indenture (4.30% Senior Notes due 2043) dated December 10, 2012, by and among Plains All</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-10034905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-10034905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-2994660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-2994660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Exhibit 4.3 to our Current Report on Form 8-K filed December 12, 2012).</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4.16</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8"/>
              </w:rPr>
              <w:t>Twenty-Fourth Supplemental Indenture (3.85% Senior Notes due 2023) dated August 15, 2013,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Exhibit 4.1 to our Current Report on Form 8-K filed August 15, 2013).</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4.17</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4"/>
              </w:rPr>
              <w:t>Twenty-Fifth Supplemental Indenture (4.70% Senior Notes due 2044) dated April 23, 2014, by and among Plains All American</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Current Report on Form 8-K filed April 29,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4.18</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7"/>
              </w:rPr>
              <w:t>Twenty-Sixth Supplemental Indenture (3.60% Senior Notes due 2024) dated September 9, 2014,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Exhibit 4.1 to our Current Report on Form 8-K filed September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4.19</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5"/>
              </w:rPr>
              <w:t>Twenty-Seventh Supplemental Indenture (2.60% Senior Notes due 2019) dated December 9, 2014,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4.20</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6"/>
              </w:rPr>
              <w:t>Twenty-Eighth Supplemental Indenture (4.90% Senior Notes due 2045) dated December 9, 2014,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Exhibit 4.3 to our Current Report on Form 8-K filed December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4.21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5"/>
              </w:rPr>
              <w:t>Registration Rights Agreement dated September 3, 2009 by and between Plains All American Pipeline, L.P. and Vulcan Gas</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8"/>
              </w:rPr>
              <w:t>Storage LLC (incorporated by reference to Exhibit 4.1 to our Registration Statement on Form S-3, File No. 333-162477).</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w w:val="95"/>
              </w:rPr>
              <w:t>364-Day Credit Agreement dated January 16, 2015 among Plains All American Pipeline, L.P., as Borrower; Bank of America,</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3"/>
              </w:rPr>
              <w:t>N.A., as Administrative Agent; Citibank, N.A., JPMorgan Chase Bank N.A. and Wells Fargo Bank, National Association, as Co-</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Syndication Agents; DNB Bank ASA, New York Branch and Mizuho Bank, Ltd., as Co-Documentation Agents; the other Lenders</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5"/>
              </w:rPr>
              <w:t>party thereto; and Merrill Lynch, Pierce, Fenner &amp; Smith Incorporated, Citigroup Global Markets Inc., DNB Markets, Inc., J.P.</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5"/>
              </w:rPr>
              <w:t>Morgan Securities LLC, Mizuho Bank, Ltd. and Wells Fargo Securities, LLC, as Joint Lead Arrangers and Joint Bookrunners</w:t>
            </w:r>
          </w:p>
        </w:tc>
      </w:t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10.1 to our Current Report on Form 8-K filed January 20, 2015).</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12.1</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40" w:type="dxa"/>
            <w:vAlign w:val="bottom"/>
          </w:tcPr>
          <w:p>
            <w:pPr>
              <w:ind w:left="3800"/>
              <w:spacing w:after="0"/>
              <w:rPr>
                <w:sz w:val="20"/>
                <w:szCs w:val="20"/>
                <w:color w:val="auto"/>
              </w:rPr>
            </w:pPr>
            <w:r>
              <w:rPr>
                <w:rFonts w:ascii="Arial" w:cs="Arial" w:eastAsia="Arial" w:hAnsi="Arial"/>
                <w:sz w:val="18"/>
                <w:szCs w:val="18"/>
                <w:color w:val="auto"/>
              </w:rPr>
              <w:t>47</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40" w:type="dxa"/>
            <w:vAlign w:val="bottom"/>
            <w:tcBorders>
              <w:bottom w:val="single" w:sz="8" w:color="010101"/>
            </w:tcBorders>
          </w:tcPr>
          <w:p>
            <w:pPr>
              <w:spacing w:after="0"/>
              <w:rPr>
                <w:sz w:val="11"/>
                <w:szCs w:val="11"/>
                <w:color w:val="auto"/>
              </w:rPr>
            </w:pPr>
          </w:p>
        </w:tc>
      </w:tr>
      <w:tr>
        <w:trPr>
          <w:trHeight w:val="523"/>
        </w:trPr>
        <w:tc>
          <w:tcPr>
            <w:tcW w:w="1380" w:type="dxa"/>
            <w:vAlign w:val="bottom"/>
            <w:gridSpan w:val="3"/>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44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453"/>
        </w:trPr>
        <w:tc>
          <w:tcPr>
            <w:tcW w:w="3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1"/>
              </w:rPr>
              <w:t>32.1</w:t>
            </w:r>
          </w:p>
        </w:tc>
        <w:tc>
          <w:tcPr>
            <w:tcW w:w="940" w:type="dxa"/>
            <w:vAlign w:val="bottom"/>
            <w:tcBorders>
              <w:top w:val="single" w:sz="8" w:color="0000EE"/>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580"/>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36"/>
                <w:szCs w:val="36"/>
                <w:color w:val="auto"/>
                <w:vertAlign w:val="superscript"/>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36"/>
                <w:szCs w:val="36"/>
                <w:color w:val="auto"/>
                <w:vertAlign w:val="superscript"/>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36"/>
                <w:szCs w:val="36"/>
                <w:color w:val="auto"/>
                <w:vertAlign w:val="superscript"/>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36"/>
                <w:szCs w:val="36"/>
                <w:color w:val="auto"/>
                <w:vertAlign w:val="superscript"/>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36"/>
                <w:szCs w:val="36"/>
                <w:color w:val="auto"/>
                <w:vertAlign w:val="superscript"/>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471"/>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36"/>
                <w:szCs w:val="36"/>
                <w:color w:val="auto"/>
                <w:vertAlign w:val="superscript"/>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4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-2701290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-2701290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36"/>
          <w:szCs w:val="36"/>
          <w:color w:val="auto"/>
          <w:vertAlign w:val="superscript"/>
        </w:rPr>
      </w:pPr>
      <w:r>
        <w:rPr>
          <w:rFonts w:ascii="Arial" w:cs="Arial" w:eastAsia="Arial" w:hAnsi="Arial"/>
          <w:sz w:val="18"/>
          <w:szCs w:val="18"/>
          <w:color w:val="auto"/>
        </w:rPr>
        <w:t>Filed herewith.</w:t>
      </w:r>
    </w:p>
    <w:p>
      <w:pPr>
        <w:spacing w:after="0" w:line="18"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36"/>
          <w:szCs w:val="36"/>
          <w:color w:val="auto"/>
          <w:vertAlign w:val="superscript"/>
        </w:rPr>
      </w:pPr>
      <w:r>
        <w:rPr>
          <w:rFonts w:ascii="Arial" w:cs="Arial" w:eastAsia="Arial" w:hAnsi="Arial"/>
          <w:sz w:val="18"/>
          <w:szCs w:val="18"/>
          <w:color w:val="auto"/>
        </w:rPr>
        <w:t>Furnished herewith.</w:t>
      </w:r>
    </w:p>
    <w:p>
      <w:pPr>
        <w:sectPr>
          <w:pgSz w:w="11900" w:h="16838" w:orient="portrait"/>
          <w:cols w:equalWidth="0" w:num="1">
            <w:col w:w="11460"/>
          </w:cols>
          <w:pgMar w:left="240" w:top="125" w:right="199" w:bottom="1440"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6"/>
            <w:vMerge w:val="restart"/>
          </w:tcPr>
          <w:p>
            <w:pPr>
              <w:jc w:val="right"/>
              <w:ind w:right="15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6"/>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operations before noncontrolling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interests and income from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263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1,449</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1,426</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160"/>
              <w:spacing w:after="0" w:line="201" w:lineRule="exact"/>
              <w:rPr>
                <w:sz w:val="20"/>
                <w:szCs w:val="20"/>
                <w:color w:val="auto"/>
              </w:rPr>
            </w:pPr>
            <w:r>
              <w:rPr>
                <w:rFonts w:ascii="Arial" w:cs="Arial" w:eastAsia="Arial" w:hAnsi="Arial"/>
                <w:sz w:val="18"/>
                <w:szCs w:val="18"/>
                <w:color w:val="auto"/>
              </w:rPr>
              <w:t>add: Distributed income of equity</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76"/>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160"/>
              <w:spacing w:after="0" w:line="201" w:lineRule="exact"/>
              <w:rPr>
                <w:sz w:val="20"/>
                <w:szCs w:val="20"/>
                <w:color w:val="auto"/>
              </w:rPr>
            </w:pPr>
            <w:r>
              <w:rPr>
                <w:rFonts w:ascii="Arial" w:cs="Arial" w:eastAsia="Arial" w:hAnsi="Arial"/>
                <w:sz w:val="18"/>
                <w:szCs w:val="18"/>
                <w:color w:val="auto"/>
                <w:w w:val="98"/>
              </w:rPr>
              <w:t>Portion of rent expense related to interest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360"/>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RATIO OF EARNINGS TO FIXED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line="234" w:lineRule="exact"/>
              <w:rPr>
                <w:sz w:val="20"/>
                <w:szCs w:val="20"/>
                <w:color w:val="auto"/>
              </w:rPr>
            </w:pPr>
            <w:r>
              <w:rPr>
                <w:rFonts w:ascii="Arial" w:cs="Arial" w:eastAsia="Arial" w:hAnsi="Arial"/>
                <w:sz w:val="18"/>
                <w:szCs w:val="18"/>
                <w:b w:val="1"/>
                <w:bCs w:val="1"/>
                <w:color w:val="auto"/>
              </w:rPr>
              <w:t xml:space="preserve">CHARGES </w:t>
            </w:r>
            <w:r>
              <w:rPr>
                <w:rFonts w:ascii="Arial" w:cs="Arial" w:eastAsia="Arial" w:hAnsi="Arial"/>
                <w:sz w:val="23"/>
                <w:szCs w:val="23"/>
                <w:b w:val="1"/>
                <w:bCs w:val="1"/>
                <w:color w:val="auto"/>
                <w:vertAlign w:val="superscript"/>
              </w:rPr>
              <w:t>(3)</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3.28x</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4.30x</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4.41x</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4.03x</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4.13x</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60" w:hanging="11"/>
        <w:spacing w:after="0" w:line="279" w:lineRule="auto"/>
        <w:rPr>
          <w:sz w:val="20"/>
          <w:szCs w:val="20"/>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71" w:lineRule="exact"/>
        <w:rPr>
          <w:sz w:val="20"/>
          <w:szCs w:val="20"/>
          <w:color w:val="auto"/>
        </w:rPr>
      </w:pPr>
    </w:p>
    <w:p>
      <w:pPr>
        <w:ind w:left="20" w:right="200" w:hanging="11"/>
        <w:spacing w:after="0" w:line="342" w:lineRule="auto"/>
        <w:rPr>
          <w:sz w:val="20"/>
          <w:szCs w:val="20"/>
          <w:color w:val="auto"/>
        </w:rPr>
      </w:pPr>
      <w:r>
        <w:rPr>
          <w:rFonts w:ascii="Arial" w:cs="Arial" w:eastAsia="Arial" w:hAnsi="Arial"/>
          <w:sz w:val="16"/>
          <w:szCs w:val="16"/>
          <w:color w:val="auto"/>
        </w:rPr>
        <w:t>Includes interest costs attributable to borrowings for hedged inventory purchases of $1 million for the three months ended March 31, 2015 and $12 million, $30 million, $12 million, $20 million and $17 million for the years ended December 31, 2014, 2013, 2012, 2011 and 2010,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121" w:right="2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2015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2015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1)"/>
      <w:numFmt w:val="lowerRoman"/>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lowerRoman"/>
      <w:start w:val="2"/>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3"/>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3"/>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Roman"/>
      <w:start w:val="2"/>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lvl w:ilvl="1">
      <w:lvlJc w:val="left"/>
      <w:lvlText w:val="(%2)"/>
      <w:numFmt w:val="decimal"/>
      <w:start w:val="1"/>
    </w:lvl>
  </w:abstractNum>
  <w:abstractNum w:abstractNumId="25">
    <w:nsid w:val="5072367"/>
    <w:multiLevelType w:val="hybridMultilevel"/>
    <w:lvl w:ilvl="0">
      <w:lvlJc w:val="left"/>
      <w:lvlText w:val="(%1)"/>
      <w:numFmt w:val="lowerRoman"/>
      <w:start w:val="5"/>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3"/>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2020-01-23T12:10:43Z</dcterms:created>
  <dcterms:modified xsi:type="dcterms:W3CDTF">2020-01-23T12:10:43Z</dcterms:modified>
</cp:coreProperties>
</file>