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9, 2024</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59690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February 9, 2024, the Registrant issued a press release reporting its fourth-quarter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February 9, 2024</w:t>
            </w:r>
          </w:p>
        </w:tc>
        <w:tc>
          <w:tcPr>
            <w:tcW w:w="4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500"/>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448310</wp:posOffset>
            </wp:positionV>
            <wp:extent cx="205740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Fourth-Quarter and Full-Year 2023 Results;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Announces 2024 Guidance</w:t>
      </w:r>
    </w:p>
    <w:p>
      <w:pPr>
        <w:spacing w:after="0" w:line="22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Houston, TX – February 9, 2024 – Plains All American Pipeline, L.P. (Nasdaq: PAA) and Plains GP Holdings (Nasdaq: PAGP) today reported fourth-quarter and full-year 2023 results, announced 2024 guidance and provided the following highlights: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Highlights</w:t>
      </w:r>
    </w:p>
    <w:p>
      <w:pPr>
        <w:spacing w:after="0" w:line="256" w:lineRule="exact"/>
        <w:rPr>
          <w:sz w:val="20"/>
          <w:szCs w:val="20"/>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Fourth-quarter and full-year 2023 Net income attributable to PAA of $312 million and $1.23 billion, respectively, and 2023 Net cash provided by operating activities of $1.01 billion and $2.73 billion, respectively</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strong fourth-quarter and full-year 2023 Adjusted EBITDA attributable to PAA above the top-end of guidance with $737 million and $2.71 billion, respectively</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full-year 2023 Adjusted Free Cash Flow (excluding changes in Assets &amp; Liabilities) of $1.60 billion and achieved year-end leverage of 3.1x</w:t>
      </w:r>
    </w:p>
    <w:p>
      <w:pPr>
        <w:spacing w:after="0" w:line="18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on commitment to increase cash return to equity holders by increasing distributions $0.20 per unit annualized in February 2023, representing a 23% aggregate increase in the annualized distribution versus 2022 levels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graded the asset base through continued portfolio optimization including two asset sales and three bolt-on acquisitions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two credit rating agency upgrades demonstrating progress on deleveraging efforts and our target to achieve BBB credit ratings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Outlook</w:t>
      </w:r>
    </w:p>
    <w:p>
      <w:pPr>
        <w:spacing w:after="0" w:line="27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Expect full-year 2024 Adjusted EBITDA attributable to PAA of $2.625 - $2.725 billion</w:t>
      </w:r>
    </w:p>
    <w:p>
      <w:pPr>
        <w:spacing w:after="0" w:line="242"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Reaffirming leverage ratio target range of 3.25x - 3.75x reflecting commitment to balance sheet strength and flexibility</w:t>
      </w:r>
    </w:p>
    <w:p>
      <w:pPr>
        <w:spacing w:after="0" w:line="252"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approved increasing the annualized common distribution by $0.20 to $1.27 per unit commencing in February 2024, representing a 19% aggregate increase in the annualized distribution versus 2023 levels</w:t>
      </w:r>
    </w:p>
    <w:p>
      <w:pPr>
        <w:spacing w:after="0" w:line="188"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generate approximately $1.65 billion of Adjusted Free Cash Flow (excluding changes in Assets &amp; Liabilities) and $500 million of Adjusted Free Cash Flow after Distributions (excluding changes in Assets &amp; Liabilities)</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focused on disciplined capital investments, anticipating full-year 2024 Investment and Maintenance Capital of +/- $375 million and +/-$230 million, net to PAA, respectively</w:t>
      </w:r>
    </w:p>
    <w:p>
      <w:pPr>
        <w:spacing w:after="0" w:line="189"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“Strong execution in 2023 drove better-than-expected results and allowed us to accelerate progress on our long-term goals and objectives. This included lowering our leverage ratio target range, increasing capital returns to equity holders through increased distributions, and completing multiple win-win strategic transactions in both our Crude Oil and NGL segments,” said Willie Chiang, Chairman and CEO of Plains. “Looking forward to 2024, Plains remains well-positioned to deliver value to our unitholders through our continued focus on generating strong free cash flow, capital discipline, and increasing returns to unitholders all while maintaining our financial flexibility.”</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100" w:hanging="332"/>
        <w:spacing w:after="0" w:line="235"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Reported results for the three and twelve months ended December 31, 2022 include a non-cash asset impairment of $330 million related to our California assets and a non-cash gain on investments in unconsolidated entities of approximately $370 million related to our purchase of an additional interest in the Cactus II pipeline.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9"/>
                <w:szCs w:val="9"/>
                <w:b w:val="1"/>
                <w:bCs w:val="1"/>
                <w:i w:val="1"/>
                <w:iCs w:val="1"/>
                <w:color w:val="auto"/>
              </w:rPr>
              <w:t>(1)</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4"/>
        </w:trPr>
        <w:tc>
          <w:tcPr>
            <w:tcW w:w="51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right w:val="single" w:sz="8" w:color="auto"/>
            </w:tcBorders>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516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&amp;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51"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2" w:lineRule="exact"/>
        <w:rPr>
          <w:rFonts w:ascii="Times New Roman" w:cs="Times New Roman" w:eastAsia="Times New Roman" w:hAnsi="Times New Roman"/>
          <w:sz w:val="22"/>
          <w:szCs w:val="22"/>
          <w:color w:val="auto"/>
          <w:vertAlign w:val="superscript"/>
        </w:rPr>
      </w:pPr>
    </w:p>
    <w:p>
      <w:pPr>
        <w:ind w:left="340" w:right="160" w:hanging="332"/>
        <w:spacing w:after="0" w:line="22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and Red River Pipeline LLC.</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Fourth-quarter 2022 Adjusted Free Cash Flow is impacted by a $230 million payment related to the settlement of a Line 901 class action lawsuit.</w:t>
      </w:r>
    </w:p>
    <w:p>
      <w:pPr>
        <w:spacing w:after="0" w:line="68"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2023</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December 31, 2022</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2"/>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2022 period</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12 %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12 %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2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2023</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Twelve Months Ended December 31, 2022</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518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2022 period</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Fourth-quarter 2023 Crude Oil Segment Adjusted EBITDA increased 12% versus comparable 2022 results primarily due to higher volumes across our pipeline systems, contributions from acquisitions and the benefit of tariff escalation, partially offset by fewer market-based opportunities for our merchant activities.</w:t>
      </w:r>
    </w:p>
    <w:p>
      <w:pPr>
        <w:spacing w:after="0" w:line="20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Fourth-quarter 2023 NGL Segment Adjusted EBITDA increased 12% versus comparable 2022 results primarily due to favorable NGL basis differentials and additional market-based opportunities partially offset by the divestiture of our interest in the KFS facility and increased field operating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February 9, 2024 to discuss fourth-quarter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https://edge.media-server.com/mmc/p/ukgq4wwt/.</w:t>
      </w:r>
    </w:p>
    <w:p>
      <w:pPr>
        <w:spacing w:after="0" w:line="25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w:t>
      </w:r>
    </w:p>
    <w:p>
      <w:pPr>
        <w:spacing w:after="0" w:line="19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6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56,050</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investments in unconsolidated entities, net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$450 and $401, respectively)</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27,355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7,305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17,344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18,503</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 more -</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2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w:t>
            </w: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6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(2) (3)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130" w:lineRule="exact"/>
        <w:rPr>
          <w:sz w:val="20"/>
          <w:szCs w:val="20"/>
          <w:color w:val="auto"/>
        </w:rPr>
      </w:pPr>
    </w:p>
    <w:p>
      <w:pPr>
        <w:ind w:left="340" w:right="20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34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the three and twelve months ended December 31, 2023 and 2022 as the effect was either antidilutive or did not change net income per common unit.</w:t>
      </w:r>
    </w:p>
    <w:p>
      <w:pPr>
        <w:spacing w:after="0" w:line="36" w:lineRule="exact"/>
        <w:rPr>
          <w:rFonts w:ascii="Times New Roman" w:cs="Times New Roman" w:eastAsia="Times New Roman" w:hAnsi="Times New Roman"/>
          <w:sz w:val="23"/>
          <w:szCs w:val="23"/>
          <w:color w:val="auto"/>
          <w:vertAlign w:val="superscript"/>
        </w:rPr>
      </w:pPr>
    </w:p>
    <w:p>
      <w:pPr>
        <w:ind w:left="340" w:right="28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84"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Preferred Distribution Rate Reset Option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(Gains)/losses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162"/>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162"/>
        </w:trPr>
        <w:tc>
          <w:tcPr>
            <w:tcW w:w="8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162"/>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62"/>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62"/>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r>
      <w:tr>
        <w:trPr>
          <w:trHeight w:val="131"/>
        </w:trPr>
        <w:tc>
          <w:tcPr>
            <w:tcW w:w="35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9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6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5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3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6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 millions, except per unit and ratio data)</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176"/>
        </w:trPr>
        <w:tc>
          <w:tcPr>
            <w:tcW w:w="6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 PAA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6"/>
        </w:trPr>
        <w:tc>
          <w:tcPr>
            <w:tcW w:w="3880" w:type="dxa"/>
            <w:vAlign w:val="bottom"/>
            <w:tcBorders>
              <w:bottom w:val="single" w:sz="8" w:color="CCEEFF"/>
            </w:tcBorders>
            <w:shd w:val="clear" w:color="auto" w:fill="CCEEFF"/>
          </w:tcPr>
          <w:p>
            <w:pPr>
              <w:ind w:left="36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23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38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130" w:lineRule="exact"/>
        <w:rPr>
          <w:sz w:val="20"/>
          <w:szCs w:val="20"/>
          <w:color w:val="auto"/>
        </w:rPr>
      </w:pPr>
    </w:p>
    <w:p>
      <w:pPr>
        <w:ind w:left="340" w:right="120" w:hanging="332"/>
        <w:spacing w:after="0" w:line="23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55" w:lineRule="exact"/>
        <w:rPr>
          <w:rFonts w:ascii="Times New Roman" w:cs="Times New Roman" w:eastAsia="Times New Roman" w:hAnsi="Times New Roman"/>
          <w:sz w:val="23"/>
          <w:szCs w:val="23"/>
          <w:color w:val="auto"/>
          <w:vertAlign w:val="superscript"/>
        </w:rPr>
      </w:pPr>
    </w:p>
    <w:p>
      <w:pPr>
        <w:ind w:left="340" w:right="400" w:hanging="332"/>
        <w:spacing w:after="0" w:line="21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adjusted net income per common unit for the three and twelve months ended December 31, 2023 and 2022 as the effect was antidilutive.</w:t>
      </w:r>
    </w:p>
    <w:p>
      <w:pPr>
        <w:spacing w:after="0" w:line="35" w:lineRule="exact"/>
        <w:rPr>
          <w:rFonts w:ascii="Times New Roman" w:cs="Times New Roman" w:eastAsia="Times New Roman" w:hAnsi="Times New Roman"/>
          <w:sz w:val="23"/>
          <w:szCs w:val="23"/>
          <w:color w:val="auto"/>
          <w:vertAlign w:val="superscript"/>
        </w:rPr>
      </w:pPr>
    </w:p>
    <w:p>
      <w:pPr>
        <w:ind w:left="340" w:right="280" w:hanging="332"/>
        <w:spacing w:after="0" w:line="23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117" w:lineRule="exact"/>
        <w:rPr>
          <w:sz w:val="20"/>
          <w:szCs w:val="20"/>
          <w:color w:val="auto"/>
        </w:rPr>
      </w:pPr>
    </w:p>
    <w:p>
      <w:pPr>
        <w:ind w:left="340" w:right="360" w:hanging="332"/>
        <w:spacing w:after="0" w:line="22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and the “Computation of Basic and Diluted Adjusted Net Income Per Common Unit” tables for additional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(Gains)/losses on investments in unconsolidated entities, net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items </w:t>
            </w:r>
            <w:r>
              <w:rPr>
                <w:rFonts w:ascii="Times New Roman" w:cs="Times New Roman" w:eastAsia="Times New Roman" w:hAnsi="Times New Roman"/>
                <w:sz w:val="22"/>
                <w:szCs w:val="22"/>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62"/>
        </w:trPr>
        <w:tc>
          <w:tcPr>
            <w:tcW w:w="622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Distributions from unconsolidated entities in excess of/(less than) adjusted equity</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earnings </w:t>
            </w:r>
            <w:r>
              <w:rPr>
                <w:rFonts w:ascii="Times New Roman" w:cs="Times New Roman" w:eastAsia="Times New Roman" w:hAnsi="Times New Roman"/>
                <w:sz w:val="22"/>
                <w:szCs w:val="22"/>
                <w:color w:val="auto"/>
                <w:vertAlign w:val="superscript"/>
              </w:rPr>
              <w:t>(5)</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cash distributions </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0.8325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2.55x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2.70x</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2.31x</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2.73x</w:t>
            </w: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44"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52" w:lineRule="exact"/>
        <w:rPr>
          <w:rFonts w:ascii="Times New Roman" w:cs="Times New Roman" w:eastAsia="Times New Roman" w:hAnsi="Times New Roman"/>
          <w:sz w:val="9"/>
          <w:szCs w:val="9"/>
          <w:color w:val="auto"/>
        </w:rPr>
      </w:pPr>
    </w:p>
    <w:p>
      <w:pPr>
        <w:ind w:left="340" w:right="120" w:hanging="332"/>
        <w:spacing w:after="0" w:line="230" w:lineRule="auto"/>
        <w:tabs>
          <w:tab w:leader="none" w:pos="32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44" w:lineRule="exact"/>
        <w:rPr>
          <w:rFonts w:ascii="Times New Roman" w:cs="Times New Roman" w:eastAsia="Times New Roman" w:hAnsi="Times New Roman"/>
          <w:sz w:val="19"/>
          <w:szCs w:val="19"/>
          <w:color w:val="auto"/>
          <w:vertAlign w:val="superscript"/>
        </w:rPr>
      </w:pPr>
    </w:p>
    <w:p>
      <w:pPr>
        <w:ind w:left="340" w:right="40" w:hanging="332"/>
        <w:spacing w:after="0" w:line="245" w:lineRule="auto"/>
        <w:tabs>
          <w:tab w:leader="none" w:pos="327"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Times New Roman" w:cs="Times New Roman" w:eastAsia="Times New Roman" w:hAnsi="Times New Roman"/>
          <w:sz w:val="9"/>
          <w:szCs w:val="9"/>
          <w:color w:val="auto"/>
        </w:rPr>
      </w:pP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17" w:lineRule="exact"/>
        <w:rPr>
          <w:sz w:val="20"/>
          <w:szCs w:val="20"/>
          <w:color w:val="auto"/>
        </w:rPr>
      </w:pPr>
    </w:p>
    <w:p>
      <w:pPr>
        <w:ind w:left="340" w:right="44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701 million, 698 million, 699 million and 701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80" w:hanging="332"/>
        <w:spacing w:after="0" w:line="21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251"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free cash flow:</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4"/>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2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(252)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155"/>
        </w:trPr>
        <w:tc>
          <w:tcPr>
            <w:tcW w:w="6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29"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32"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2"/>
        </w:trPr>
        <w:tc>
          <w:tcPr>
            <w:tcW w:w="6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700" w:type="dxa"/>
            <w:vAlign w:val="bottom"/>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(7)</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6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(8)</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6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activities</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Gains/(losses) on investments in unconsolidated entities, net</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66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131" w:lineRule="exact"/>
        <w:rPr>
          <w:sz w:val="20"/>
          <w:szCs w:val="20"/>
          <w:color w:val="auto"/>
        </w:rPr>
      </w:pPr>
    </w:p>
    <w:p>
      <w:pPr>
        <w:ind w:left="340" w:right="20" w:hanging="332"/>
        <w:spacing w:after="0"/>
        <w:tabs>
          <w:tab w:leader="none" w:pos="335"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Certain of our non-GAAP financial measures may not be impacted by each of the selected items impacting comparability. </w:t>
      </w:r>
      <w:r>
        <w:rPr>
          <w:rFonts w:ascii="Times New Roman" w:cs="Times New Roman" w:eastAsia="Times New Roman" w:hAnsi="Times New Roman"/>
          <w:sz w:val="13"/>
          <w:szCs w:val="13"/>
          <w:color w:val="auto"/>
        </w:rPr>
        <w:t>See the “Net Income to Adjusted EBITDA attributable to PAA and Implied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DCF Reconciliation” and “Computation of Basic and Diluted Adjusted Net Income Per Common Unit” table for additional details on how these selected items impacting comparability affect such measures.</w:t>
      </w:r>
    </w:p>
    <w:p>
      <w:pPr>
        <w:spacing w:after="0" w:line="185" w:lineRule="exact"/>
        <w:rPr>
          <w:rFonts w:ascii="Times New Roman" w:cs="Times New Roman" w:eastAsia="Times New Roman" w:hAnsi="Times New Roman"/>
          <w:sz w:val="18"/>
          <w:szCs w:val="18"/>
          <w:color w:val="auto"/>
          <w:vertAlign w:val="superscript"/>
        </w:rPr>
      </w:pPr>
    </w:p>
    <w:p>
      <w:pPr>
        <w:ind w:left="340" w:right="280" w:hanging="332"/>
        <w:spacing w:after="0" w:line="238" w:lineRule="auto"/>
        <w:tabs>
          <w:tab w:leader="none" w:pos="337"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51" w:lineRule="exact"/>
        <w:rPr>
          <w:rFonts w:ascii="Times New Roman" w:cs="Times New Roman" w:eastAsia="Times New Roman" w:hAnsi="Times New Roman"/>
          <w:sz w:val="18"/>
          <w:szCs w:val="18"/>
          <w:color w:val="auto"/>
          <w:vertAlign w:val="superscript"/>
        </w:rPr>
      </w:pPr>
    </w:p>
    <w:p>
      <w:pPr>
        <w:ind w:left="340" w:right="40" w:hanging="332"/>
        <w:spacing w:after="0" w:line="236" w:lineRule="auto"/>
        <w:tabs>
          <w:tab w:leader="none" w:pos="337"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Times New Roman" w:cs="Times New Roman" w:eastAsia="Times New Roman" w:hAnsi="Times New Roman"/>
          <w:sz w:val="18"/>
          <w:szCs w:val="18"/>
          <w:color w:val="auto"/>
          <w:vertAlign w:val="superscript"/>
        </w:rPr>
      </w:pPr>
    </w:p>
    <w:p>
      <w:pPr>
        <w:ind w:left="340" w:right="40" w:hanging="332"/>
        <w:spacing w:after="0" w:line="262" w:lineRule="auto"/>
        <w:tabs>
          <w:tab w:leader="none" w:pos="33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4" w:lineRule="exact"/>
        <w:rPr>
          <w:rFonts w:ascii="Times New Roman" w:cs="Times New Roman" w:eastAsia="Times New Roman" w:hAnsi="Times New Roman"/>
          <w:sz w:val="17"/>
          <w:szCs w:val="17"/>
          <w:color w:val="auto"/>
          <w:vertAlign w:val="superscript"/>
        </w:rPr>
      </w:pPr>
    </w:p>
    <w:p>
      <w:pPr>
        <w:ind w:left="340" w:hanging="332"/>
        <w:spacing w:after="0" w:line="232" w:lineRule="auto"/>
        <w:tabs>
          <w:tab w:leader="none" w:pos="337"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8" w:lineRule="exact"/>
        <w:rPr>
          <w:rFonts w:ascii="Times New Roman" w:cs="Times New Roman" w:eastAsia="Times New Roman" w:hAnsi="Times New Roman"/>
          <w:sz w:val="18"/>
          <w:szCs w:val="18"/>
          <w:color w:val="auto"/>
          <w:vertAlign w:val="superscript"/>
        </w:rPr>
      </w:pPr>
    </w:p>
    <w:p>
      <w:pPr>
        <w:ind w:left="340" w:right="100" w:hanging="332"/>
        <w:spacing w:after="0" w:line="229" w:lineRule="auto"/>
        <w:tabs>
          <w:tab w:leader="none" w:pos="337"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3" w:lineRule="exact"/>
        <w:rPr>
          <w:rFonts w:ascii="Times New Roman" w:cs="Times New Roman" w:eastAsia="Times New Roman" w:hAnsi="Times New Roman"/>
          <w:sz w:val="18"/>
          <w:szCs w:val="18"/>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costs recognized during the period related to the Line 901 incident that occurred in May 2015, net of amounts we believe are probable of recovery from insurance.</w:t>
      </w:r>
    </w:p>
    <w:p>
      <w:pPr>
        <w:spacing w:after="0" w:line="50" w:lineRule="exact"/>
        <w:rPr>
          <w:rFonts w:ascii="Times New Roman" w:cs="Times New Roman" w:eastAsia="Times New Roman" w:hAnsi="Times New Roman"/>
          <w:sz w:val="18"/>
          <w:szCs w:val="18"/>
          <w:color w:val="auto"/>
          <w:vertAlign w:val="superscript"/>
        </w:rPr>
      </w:pPr>
    </w:p>
    <w:p>
      <w:pPr>
        <w:ind w:left="320" w:hanging="312"/>
        <w:spacing w:after="0" w:line="181" w:lineRule="auto"/>
        <w:tabs>
          <w:tab w:leader="none" w:pos="32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expenses associated with the Rattler Permian Transaction.</w:t>
      </w: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7"/>
                <w:szCs w:val="17"/>
                <w:color w:val="auto"/>
              </w:rPr>
            </w:pPr>
          </w:p>
        </w:tc>
        <w:tc>
          <w:tcPr>
            <w:tcW w:w="22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NGL</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7" w:lineRule="exact"/>
        <w:rPr>
          <w:rFonts w:ascii="Times New Roman" w:cs="Times New Roman" w:eastAsia="Times New Roman" w:hAnsi="Times New Roman"/>
          <w:sz w:val="23"/>
          <w:szCs w:val="23"/>
          <w:color w:val="auto"/>
          <w:vertAlign w:val="superscript"/>
        </w:rPr>
      </w:pPr>
    </w:p>
    <w:p>
      <w:pPr>
        <w:ind w:left="340" w:right="62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(beginning November 2022) and Red River Pipeline LLC.</w:t>
      </w:r>
    </w:p>
    <w:p>
      <w:pPr>
        <w:spacing w:after="0" w:line="238"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80" w:type="dxa"/>
            <w:vAlign w:val="bottom"/>
          </w:tcPr>
          <w:p>
            <w:pPr>
              <w:spacing w:after="0"/>
              <w:rPr>
                <w:sz w:val="13"/>
                <w:szCs w:val="13"/>
                <w:color w:val="auto"/>
              </w:rPr>
            </w:pPr>
          </w:p>
        </w:tc>
        <w:tc>
          <w:tcPr>
            <w:tcW w:w="22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7"/>
                <w:szCs w:val="17"/>
                <w:color w:val="auto"/>
              </w:rPr>
            </w:pPr>
          </w:p>
        </w:tc>
        <w:tc>
          <w:tcPr>
            <w:tcW w:w="22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2"/>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7" w:lineRule="exact"/>
        <w:rPr>
          <w:rFonts w:ascii="Times New Roman" w:cs="Times New Roman" w:eastAsia="Times New Roman" w:hAnsi="Times New Roman"/>
          <w:sz w:val="23"/>
          <w:szCs w:val="23"/>
          <w:color w:val="auto"/>
          <w:vertAlign w:val="superscript"/>
        </w:rPr>
      </w:pPr>
    </w:p>
    <w:p>
      <w:pPr>
        <w:ind w:left="340" w:right="62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(beginning November 2022) and Red River Pipeline LLC.</w:t>
      </w:r>
    </w:p>
    <w:p>
      <w:pPr>
        <w:spacing w:after="0" w:line="238"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62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(1)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b w:val="1"/>
                <w:bCs w:val="1"/>
                <w:color w:val="auto"/>
                <w:vertAlign w:val="superscript"/>
              </w:rPr>
              <w:t>(1)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6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NGL pipeline tariff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Average monthly capacity in millions of barrels calculated as total volumes for the period divided by the number of months in the period.</w:t>
      </w:r>
    </w:p>
    <w:p>
      <w:pPr>
        <w:ind w:left="5440" w:hanging="106"/>
        <w:spacing w:after="0"/>
        <w:tabs>
          <w:tab w:leader="none" w:pos="5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income/(expense), net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14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17" w:lineRule="exact"/>
        <w:rPr>
          <w:sz w:val="20"/>
          <w:szCs w:val="20"/>
          <w:color w:val="auto"/>
        </w:rPr>
      </w:pPr>
    </w:p>
    <w:p>
      <w:pPr>
        <w:ind w:left="340" w:right="8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82"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investments in</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unconsolidated entities, net</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48,712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47,202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investments in</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unconsolidated entities, net</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176"/>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4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Basic and diluted weighted average Class A shares outstanding</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23"/>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r>
      <w:tr>
        <w:trPr>
          <w:trHeight w:val="26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58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140" w:hanging="328"/>
        <w:spacing w:after="0" w:line="258"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1" w:lineRule="exact"/>
        <w:rPr>
          <w:rFonts w:ascii="Times New Roman" w:cs="Times New Roman" w:eastAsia="Times New Roman" w:hAnsi="Times New Roman"/>
          <w:sz w:val="18"/>
          <w:szCs w:val="18"/>
          <w:i w:val="1"/>
          <w:iCs w:val="1"/>
          <w:color w:val="auto"/>
        </w:rPr>
      </w:pPr>
    </w:p>
    <w:p>
      <w:pPr>
        <w:ind w:left="660" w:right="20" w:hanging="328"/>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 crude oil prices (whether due to global public health events, such as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0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6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9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9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and</w:t>
      </w:r>
    </w:p>
    <w:p>
      <w:pPr>
        <w:spacing w:after="0" w:line="90"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1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lvl w:ilvl="1">
      <w:lvlJc w:val="left"/>
      <w:lvlText w:val="-"/>
      <w:numFmt w:val="bullet"/>
      <w:start w:val="1"/>
    </w:lvl>
  </w:abstractNum>
  <w:abstractNum w:abstractNumId="6">
    <w:nsid w:val="1BEFD79F"/>
    <w:multiLevelType w:val="hybridMultilevel"/>
    <w:lvl w:ilvl="0">
      <w:lvlJc w:val="left"/>
      <w:lvlText w:val="(%1)"/>
      <w:numFmt w:val="decimal"/>
      <w:start w:val="1"/>
    </w:lvl>
    <w:lvl w:ilvl="1">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lvl w:ilvl="1">
      <w:lvlJc w:val="left"/>
      <w:lvlText w:val="-"/>
      <w:numFmt w:val="bullet"/>
      <w:start w:val="1"/>
    </w:lvl>
  </w:abstractNum>
  <w:abstractNum w:abstractNumId="14">
    <w:nsid w:val="7C83E458"/>
    <w:multiLevelType w:val="hybridMultilevel"/>
    <w:lvl w:ilvl="0">
      <w:lvlJc w:val="left"/>
      <w:lvlText w:val="(%1)"/>
      <w:numFmt w:val="decimal"/>
      <w:start w:val="3"/>
    </w:lvl>
    <w:lvl w:ilvl="1">
      <w:lvlJc w:val="left"/>
      <w:lvlText w:val="-"/>
      <w:numFmt w:val="bullet"/>
      <w:start w:val="1"/>
    </w:lvl>
  </w:abstractNum>
  <w:abstractNum w:abstractNumId="15">
    <w:nsid w:val="257130A3"/>
    <w:multiLevelType w:val="hybridMultilevel"/>
    <w:lvl w:ilvl="0">
      <w:lvlJc w:val="left"/>
      <w:lvlText w:val="(%1)"/>
      <w:numFmt w:val="decimal"/>
      <w:start w:val="3"/>
    </w:lvl>
    <w:lvl w:ilvl="1">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
      <w:numFmt w:val="bullet"/>
      <w:start w:val="1"/>
    </w:lvl>
  </w:abstractNum>
  <w:abstractNum w:abstractNumId="18">
    <w:nsid w:val="628C895D"/>
    <w:multiLevelType w:val="hybridMultilevel"/>
    <w:lvl w:ilvl="0">
      <w:lvlJc w:val="left"/>
      <w:lvlText w:val="(%1)"/>
      <w:numFmt w:val="decimal"/>
      <w:start w:val="1"/>
    </w:lvl>
    <w:lvl w:ilvl="1">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lvl w:ilvl="1">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2024-02-09T07:12:44Z</dcterms:created>
  <dcterms:modified xsi:type="dcterms:W3CDTF">2024-02-09T07:12:44Z</dcterms:modified>
</cp:coreProperties>
</file>