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40"/>
        <w:spacing w:after="0"/>
        <w:rPr>
          <w:sz w:val="20"/>
          <w:szCs w:val="20"/>
          <w:color w:val="auto"/>
        </w:rPr>
      </w:pPr>
      <w:r>
        <w:rPr>
          <w:rFonts w:ascii="Arial" w:cs="Arial" w:eastAsia="Arial" w:hAnsi="Arial"/>
          <w:sz w:val="19"/>
          <w:szCs w:val="19"/>
          <w:b w:val="1"/>
          <w:bCs w:val="1"/>
          <w:color w:val="auto"/>
        </w:rPr>
        <w:t>Date of Report (Date of earliest event reported): November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Plains All American Pipeline, L.P.</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76-0582150</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ind w:left="3240"/>
        <w:spacing w:after="0"/>
        <w:rPr>
          <w:sz w:val="20"/>
          <w:szCs w:val="20"/>
          <w:color w:val="auto"/>
        </w:rPr>
      </w:pPr>
      <w:r>
        <w:rPr>
          <w:rFonts w:ascii="Arial" w:cs="Arial" w:eastAsia="Arial" w:hAnsi="Arial"/>
          <w:sz w:val="15"/>
          <w:szCs w:val="15"/>
          <w:b w:val="1"/>
          <w:bCs w:val="1"/>
          <w:color w:val="auto"/>
        </w:rPr>
        <w:t>Registrant’s telephone number, including area code: 713-646-4100</w:t>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On November 8, 2012, Plains All American Pipeline, L.P. (the “Partnership”) filed a prospectus supplement (the “Prospectus Supplement”) to the prospectus dated October 23, 2012 relating to the issuance and sale from time to time of common units representing limited partner interests in the Partnership (the “Units”) through one or more of the Partnership’s sales agents pursuant to the terms of an equity distribution agreement dated September 13, 2012 (the “September EDA”) between the Partnership and such sales agents. The September EDA was previously filed as an exhibit to a Current Report on Form 8-K that the Partnership filed with the Securities and Exchange Commission on September 13, 2012. The Prospectus Supplement replaces a previous prospectus supplement filed on September 13, 2012 under the Partnership’s Registration Statement on Form S-3 (No. 333-162476).</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Legal opinions relating to the Units are filed herewith as Exhibits 5.1 and 8.1.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7" w:lineRule="exact"/>
        <w:rPr>
          <w:rFonts w:ascii="Arial" w:cs="Arial" w:eastAsia="Arial" w:hAnsi="Arial"/>
          <w:sz w:val="18"/>
          <w:szCs w:val="18"/>
          <w:b w:val="1"/>
          <w:bCs w:val="1"/>
          <w:color w:val="auto"/>
        </w:rPr>
      </w:pPr>
    </w:p>
    <w:p>
      <w:pPr>
        <w:ind w:left="1500" w:right="4120"/>
        <w:spacing w:after="0" w:line="472" w:lineRule="auto"/>
        <w:rPr>
          <w:rFonts w:ascii="Arial" w:cs="Arial" w:eastAsia="Arial" w:hAnsi="Arial"/>
          <w:sz w:val="18"/>
          <w:szCs w:val="18"/>
          <w:b w:val="1"/>
          <w:bCs w:val="1"/>
          <w:color w:val="auto"/>
        </w:rPr>
      </w:pPr>
      <w:r>
        <w:rPr>
          <w:rFonts w:ascii="Arial" w:cs="Arial" w:eastAsia="Arial" w:hAnsi="Arial"/>
          <w:sz w:val="16"/>
          <w:szCs w:val="16"/>
          <w:color w:val="auto"/>
        </w:rPr>
        <w:t>Exhibit 5.1 Opinion of Vinson &amp; Elkins L.L.P. regarding legality of the Units. Exhibit 8.1 Opinion of Vinson &amp; Elkins L.L.P. regarding tax matters.</w:t>
      </w:r>
    </w:p>
    <w:p>
      <w:pPr>
        <w:sectPr>
          <w:pgSz w:w="11900" w:h="16838" w:orient="portrait"/>
          <w:cols w:equalWidth="0" w:num="1">
            <w:col w:w="11280"/>
          </w:cols>
          <w:pgMar w:left="240" w:top="27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7760" w:type="dxa"/>
            <w:vAlign w:val="bottom"/>
            <w:gridSpan w:val="2"/>
          </w:tcPr>
          <w:p>
            <w:pPr>
              <w:ind w:left="1920"/>
              <w:spacing w:after="0"/>
              <w:rPr>
                <w:sz w:val="20"/>
                <w:szCs w:val="20"/>
                <w:color w:val="auto"/>
              </w:rPr>
            </w:pPr>
            <w:r>
              <w:rPr>
                <w:rFonts w:ascii="Arial" w:cs="Arial" w:eastAsia="Arial" w:hAnsi="Arial"/>
                <w:sz w:val="18"/>
                <w:szCs w:val="18"/>
                <w:color w:val="auto"/>
              </w:rPr>
              <w:t>PLAINS ALL AMERICAN PIPELINE, L.P.</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Date: November 8, 2012</w:t>
            </w:r>
          </w:p>
        </w:tc>
        <w:tc>
          <w:tcPr>
            <w:tcW w:w="7760" w:type="dxa"/>
            <w:vAlign w:val="bottom"/>
            <w:gridSpan w:val="2"/>
          </w:tcPr>
          <w:p>
            <w:pPr>
              <w:ind w:left="1920"/>
              <w:spacing w:after="0"/>
              <w:rPr>
                <w:sz w:val="20"/>
                <w:szCs w:val="20"/>
                <w:color w:val="auto"/>
              </w:rPr>
            </w:pPr>
            <w:r>
              <w:rPr>
                <w:rFonts w:ascii="Arial" w:cs="Arial" w:eastAsia="Arial" w:hAnsi="Arial"/>
                <w:sz w:val="18"/>
                <w:szCs w:val="18"/>
                <w:color w:val="auto"/>
              </w:rPr>
              <w:t>By: PAA GP LLC, its general partner</w:t>
            </w:r>
          </w:p>
        </w:tc>
      </w:tr>
      <w:tr>
        <w:trPr>
          <w:trHeight w:val="216"/>
        </w:trPr>
        <w:tc>
          <w:tcPr>
            <w:tcW w:w="3660" w:type="dxa"/>
            <w:vAlign w:val="bottom"/>
          </w:tcPr>
          <w:p>
            <w:pPr>
              <w:spacing w:after="0"/>
              <w:rPr>
                <w:sz w:val="18"/>
                <w:szCs w:val="18"/>
                <w:color w:val="auto"/>
              </w:rPr>
            </w:pPr>
          </w:p>
        </w:tc>
        <w:tc>
          <w:tcPr>
            <w:tcW w:w="7760" w:type="dxa"/>
            <w:vAlign w:val="bottom"/>
            <w:gridSpan w:val="2"/>
          </w:tcPr>
          <w:p>
            <w:pPr>
              <w:ind w:left="1920"/>
              <w:spacing w:after="0"/>
              <w:rPr>
                <w:sz w:val="20"/>
                <w:szCs w:val="20"/>
                <w:color w:val="auto"/>
              </w:rPr>
            </w:pPr>
            <w:r>
              <w:rPr>
                <w:rFonts w:ascii="Arial" w:cs="Arial" w:eastAsia="Arial" w:hAnsi="Arial"/>
                <w:sz w:val="18"/>
                <w:szCs w:val="18"/>
                <w:color w:val="auto"/>
              </w:rPr>
              <w:t>By: Plains AAP, L.P., its sole member</w:t>
            </w:r>
          </w:p>
        </w:tc>
      </w:tr>
      <w:tr>
        <w:trPr>
          <w:trHeight w:val="222"/>
        </w:trPr>
        <w:tc>
          <w:tcPr>
            <w:tcW w:w="3660" w:type="dxa"/>
            <w:vAlign w:val="bottom"/>
          </w:tcPr>
          <w:p>
            <w:pPr>
              <w:spacing w:after="0"/>
              <w:rPr>
                <w:sz w:val="19"/>
                <w:szCs w:val="19"/>
                <w:color w:val="auto"/>
              </w:rPr>
            </w:pPr>
          </w:p>
        </w:tc>
        <w:tc>
          <w:tcPr>
            <w:tcW w:w="7760" w:type="dxa"/>
            <w:vAlign w:val="bottom"/>
            <w:gridSpan w:val="2"/>
          </w:tcPr>
          <w:p>
            <w:pPr>
              <w:ind w:left="1920"/>
              <w:spacing w:after="0"/>
              <w:rPr>
                <w:sz w:val="20"/>
                <w:szCs w:val="20"/>
                <w:color w:val="auto"/>
              </w:rPr>
            </w:pPr>
            <w:r>
              <w:rPr>
                <w:rFonts w:ascii="Arial" w:cs="Arial" w:eastAsia="Arial" w:hAnsi="Arial"/>
                <w:sz w:val="18"/>
                <w:szCs w:val="18"/>
                <w:color w:val="auto"/>
              </w:rPr>
              <w:t>By: Plains All American GP LLC, its general partner</w:t>
            </w:r>
          </w:p>
        </w:tc>
      </w:tr>
      <w:tr>
        <w:trPr>
          <w:trHeight w:val="434"/>
        </w:trPr>
        <w:tc>
          <w:tcPr>
            <w:tcW w:w="3660" w:type="dxa"/>
            <w:vAlign w:val="bottom"/>
          </w:tcPr>
          <w:p>
            <w:pPr>
              <w:spacing w:after="0"/>
              <w:rPr>
                <w:sz w:val="24"/>
                <w:szCs w:val="24"/>
                <w:color w:val="auto"/>
              </w:rPr>
            </w:pPr>
          </w:p>
        </w:tc>
        <w:tc>
          <w:tcPr>
            <w:tcW w:w="7760" w:type="dxa"/>
            <w:vAlign w:val="bottom"/>
            <w:gridSpan w:val="2"/>
          </w:tcPr>
          <w:p>
            <w:pPr>
              <w:ind w:left="1920"/>
              <w:spacing w:after="0"/>
              <w:rPr>
                <w:sz w:val="20"/>
                <w:szCs w:val="20"/>
                <w:color w:val="auto"/>
              </w:rPr>
            </w:pPr>
            <w:r>
              <w:rPr>
                <w:rFonts w:ascii="Arial" w:cs="Arial" w:eastAsia="Arial" w:hAnsi="Arial"/>
                <w:sz w:val="18"/>
                <w:szCs w:val="18"/>
                <w:color w:val="auto"/>
              </w:rPr>
              <w:t>By: /s/ Richard McGee</w:t>
            </w:r>
          </w:p>
        </w:tc>
      </w:tr>
      <w:tr>
        <w:trPr>
          <w:trHeight w:val="215"/>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Richard McGee</w:t>
            </w:r>
          </w:p>
        </w:tc>
      </w:tr>
      <w:tr>
        <w:trPr>
          <w:trHeight w:val="222"/>
        </w:trPr>
        <w:tc>
          <w:tcPr>
            <w:tcW w:w="36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Title:   Vice President</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0" w:type="dxa"/>
            <w:vAlign w:val="bottom"/>
          </w:tcPr>
          <w:p>
            <w:pPr>
              <w:ind w:left="324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00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Opinion of Vinson &amp; Elkins L.L.P. regarding legality of the Units.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Opinion of Vinson &amp; Elkins L.L.P. regarding tax matters.</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57797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77975" cy="240030"/>
                    </a:xfrm>
                    <a:prstGeom prst="rect">
                      <a:avLst/>
                    </a:prstGeom>
                    <a:noFill/>
                  </pic:spPr>
                </pic:pic>
              </a:graphicData>
            </a:graphic>
          </wp:anchor>
        </w:drawing>
        <w:t>Exhibit 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November 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acted as counsel for Plains All American Pipeline, L.P., a Delaware limited partnership (the “Partnership”), with respect to certain legal matters in connection with the registration by the Partnership with the Securities and Exchange Commission (the “Commission”) under the Securities Act of 1933, as amended (the “Securities Act”), of the offer and sale by the Partnership of common units representing limited partner interests in the Partnership having an aggregate offering price of up to $336,131,718.85 (the “Units”). We have participated in the preparation of a Prospectus Supplement dated November 8, 2012 (the “Prospectus Supplement”) and the Prospectus dated October 23, 2012 (the “Prospectus”) forming part of the Registration Statement on Form S-3 (No. 333-184135) (the “Registration Statement”) to which this opinion is an exhibit. The Prospectus Supplement has been filed pursuant to Rule 424(b) promulgated under the Securities Act.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rendering the opinions set forth below, we have examined and relied upon (i) the Delaware Revised Uniform Partnership Act (the “Delaware LP Act”);</w:t>
      </w:r>
    </w:p>
    <w:p>
      <w:pPr>
        <w:spacing w:after="0" w:line="38" w:lineRule="exact"/>
        <w:rPr>
          <w:sz w:val="20"/>
          <w:szCs w:val="20"/>
          <w:color w:val="auto"/>
        </w:rPr>
      </w:pPr>
    </w:p>
    <w:p>
      <w:pPr>
        <w:ind w:right="100" w:firstLine="8"/>
        <w:spacing w:after="0" w:line="312" w:lineRule="auto"/>
        <w:tabs>
          <w:tab w:leader="none" w:pos="258"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Registration Statement, the Prospectus Supplement and the Prospectus; (iii) the Fourth Amended and Restated Agreement of Limited Partnership of the Partnership, dated as of May 17, 2012, as amended; (iv) the Certificate of Limited Partnership of the Partnership; (v) an Equity Distribution Agreement, dated September 13, 2012, relating to the offering and sale of the Units (the “Equity Distribution Agreement”), a copy of which was filed with the Commission as an exhibit to the Partnership’s Current Report on Form 8-K on September 13, 2012; (vi) certain resolutions adopted by the board of directors of PAA GP LLC, the general partner of the Partnership, approving and authorizing, among other things, the Registration Statement and other matters relating to the offering of the Units; and (vii) such other certificates, statutes and other instruments and documents as we consider appropriate for purposes of the opinions hereafter expressed.</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Based upon and subject to the foregoing and the assumptions, limitations and qualifications set forth herein, we are of the opinion that the Units are duly and validly authorized for issuance and, upon payment and delivery of the Units in accordance with the Equity Distribution Agreement, the Prospectus Supplement and the Prospectus, will be validly issued, fully paid and non-assessable.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90" w:lineRule="exact"/>
        <w:rPr>
          <w:sz w:val="20"/>
          <w:szCs w:val="20"/>
          <w:color w:val="auto"/>
        </w:rPr>
      </w:pPr>
    </w:p>
    <w:p>
      <w:pPr>
        <w:ind w:left="900" w:right="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assumed, without independent verification, that the certificates for the Units will conform to the specimens thereof examined by us and will have been duly countersigned by a transfer agent and duly registered by a registrar of the Units.</w:t>
      </w:r>
    </w:p>
    <w:p>
      <w:pPr>
        <w:spacing w:after="0" w:line="50" w:lineRule="exact"/>
        <w:rPr>
          <w:rFonts w:ascii="Arial" w:cs="Arial" w:eastAsia="Arial" w:hAnsi="Arial"/>
          <w:sz w:val="18"/>
          <w:szCs w:val="18"/>
          <w:color w:val="auto"/>
        </w:rPr>
      </w:pPr>
    </w:p>
    <w:p>
      <w:pPr>
        <w:ind w:left="900" w:right="220" w:hanging="446"/>
        <w:spacing w:after="0" w:line="335"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7" w:lineRule="exact"/>
        <w:rPr>
          <w:rFonts w:ascii="Arial" w:cs="Arial" w:eastAsia="Arial" w:hAnsi="Arial"/>
          <w:sz w:val="15"/>
          <w:szCs w:val="15"/>
          <w:color w:val="auto"/>
        </w:rPr>
      </w:pPr>
    </w:p>
    <w:p>
      <w:pPr>
        <w:ind w:left="900" w:right="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LP Act and the Constitution of the State of Delaware, as interpreted by the courts of the State of Delaware and of the United States.</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ind w:left="106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03375"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03375" cy="334645"/>
                    </a:xfrm>
                    <a:prstGeom prst="rect">
                      <a:avLst/>
                    </a:prstGeom>
                    <a:noFill/>
                  </pic:spPr>
                </pic:pic>
              </a:graphicData>
            </a:graphic>
          </wp:anchor>
        </w:drawing>
        <w:t>Exhibit 8.1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November 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Plains All American Pipeline, L.P. 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acted as counsel for Plains All American Pipeline, L.P.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a Delaware limited partnership, with respect to certain legal matters in connection with the offer and sale of common units representing limited partner interests in the Partnership. We have also participated in the preparation of a Prospectus Supplement dated November 8, 2012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the Prospectus dated October 23, 2012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forming part of the Registration Statement on Form S-3, No. 333-184135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113"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6"/>
          <w:szCs w:val="16"/>
          <w:b w:val="1"/>
          <w:bCs w:val="1"/>
          <w:i w:val="1"/>
          <w:iCs w:val="1"/>
          <w:color w:val="auto"/>
        </w:rPr>
        <w:t>Officer’s Certificate</w:t>
      </w:r>
      <w:r>
        <w:rPr>
          <w:rFonts w:ascii="Arial" w:cs="Arial" w:eastAsia="Arial" w:hAnsi="Arial"/>
          <w:sz w:val="16"/>
          <w:szCs w:val="16"/>
          <w:color w:val="auto"/>
        </w:rPr>
        <w:t>”). In addition, this opinion is based upon the factual representations of the Partnership concerning its business, properties and governing documents as set forth in the Registration Statement.</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opining herein as to the effect on the subject transaction only of the federal income tax laws of the United States, and we express no opinion with respect to the applicability thereto, or the effect thereon, of other federal laws, foreign laws, the laws of any state or any other jurisdiction or as to any matters of municipal law or the laws of any other local agencies within any state. We hereby confirm that all statements of legal conclusions contained in the discussion in the Prospectus under the caption “Material U.S. Federal Income Tax Consequences” in the Prospectus, as supplemented by the discussion in the Prospectus Supplement under the caption “Material U.S. Federal Income Tax Consequences,” constitute the opinion of Vinson &amp; Elkins L.L.P. with respect to the matters set forth</w:t>
      </w:r>
    </w:p>
    <w:p>
      <w:pPr>
        <w:sectPr>
          <w:pgSz w:w="11900" w:h="16838" w:orient="portrait"/>
          <w:cols w:equalWidth="0" w:num="1">
            <w:col w:w="11420"/>
          </w:cols>
          <w:pgMar w:left="240" w:top="814" w:right="2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Vinson &amp; Elkins LLP Attorneys at Law</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First City Tower, 1001 Fannin Street, Suite 2500</w:t>
      </w:r>
    </w:p>
    <w:p>
      <w:pPr>
        <w:spacing w:after="0" w:line="119" w:lineRule="exact"/>
        <w:rPr>
          <w:sz w:val="20"/>
          <w:szCs w:val="20"/>
          <w:color w:val="auto"/>
        </w:rPr>
      </w:pPr>
    </w:p>
    <w:p>
      <w:pPr>
        <w:sectPr>
          <w:pgSz w:w="11900" w:h="16838" w:orient="portrait"/>
          <w:cols w:equalWidth="0" w:num="2">
            <w:col w:w="5160" w:space="720"/>
            <w:col w:w="5540"/>
          </w:cols>
          <w:pgMar w:left="240" w:top="814" w:right="239" w:bottom="1440" w:gutter="0" w:footer="0" w:header="0"/>
          <w:type w:val="continuous"/>
        </w:sectPr>
      </w:pPr>
    </w:p>
    <w:p>
      <w:pPr>
        <w:spacing w:after="0"/>
        <w:rPr>
          <w:sz w:val="20"/>
          <w:szCs w:val="20"/>
          <w:color w:val="auto"/>
        </w:rPr>
      </w:pPr>
      <w:r>
        <w:rPr>
          <w:rFonts w:ascii="Arial" w:cs="Arial" w:eastAsia="Arial" w:hAnsi="Arial"/>
          <w:sz w:val="12"/>
          <w:szCs w:val="12"/>
          <w:color w:val="auto"/>
        </w:rPr>
        <w:t>Abu Dhabi Austin Beijing Dallas Dubai Hong Kong Houston London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Houston, TX 77002-6760</w:t>
      </w:r>
    </w:p>
    <w:p>
      <w:pPr>
        <w:spacing w:after="0" w:line="117" w:lineRule="exact"/>
        <w:rPr>
          <w:sz w:val="20"/>
          <w:szCs w:val="20"/>
          <w:color w:val="auto"/>
        </w:rPr>
      </w:pPr>
    </w:p>
    <w:p>
      <w:pPr>
        <w:sectPr>
          <w:pgSz w:w="11900" w:h="16838" w:orient="portrait"/>
          <w:cols w:equalWidth="0" w:num="2">
            <w:col w:w="5160" w:space="720"/>
            <w:col w:w="5540"/>
          </w:cols>
          <w:pgMar w:left="240" w:top="814"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Moscow New York Palo Alto Riyadh Shanghai Tokyo Washington</w:t>
      </w:r>
    </w:p>
    <w:p>
      <w:pPr>
        <w:spacing w:after="0" w:line="20" w:lineRule="exact"/>
        <w:rPr>
          <w:sz w:val="20"/>
          <w:szCs w:val="20"/>
          <w:color w:val="auto"/>
        </w:rPr>
      </w:pPr>
      <w:r>
        <w:rPr>
          <w:sz w:val="20"/>
          <w:szCs w:val="20"/>
          <w:color w:val="auto"/>
        </w:rPr>
        <w:br w:type="column"/>
      </w:r>
    </w:p>
    <w:p>
      <w:pPr>
        <w:jc w:val="center"/>
        <w:ind w:right="2260"/>
        <w:spacing w:after="0"/>
        <w:rPr>
          <w:sz w:val="20"/>
          <w:szCs w:val="20"/>
          <w:color w:val="auto"/>
        </w:rPr>
      </w:pPr>
      <w:r>
        <w:rPr>
          <w:rFonts w:ascii="Arial" w:cs="Arial" w:eastAsia="Arial" w:hAnsi="Arial"/>
          <w:sz w:val="12"/>
          <w:szCs w:val="12"/>
          <w:b w:val="1"/>
          <w:bCs w:val="1"/>
          <w:color w:val="auto"/>
        </w:rPr>
        <w:t xml:space="preserve">Tel </w:t>
      </w:r>
      <w:r>
        <w:rPr>
          <w:rFonts w:ascii="Arial" w:cs="Arial" w:eastAsia="Arial" w:hAnsi="Arial"/>
          <w:sz w:val="12"/>
          <w:szCs w:val="12"/>
          <w:color w:val="auto"/>
        </w:rPr>
        <w:t>+1.713.758.2222</w:t>
      </w:r>
      <w:r>
        <w:rPr>
          <w:rFonts w:ascii="Arial" w:cs="Arial" w:eastAsia="Arial" w:hAnsi="Arial"/>
          <w:sz w:val="12"/>
          <w:szCs w:val="12"/>
          <w:b w:val="1"/>
          <w:bCs w:val="1"/>
          <w:color w:val="auto"/>
        </w:rPr>
        <w:t xml:space="preserve"> Fax </w:t>
      </w:r>
      <w:r>
        <w:rPr>
          <w:rFonts w:ascii="Arial" w:cs="Arial" w:eastAsia="Arial" w:hAnsi="Arial"/>
          <w:sz w:val="12"/>
          <w:szCs w:val="12"/>
          <w:color w:val="auto"/>
        </w:rPr>
        <w:t>+1.713.758.2346</w:t>
      </w:r>
      <w:r>
        <w:rPr>
          <w:rFonts w:ascii="Arial" w:cs="Arial" w:eastAsia="Arial" w:hAnsi="Arial"/>
          <w:sz w:val="12"/>
          <w:szCs w:val="12"/>
          <w:b w:val="1"/>
          <w:bCs w:val="1"/>
          <w:color w:val="auto"/>
        </w:rPr>
        <w:t xml:space="preserve"> www.velaw.com</w:t>
      </w:r>
    </w:p>
    <w:p>
      <w:pPr>
        <w:sectPr>
          <w:pgSz w:w="11900" w:h="16838" w:orient="portrait"/>
          <w:cols w:equalWidth="0" w:num="2">
            <w:col w:w="5160" w:space="720"/>
            <w:col w:w="5540"/>
          </w:cols>
          <w:pgMar w:left="240" w:top="814" w:right="239" w:bottom="1440" w:gutter="0" w:footer="0" w:header="0"/>
          <w:type w:val="continuous"/>
        </w:sectPr>
      </w:pPr>
    </w:p>
    <w:bookmarkStart w:id="6" w:name="page7"/>
    <w:bookmarkEnd w:id="6"/>
    <w:p>
      <w:pPr>
        <w:ind w:left="106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506095"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06095" cy="266065"/>
                    </a:xfrm>
                    <a:prstGeom prst="rect">
                      <a:avLst/>
                    </a:prstGeom>
                    <a:noFill/>
                  </pic:spPr>
                </pic:pic>
              </a:graphicData>
            </a:graphic>
          </wp:anchor>
        </w:drawing>
        <w:t>Exhibit 8.1</w:t>
      </w:r>
    </w:p>
    <w:p>
      <w:pPr>
        <w:spacing w:after="0" w:line="18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therein as of the effective date of the Registration Statement, subject to the assumptions, qualifications, and limitations set forth therein. No opinion is expressed as to any matter not discussed therein.</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opinion is rendered to you as of the effective date of the Registration Statement, and we undertake no obligation to update this opinion subsequent to the date hereof.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opinion is furnished to you, and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or debt securities pursuant to the Registration Statement.</w:t>
      </w:r>
    </w:p>
    <w:p>
      <w:pPr>
        <w:spacing w:after="0" w:line="11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and the Prospectus Supplement. In giving such consent, we do not admit that we are within the category of persons whose consent is required under Section 7 of the Securities Act of 1933, as amended.</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VINSON &amp; ELKINS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Vinson &amp; Elkins L.L.P.</w:t>
      </w:r>
    </w:p>
    <w:sectPr>
      <w:pgSz w:w="11900" w:h="16838" w:orient="portrait"/>
      <w:cols w:equalWidth="0" w:num="1">
        <w:col w:w="11420"/>
      </w:cols>
      <w:pgMar w:left="240" w:top="8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2020-02-24T06:18:23Z</dcterms:created>
  <dcterms:modified xsi:type="dcterms:W3CDTF">2020-02-24T06:18:23Z</dcterms:modified>
</cp:coreProperties>
</file>