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spacing w:before="0" w:after="0"/>
        <w:ind w:left="0" w:right="0" w:hanging="0"/>
        <w:jc w:val="center"/>
        <w:rPr>
          <w:bdr w:val="double" w:sz="24" w:space="1" w:color="000000"/>
        </w:rPr>
      </w:pPr>
      <w:bookmarkStart w:id="0" w:name="a05-16431_18k.htm"/>
      <w:bookmarkStart w:id="1" w:name="ksa0516431_18k"/>
      <w:bookmarkEnd w:id="0"/>
      <w:bookmarkEnd w:id="1"/>
      <w:r>
        <w:rPr>
          <w:bdr w:val="double" w:sz="24" w:space="1" w:color="000000"/>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UNITED STATES</w:t>
        <w:br/>
        <w:t>SECURITIES AND EXCHANGE COMMISSION</w:t>
      </w:r>
    </w:p>
    <w:p>
      <w:pPr>
        <w:pStyle w:val="TextBody"/>
        <w:spacing w:before="0" w:after="0"/>
        <w:ind w:left="0" w:right="0" w:hanging="0"/>
        <w:jc w:val="center"/>
        <w:rPr>
          <w:rFonts w:ascii="Times New Roman" w:hAnsi="Times New Roman"/>
          <w:b/>
          <w:sz w:val="17"/>
        </w:rPr>
      </w:pPr>
      <w:r>
        <w:rPr>
          <w:rFonts w:ascii="Times New Roman" w:hAnsi="Times New Roman"/>
          <w:b/>
          <w:sz w:val="17"/>
        </w:rPr>
        <w:t>Washington, D.C. 20549</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FORM 8-K</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CURRENT REPORT</w:t>
      </w:r>
    </w:p>
    <w:p>
      <w:pPr>
        <w:pStyle w:val="TextBody"/>
        <w:spacing w:before="0" w:after="0"/>
        <w:ind w:left="0" w:right="0" w:hanging="0"/>
        <w:jc w:val="center"/>
        <w:rPr>
          <w:rFonts w:ascii="Times New Roman" w:hAnsi="Times New Roman"/>
          <w:b/>
          <w:sz w:val="20"/>
        </w:rPr>
      </w:pPr>
      <w:r>
        <w:rPr>
          <w:rFonts w:ascii="Times New Roman" w:hAnsi="Times New Roman"/>
          <w:b/>
          <w:sz w:val="20"/>
        </w:rPr>
        <w:t>Pursuant to Section 13 OR 15(d) of The Securities Exchange Act of 1934</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xml:space="preserve">Date of Report (Date of earliest event reported) </w:t>
      </w:r>
      <w:r>
        <w:rPr>
          <w:rFonts w:ascii="Times New Roman" w:hAnsi="Times New Roman"/>
          <w:b/>
          <w:sz w:val="17"/>
        </w:rPr>
        <w:t>September 13, 2005</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Plains All American Pipeline, L.P.</w:t>
      </w:r>
    </w:p>
    <w:p>
      <w:pPr>
        <w:pStyle w:val="TextBody"/>
        <w:spacing w:before="0" w:after="0"/>
        <w:ind w:left="0" w:right="0" w:hanging="0"/>
        <w:jc w:val="center"/>
        <w:rPr>
          <w:rFonts w:ascii="Times New Roman" w:hAnsi="Times New Roman"/>
          <w:sz w:val="17"/>
        </w:rPr>
      </w:pPr>
      <w:r>
        <w:rPr>
          <w:rFonts w:ascii="Times New Roman" w:hAnsi="Times New Roman"/>
          <w:sz w:val="17"/>
        </w:rPr>
        <w:t>(Exact name of registrant as specified in its charter)</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3266"/>
        <w:gridCol w:w="203"/>
        <w:gridCol w:w="3266"/>
        <w:gridCol w:w="203"/>
        <w:gridCol w:w="3267"/>
      </w:tblGrid>
      <w:tr>
        <w:trPr/>
        <w:tc>
          <w:tcPr>
            <w:tcW w:w="3266"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DELAWARE</w:t>
            </w:r>
          </w:p>
        </w:tc>
        <w:tc>
          <w:tcPr>
            <w:tcW w:w="203" w:type="dxa"/>
            <w:tcBorders/>
            <w:shd w:fill="auto" w:val="clear"/>
            <w:vAlign w:val="bottom"/>
          </w:tcPr>
          <w:p>
            <w:pPr>
              <w:pStyle w:val="TableContents"/>
              <w:spacing w:before="0" w:after="0"/>
              <w:ind w:left="0" w:right="0" w:hanging="0"/>
              <w:rPr/>
            </w:pPr>
            <w:r>
              <w:rPr/>
              <w:t> </w:t>
            </w:r>
          </w:p>
        </w:tc>
        <w:tc>
          <w:tcPr>
            <w:tcW w:w="3266"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1-14569</w:t>
            </w:r>
          </w:p>
        </w:tc>
        <w:tc>
          <w:tcPr>
            <w:tcW w:w="203" w:type="dxa"/>
            <w:tcBorders/>
            <w:shd w:fill="auto" w:val="clear"/>
            <w:vAlign w:val="bottom"/>
          </w:tcPr>
          <w:p>
            <w:pPr>
              <w:pStyle w:val="TableContents"/>
              <w:spacing w:before="0" w:after="0"/>
              <w:ind w:left="0" w:right="0" w:hanging="0"/>
              <w:rPr/>
            </w:pPr>
            <w:r>
              <w:rPr/>
              <w:t> </w:t>
            </w:r>
          </w:p>
        </w:tc>
        <w:tc>
          <w:tcPr>
            <w:tcW w:w="3267"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76-0582150</w:t>
            </w:r>
          </w:p>
        </w:tc>
      </w:tr>
      <w:tr>
        <w:trPr/>
        <w:tc>
          <w:tcPr>
            <w:tcW w:w="326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(State or other jurisdiction of</w:t>
              <w:br/>
              <w:t>incorporation)</w:t>
            </w:r>
          </w:p>
        </w:tc>
        <w:tc>
          <w:tcPr>
            <w:tcW w:w="203" w:type="dxa"/>
            <w:tcBorders/>
            <w:shd w:fill="auto" w:val="clear"/>
            <w:vAlign w:val="bottom"/>
          </w:tcPr>
          <w:p>
            <w:pPr>
              <w:pStyle w:val="TableContents"/>
              <w:spacing w:before="0" w:after="0"/>
              <w:ind w:left="0" w:right="0" w:hanging="0"/>
              <w:rPr/>
            </w:pPr>
            <w:r>
              <w:rPr/>
              <w:t> </w:t>
            </w:r>
          </w:p>
        </w:tc>
        <w:tc>
          <w:tcPr>
            <w:tcW w:w="326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(Commission File Number)</w:t>
            </w:r>
          </w:p>
        </w:tc>
        <w:tc>
          <w:tcPr>
            <w:tcW w:w="203" w:type="dxa"/>
            <w:tcBorders/>
            <w:shd w:fill="auto" w:val="clear"/>
            <w:vAlign w:val="bottom"/>
          </w:tcPr>
          <w:p>
            <w:pPr>
              <w:pStyle w:val="TableContents"/>
              <w:spacing w:before="0" w:after="0"/>
              <w:ind w:left="0" w:right="0" w:hanging="0"/>
              <w:rPr/>
            </w:pPr>
            <w:r>
              <w:rPr/>
              <w:t> </w:t>
            </w:r>
          </w:p>
        </w:tc>
        <w:tc>
          <w:tcPr>
            <w:tcW w:w="3267"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(IRS Employer Identification No.)</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w:t>
      </w:r>
    </w:p>
    <w:p>
      <w:pPr>
        <w:pStyle w:val="TextBody"/>
        <w:spacing w:before="0" w:after="0"/>
        <w:ind w:left="0" w:right="0" w:hanging="0"/>
        <w:jc w:val="center"/>
        <w:rPr>
          <w:rFonts w:ascii="Times New Roman" w:hAnsi="Times New Roman"/>
          <w:sz w:val="17"/>
        </w:rPr>
      </w:pPr>
      <w:r>
        <w:rPr>
          <w:rFonts w:ascii="Times New Roman" w:hAnsi="Times New Roman"/>
          <w:sz w:val="17"/>
        </w:rPr>
        <w:t>(Address of principal executive offices) (Zip Code)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xml:space="preserve">Registrants telephone number, including area code </w:t>
      </w:r>
      <w:r>
        <w:rPr>
          <w:rFonts w:ascii="Times New Roman" w:hAnsi="Times New Roman"/>
          <w:b/>
          <w:sz w:val="17"/>
        </w:rPr>
        <w:t>713-646-4100</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(Former name or former address, if changed since last report.)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Check the appropriate box below if the Form 8-K filing is intended to simultaneously satisfy the filing obligation of the registrant under any of the following provisions: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Wingdings" w:hAnsi="Wingdings"/>
          <w:sz w:val="17"/>
        </w:rPr>
        <w:t>o</w:t>
      </w:r>
      <w:r>
        <w:rPr>
          <w:rFonts w:ascii="Times New Roman" w:hAnsi="Times New Roman"/>
          <w:sz w:val="17"/>
        </w:rPr>
        <w:t>            Written communications pursuant to Rule 425 under the Securities Act (17 CFR 230.425)</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Wingdings" w:hAnsi="Wingdings"/>
          <w:sz w:val="17"/>
        </w:rPr>
        <w:t>o</w:t>
      </w:r>
      <w:r>
        <w:rPr>
          <w:rFonts w:ascii="Times New Roman" w:hAnsi="Times New Roman"/>
          <w:sz w:val="17"/>
        </w:rPr>
        <w:t>            Soliciting material pursuant to Rule 14a-12 under the Exchange Act (17 CFR 240.14a-12)</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Wingdings" w:hAnsi="Wingdings"/>
          <w:sz w:val="17"/>
        </w:rPr>
        <w:t>o</w:t>
      </w:r>
      <w:r>
        <w:rPr>
          <w:rFonts w:ascii="Times New Roman" w:hAnsi="Times New Roman"/>
          <w:sz w:val="17"/>
        </w:rPr>
        <w:t>            Pre-commencement communications pursuant to Rule 14d-2(b) under the Exchange Act (17 CFR 240.14d-2(b))</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Wingdings" w:hAnsi="Wingdings"/>
          <w:sz w:val="17"/>
        </w:rPr>
        <w:t>o</w:t>
      </w:r>
      <w:r>
        <w:rPr>
          <w:rFonts w:ascii="Times New Roman" w:hAnsi="Times New Roman"/>
          <w:sz w:val="17"/>
        </w:rPr>
        <w:t>            Pre-commencement communications pursuant to Rule 13e-4(c) under the Exchange Act (17 CFR 240.13e-4(c))</w:t>
      </w:r>
    </w:p>
    <w:p>
      <w:pPr>
        <w:pStyle w:val="TextBody"/>
        <w:pBdr/>
        <w:spacing w:before="0" w:after="0"/>
        <w:ind w:left="0" w:right="0" w:hanging="0"/>
        <w:rPr>
          <w:bdr w:val="double" w:sz="24" w:space="1" w:color="000000"/>
        </w:rPr>
      </w:pPr>
      <w:r>
        <w:rPr>
          <w:bdr w:val="double" w:sz="24" w:space="1" w:color="000000"/>
        </w:rPr>
        <w:t> </w:t>
      </w:r>
    </w:p>
    <w:p>
      <w:pPr>
        <w:pStyle w:val="TextBody"/>
        <w:spacing w:before="0" w:after="0"/>
        <w:ind w:left="0" w:right="0" w:hanging="0"/>
        <w:jc w:val="center"/>
        <w:rPr/>
      </w:pPr>
      <w:r>
        <w:rPr/>
        <w:t> </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b/>
          <w:sz w:val="17"/>
        </w:rPr>
        <w:t>Item 1.01.</w:t>
      </w:r>
      <w:r>
        <w:rPr>
          <w:rFonts w:ascii="Times New Roman" w:hAnsi="Times New Roman"/>
          <w:sz w:val="17"/>
        </w:rPr>
        <w:t xml:space="preserve">                  </w:t>
      </w:r>
      <w:r>
        <w:rPr>
          <w:rFonts w:ascii="Times New Roman" w:hAnsi="Times New Roman"/>
          <w:b/>
          <w:sz w:val="17"/>
        </w:rPr>
        <w:t>Entry into Material Definitive Agreement</w:t>
      </w:r>
    </w:p>
    <w:p>
      <w:pPr>
        <w:pStyle w:val="TextBody"/>
        <w:spacing w:before="0" w:after="0"/>
        <w:ind w:left="0" w:right="0" w:hanging="0"/>
        <w:rPr/>
      </w:pPr>
      <w:r>
        <w:rPr/>
        <w:t> </w:t>
      </w:r>
    </w:p>
    <w:p>
      <w:pPr>
        <w:pStyle w:val="TextBody"/>
        <w:spacing w:before="0" w:after="0"/>
        <w:ind w:left="0" w:right="0" w:hanging="0"/>
        <w:rPr>
          <w:rFonts w:ascii="Times New Roman" w:hAnsi="Times New Roman"/>
          <w:i/>
          <w:sz w:val="17"/>
        </w:rPr>
      </w:pPr>
      <w:r>
        <w:rPr>
          <w:rFonts w:ascii="Times New Roman" w:hAnsi="Times New Roman"/>
          <w:i/>
          <w:sz w:val="17"/>
        </w:rPr>
        <w:t>Plains All American Pipeline/Vulcan Jointly-Owned Limited Liability Company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previously reported by Plains All American Pipeline, L.P. (PAA), on August 19, 2005 PAA/Vulcan Gas Storage, LLC (Plains/Vulcan) signed a definitive agreement to acquire all of the membership interests of Energy Center Investments, LLC (ECI), an indirect subsidiary of Sempra Energy that develops and operates underground natural gas storage facilities.  On September 14, 2005, Plains/Vulcan completed the acquisition.  The total purchase price, excluding transactions costs, was $250 million, subject to adjustments on the closing date and post-closing.  Additional details regarding the transaction are described below in Item 2.02.</w:t>
      </w:r>
    </w:p>
    <w:p>
      <w:pPr>
        <w:pStyle w:val="TextBody"/>
        <w:spacing w:before="0" w:after="0"/>
        <w:ind w:left="0" w:right="0" w:hanging="0"/>
        <w:rPr/>
      </w:pPr>
      <w:r>
        <w:rPr/>
        <w:t> </w:t>
      </w:r>
    </w:p>
    <w:p>
      <w:pPr>
        <w:pStyle w:val="TextBody"/>
        <w:spacing w:before="0" w:after="0"/>
        <w:ind w:left="0" w:right="0" w:hanging="0"/>
        <w:rPr>
          <w:rFonts w:ascii="Times New Roman" w:hAnsi="Times New Roman"/>
          <w:sz w:val="20"/>
        </w:rPr>
      </w:pPr>
      <w:r>
        <w:rPr>
          <w:rFonts w:ascii="Times New Roman" w:hAnsi="Times New Roman"/>
          <w:sz w:val="17"/>
        </w:rPr>
        <w:t xml:space="preserve">On September 13, 2005, PAA </w:t>
      </w:r>
      <w:r>
        <w:rPr>
          <w:rFonts w:ascii="Times New Roman" w:hAnsi="Times New Roman"/>
          <w:sz w:val="20"/>
        </w:rPr>
        <w:t>signed an amended and restated limited liability company agreement (LLC Agreement) with a subsidiary of Vulcan Capital defining the rights, obligations and relationship of the parties with respect to Plains/Vulcan.  Plains/Vulcan intends to engage in the development, acquisition, ownership and operation of natural gas storage facilities and related services.  Plains/Vulcan is owned 50% by PAA and 50% by Vulcan Gas Storage LLC, a subsidiary of Vulcan Capital, the investment arm of Paul G. Allen. The Board of Directors of Plains/Vulcan, which will include an equal number of PAA and Vulcan representatives, will be responsible for providing strategic direction and policy-making and PAA will be responsible for the day-to-day operations of Plains/Vulcan.</w:t>
      </w:r>
    </w:p>
    <w:p>
      <w:pPr>
        <w:pStyle w:val="TextBody"/>
        <w:spacing w:before="0" w:after="0"/>
        <w:ind w:left="0" w:right="0" w:hanging="0"/>
        <w:rPr/>
      </w:pPr>
      <w:r>
        <w:rPr/>
        <w:t> </w:t>
      </w:r>
    </w:p>
    <w:p>
      <w:pPr>
        <w:pStyle w:val="TextBody"/>
        <w:spacing w:before="0" w:after="0"/>
        <w:ind w:left="0" w:right="0" w:hanging="0"/>
        <w:rPr>
          <w:rFonts w:ascii="Times New Roman" w:hAnsi="Times New Roman"/>
          <w:sz w:val="20"/>
        </w:rPr>
      </w:pPr>
      <w:r>
        <w:rPr>
          <w:rFonts w:ascii="Times New Roman" w:hAnsi="Times New Roman"/>
          <w:sz w:val="17"/>
        </w:rPr>
        <w:t xml:space="preserve">Each of PAA and Vulcan have agreed that, prior to engaging in or acquiring control of any Gas Storage Business (as defined in the LLC Agreement), the party must present the opportunity to Plains/Vulcan.  If Plains/Vulcan chooses to not pursue the opportunity, the party is then free to do so independently. Otherwise, the parties are generally prohibited from engaging in or controlling any Gas Storage Business in North America.  </w:t>
      </w:r>
      <w:r>
        <w:rPr>
          <w:rFonts w:ascii="Times New Roman" w:hAnsi="Times New Roman"/>
          <w:sz w:val="20"/>
        </w:rPr>
        <w:t>Excluding capital calls associated with additional opportunities directly related to the two principal assets of ECI, PAA will have the right to increase its ownership interest to 70% through disproportionate capital contributions.   In addition, upon reaching a certain level of annual earnings, Plains/Vulcan will pay to PAA a management fee of $6 million per year for such year and the years prior to reaching such level (up to a maximum of five years) and thereafter an annual management fee equaling the greater of (i) $2 million and (ii) 2% of EBITDA.  PAA will also be reimbursed for salary expenses for operating personnel other than senior management.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 copy of the LLC Agreement is filed as Exhibit 1.1 to this current Report on Form 8-K.</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b/>
          <w:sz w:val="17"/>
        </w:rPr>
        <w:t>Item 2.02</w:t>
      </w:r>
      <w:r>
        <w:rPr>
          <w:rFonts w:ascii="Times New Roman" w:hAnsi="Times New Roman"/>
          <w:sz w:val="17"/>
        </w:rPr>
        <w:t xml:space="preserve">                     </w:t>
      </w:r>
      <w:r>
        <w:rPr>
          <w:rFonts w:ascii="Times New Roman" w:hAnsi="Times New Roman"/>
          <w:b/>
          <w:sz w:val="17"/>
        </w:rPr>
        <w:t>Completion of Acquisition or Disposition of Assets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discussed above, on September 14, 2005, Plains/Vulcan completed the previously announced acquisition of ECI.  The total purchase price, excluding transaction costs, was $250 million, subject to adjustment based on closing date working capital and capital expenditure levels, as well as a third-party valuation of certain oil reserves held by ECI and acquired by Plains/Vulcan.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ECIs principal assets consist of (i) Bluewater Gas Storage, an operating natural gas storage facility in Michigan, (ii) Pine Prairie Energy Center, a natural gas storage facility under development in Louisiana and (iii) other similar projects and opportunities under various stages of review and evaluation.  In addition to the purchase price, Plains/Vulcan anticipates investing approximately $260 million over the next several years to complete the Pine Prairie facility.  PAA's initial investment is approximately $113 million.  Based on current estimates, including future capital contributions and PAA's proportionate share of debt capital to be incurred to complete this facility, the initial capital associated with PAA's proportionate ownership will be approximately $255 million.  Actual costs may differ materially from current estimates because of factors beyond our control such as shortages or cost increases of power supplies, materials or labor (including the direct and indirect effects of Hurricane Katrina on the availability of materials, the cost of natural gas and the demand for oil-field services).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 copy of the Purchase Agreement is filed as Exhibit 1.2 to this current Report on Form 8-K.</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b/>
          <w:sz w:val="17"/>
        </w:rPr>
        <w:t>Item 9.01.</w:t>
      </w:r>
      <w:r>
        <w:rPr>
          <w:rFonts w:ascii="Times New Roman" w:hAnsi="Times New Roman"/>
          <w:sz w:val="17"/>
        </w:rPr>
        <w:t xml:space="preserve">                  </w:t>
      </w:r>
      <w:r>
        <w:rPr>
          <w:rFonts w:ascii="Times New Roman" w:hAnsi="Times New Roman"/>
          <w:b/>
          <w:sz w:val="17"/>
        </w:rPr>
        <w:t>Exhibits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                                   Exhibits.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1.1                                 Amended and Restated Limited Liability Company Agreement of PAA/Vulcan Gas Storage, LLC, dated September 13, 2005</w:t>
      </w:r>
      <w:r>
        <w:rPr>
          <w:rFonts w:ascii="Times New Roman" w:hAnsi="Times New Roman"/>
          <w:b/>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1.2                                 Membership Interest Purchase Agreement by and between Sempra Energy Trading Corp. and PAA/Vulcan Gas Storage, LLC and Energy Center Investments Corporation, dated August 19, 2005.</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SIGNATURES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Pursuant to the requirements of the Securities Exchange Act of 1934, the registrant has duly caused this report to be signed on its behalf by the undersigned hereunto duly authorized.</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582"/>
        <w:gridCol w:w="520"/>
        <w:gridCol w:w="4063"/>
        <w:gridCol w:w="1040"/>
      </w:tblGrid>
      <w:tr>
        <w:trPr/>
        <w:tc>
          <w:tcPr>
            <w:tcW w:w="4582" w:type="dxa"/>
            <w:tcBorders/>
            <w:shd w:fill="auto" w:val="clear"/>
          </w:tcPr>
          <w:p>
            <w:pPr>
              <w:pStyle w:val="TableContents"/>
              <w:spacing w:before="0" w:after="0"/>
              <w:ind w:left="0" w:right="0" w:hanging="0"/>
              <w:rPr/>
            </w:pPr>
            <w:r>
              <w:rPr/>
              <w:t> </w:t>
            </w:r>
          </w:p>
        </w:tc>
        <w:tc>
          <w:tcPr>
            <w:tcW w:w="5623"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PIPELINE, L.P.</w:t>
            </w:r>
          </w:p>
        </w:tc>
      </w:tr>
      <w:tr>
        <w:trPr/>
        <w:tc>
          <w:tcPr>
            <w:tcW w:w="4582" w:type="dxa"/>
            <w:tcBorders/>
            <w:shd w:fill="auto" w:val="clear"/>
          </w:tcPr>
          <w:p>
            <w:pPr>
              <w:pStyle w:val="TableContents"/>
              <w:spacing w:before="0" w:after="0"/>
              <w:ind w:left="0" w:right="0" w:hanging="0"/>
              <w:rPr/>
            </w:pPr>
            <w:r>
              <w:rPr/>
              <w:t> </w:t>
            </w:r>
          </w:p>
        </w:tc>
        <w:tc>
          <w:tcPr>
            <w:tcW w:w="5623" w:type="dxa"/>
            <w:gridSpan w:val="3"/>
            <w:tcBorders/>
            <w:shd w:fill="auto" w:val="clear"/>
          </w:tcPr>
          <w:p>
            <w:pPr>
              <w:pStyle w:val="TableContents"/>
              <w:spacing w:before="0" w:after="0"/>
              <w:ind w:left="0" w:right="0" w:hanging="0"/>
              <w:rPr/>
            </w:pPr>
            <w:r>
              <w:rPr/>
              <w:t> </w:t>
            </w:r>
          </w:p>
        </w:tc>
      </w:tr>
      <w:tr>
        <w:trPr/>
        <w:tc>
          <w:tcPr>
            <w:tcW w:w="458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Date: September 19, 2005</w:t>
            </w:r>
          </w:p>
        </w:tc>
        <w:tc>
          <w:tcPr>
            <w:tcW w:w="52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5103"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AAP, L.P., its general partner</w:t>
            </w:r>
          </w:p>
        </w:tc>
      </w:tr>
      <w:tr>
        <w:trPr/>
        <w:tc>
          <w:tcPr>
            <w:tcW w:w="4582" w:type="dxa"/>
            <w:tcBorders/>
            <w:shd w:fill="auto" w:val="clear"/>
          </w:tcPr>
          <w:p>
            <w:pPr>
              <w:pStyle w:val="TableContents"/>
              <w:spacing w:before="0" w:after="0"/>
              <w:ind w:left="0" w:right="0" w:hanging="0"/>
              <w:rPr/>
            </w:pPr>
            <w:r>
              <w:rPr/>
              <w:t> </w:t>
            </w:r>
          </w:p>
        </w:tc>
        <w:tc>
          <w:tcPr>
            <w:tcW w:w="520" w:type="dxa"/>
            <w:tcBorders/>
            <w:shd w:fill="auto" w:val="clear"/>
          </w:tcPr>
          <w:p>
            <w:pPr>
              <w:pStyle w:val="TableContents"/>
              <w:spacing w:before="0" w:after="0"/>
              <w:ind w:left="0" w:right="0" w:hanging="0"/>
              <w:rPr/>
            </w:pPr>
            <w:r>
              <w:rPr/>
              <w:t> </w:t>
            </w:r>
          </w:p>
        </w:tc>
        <w:tc>
          <w:tcPr>
            <w:tcW w:w="5103" w:type="dxa"/>
            <w:gridSpan w:val="2"/>
            <w:tcBorders/>
            <w:shd w:fill="auto" w:val="clear"/>
          </w:tcPr>
          <w:p>
            <w:pPr>
              <w:pStyle w:val="TableContents"/>
              <w:spacing w:before="0" w:after="0"/>
              <w:ind w:left="0" w:right="0" w:hanging="0"/>
              <w:rPr/>
            </w:pPr>
            <w:r>
              <w:rPr/>
              <w:t> </w:t>
            </w:r>
          </w:p>
        </w:tc>
      </w:tr>
      <w:tr>
        <w:trPr/>
        <w:tc>
          <w:tcPr>
            <w:tcW w:w="4582" w:type="dxa"/>
            <w:tcBorders/>
            <w:shd w:fill="auto" w:val="clear"/>
          </w:tcPr>
          <w:p>
            <w:pPr>
              <w:pStyle w:val="TableContents"/>
              <w:spacing w:before="0" w:after="0"/>
              <w:ind w:left="0" w:right="0" w:hanging="0"/>
              <w:rPr/>
            </w:pPr>
            <w:r>
              <w:rPr/>
              <w:t> </w:t>
            </w:r>
          </w:p>
        </w:tc>
        <w:tc>
          <w:tcPr>
            <w:tcW w:w="52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5103"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GP LLC, its general partner</w:t>
            </w:r>
          </w:p>
        </w:tc>
      </w:tr>
      <w:tr>
        <w:trPr/>
        <w:tc>
          <w:tcPr>
            <w:tcW w:w="4582" w:type="dxa"/>
            <w:tcBorders/>
            <w:shd w:fill="auto" w:val="clear"/>
          </w:tcPr>
          <w:p>
            <w:pPr>
              <w:pStyle w:val="TableContents"/>
              <w:spacing w:before="0" w:after="0"/>
              <w:ind w:left="0" w:right="0" w:hanging="0"/>
              <w:rPr/>
            </w:pPr>
            <w:r>
              <w:rPr/>
              <w:t> </w:t>
            </w:r>
          </w:p>
        </w:tc>
        <w:tc>
          <w:tcPr>
            <w:tcW w:w="520" w:type="dxa"/>
            <w:tcBorders/>
            <w:shd w:fill="auto" w:val="clear"/>
          </w:tcPr>
          <w:p>
            <w:pPr>
              <w:pStyle w:val="TableContents"/>
              <w:spacing w:before="0" w:after="0"/>
              <w:ind w:left="0" w:right="0" w:hanging="0"/>
              <w:rPr/>
            </w:pPr>
            <w:r>
              <w:rPr/>
              <w:t> </w:t>
            </w:r>
          </w:p>
        </w:tc>
        <w:tc>
          <w:tcPr>
            <w:tcW w:w="5103" w:type="dxa"/>
            <w:gridSpan w:val="2"/>
            <w:tcBorders/>
            <w:shd w:fill="auto" w:val="clear"/>
          </w:tcPr>
          <w:p>
            <w:pPr>
              <w:pStyle w:val="TableContents"/>
              <w:spacing w:before="0" w:after="0"/>
              <w:ind w:left="0" w:right="0" w:hanging="0"/>
              <w:rPr/>
            </w:pPr>
            <w:r>
              <w:rPr/>
              <w:t> </w:t>
            </w:r>
          </w:p>
        </w:tc>
      </w:tr>
      <w:tr>
        <w:trPr/>
        <w:tc>
          <w:tcPr>
            <w:tcW w:w="4582" w:type="dxa"/>
            <w:tcBorders/>
            <w:shd w:fill="auto" w:val="clear"/>
          </w:tcPr>
          <w:p>
            <w:pPr>
              <w:pStyle w:val="TableContents"/>
              <w:spacing w:before="0" w:after="0"/>
              <w:ind w:left="0" w:right="0" w:hanging="0"/>
              <w:rPr/>
            </w:pPr>
            <w:r>
              <w:rPr/>
              <w:t> </w:t>
            </w:r>
          </w:p>
        </w:tc>
        <w:tc>
          <w:tcPr>
            <w:tcW w:w="52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063"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TIM MOORE</w:t>
            </w:r>
          </w:p>
        </w:tc>
        <w:tc>
          <w:tcPr>
            <w:tcW w:w="1040" w:type="dxa"/>
            <w:tcBorders/>
            <w:shd w:fill="auto" w:val="clear"/>
          </w:tcPr>
          <w:p>
            <w:pPr>
              <w:pStyle w:val="TableContents"/>
              <w:spacing w:before="0" w:after="0"/>
              <w:ind w:left="0" w:right="0" w:hanging="0"/>
              <w:rPr/>
            </w:pPr>
            <w:r>
              <w:rPr/>
              <w:t> </w:t>
            </w:r>
          </w:p>
        </w:tc>
      </w:tr>
      <w:tr>
        <w:trPr/>
        <w:tc>
          <w:tcPr>
            <w:tcW w:w="4582" w:type="dxa"/>
            <w:tcBorders/>
            <w:shd w:fill="auto" w:val="clear"/>
          </w:tcPr>
          <w:p>
            <w:pPr>
              <w:pStyle w:val="TableContents"/>
              <w:spacing w:before="0" w:after="0"/>
              <w:ind w:left="0" w:right="0" w:hanging="0"/>
              <w:rPr/>
            </w:pPr>
            <w:r>
              <w:rPr/>
              <w:t> </w:t>
            </w:r>
          </w:p>
        </w:tc>
        <w:tc>
          <w:tcPr>
            <w:tcW w:w="520" w:type="dxa"/>
            <w:tcBorders/>
            <w:shd w:fill="auto" w:val="clear"/>
          </w:tcPr>
          <w:p>
            <w:pPr>
              <w:pStyle w:val="TableContents"/>
              <w:spacing w:before="0" w:after="0"/>
              <w:ind w:left="0" w:right="0" w:hanging="0"/>
              <w:rPr/>
            </w:pPr>
            <w:r>
              <w:rPr/>
              <w:t> </w:t>
            </w:r>
          </w:p>
        </w:tc>
        <w:tc>
          <w:tcPr>
            <w:tcW w:w="5103"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 Tim Moore</w:t>
            </w:r>
          </w:p>
        </w:tc>
      </w:tr>
      <w:tr>
        <w:trPr/>
        <w:tc>
          <w:tcPr>
            <w:tcW w:w="4582" w:type="dxa"/>
            <w:tcBorders/>
            <w:shd w:fill="auto" w:val="clear"/>
          </w:tcPr>
          <w:p>
            <w:pPr>
              <w:pStyle w:val="TableContents"/>
              <w:spacing w:before="0" w:after="0"/>
              <w:ind w:left="0" w:right="0" w:hanging="0"/>
              <w:rPr/>
            </w:pPr>
            <w:r>
              <w:rPr/>
              <w:t> </w:t>
            </w:r>
          </w:p>
        </w:tc>
        <w:tc>
          <w:tcPr>
            <w:tcW w:w="520" w:type="dxa"/>
            <w:tcBorders/>
            <w:shd w:fill="auto" w:val="clear"/>
          </w:tcPr>
          <w:p>
            <w:pPr>
              <w:pStyle w:val="TableContents"/>
              <w:spacing w:before="0" w:after="0"/>
              <w:ind w:left="0" w:right="0" w:hanging="0"/>
              <w:rPr/>
            </w:pPr>
            <w:r>
              <w:rPr/>
              <w:t> </w:t>
            </w:r>
          </w:p>
        </w:tc>
        <w:tc>
          <w:tcPr>
            <w:tcW w:w="5103"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   Vice President</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w:t>
      </w:r>
    </w:p>
    <w:p>
      <w:pPr>
        <w:pStyle w:val="HorizontalLine"/>
        <w:pBdr>
          <w:bottom w:val="single" w:sz="12" w:space="0" w:color="808080"/>
        </w:pBdr>
        <w:spacing w:before="0" w:after="0"/>
        <w:rPr/>
      </w:pPr>
      <w:r>
        <w:rPr/>
      </w:r>
      <w:r>
        <w:br w:type="page"/>
      </w:r>
    </w:p>
    <w:p>
      <w:pPr>
        <w:pStyle w:val="TextBody"/>
        <w:spacing w:before="0" w:after="0"/>
        <w:ind w:left="0" w:right="0" w:hanging="0"/>
        <w:jc w:val="right"/>
        <w:rPr>
          <w:rFonts w:ascii="Times New Roman" w:hAnsi="Times New Roman"/>
          <w:b/>
          <w:sz w:val="17"/>
        </w:rPr>
      </w:pPr>
      <w:bookmarkStart w:id="2" w:name="a05-16431_1ex1d1.htm"/>
      <w:bookmarkStart w:id="3" w:name="ksa0516431_1ex1d1"/>
      <w:bookmarkEnd w:id="2"/>
      <w:bookmarkEnd w:id="3"/>
      <w:r>
        <w:rPr>
          <w:rFonts w:ascii="Times New Roman" w:hAnsi="Times New Roman"/>
          <w:b/>
          <w:sz w:val="17"/>
        </w:rPr>
        <w:t>EXHIBIT 1.1</w:t>
      </w:r>
    </w:p>
    <w:p>
      <w:pPr>
        <w:pStyle w:val="TextBody"/>
        <w:pBdr/>
        <w:spacing w:before="0" w:after="0"/>
        <w:ind w:left="0" w:right="0" w:hanging="0"/>
        <w:rPr/>
      </w:pPr>
      <w:r>
        <w:rPr/>
        <w:t> </w:t>
      </w:r>
    </w:p>
    <w:p>
      <w:pPr>
        <w:pStyle w:val="TextBody"/>
        <w:pBdr/>
        <w:spacing w:before="0" w:after="0"/>
        <w:ind w:left="0" w:right="0" w:hanging="0"/>
        <w:jc w:val="right"/>
        <w:rPr>
          <w:rFonts w:ascii="Times New Roman" w:hAnsi="Times New Roman"/>
          <w:b/>
          <w:i/>
          <w:sz w:val="17"/>
        </w:rPr>
      </w:pPr>
      <w:r>
        <w:rPr>
          <w:rFonts w:ascii="Times New Roman" w:hAnsi="Times New Roman"/>
          <w:b/>
          <w:i/>
          <w:sz w:val="17"/>
        </w:rPr>
        <w:t>EXECUTION COPY</w:t>
      </w:r>
    </w:p>
    <w:p>
      <w:pPr>
        <w:pStyle w:val="TextBody"/>
        <w:pBdr/>
        <w:spacing w:before="0" w:after="0"/>
        <w:ind w:left="0" w:right="0" w:hanging="0"/>
        <w:rPr/>
      </w:pPr>
      <w:r>
        <w:rPr/>
        <w:t> </w:t>
      </w:r>
    </w:p>
    <w:p>
      <w:pPr>
        <w:pStyle w:val="TextBody"/>
        <w:pBdr/>
        <w:spacing w:before="0" w:after="0"/>
        <w:ind w:left="0" w:right="0" w:hanging="0"/>
        <w:rPr/>
      </w:pPr>
      <w:r>
        <w:rPr/>
        <w:t> </w:t>
      </w:r>
    </w:p>
    <w:p>
      <w:pPr>
        <w:pStyle w:val="TextBody"/>
        <w:pBdr/>
        <w:spacing w:before="0" w:after="0"/>
        <w:ind w:left="0" w:right="0" w:hanging="0"/>
        <w:rPr>
          <w:bdr w:val="double" w:sz="4" w:space="1" w:color="000000"/>
        </w:rPr>
      </w:pPr>
      <w:r>
        <w:rPr>
          <w:bdr w:val="double" w:sz="4" w:space="1" w:color="000000"/>
        </w:rPr>
        <w:t> </w:t>
      </w:r>
    </w:p>
    <w:p>
      <w:pPr>
        <w:pStyle w:val="TextBody"/>
        <w:pBdr/>
        <w:spacing w:before="0" w:after="0"/>
        <w:ind w:left="0" w:right="0" w:hanging="0"/>
        <w:rPr>
          <w:bdr w:val="double" w:sz="4" w:space="1" w:color="000000"/>
        </w:rPr>
      </w:pPr>
      <w:r>
        <w:rPr>
          <w:bdr w:val="double" w:sz="4" w:space="1" w:color="000000"/>
        </w:rPr>
        <w:t> </w:t>
      </w:r>
    </w:p>
    <w:p>
      <w:pPr>
        <w:pStyle w:val="TextBody"/>
        <w:pBdr/>
        <w:spacing w:before="0" w:after="0"/>
        <w:ind w:left="0" w:right="0" w:hanging="0"/>
        <w:rPr>
          <w:rFonts w:ascii="Times New Roman" w:hAnsi="Times New Roman"/>
          <w:sz w:val="17"/>
        </w:rPr>
      </w:pPr>
      <w:r>
        <w:rPr>
          <w:rFonts w:ascii="Times New Roman" w:hAnsi="Times New Roman"/>
          <w:sz w:val="17"/>
        </w:rPr>
        <w:t>AMENDED AND RESTATED LIMITED LIABILITY COMPANY AGREEMENT</w:t>
      </w:r>
    </w:p>
    <w:p>
      <w:pPr>
        <w:pStyle w:val="TextBody"/>
        <w:pBdr/>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OF</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PAA/VULCAN GAS STORAGE, LLC</w:t>
      </w:r>
    </w:p>
    <w:p>
      <w:pPr>
        <w:pStyle w:val="TextBody"/>
        <w:spacing w:before="0" w:after="0"/>
        <w:ind w:left="0" w:right="0" w:hanging="0"/>
        <w:jc w:val="center"/>
        <w:rPr/>
      </w:pPr>
      <w:r>
        <w:rPr/>
        <w:t> </w:t>
      </w:r>
    </w:p>
    <w:p>
      <w:pPr>
        <w:pStyle w:val="TextBody"/>
        <w:pBdr/>
        <w:spacing w:before="0" w:after="0"/>
        <w:ind w:left="0" w:right="0" w:hanging="0"/>
        <w:jc w:val="center"/>
        <w:rPr>
          <w:rFonts w:ascii="Times New Roman" w:hAnsi="Times New Roman"/>
          <w:sz w:val="17"/>
          <w:bdr w:val="double" w:sz="4" w:space="1" w:color="000000"/>
        </w:rPr>
      </w:pPr>
      <w:r>
        <w:rPr>
          <w:rFonts w:ascii="Times New Roman" w:hAnsi="Times New Roman"/>
          <w:sz w:val="17"/>
          <w:bdr w:val="double" w:sz="4" w:space="1" w:color="000000"/>
        </w:rPr>
        <w:t>dated as of September 13, 2005</w:t>
      </w:r>
    </w:p>
    <w:p>
      <w:pPr>
        <w:pStyle w:val="TextBody"/>
        <w:pBdr/>
        <w:spacing w:before="0" w:after="0"/>
        <w:ind w:left="0" w:right="0" w:hanging="0"/>
        <w:jc w:val="center"/>
        <w:rPr>
          <w:bdr w:val="double" w:sz="4" w:space="1" w:color="000000"/>
        </w:rPr>
      </w:pPr>
      <w:r>
        <w:rPr>
          <w:bdr w:val="double" w:sz="4" w:space="1" w:color="000000"/>
        </w:rPr>
        <w:t> </w:t>
      </w:r>
    </w:p>
    <w:p>
      <w:pPr>
        <w:pStyle w:val="TextBody"/>
        <w:pBdr/>
        <w:spacing w:before="0" w:after="0"/>
        <w:ind w:left="0" w:right="0" w:hanging="0"/>
        <w:jc w:val="center"/>
        <w:rPr>
          <w:bdr w:val="double" w:sz="4" w:space="1" w:color="000000"/>
        </w:rPr>
      </w:pPr>
      <w:r>
        <w:rPr>
          <w:bdr w:val="double" w:sz="4" w:space="1" w:color="000000"/>
        </w:rPr>
        <w:t> </w:t>
      </w:r>
    </w:p>
    <w:p>
      <w:pPr>
        <w:pStyle w:val="TextBody"/>
        <w:spacing w:before="0" w:after="0"/>
        <w:ind w:left="0" w:right="0" w:hanging="0"/>
        <w:jc w:val="center"/>
        <w:rPr/>
      </w:pPr>
      <w:r>
        <w:rPr/>
        <w:t> </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TABLE OF CONTENTS</w:t>
      </w:r>
    </w:p>
    <w:p>
      <w:pPr>
        <w:pStyle w:val="TextBody"/>
        <w:spacing w:before="0" w:after="0"/>
        <w:ind w:left="0" w:right="0" w:hanging="0"/>
        <w:jc w:val="center"/>
        <w:rPr/>
      </w:pPr>
      <w:r>
        <w:rPr/>
        <w:t> </w:t>
      </w:r>
    </w:p>
    <w:tbl>
      <w:tblPr>
        <w:tblW w:w="5000" w:type="pct"/>
        <w:jc w:val="left"/>
        <w:tblInd w:w="0" w:type="dxa"/>
        <w:tblCellMar>
          <w:top w:w="0" w:type="dxa"/>
          <w:left w:w="0" w:type="dxa"/>
          <w:bottom w:w="28" w:type="dxa"/>
          <w:right w:w="0" w:type="dxa"/>
        </w:tblCellMar>
      </w:tblPr>
      <w:tblGrid>
        <w:gridCol w:w="936"/>
        <w:gridCol w:w="102"/>
        <w:gridCol w:w="8438"/>
        <w:gridCol w:w="729"/>
      </w:tblGrid>
      <w:tr>
        <w:trPr/>
        <w:tc>
          <w:tcPr>
            <w:tcW w:w="936" w:type="dxa"/>
            <w:tcBorders>
              <w:bottom w:val="single" w:sz="8" w:space="0" w:color="000000"/>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Section</w:t>
            </w:r>
          </w:p>
        </w:tc>
        <w:tc>
          <w:tcPr>
            <w:tcW w:w="102" w:type="dxa"/>
            <w:tcBorders/>
            <w:shd w:fill="auto" w:val="clear"/>
            <w:tcMar>
              <w:bottom w:w="0" w:type="dxa"/>
            </w:tcMar>
            <w:vAlign w:val="bottom"/>
          </w:tcPr>
          <w:p>
            <w:pPr>
              <w:pStyle w:val="TableContents"/>
              <w:spacing w:before="0" w:after="0"/>
              <w:ind w:left="0" w:right="0" w:hanging="0"/>
              <w:rPr/>
            </w:pPr>
            <w:r>
              <w:rPr/>
              <w:t> </w:t>
            </w:r>
          </w:p>
        </w:tc>
        <w:tc>
          <w:tcPr>
            <w:tcW w:w="8438" w:type="dxa"/>
            <w:tcBorders/>
            <w:shd w:fill="auto" w:val="clear"/>
            <w:tcMar>
              <w:bottom w:w="0" w:type="dxa"/>
            </w:tcMar>
            <w:vAlign w:val="bottom"/>
          </w:tcPr>
          <w:p>
            <w:pPr>
              <w:pStyle w:val="TableContents"/>
              <w:spacing w:before="0" w:after="0"/>
              <w:ind w:left="0" w:right="0" w:hanging="0"/>
              <w:jc w:val="center"/>
              <w:rPr/>
            </w:pPr>
            <w:r>
              <w:rPr/>
              <w:t> </w:t>
            </w:r>
          </w:p>
        </w:tc>
        <w:tc>
          <w:tcPr>
            <w:tcW w:w="729" w:type="dxa"/>
            <w:tcBorders/>
            <w:shd w:fill="auto" w:val="clear"/>
            <w:tcMar>
              <w:bottom w:w="0" w:type="dxa"/>
            </w:tcMar>
            <w:vAlign w:val="bottom"/>
          </w:tcPr>
          <w:p>
            <w:pPr>
              <w:pStyle w:val="TableContents"/>
              <w:spacing w:before="0" w:after="0"/>
              <w:ind w:left="0" w:right="0" w:hanging="0"/>
              <w:jc w:val="center"/>
              <w:rPr/>
            </w:pPr>
            <w:r>
              <w:rPr/>
              <w:t> </w:t>
            </w:r>
          </w:p>
        </w:tc>
      </w:tr>
      <w:tr>
        <w:trPr/>
        <w:tc>
          <w:tcPr>
            <w:tcW w:w="1038" w:type="dxa"/>
            <w:gridSpan w:val="2"/>
            <w:tcBorders/>
            <w:shd w:fill="auto" w:val="clear"/>
            <w:tcMar>
              <w:bottom w:w="0" w:type="dxa"/>
            </w:tcMar>
          </w:tcPr>
          <w:p>
            <w:pPr>
              <w:pStyle w:val="TableContents"/>
              <w:spacing w:before="0" w:after="0"/>
              <w:ind w:left="0" w:right="0" w:hanging="0"/>
              <w:rPr/>
            </w:pPr>
            <w:r>
              <w:rPr/>
              <w:t> </w:t>
            </w:r>
          </w:p>
        </w:tc>
        <w:tc>
          <w:tcPr>
            <w:tcW w:w="8438" w:type="dxa"/>
            <w:tcBorders/>
            <w:shd w:fill="auto" w:val="clear"/>
            <w:tcMar>
              <w:bottom w:w="0" w:type="dxa"/>
            </w:tcMar>
          </w:tcPr>
          <w:p>
            <w:pPr>
              <w:pStyle w:val="TableContents"/>
              <w:spacing w:before="0" w:after="0"/>
              <w:ind w:left="0" w:right="0" w:hanging="0"/>
              <w:rPr/>
            </w:pPr>
            <w:r>
              <w:rPr/>
              <w:t> </w:t>
            </w:r>
          </w:p>
        </w:tc>
        <w:tc>
          <w:tcPr>
            <w:tcW w:w="729" w:type="dxa"/>
            <w:tcBorders/>
            <w:shd w:fill="auto" w:val="clear"/>
            <w:tcMar>
              <w:bottom w:w="0" w:type="dxa"/>
            </w:tcMar>
          </w:tcPr>
          <w:p>
            <w:pPr>
              <w:pStyle w:val="TableContents"/>
              <w:spacing w:before="0" w:after="0"/>
              <w:ind w:left="0" w:right="0" w:hanging="0"/>
              <w:jc w:val="right"/>
              <w:rPr/>
            </w:pPr>
            <w:r>
              <w:rPr/>
              <w:t> </w:t>
            </w:r>
          </w:p>
        </w:tc>
      </w:tr>
      <w:tr>
        <w:trPr/>
        <w:tc>
          <w:tcPr>
            <w:tcW w:w="9476" w:type="dxa"/>
            <w:gridSpan w:val="3"/>
            <w:tcBorders/>
            <w:shd w:fill="auto" w:val="clear"/>
            <w:tcMar>
              <w:bottom w:w="0" w:type="dxa"/>
            </w:tcMar>
          </w:tcPr>
          <w:p>
            <w:pPr>
              <w:pStyle w:val="TableContents"/>
              <w:spacing w:before="0" w:after="0"/>
              <w:ind w:left="0" w:right="0" w:hanging="0"/>
              <w:rPr/>
            </w:pPr>
            <w:hyperlink w:anchor="Article1_222718">
              <w:r>
                <w:rPr>
                  <w:rStyle w:val="InternetLink"/>
                  <w:rFonts w:ascii="Times New Roman" w:hAnsi="Times New Roman"/>
                  <w:color w:val="0000FF"/>
                  <w:sz w:val="17"/>
                  <w:u w:val="single"/>
                </w:rPr>
                <w:t>ARTICLE 1 DEFINITIONS</w:t>
              </w:r>
            </w:hyperlink>
          </w:p>
        </w:tc>
        <w:tc>
          <w:tcPr>
            <w:tcW w:w="729" w:type="dxa"/>
            <w:tcBorders/>
            <w:shd w:fill="auto" w:val="clear"/>
            <w:tcMar>
              <w:bottom w:w="0" w:type="dxa"/>
            </w:tcMar>
          </w:tcPr>
          <w:p>
            <w:pPr>
              <w:pStyle w:val="TableContents"/>
              <w:spacing w:before="0" w:after="0"/>
              <w:ind w:left="0" w:right="0" w:hanging="0"/>
              <w:jc w:val="right"/>
              <w:rPr/>
            </w:pPr>
            <w:r>
              <w:rPr/>
              <w:t> </w:t>
            </w:r>
          </w:p>
        </w:tc>
      </w:tr>
      <w:tr>
        <w:trPr/>
        <w:tc>
          <w:tcPr>
            <w:tcW w:w="1038" w:type="dxa"/>
            <w:gridSpan w:val="2"/>
            <w:tcBorders/>
            <w:shd w:fill="auto" w:val="clear"/>
            <w:tcMar>
              <w:bottom w:w="0" w:type="dxa"/>
            </w:tcMar>
          </w:tcPr>
          <w:p>
            <w:pPr>
              <w:pStyle w:val="TableContents"/>
              <w:spacing w:before="0" w:after="0"/>
              <w:ind w:left="0" w:right="0" w:hanging="0"/>
              <w:rPr/>
            </w:pPr>
            <w:r>
              <w:rPr/>
              <w:t> </w:t>
            </w:r>
          </w:p>
        </w:tc>
        <w:tc>
          <w:tcPr>
            <w:tcW w:w="8438" w:type="dxa"/>
            <w:tcBorders/>
            <w:shd w:fill="auto" w:val="clear"/>
            <w:tcMar>
              <w:bottom w:w="0" w:type="dxa"/>
            </w:tcMar>
          </w:tcPr>
          <w:p>
            <w:pPr>
              <w:pStyle w:val="TableContents"/>
              <w:spacing w:before="0" w:after="0"/>
              <w:ind w:left="0" w:right="0" w:hanging="0"/>
              <w:rPr/>
            </w:pPr>
            <w:r>
              <w:rPr/>
              <w:t> </w:t>
            </w:r>
          </w:p>
        </w:tc>
        <w:tc>
          <w:tcPr>
            <w:tcW w:w="729" w:type="dxa"/>
            <w:tcBorders/>
            <w:shd w:fill="auto" w:val="clear"/>
            <w:tcMar>
              <w:bottom w:w="0" w:type="dxa"/>
            </w:tcMar>
          </w:tcPr>
          <w:p>
            <w:pPr>
              <w:pStyle w:val="TableContents"/>
              <w:spacing w:before="0" w:after="0"/>
              <w:ind w:left="0" w:right="0" w:hanging="0"/>
              <w:jc w:val="right"/>
              <w:rPr/>
            </w:pPr>
            <w:r>
              <w:rPr/>
              <w:t> </w:t>
            </w:r>
          </w:p>
        </w:tc>
      </w:tr>
      <w:tr>
        <w:trPr/>
        <w:tc>
          <w:tcPr>
            <w:tcW w:w="9476" w:type="dxa"/>
            <w:gridSpan w:val="3"/>
            <w:tcBorders/>
            <w:shd w:fill="auto" w:val="clear"/>
            <w:tcMar>
              <w:bottom w:w="0" w:type="dxa"/>
            </w:tcMar>
          </w:tcPr>
          <w:p>
            <w:pPr>
              <w:pStyle w:val="TableContents"/>
              <w:spacing w:before="0" w:after="0"/>
              <w:ind w:left="0" w:right="0" w:hanging="0"/>
              <w:rPr/>
            </w:pPr>
            <w:hyperlink w:anchor="Article2_222730">
              <w:r>
                <w:rPr>
                  <w:rStyle w:val="InternetLink"/>
                  <w:rFonts w:ascii="Times New Roman" w:hAnsi="Times New Roman"/>
                  <w:color w:val="0000FF"/>
                  <w:sz w:val="17"/>
                  <w:u w:val="single"/>
                </w:rPr>
                <w:t>ARTICLE 2 GENERAL</w:t>
              </w:r>
            </w:hyperlink>
          </w:p>
        </w:tc>
        <w:tc>
          <w:tcPr>
            <w:tcW w:w="729" w:type="dxa"/>
            <w:tcBorders/>
            <w:shd w:fill="auto" w:val="clear"/>
            <w:tcMar>
              <w:bottom w:w="0" w:type="dxa"/>
            </w:tcMar>
          </w:tcPr>
          <w:p>
            <w:pPr>
              <w:pStyle w:val="TableContents"/>
              <w:spacing w:before="0" w:after="0"/>
              <w:ind w:left="0" w:right="0" w:hanging="0"/>
              <w:jc w:val="right"/>
              <w:rPr/>
            </w:pPr>
            <w:r>
              <w:rPr/>
              <w:t> </w:t>
            </w:r>
          </w:p>
        </w:tc>
      </w:tr>
      <w:tr>
        <w:trPr/>
        <w:tc>
          <w:tcPr>
            <w:tcW w:w="1038" w:type="dxa"/>
            <w:gridSpan w:val="2"/>
            <w:tcBorders/>
            <w:shd w:fill="auto" w:val="clear"/>
            <w:tcMar>
              <w:bottom w:w="0" w:type="dxa"/>
            </w:tcMar>
          </w:tcPr>
          <w:p>
            <w:pPr>
              <w:pStyle w:val="TableContents"/>
              <w:spacing w:before="0" w:after="0"/>
              <w:ind w:left="0" w:right="0" w:hanging="0"/>
              <w:rPr/>
            </w:pPr>
            <w:hyperlink w:anchor="a2_1_222733">
              <w:r>
                <w:rPr>
                  <w:rStyle w:val="InternetLink"/>
                  <w:rFonts w:ascii="Times New Roman" w:hAnsi="Times New Roman"/>
                  <w:color w:val="0000FF"/>
                  <w:sz w:val="17"/>
                  <w:u w:val="single"/>
                </w:rPr>
                <w:t>2.1</w:t>
              </w:r>
            </w:hyperlink>
          </w:p>
        </w:tc>
        <w:tc>
          <w:tcPr>
            <w:tcW w:w="8438" w:type="dxa"/>
            <w:tcBorders/>
            <w:shd w:fill="auto" w:val="clear"/>
            <w:tcMar>
              <w:bottom w:w="0" w:type="dxa"/>
            </w:tcMar>
          </w:tcPr>
          <w:p>
            <w:pPr>
              <w:pStyle w:val="TableContents"/>
              <w:spacing w:before="0" w:after="0"/>
              <w:ind w:left="0" w:right="0" w:hanging="0"/>
              <w:rPr/>
            </w:pPr>
            <w:hyperlink w:anchor="a2_1_222733">
              <w:r>
                <w:rPr>
                  <w:rStyle w:val="InternetLink"/>
                  <w:rFonts w:ascii="Times New Roman" w:hAnsi="Times New Roman"/>
                  <w:color w:val="0000FF"/>
                  <w:sz w:val="17"/>
                  <w:u w:val="single"/>
                </w:rPr>
                <w:t>Formation</w:t>
              </w:r>
            </w:hyperlink>
          </w:p>
        </w:tc>
        <w:tc>
          <w:tcPr>
            <w:tcW w:w="729" w:type="dxa"/>
            <w:tcBorders/>
            <w:shd w:fill="auto" w:val="clear"/>
            <w:tcMar>
              <w:bottom w:w="0" w:type="dxa"/>
            </w:tcMar>
          </w:tcPr>
          <w:p>
            <w:pPr>
              <w:pStyle w:val="TableContents"/>
              <w:spacing w:before="0" w:after="0"/>
              <w:ind w:left="0" w:right="0" w:hanging="0"/>
              <w:jc w:val="right"/>
              <w:rPr/>
            </w:pPr>
            <w:r>
              <w:rPr/>
              <w:t> </w:t>
            </w:r>
          </w:p>
        </w:tc>
      </w:tr>
      <w:tr>
        <w:trPr/>
        <w:tc>
          <w:tcPr>
            <w:tcW w:w="1038" w:type="dxa"/>
            <w:gridSpan w:val="2"/>
            <w:tcBorders/>
            <w:shd w:fill="auto" w:val="clear"/>
            <w:tcMar>
              <w:bottom w:w="0" w:type="dxa"/>
            </w:tcMar>
          </w:tcPr>
          <w:p>
            <w:pPr>
              <w:pStyle w:val="TableContents"/>
              <w:spacing w:before="0" w:after="0"/>
              <w:ind w:left="0" w:right="0" w:hanging="0"/>
              <w:rPr/>
            </w:pPr>
            <w:hyperlink w:anchor="a2_2_222737">
              <w:r>
                <w:rPr>
                  <w:rStyle w:val="InternetLink"/>
                  <w:rFonts w:ascii="Times New Roman" w:hAnsi="Times New Roman"/>
                  <w:color w:val="0000FF"/>
                  <w:sz w:val="17"/>
                  <w:u w:val="single"/>
                </w:rPr>
                <w:t>2.2</w:t>
              </w:r>
            </w:hyperlink>
          </w:p>
        </w:tc>
        <w:tc>
          <w:tcPr>
            <w:tcW w:w="8438" w:type="dxa"/>
            <w:tcBorders/>
            <w:shd w:fill="auto" w:val="clear"/>
            <w:tcMar>
              <w:bottom w:w="0" w:type="dxa"/>
            </w:tcMar>
          </w:tcPr>
          <w:p>
            <w:pPr>
              <w:pStyle w:val="TableContents"/>
              <w:spacing w:before="0" w:after="0"/>
              <w:ind w:left="0" w:right="0" w:hanging="0"/>
              <w:rPr/>
            </w:pPr>
            <w:hyperlink w:anchor="a2_2_222737">
              <w:r>
                <w:rPr>
                  <w:rStyle w:val="InternetLink"/>
                  <w:rFonts w:ascii="Times New Roman" w:hAnsi="Times New Roman"/>
                  <w:color w:val="0000FF"/>
                  <w:sz w:val="17"/>
                  <w:u w:val="single"/>
                </w:rPr>
                <w:t>Principal Office</w:t>
              </w:r>
            </w:hyperlink>
          </w:p>
        </w:tc>
        <w:tc>
          <w:tcPr>
            <w:tcW w:w="729" w:type="dxa"/>
            <w:tcBorders/>
            <w:shd w:fill="auto" w:val="clear"/>
            <w:tcMar>
              <w:bottom w:w="0" w:type="dxa"/>
            </w:tcMar>
          </w:tcPr>
          <w:p>
            <w:pPr>
              <w:pStyle w:val="TableContents"/>
              <w:spacing w:before="0" w:after="0"/>
              <w:ind w:left="0" w:right="0" w:hanging="0"/>
              <w:jc w:val="right"/>
              <w:rPr/>
            </w:pPr>
            <w:r>
              <w:rPr/>
              <w:t> </w:t>
            </w:r>
          </w:p>
        </w:tc>
      </w:tr>
      <w:tr>
        <w:trPr/>
        <w:tc>
          <w:tcPr>
            <w:tcW w:w="1038" w:type="dxa"/>
            <w:gridSpan w:val="2"/>
            <w:tcBorders/>
            <w:shd w:fill="auto" w:val="clear"/>
            <w:tcMar>
              <w:bottom w:w="0" w:type="dxa"/>
            </w:tcMar>
          </w:tcPr>
          <w:p>
            <w:pPr>
              <w:pStyle w:val="TableContents"/>
              <w:spacing w:before="0" w:after="0"/>
              <w:ind w:left="0" w:right="0" w:hanging="0"/>
              <w:rPr/>
            </w:pPr>
            <w:hyperlink w:anchor="a2_3_222739">
              <w:r>
                <w:rPr>
                  <w:rStyle w:val="InternetLink"/>
                  <w:rFonts w:ascii="Times New Roman" w:hAnsi="Times New Roman"/>
                  <w:color w:val="0000FF"/>
                  <w:sz w:val="17"/>
                  <w:u w:val="single"/>
                </w:rPr>
                <w:t>2.3</w:t>
              </w:r>
            </w:hyperlink>
          </w:p>
        </w:tc>
        <w:tc>
          <w:tcPr>
            <w:tcW w:w="8438" w:type="dxa"/>
            <w:tcBorders/>
            <w:shd w:fill="auto" w:val="clear"/>
            <w:tcMar>
              <w:bottom w:w="0" w:type="dxa"/>
            </w:tcMar>
          </w:tcPr>
          <w:p>
            <w:pPr>
              <w:pStyle w:val="TableContents"/>
              <w:spacing w:before="0" w:after="0"/>
              <w:ind w:left="0" w:right="0" w:hanging="0"/>
              <w:rPr/>
            </w:pPr>
            <w:hyperlink w:anchor="a2_3_222739">
              <w:r>
                <w:rPr>
                  <w:rStyle w:val="InternetLink"/>
                  <w:rFonts w:ascii="Times New Roman" w:hAnsi="Times New Roman"/>
                  <w:color w:val="0000FF"/>
                  <w:sz w:val="17"/>
                  <w:u w:val="single"/>
                </w:rPr>
                <w:t>Registered Office and Registered Agent</w:t>
              </w:r>
            </w:hyperlink>
          </w:p>
        </w:tc>
        <w:tc>
          <w:tcPr>
            <w:tcW w:w="729" w:type="dxa"/>
            <w:tcBorders/>
            <w:shd w:fill="auto" w:val="clear"/>
            <w:tcMar>
              <w:bottom w:w="0" w:type="dxa"/>
            </w:tcMar>
          </w:tcPr>
          <w:p>
            <w:pPr>
              <w:pStyle w:val="TableContents"/>
              <w:spacing w:before="0" w:after="0"/>
              <w:ind w:left="0" w:right="0" w:hanging="0"/>
              <w:jc w:val="right"/>
              <w:rPr/>
            </w:pPr>
            <w:r>
              <w:rPr/>
              <w:t> </w:t>
            </w:r>
          </w:p>
        </w:tc>
      </w:tr>
      <w:tr>
        <w:trPr/>
        <w:tc>
          <w:tcPr>
            <w:tcW w:w="1038" w:type="dxa"/>
            <w:gridSpan w:val="2"/>
            <w:tcBorders/>
            <w:shd w:fill="auto" w:val="clear"/>
            <w:tcMar>
              <w:bottom w:w="0" w:type="dxa"/>
            </w:tcMar>
          </w:tcPr>
          <w:p>
            <w:pPr>
              <w:pStyle w:val="TableContents"/>
              <w:spacing w:before="0" w:after="0"/>
              <w:ind w:left="0" w:right="0" w:hanging="0"/>
              <w:rPr/>
            </w:pPr>
            <w:hyperlink w:anchor="a2_4_222740">
              <w:r>
                <w:rPr>
                  <w:rStyle w:val="InternetLink"/>
                  <w:rFonts w:ascii="Times New Roman" w:hAnsi="Times New Roman"/>
                  <w:color w:val="0000FF"/>
                  <w:sz w:val="17"/>
                  <w:u w:val="single"/>
                </w:rPr>
                <w:t>2.4</w:t>
              </w:r>
            </w:hyperlink>
          </w:p>
        </w:tc>
        <w:tc>
          <w:tcPr>
            <w:tcW w:w="8438" w:type="dxa"/>
            <w:tcBorders/>
            <w:shd w:fill="auto" w:val="clear"/>
            <w:tcMar>
              <w:bottom w:w="0" w:type="dxa"/>
            </w:tcMar>
          </w:tcPr>
          <w:p>
            <w:pPr>
              <w:pStyle w:val="TableContents"/>
              <w:spacing w:before="0" w:after="0"/>
              <w:ind w:left="0" w:right="0" w:hanging="0"/>
              <w:rPr/>
            </w:pPr>
            <w:hyperlink w:anchor="a2_4_222740">
              <w:r>
                <w:rPr>
                  <w:rStyle w:val="InternetLink"/>
                  <w:rFonts w:ascii="Times New Roman" w:hAnsi="Times New Roman"/>
                  <w:color w:val="0000FF"/>
                  <w:sz w:val="17"/>
                  <w:u w:val="single"/>
                </w:rPr>
                <w:t>Purpose of the Company</w:t>
              </w:r>
            </w:hyperlink>
          </w:p>
        </w:tc>
        <w:tc>
          <w:tcPr>
            <w:tcW w:w="729" w:type="dxa"/>
            <w:tcBorders/>
            <w:shd w:fill="auto" w:val="clear"/>
            <w:tcMar>
              <w:bottom w:w="0" w:type="dxa"/>
            </w:tcMar>
          </w:tcPr>
          <w:p>
            <w:pPr>
              <w:pStyle w:val="TableContents"/>
              <w:spacing w:before="0" w:after="0"/>
              <w:ind w:left="0" w:right="0" w:hanging="0"/>
              <w:jc w:val="right"/>
              <w:rPr/>
            </w:pPr>
            <w:r>
              <w:rPr/>
              <w:t> </w:t>
            </w:r>
          </w:p>
        </w:tc>
      </w:tr>
      <w:tr>
        <w:trPr/>
        <w:tc>
          <w:tcPr>
            <w:tcW w:w="1038" w:type="dxa"/>
            <w:gridSpan w:val="2"/>
            <w:tcBorders/>
            <w:shd w:fill="auto" w:val="clear"/>
            <w:tcMar>
              <w:bottom w:w="0" w:type="dxa"/>
            </w:tcMar>
          </w:tcPr>
          <w:p>
            <w:pPr>
              <w:pStyle w:val="TableContents"/>
              <w:spacing w:before="0" w:after="0"/>
              <w:ind w:left="0" w:right="0" w:hanging="0"/>
              <w:rPr/>
            </w:pPr>
            <w:hyperlink w:anchor="a2_5_222743">
              <w:r>
                <w:rPr>
                  <w:rStyle w:val="InternetLink"/>
                  <w:rFonts w:ascii="Times New Roman" w:hAnsi="Times New Roman"/>
                  <w:color w:val="0000FF"/>
                  <w:sz w:val="17"/>
                  <w:u w:val="single"/>
                </w:rPr>
                <w:t>2.5</w:t>
              </w:r>
            </w:hyperlink>
          </w:p>
        </w:tc>
        <w:tc>
          <w:tcPr>
            <w:tcW w:w="8438" w:type="dxa"/>
            <w:tcBorders/>
            <w:shd w:fill="auto" w:val="clear"/>
            <w:tcMar>
              <w:bottom w:w="0" w:type="dxa"/>
            </w:tcMar>
          </w:tcPr>
          <w:p>
            <w:pPr>
              <w:pStyle w:val="TableContents"/>
              <w:spacing w:before="0" w:after="0"/>
              <w:ind w:left="0" w:right="0" w:hanging="0"/>
              <w:rPr/>
            </w:pPr>
            <w:hyperlink w:anchor="a2_5_222743">
              <w:r>
                <w:rPr>
                  <w:rStyle w:val="InternetLink"/>
                  <w:rFonts w:ascii="Times New Roman" w:hAnsi="Times New Roman"/>
                  <w:color w:val="0000FF"/>
                  <w:sz w:val="17"/>
                  <w:u w:val="single"/>
                </w:rPr>
                <w:t>Date of Dissolution</w:t>
              </w:r>
            </w:hyperlink>
          </w:p>
        </w:tc>
        <w:tc>
          <w:tcPr>
            <w:tcW w:w="729" w:type="dxa"/>
            <w:tcBorders/>
            <w:shd w:fill="auto" w:val="clear"/>
            <w:tcMar>
              <w:bottom w:w="0" w:type="dxa"/>
            </w:tcMar>
          </w:tcPr>
          <w:p>
            <w:pPr>
              <w:pStyle w:val="TableContents"/>
              <w:spacing w:before="0" w:after="0"/>
              <w:ind w:left="0" w:right="0" w:hanging="0"/>
              <w:jc w:val="right"/>
              <w:rPr/>
            </w:pPr>
            <w:r>
              <w:rPr/>
              <w:t> </w:t>
            </w:r>
          </w:p>
        </w:tc>
      </w:tr>
      <w:tr>
        <w:trPr/>
        <w:tc>
          <w:tcPr>
            <w:tcW w:w="1038" w:type="dxa"/>
            <w:gridSpan w:val="2"/>
            <w:tcBorders/>
            <w:shd w:fill="auto" w:val="clear"/>
            <w:tcMar>
              <w:bottom w:w="0" w:type="dxa"/>
            </w:tcMar>
          </w:tcPr>
          <w:p>
            <w:pPr>
              <w:pStyle w:val="TableContents"/>
              <w:spacing w:before="0" w:after="0"/>
              <w:ind w:left="0" w:right="0" w:hanging="0"/>
              <w:rPr/>
            </w:pPr>
            <w:hyperlink w:anchor="a2_6_222744">
              <w:r>
                <w:rPr>
                  <w:rStyle w:val="InternetLink"/>
                  <w:rFonts w:ascii="Times New Roman" w:hAnsi="Times New Roman"/>
                  <w:color w:val="0000FF"/>
                  <w:sz w:val="17"/>
                  <w:u w:val="single"/>
                </w:rPr>
                <w:t>2.6</w:t>
              </w:r>
            </w:hyperlink>
          </w:p>
        </w:tc>
        <w:tc>
          <w:tcPr>
            <w:tcW w:w="8438" w:type="dxa"/>
            <w:tcBorders/>
            <w:shd w:fill="auto" w:val="clear"/>
            <w:tcMar>
              <w:bottom w:w="0" w:type="dxa"/>
            </w:tcMar>
          </w:tcPr>
          <w:p>
            <w:pPr>
              <w:pStyle w:val="TableContents"/>
              <w:spacing w:before="0" w:after="0"/>
              <w:ind w:left="0" w:right="0" w:hanging="0"/>
              <w:rPr/>
            </w:pPr>
            <w:hyperlink w:anchor="a2_6_222744">
              <w:r>
                <w:rPr>
                  <w:rStyle w:val="InternetLink"/>
                  <w:rFonts w:ascii="Times New Roman" w:hAnsi="Times New Roman"/>
                  <w:color w:val="0000FF"/>
                  <w:sz w:val="17"/>
                  <w:u w:val="single"/>
                </w:rPr>
                <w:t>Qualification</w:t>
              </w:r>
            </w:hyperlink>
          </w:p>
        </w:tc>
        <w:tc>
          <w:tcPr>
            <w:tcW w:w="729" w:type="dxa"/>
            <w:tcBorders/>
            <w:shd w:fill="auto" w:val="clear"/>
            <w:tcMar>
              <w:bottom w:w="0" w:type="dxa"/>
            </w:tcMar>
          </w:tcPr>
          <w:p>
            <w:pPr>
              <w:pStyle w:val="TableContents"/>
              <w:spacing w:before="0" w:after="0"/>
              <w:ind w:left="0" w:right="0" w:hanging="0"/>
              <w:jc w:val="right"/>
              <w:rPr/>
            </w:pPr>
            <w:r>
              <w:rPr/>
              <w:t> </w:t>
            </w:r>
          </w:p>
        </w:tc>
      </w:tr>
      <w:tr>
        <w:trPr/>
        <w:tc>
          <w:tcPr>
            <w:tcW w:w="1038" w:type="dxa"/>
            <w:gridSpan w:val="2"/>
            <w:tcBorders/>
            <w:shd w:fill="auto" w:val="clear"/>
            <w:tcMar>
              <w:bottom w:w="0" w:type="dxa"/>
            </w:tcMar>
          </w:tcPr>
          <w:p>
            <w:pPr>
              <w:pStyle w:val="TableContents"/>
              <w:spacing w:before="0" w:after="0"/>
              <w:ind w:left="0" w:right="0" w:hanging="0"/>
              <w:rPr/>
            </w:pPr>
            <w:hyperlink w:anchor="a2_7_222746">
              <w:r>
                <w:rPr>
                  <w:rStyle w:val="InternetLink"/>
                  <w:rFonts w:ascii="Times New Roman" w:hAnsi="Times New Roman"/>
                  <w:color w:val="0000FF"/>
                  <w:sz w:val="17"/>
                  <w:u w:val="single"/>
                </w:rPr>
                <w:t>2.7</w:t>
              </w:r>
            </w:hyperlink>
          </w:p>
        </w:tc>
        <w:tc>
          <w:tcPr>
            <w:tcW w:w="8438" w:type="dxa"/>
            <w:tcBorders/>
            <w:shd w:fill="auto" w:val="clear"/>
            <w:tcMar>
              <w:bottom w:w="0" w:type="dxa"/>
            </w:tcMar>
          </w:tcPr>
          <w:p>
            <w:pPr>
              <w:pStyle w:val="TableContents"/>
              <w:spacing w:before="0" w:after="0"/>
              <w:ind w:left="0" w:right="0" w:hanging="0"/>
              <w:rPr/>
            </w:pPr>
            <w:hyperlink w:anchor="a2_7_222746">
              <w:r>
                <w:rPr>
                  <w:rStyle w:val="InternetLink"/>
                  <w:rFonts w:ascii="Times New Roman" w:hAnsi="Times New Roman"/>
                  <w:color w:val="0000FF"/>
                  <w:sz w:val="17"/>
                  <w:u w:val="single"/>
                </w:rPr>
                <w:t>Members</w:t>
              </w:r>
            </w:hyperlink>
          </w:p>
        </w:tc>
        <w:tc>
          <w:tcPr>
            <w:tcW w:w="729" w:type="dxa"/>
            <w:tcBorders/>
            <w:shd w:fill="auto" w:val="clear"/>
            <w:tcMar>
              <w:bottom w:w="0" w:type="dxa"/>
            </w:tcMar>
          </w:tcPr>
          <w:p>
            <w:pPr>
              <w:pStyle w:val="TableContents"/>
              <w:spacing w:before="0" w:after="0"/>
              <w:ind w:left="0" w:right="0" w:hanging="0"/>
              <w:jc w:val="right"/>
              <w:rPr/>
            </w:pPr>
            <w:r>
              <w:rPr/>
              <w:t> </w:t>
            </w:r>
          </w:p>
        </w:tc>
      </w:tr>
      <w:tr>
        <w:trPr/>
        <w:tc>
          <w:tcPr>
            <w:tcW w:w="1038" w:type="dxa"/>
            <w:gridSpan w:val="2"/>
            <w:tcBorders/>
            <w:shd w:fill="auto" w:val="clear"/>
            <w:tcMar>
              <w:bottom w:w="0" w:type="dxa"/>
            </w:tcMar>
          </w:tcPr>
          <w:p>
            <w:pPr>
              <w:pStyle w:val="TableContents"/>
              <w:spacing w:before="0" w:after="0"/>
              <w:ind w:left="0" w:right="0" w:hanging="0"/>
              <w:rPr/>
            </w:pPr>
            <w:hyperlink w:anchor="a2_8_222752">
              <w:r>
                <w:rPr>
                  <w:rStyle w:val="InternetLink"/>
                  <w:rFonts w:ascii="Times New Roman" w:hAnsi="Times New Roman"/>
                  <w:color w:val="0000FF"/>
                  <w:sz w:val="17"/>
                  <w:u w:val="single"/>
                </w:rPr>
                <w:t>2.8</w:t>
              </w:r>
            </w:hyperlink>
          </w:p>
        </w:tc>
        <w:tc>
          <w:tcPr>
            <w:tcW w:w="8438" w:type="dxa"/>
            <w:tcBorders/>
            <w:shd w:fill="auto" w:val="clear"/>
            <w:tcMar>
              <w:bottom w:w="0" w:type="dxa"/>
            </w:tcMar>
          </w:tcPr>
          <w:p>
            <w:pPr>
              <w:pStyle w:val="TableContents"/>
              <w:spacing w:before="0" w:after="0"/>
              <w:ind w:left="0" w:right="0" w:hanging="0"/>
              <w:rPr/>
            </w:pPr>
            <w:hyperlink w:anchor="a2_8_222752">
              <w:r>
                <w:rPr>
                  <w:rStyle w:val="InternetLink"/>
                  <w:rFonts w:ascii="Times New Roman" w:hAnsi="Times New Roman"/>
                  <w:color w:val="0000FF"/>
                  <w:sz w:val="17"/>
                  <w:u w:val="single"/>
                </w:rPr>
                <w:t>Reliance by Third Parties</w:t>
              </w:r>
            </w:hyperlink>
          </w:p>
        </w:tc>
        <w:tc>
          <w:tcPr>
            <w:tcW w:w="729" w:type="dxa"/>
            <w:tcBorders/>
            <w:shd w:fill="auto" w:val="clear"/>
            <w:tcMar>
              <w:bottom w:w="0" w:type="dxa"/>
            </w:tcMar>
          </w:tcPr>
          <w:p>
            <w:pPr>
              <w:pStyle w:val="TableContents"/>
              <w:spacing w:before="0" w:after="0"/>
              <w:ind w:left="0" w:right="0" w:hanging="0"/>
              <w:jc w:val="right"/>
              <w:rPr/>
            </w:pPr>
            <w:r>
              <w:rPr/>
              <w:t> </w:t>
            </w:r>
          </w:p>
        </w:tc>
      </w:tr>
      <w:tr>
        <w:trPr/>
        <w:tc>
          <w:tcPr>
            <w:tcW w:w="1038" w:type="dxa"/>
            <w:gridSpan w:val="2"/>
            <w:tcBorders/>
            <w:shd w:fill="auto" w:val="clear"/>
            <w:tcMar>
              <w:bottom w:w="0" w:type="dxa"/>
            </w:tcMar>
          </w:tcPr>
          <w:p>
            <w:pPr>
              <w:pStyle w:val="TableContents"/>
              <w:spacing w:before="0" w:after="0"/>
              <w:ind w:left="0" w:right="0" w:hanging="0"/>
              <w:rPr/>
            </w:pPr>
            <w:r>
              <w:rPr/>
              <w:t> </w:t>
            </w:r>
          </w:p>
        </w:tc>
        <w:tc>
          <w:tcPr>
            <w:tcW w:w="8438" w:type="dxa"/>
            <w:tcBorders/>
            <w:shd w:fill="auto" w:val="clear"/>
            <w:tcMar>
              <w:bottom w:w="0" w:type="dxa"/>
            </w:tcMar>
          </w:tcPr>
          <w:p>
            <w:pPr>
              <w:pStyle w:val="TableContents"/>
              <w:spacing w:before="0" w:after="0"/>
              <w:ind w:left="0" w:right="0" w:hanging="0"/>
              <w:rPr/>
            </w:pPr>
            <w:r>
              <w:rPr/>
              <w:t> </w:t>
            </w:r>
          </w:p>
        </w:tc>
        <w:tc>
          <w:tcPr>
            <w:tcW w:w="729" w:type="dxa"/>
            <w:tcBorders/>
            <w:shd w:fill="auto" w:val="clear"/>
            <w:tcMar>
              <w:bottom w:w="0" w:type="dxa"/>
            </w:tcMar>
          </w:tcPr>
          <w:p>
            <w:pPr>
              <w:pStyle w:val="TableContents"/>
              <w:spacing w:before="0" w:after="0"/>
              <w:ind w:left="0" w:right="0" w:hanging="0"/>
              <w:jc w:val="right"/>
              <w:rPr/>
            </w:pPr>
            <w:r>
              <w:rPr/>
              <w:t> </w:t>
            </w:r>
          </w:p>
        </w:tc>
      </w:tr>
      <w:tr>
        <w:trPr/>
        <w:tc>
          <w:tcPr>
            <w:tcW w:w="9476" w:type="dxa"/>
            <w:gridSpan w:val="3"/>
            <w:tcBorders/>
            <w:shd w:fill="auto" w:val="clear"/>
            <w:tcMar>
              <w:bottom w:w="0" w:type="dxa"/>
            </w:tcMar>
          </w:tcPr>
          <w:p>
            <w:pPr>
              <w:pStyle w:val="TableContents"/>
              <w:spacing w:before="0" w:after="0"/>
              <w:ind w:left="0" w:right="0" w:hanging="0"/>
              <w:rPr/>
            </w:pPr>
            <w:hyperlink w:anchor="Article3_222754">
              <w:r>
                <w:rPr>
                  <w:rStyle w:val="InternetLink"/>
                  <w:rFonts w:ascii="Times New Roman" w:hAnsi="Times New Roman"/>
                  <w:color w:val="0000FF"/>
                  <w:sz w:val="17"/>
                  <w:u w:val="single"/>
                </w:rPr>
                <w:t>ARTICLE 3 CAPITALIZATION OF THE COMPANY</w:t>
              </w:r>
            </w:hyperlink>
          </w:p>
        </w:tc>
        <w:tc>
          <w:tcPr>
            <w:tcW w:w="729" w:type="dxa"/>
            <w:tcBorders/>
            <w:shd w:fill="auto" w:val="clear"/>
            <w:tcMar>
              <w:bottom w:w="0" w:type="dxa"/>
            </w:tcMar>
          </w:tcPr>
          <w:p>
            <w:pPr>
              <w:pStyle w:val="TableContents"/>
              <w:spacing w:before="0" w:after="0"/>
              <w:ind w:left="0" w:right="0" w:hanging="0"/>
              <w:jc w:val="right"/>
              <w:rPr/>
            </w:pPr>
            <w:r>
              <w:rPr/>
              <w:t> </w:t>
            </w:r>
          </w:p>
        </w:tc>
      </w:tr>
      <w:tr>
        <w:trPr/>
        <w:tc>
          <w:tcPr>
            <w:tcW w:w="1038" w:type="dxa"/>
            <w:gridSpan w:val="2"/>
            <w:tcBorders/>
            <w:shd w:fill="auto" w:val="clear"/>
            <w:tcMar>
              <w:bottom w:w="0" w:type="dxa"/>
            </w:tcMar>
          </w:tcPr>
          <w:p>
            <w:pPr>
              <w:pStyle w:val="TableContents"/>
              <w:spacing w:before="0" w:after="0"/>
              <w:ind w:left="0" w:right="0" w:hanging="0"/>
              <w:rPr/>
            </w:pPr>
            <w:hyperlink w:anchor="a3_1_222756">
              <w:r>
                <w:rPr>
                  <w:rStyle w:val="InternetLink"/>
                  <w:rFonts w:ascii="Times New Roman" w:hAnsi="Times New Roman"/>
                  <w:color w:val="0000FF"/>
                  <w:sz w:val="17"/>
                  <w:u w:val="single"/>
                </w:rPr>
                <w:t>3.1</w:t>
              </w:r>
            </w:hyperlink>
          </w:p>
        </w:tc>
        <w:tc>
          <w:tcPr>
            <w:tcW w:w="8438" w:type="dxa"/>
            <w:tcBorders/>
            <w:shd w:fill="auto" w:val="clear"/>
            <w:tcMar>
              <w:bottom w:w="0" w:type="dxa"/>
            </w:tcMar>
          </w:tcPr>
          <w:p>
            <w:pPr>
              <w:pStyle w:val="TableContents"/>
              <w:spacing w:before="0" w:after="0"/>
              <w:ind w:left="0" w:right="0" w:hanging="0"/>
              <w:rPr/>
            </w:pPr>
            <w:hyperlink w:anchor="a3_1_222756">
              <w:r>
                <w:rPr>
                  <w:rStyle w:val="InternetLink"/>
                  <w:rFonts w:ascii="Times New Roman" w:hAnsi="Times New Roman"/>
                  <w:color w:val="0000FF"/>
                  <w:sz w:val="17"/>
                  <w:u w:val="single"/>
                </w:rPr>
                <w:t>Initial Capital Contributions</w:t>
              </w:r>
            </w:hyperlink>
          </w:p>
        </w:tc>
        <w:tc>
          <w:tcPr>
            <w:tcW w:w="729" w:type="dxa"/>
            <w:tcBorders/>
            <w:shd w:fill="auto" w:val="clear"/>
            <w:tcMar>
              <w:bottom w:w="0" w:type="dxa"/>
            </w:tcMar>
          </w:tcPr>
          <w:p>
            <w:pPr>
              <w:pStyle w:val="TableContents"/>
              <w:spacing w:before="0" w:after="0"/>
              <w:ind w:left="0" w:right="0" w:hanging="0"/>
              <w:jc w:val="right"/>
              <w:rPr/>
            </w:pPr>
            <w:r>
              <w:rPr/>
              <w:t> </w:t>
            </w:r>
          </w:p>
        </w:tc>
      </w:tr>
      <w:tr>
        <w:trPr/>
        <w:tc>
          <w:tcPr>
            <w:tcW w:w="1038" w:type="dxa"/>
            <w:gridSpan w:val="2"/>
            <w:tcBorders/>
            <w:shd w:fill="auto" w:val="clear"/>
            <w:tcMar>
              <w:bottom w:w="0" w:type="dxa"/>
            </w:tcMar>
          </w:tcPr>
          <w:p>
            <w:pPr>
              <w:pStyle w:val="TableContents"/>
              <w:spacing w:before="0" w:after="0"/>
              <w:ind w:left="0" w:right="0" w:hanging="0"/>
              <w:rPr/>
            </w:pPr>
            <w:hyperlink w:anchor="a3_2_222758">
              <w:r>
                <w:rPr>
                  <w:rStyle w:val="InternetLink"/>
                  <w:rFonts w:ascii="Times New Roman" w:hAnsi="Times New Roman"/>
                  <w:color w:val="0000FF"/>
                  <w:sz w:val="17"/>
                  <w:u w:val="single"/>
                </w:rPr>
                <w:t>3.2</w:t>
              </w:r>
            </w:hyperlink>
          </w:p>
        </w:tc>
        <w:tc>
          <w:tcPr>
            <w:tcW w:w="8438" w:type="dxa"/>
            <w:tcBorders/>
            <w:shd w:fill="auto" w:val="clear"/>
            <w:tcMar>
              <w:bottom w:w="0" w:type="dxa"/>
            </w:tcMar>
          </w:tcPr>
          <w:p>
            <w:pPr>
              <w:pStyle w:val="TableContents"/>
              <w:spacing w:before="0" w:after="0"/>
              <w:ind w:left="0" w:right="0" w:hanging="0"/>
              <w:rPr/>
            </w:pPr>
            <w:hyperlink w:anchor="a3_2_222758">
              <w:r>
                <w:rPr>
                  <w:rStyle w:val="InternetLink"/>
                  <w:rFonts w:ascii="Times New Roman" w:hAnsi="Times New Roman"/>
                  <w:color w:val="0000FF"/>
                  <w:sz w:val="17"/>
                  <w:u w:val="single"/>
                </w:rPr>
                <w:t>Additional Capital Contributions; Adjustments to Percentage Interests</w:t>
              </w:r>
            </w:hyperlink>
          </w:p>
        </w:tc>
        <w:tc>
          <w:tcPr>
            <w:tcW w:w="729" w:type="dxa"/>
            <w:tcBorders/>
            <w:shd w:fill="auto" w:val="clear"/>
            <w:tcMar>
              <w:bottom w:w="0" w:type="dxa"/>
            </w:tcMar>
          </w:tcPr>
          <w:p>
            <w:pPr>
              <w:pStyle w:val="TableContents"/>
              <w:spacing w:before="0" w:after="0"/>
              <w:ind w:left="0" w:right="0" w:hanging="0"/>
              <w:jc w:val="right"/>
              <w:rPr/>
            </w:pPr>
            <w:r>
              <w:rPr/>
              <w:t> </w:t>
            </w:r>
          </w:p>
        </w:tc>
      </w:tr>
      <w:tr>
        <w:trPr/>
        <w:tc>
          <w:tcPr>
            <w:tcW w:w="1038" w:type="dxa"/>
            <w:gridSpan w:val="2"/>
            <w:tcBorders/>
            <w:shd w:fill="auto" w:val="clear"/>
            <w:tcMar>
              <w:bottom w:w="0" w:type="dxa"/>
            </w:tcMar>
          </w:tcPr>
          <w:p>
            <w:pPr>
              <w:pStyle w:val="TableContents"/>
              <w:spacing w:before="0" w:after="0"/>
              <w:ind w:left="0" w:right="0" w:hanging="0"/>
              <w:rPr/>
            </w:pPr>
            <w:hyperlink w:anchor="a3_3_222805">
              <w:r>
                <w:rPr>
                  <w:rStyle w:val="InternetLink"/>
                  <w:rFonts w:ascii="Times New Roman" w:hAnsi="Times New Roman"/>
                  <w:color w:val="0000FF"/>
                  <w:sz w:val="17"/>
                  <w:u w:val="single"/>
                </w:rPr>
                <w:t>3.3</w:t>
              </w:r>
            </w:hyperlink>
          </w:p>
        </w:tc>
        <w:tc>
          <w:tcPr>
            <w:tcW w:w="8438" w:type="dxa"/>
            <w:tcBorders/>
            <w:shd w:fill="auto" w:val="clear"/>
            <w:tcMar>
              <w:bottom w:w="0" w:type="dxa"/>
            </w:tcMar>
          </w:tcPr>
          <w:p>
            <w:pPr>
              <w:pStyle w:val="TableContents"/>
              <w:spacing w:before="0" w:after="0"/>
              <w:ind w:left="0" w:right="0" w:hanging="0"/>
              <w:rPr/>
            </w:pPr>
            <w:hyperlink w:anchor="a3_3_222805">
              <w:r>
                <w:rPr>
                  <w:rStyle w:val="InternetLink"/>
                  <w:rFonts w:ascii="Times New Roman" w:hAnsi="Times New Roman"/>
                  <w:color w:val="0000FF"/>
                  <w:sz w:val="17"/>
                  <w:u w:val="single"/>
                </w:rPr>
                <w:t>Loans</w:t>
              </w:r>
            </w:hyperlink>
          </w:p>
        </w:tc>
        <w:tc>
          <w:tcPr>
            <w:tcW w:w="729" w:type="dxa"/>
            <w:tcBorders/>
            <w:shd w:fill="auto" w:val="clear"/>
            <w:tcMar>
              <w:bottom w:w="0" w:type="dxa"/>
            </w:tcMar>
          </w:tcPr>
          <w:p>
            <w:pPr>
              <w:pStyle w:val="TableContents"/>
              <w:spacing w:before="0" w:after="0"/>
              <w:ind w:left="0" w:right="0" w:hanging="0"/>
              <w:jc w:val="right"/>
              <w:rPr/>
            </w:pPr>
            <w:r>
              <w:rPr/>
              <w:t> </w:t>
            </w:r>
          </w:p>
        </w:tc>
      </w:tr>
      <w:tr>
        <w:trPr/>
        <w:tc>
          <w:tcPr>
            <w:tcW w:w="1038" w:type="dxa"/>
            <w:gridSpan w:val="2"/>
            <w:tcBorders/>
            <w:shd w:fill="auto" w:val="clear"/>
            <w:tcMar>
              <w:bottom w:w="0" w:type="dxa"/>
            </w:tcMar>
          </w:tcPr>
          <w:p>
            <w:pPr>
              <w:pStyle w:val="TableContents"/>
              <w:spacing w:before="0" w:after="0"/>
              <w:ind w:left="0" w:right="0" w:hanging="0"/>
              <w:rPr/>
            </w:pPr>
            <w:hyperlink w:anchor="a3_4_222808">
              <w:r>
                <w:rPr>
                  <w:rStyle w:val="InternetLink"/>
                  <w:rFonts w:ascii="Times New Roman" w:hAnsi="Times New Roman"/>
                  <w:color w:val="0000FF"/>
                  <w:sz w:val="17"/>
                  <w:u w:val="single"/>
                </w:rPr>
                <w:t>3.4</w:t>
              </w:r>
            </w:hyperlink>
          </w:p>
        </w:tc>
        <w:tc>
          <w:tcPr>
            <w:tcW w:w="8438" w:type="dxa"/>
            <w:tcBorders/>
            <w:shd w:fill="auto" w:val="clear"/>
            <w:tcMar>
              <w:bottom w:w="0" w:type="dxa"/>
            </w:tcMar>
          </w:tcPr>
          <w:p>
            <w:pPr>
              <w:pStyle w:val="TableContents"/>
              <w:spacing w:before="0" w:after="0"/>
              <w:ind w:left="0" w:right="0" w:hanging="0"/>
              <w:rPr/>
            </w:pPr>
            <w:hyperlink w:anchor="a3_4_222808">
              <w:r>
                <w:rPr>
                  <w:rStyle w:val="InternetLink"/>
                  <w:rFonts w:ascii="Times New Roman" w:hAnsi="Times New Roman"/>
                  <w:color w:val="0000FF"/>
                  <w:sz w:val="17"/>
                  <w:u w:val="single"/>
                </w:rPr>
                <w:t>Maintenance of Capital Accounts.</w:t>
              </w:r>
            </w:hyperlink>
          </w:p>
        </w:tc>
        <w:tc>
          <w:tcPr>
            <w:tcW w:w="729" w:type="dxa"/>
            <w:tcBorders/>
            <w:shd w:fill="auto" w:val="clear"/>
            <w:tcMar>
              <w:bottom w:w="0" w:type="dxa"/>
            </w:tcMar>
          </w:tcPr>
          <w:p>
            <w:pPr>
              <w:pStyle w:val="TableContents"/>
              <w:spacing w:before="0" w:after="0"/>
              <w:ind w:left="0" w:right="0" w:hanging="0"/>
              <w:jc w:val="right"/>
              <w:rPr/>
            </w:pPr>
            <w:r>
              <w:rPr/>
              <w:t> </w:t>
            </w:r>
          </w:p>
        </w:tc>
      </w:tr>
      <w:tr>
        <w:trPr/>
        <w:tc>
          <w:tcPr>
            <w:tcW w:w="1038" w:type="dxa"/>
            <w:gridSpan w:val="2"/>
            <w:tcBorders/>
            <w:shd w:fill="auto" w:val="clear"/>
            <w:tcMar>
              <w:bottom w:w="0" w:type="dxa"/>
            </w:tcMar>
          </w:tcPr>
          <w:p>
            <w:pPr>
              <w:pStyle w:val="TableContents"/>
              <w:spacing w:before="0" w:after="0"/>
              <w:ind w:left="0" w:right="0" w:hanging="0"/>
              <w:rPr/>
            </w:pPr>
            <w:hyperlink w:anchor="a3_5_222811">
              <w:r>
                <w:rPr>
                  <w:rStyle w:val="InternetLink"/>
                  <w:rFonts w:ascii="Times New Roman" w:hAnsi="Times New Roman"/>
                  <w:color w:val="0000FF"/>
                  <w:sz w:val="17"/>
                  <w:u w:val="single"/>
                </w:rPr>
                <w:t>3.5</w:t>
              </w:r>
            </w:hyperlink>
          </w:p>
        </w:tc>
        <w:tc>
          <w:tcPr>
            <w:tcW w:w="8438" w:type="dxa"/>
            <w:tcBorders/>
            <w:shd w:fill="auto" w:val="clear"/>
            <w:tcMar>
              <w:bottom w:w="0" w:type="dxa"/>
            </w:tcMar>
          </w:tcPr>
          <w:p>
            <w:pPr>
              <w:pStyle w:val="TableContents"/>
              <w:spacing w:before="0" w:after="0"/>
              <w:ind w:left="0" w:right="0" w:hanging="0"/>
              <w:rPr/>
            </w:pPr>
            <w:hyperlink w:anchor="a3_5_222811">
              <w:r>
                <w:rPr>
                  <w:rStyle w:val="InternetLink"/>
                  <w:rFonts w:ascii="Times New Roman" w:hAnsi="Times New Roman"/>
                  <w:color w:val="0000FF"/>
                  <w:sz w:val="17"/>
                  <w:u w:val="single"/>
                </w:rPr>
                <w:t>Capital Withdrawal Rights, Interest and Priority</w:t>
              </w:r>
            </w:hyperlink>
          </w:p>
        </w:tc>
        <w:tc>
          <w:tcPr>
            <w:tcW w:w="729" w:type="dxa"/>
            <w:tcBorders/>
            <w:shd w:fill="auto" w:val="clear"/>
            <w:tcMar>
              <w:bottom w:w="0" w:type="dxa"/>
            </w:tcMar>
          </w:tcPr>
          <w:p>
            <w:pPr>
              <w:pStyle w:val="TableContents"/>
              <w:spacing w:before="0" w:after="0"/>
              <w:ind w:left="0" w:right="0" w:hanging="0"/>
              <w:jc w:val="right"/>
              <w:rPr/>
            </w:pPr>
            <w:r>
              <w:rPr/>
              <w:t> </w:t>
            </w:r>
          </w:p>
        </w:tc>
      </w:tr>
      <w:tr>
        <w:trPr/>
        <w:tc>
          <w:tcPr>
            <w:tcW w:w="1038" w:type="dxa"/>
            <w:gridSpan w:val="2"/>
            <w:tcBorders/>
            <w:shd w:fill="auto" w:val="clear"/>
            <w:tcMar>
              <w:bottom w:w="0" w:type="dxa"/>
            </w:tcMar>
          </w:tcPr>
          <w:p>
            <w:pPr>
              <w:pStyle w:val="TableContents"/>
              <w:spacing w:before="0" w:after="0"/>
              <w:ind w:left="0" w:right="0" w:hanging="0"/>
              <w:rPr/>
            </w:pPr>
            <w:hyperlink w:anchor="a3_6_222814">
              <w:r>
                <w:rPr>
                  <w:rStyle w:val="InternetLink"/>
                  <w:rFonts w:ascii="Times New Roman" w:hAnsi="Times New Roman"/>
                  <w:color w:val="0000FF"/>
                  <w:sz w:val="17"/>
                  <w:u w:val="single"/>
                </w:rPr>
                <w:t>3.6</w:t>
              </w:r>
            </w:hyperlink>
          </w:p>
        </w:tc>
        <w:tc>
          <w:tcPr>
            <w:tcW w:w="8438" w:type="dxa"/>
            <w:tcBorders/>
            <w:shd w:fill="auto" w:val="clear"/>
            <w:tcMar>
              <w:bottom w:w="0" w:type="dxa"/>
            </w:tcMar>
          </w:tcPr>
          <w:p>
            <w:pPr>
              <w:pStyle w:val="TableContents"/>
              <w:spacing w:before="0" w:after="0"/>
              <w:ind w:left="0" w:right="0" w:hanging="0"/>
              <w:rPr/>
            </w:pPr>
            <w:hyperlink w:anchor="a3_6_222814">
              <w:r>
                <w:rPr>
                  <w:rStyle w:val="InternetLink"/>
                  <w:rFonts w:ascii="Times New Roman" w:hAnsi="Times New Roman"/>
                  <w:color w:val="0000FF"/>
                  <w:sz w:val="17"/>
                  <w:u w:val="single"/>
                </w:rPr>
                <w:t>Determination of Fair Market Value</w:t>
              </w:r>
            </w:hyperlink>
          </w:p>
        </w:tc>
        <w:tc>
          <w:tcPr>
            <w:tcW w:w="729" w:type="dxa"/>
            <w:tcBorders/>
            <w:shd w:fill="auto" w:val="clear"/>
            <w:tcMar>
              <w:bottom w:w="0" w:type="dxa"/>
            </w:tcMar>
          </w:tcPr>
          <w:p>
            <w:pPr>
              <w:pStyle w:val="TableContents"/>
              <w:spacing w:before="0" w:after="0"/>
              <w:ind w:left="0" w:right="0" w:hanging="0"/>
              <w:jc w:val="right"/>
              <w:rPr/>
            </w:pPr>
            <w:r>
              <w:rPr/>
              <w:t> </w:t>
            </w:r>
          </w:p>
        </w:tc>
      </w:tr>
      <w:tr>
        <w:trPr/>
        <w:tc>
          <w:tcPr>
            <w:tcW w:w="1038" w:type="dxa"/>
            <w:gridSpan w:val="2"/>
            <w:tcBorders/>
            <w:shd w:fill="auto" w:val="clear"/>
            <w:tcMar>
              <w:bottom w:w="0" w:type="dxa"/>
            </w:tcMar>
          </w:tcPr>
          <w:p>
            <w:pPr>
              <w:pStyle w:val="TableContents"/>
              <w:spacing w:before="0" w:after="0"/>
              <w:ind w:left="0" w:right="0" w:hanging="0"/>
              <w:rPr/>
            </w:pPr>
            <w:r>
              <w:rPr/>
              <w:t> </w:t>
            </w:r>
          </w:p>
        </w:tc>
        <w:tc>
          <w:tcPr>
            <w:tcW w:w="8438" w:type="dxa"/>
            <w:tcBorders/>
            <w:shd w:fill="auto" w:val="clear"/>
            <w:tcMar>
              <w:bottom w:w="0" w:type="dxa"/>
            </w:tcMar>
          </w:tcPr>
          <w:p>
            <w:pPr>
              <w:pStyle w:val="TableContents"/>
              <w:spacing w:before="0" w:after="0"/>
              <w:ind w:left="0" w:right="0" w:hanging="0"/>
              <w:rPr/>
            </w:pPr>
            <w:r>
              <w:rPr/>
              <w:t> </w:t>
            </w:r>
          </w:p>
        </w:tc>
        <w:tc>
          <w:tcPr>
            <w:tcW w:w="729" w:type="dxa"/>
            <w:tcBorders/>
            <w:shd w:fill="auto" w:val="clear"/>
            <w:tcMar>
              <w:bottom w:w="0" w:type="dxa"/>
            </w:tcMar>
          </w:tcPr>
          <w:p>
            <w:pPr>
              <w:pStyle w:val="TableContents"/>
              <w:spacing w:before="0" w:after="0"/>
              <w:ind w:left="0" w:right="0" w:hanging="0"/>
              <w:jc w:val="right"/>
              <w:rPr/>
            </w:pPr>
            <w:r>
              <w:rPr/>
              <w:t> </w:t>
            </w:r>
          </w:p>
        </w:tc>
      </w:tr>
      <w:tr>
        <w:trPr/>
        <w:tc>
          <w:tcPr>
            <w:tcW w:w="9476" w:type="dxa"/>
            <w:gridSpan w:val="3"/>
            <w:tcBorders/>
            <w:shd w:fill="auto" w:val="clear"/>
            <w:tcMar>
              <w:bottom w:w="0" w:type="dxa"/>
            </w:tcMar>
          </w:tcPr>
          <w:p>
            <w:pPr>
              <w:pStyle w:val="TableContents"/>
              <w:spacing w:before="0" w:after="0"/>
              <w:ind w:left="0" w:right="0" w:hanging="0"/>
              <w:rPr/>
            </w:pPr>
            <w:hyperlink w:anchor="Article4_222820">
              <w:r>
                <w:rPr>
                  <w:rStyle w:val="InternetLink"/>
                  <w:rFonts w:ascii="Times New Roman" w:hAnsi="Times New Roman"/>
                  <w:color w:val="0000FF"/>
                  <w:sz w:val="17"/>
                  <w:u w:val="single"/>
                </w:rPr>
                <w:t>ARTICLE 4 DISTRIBUTIONS</w:t>
              </w:r>
            </w:hyperlink>
          </w:p>
        </w:tc>
        <w:tc>
          <w:tcPr>
            <w:tcW w:w="729" w:type="dxa"/>
            <w:tcBorders/>
            <w:shd w:fill="auto" w:val="clear"/>
            <w:tcMar>
              <w:bottom w:w="0" w:type="dxa"/>
            </w:tcMar>
          </w:tcPr>
          <w:p>
            <w:pPr>
              <w:pStyle w:val="TableContents"/>
              <w:spacing w:before="0" w:after="0"/>
              <w:ind w:left="0" w:right="0" w:hanging="0"/>
              <w:jc w:val="right"/>
              <w:rPr/>
            </w:pPr>
            <w:r>
              <w:rPr/>
              <w:t> </w:t>
            </w:r>
          </w:p>
        </w:tc>
      </w:tr>
      <w:tr>
        <w:trPr/>
        <w:tc>
          <w:tcPr>
            <w:tcW w:w="1038" w:type="dxa"/>
            <w:gridSpan w:val="2"/>
            <w:tcBorders/>
            <w:shd w:fill="auto" w:val="clear"/>
            <w:tcMar>
              <w:bottom w:w="0" w:type="dxa"/>
            </w:tcMar>
          </w:tcPr>
          <w:p>
            <w:pPr>
              <w:pStyle w:val="TableContents"/>
              <w:spacing w:before="0" w:after="0"/>
              <w:ind w:left="0" w:right="0" w:hanging="0"/>
              <w:rPr/>
            </w:pPr>
            <w:hyperlink w:anchor="a4_1_222822">
              <w:r>
                <w:rPr>
                  <w:rStyle w:val="InternetLink"/>
                  <w:rFonts w:ascii="Times New Roman" w:hAnsi="Times New Roman"/>
                  <w:color w:val="0000FF"/>
                  <w:sz w:val="17"/>
                  <w:u w:val="single"/>
                </w:rPr>
                <w:t>4.1</w:t>
              </w:r>
            </w:hyperlink>
          </w:p>
        </w:tc>
        <w:tc>
          <w:tcPr>
            <w:tcW w:w="8438" w:type="dxa"/>
            <w:tcBorders/>
            <w:shd w:fill="auto" w:val="clear"/>
            <w:tcMar>
              <w:bottom w:w="0" w:type="dxa"/>
            </w:tcMar>
          </w:tcPr>
          <w:p>
            <w:pPr>
              <w:pStyle w:val="TableContents"/>
              <w:spacing w:before="0" w:after="0"/>
              <w:ind w:left="0" w:right="0" w:hanging="0"/>
              <w:rPr/>
            </w:pPr>
            <w:hyperlink w:anchor="a4_1_222822">
              <w:r>
                <w:rPr>
                  <w:rStyle w:val="InternetLink"/>
                  <w:rFonts w:ascii="Times New Roman" w:hAnsi="Times New Roman"/>
                  <w:color w:val="0000FF"/>
                  <w:sz w:val="17"/>
                  <w:u w:val="single"/>
                </w:rPr>
                <w:t>Distributions of Available Cash</w:t>
              </w:r>
            </w:hyperlink>
          </w:p>
        </w:tc>
        <w:tc>
          <w:tcPr>
            <w:tcW w:w="729" w:type="dxa"/>
            <w:tcBorders/>
            <w:shd w:fill="auto" w:val="clear"/>
            <w:tcMar>
              <w:bottom w:w="0" w:type="dxa"/>
            </w:tcMar>
          </w:tcPr>
          <w:p>
            <w:pPr>
              <w:pStyle w:val="TableContents"/>
              <w:spacing w:before="0" w:after="0"/>
              <w:ind w:left="0" w:right="0" w:hanging="0"/>
              <w:jc w:val="right"/>
              <w:rPr/>
            </w:pPr>
            <w:r>
              <w:rPr/>
              <w:t> </w:t>
            </w:r>
          </w:p>
        </w:tc>
      </w:tr>
      <w:tr>
        <w:trPr/>
        <w:tc>
          <w:tcPr>
            <w:tcW w:w="1038" w:type="dxa"/>
            <w:gridSpan w:val="2"/>
            <w:tcBorders/>
            <w:shd w:fill="auto" w:val="clear"/>
            <w:tcMar>
              <w:bottom w:w="0" w:type="dxa"/>
            </w:tcMar>
          </w:tcPr>
          <w:p>
            <w:pPr>
              <w:pStyle w:val="TableContents"/>
              <w:spacing w:before="0" w:after="0"/>
              <w:ind w:left="0" w:right="0" w:hanging="0"/>
              <w:rPr/>
            </w:pPr>
            <w:hyperlink w:anchor="a4_2_222825">
              <w:r>
                <w:rPr>
                  <w:rStyle w:val="InternetLink"/>
                  <w:rFonts w:ascii="Times New Roman" w:hAnsi="Times New Roman"/>
                  <w:color w:val="0000FF"/>
                  <w:sz w:val="17"/>
                  <w:u w:val="single"/>
                </w:rPr>
                <w:t>4.2</w:t>
              </w:r>
            </w:hyperlink>
          </w:p>
        </w:tc>
        <w:tc>
          <w:tcPr>
            <w:tcW w:w="8438" w:type="dxa"/>
            <w:tcBorders/>
            <w:shd w:fill="auto" w:val="clear"/>
            <w:tcMar>
              <w:bottom w:w="0" w:type="dxa"/>
            </w:tcMar>
          </w:tcPr>
          <w:p>
            <w:pPr>
              <w:pStyle w:val="TableContents"/>
              <w:spacing w:before="0" w:after="0"/>
              <w:ind w:left="0" w:right="0" w:hanging="0"/>
              <w:rPr/>
            </w:pPr>
            <w:hyperlink w:anchor="a4_2_222825">
              <w:r>
                <w:rPr>
                  <w:rStyle w:val="InternetLink"/>
                  <w:rFonts w:ascii="Times New Roman" w:hAnsi="Times New Roman"/>
                  <w:color w:val="0000FF"/>
                  <w:sz w:val="17"/>
                  <w:u w:val="single"/>
                </w:rPr>
                <w:t>Persons Entitled to Distributions</w:t>
              </w:r>
            </w:hyperlink>
          </w:p>
        </w:tc>
        <w:tc>
          <w:tcPr>
            <w:tcW w:w="729" w:type="dxa"/>
            <w:tcBorders/>
            <w:shd w:fill="auto" w:val="clear"/>
            <w:tcMar>
              <w:bottom w:w="0" w:type="dxa"/>
            </w:tcMar>
          </w:tcPr>
          <w:p>
            <w:pPr>
              <w:pStyle w:val="TableContents"/>
              <w:spacing w:before="0" w:after="0"/>
              <w:ind w:left="0" w:right="0" w:hanging="0"/>
              <w:jc w:val="right"/>
              <w:rPr/>
            </w:pPr>
            <w:r>
              <w:rPr/>
              <w:t> </w:t>
            </w:r>
          </w:p>
        </w:tc>
      </w:tr>
      <w:tr>
        <w:trPr/>
        <w:tc>
          <w:tcPr>
            <w:tcW w:w="1038" w:type="dxa"/>
            <w:gridSpan w:val="2"/>
            <w:tcBorders/>
            <w:shd w:fill="auto" w:val="clear"/>
            <w:tcMar>
              <w:bottom w:w="0" w:type="dxa"/>
            </w:tcMar>
          </w:tcPr>
          <w:p>
            <w:pPr>
              <w:pStyle w:val="TableContents"/>
              <w:spacing w:before="0" w:after="0"/>
              <w:ind w:left="0" w:right="0" w:hanging="0"/>
              <w:rPr/>
            </w:pPr>
            <w:hyperlink w:anchor="a4_3_222826">
              <w:r>
                <w:rPr>
                  <w:rStyle w:val="InternetLink"/>
                  <w:rFonts w:ascii="Times New Roman" w:hAnsi="Times New Roman"/>
                  <w:color w:val="0000FF"/>
                  <w:sz w:val="17"/>
                  <w:u w:val="single"/>
                </w:rPr>
                <w:t>4.3</w:t>
              </w:r>
            </w:hyperlink>
          </w:p>
        </w:tc>
        <w:tc>
          <w:tcPr>
            <w:tcW w:w="8438" w:type="dxa"/>
            <w:tcBorders/>
            <w:shd w:fill="auto" w:val="clear"/>
            <w:tcMar>
              <w:bottom w:w="0" w:type="dxa"/>
            </w:tcMar>
          </w:tcPr>
          <w:p>
            <w:pPr>
              <w:pStyle w:val="TableContents"/>
              <w:spacing w:before="0" w:after="0"/>
              <w:ind w:left="0" w:right="0" w:hanging="0"/>
              <w:rPr/>
            </w:pPr>
            <w:hyperlink w:anchor="a4_3_222826">
              <w:r>
                <w:rPr>
                  <w:rStyle w:val="InternetLink"/>
                  <w:rFonts w:ascii="Times New Roman" w:hAnsi="Times New Roman"/>
                  <w:color w:val="0000FF"/>
                  <w:sz w:val="17"/>
                  <w:u w:val="single"/>
                </w:rPr>
                <w:t>Limitations on Distributions</w:t>
              </w:r>
            </w:hyperlink>
          </w:p>
        </w:tc>
        <w:tc>
          <w:tcPr>
            <w:tcW w:w="729" w:type="dxa"/>
            <w:tcBorders/>
            <w:shd w:fill="auto" w:val="clear"/>
            <w:tcMar>
              <w:bottom w:w="0" w:type="dxa"/>
            </w:tcMar>
          </w:tcPr>
          <w:p>
            <w:pPr>
              <w:pStyle w:val="TableContents"/>
              <w:spacing w:before="0" w:after="0"/>
              <w:ind w:left="0" w:right="0" w:hanging="0"/>
              <w:jc w:val="right"/>
              <w:rPr/>
            </w:pPr>
            <w:r>
              <w:rPr/>
              <w:t> </w:t>
            </w:r>
          </w:p>
        </w:tc>
      </w:tr>
      <w:tr>
        <w:trPr/>
        <w:tc>
          <w:tcPr>
            <w:tcW w:w="1038" w:type="dxa"/>
            <w:gridSpan w:val="2"/>
            <w:tcBorders/>
            <w:shd w:fill="auto" w:val="clear"/>
            <w:tcMar>
              <w:bottom w:w="0" w:type="dxa"/>
            </w:tcMar>
          </w:tcPr>
          <w:p>
            <w:pPr>
              <w:pStyle w:val="TableContents"/>
              <w:spacing w:before="0" w:after="0"/>
              <w:ind w:left="0" w:right="0" w:hanging="0"/>
              <w:rPr/>
            </w:pPr>
            <w:r>
              <w:rPr/>
              <w:t> </w:t>
            </w:r>
          </w:p>
        </w:tc>
        <w:tc>
          <w:tcPr>
            <w:tcW w:w="8438" w:type="dxa"/>
            <w:tcBorders/>
            <w:shd w:fill="auto" w:val="clear"/>
            <w:tcMar>
              <w:bottom w:w="0" w:type="dxa"/>
            </w:tcMar>
          </w:tcPr>
          <w:p>
            <w:pPr>
              <w:pStyle w:val="TableContents"/>
              <w:spacing w:before="0" w:after="0"/>
              <w:ind w:left="0" w:right="0" w:hanging="0"/>
              <w:rPr/>
            </w:pPr>
            <w:r>
              <w:rPr/>
              <w:t> </w:t>
            </w:r>
          </w:p>
        </w:tc>
        <w:tc>
          <w:tcPr>
            <w:tcW w:w="729" w:type="dxa"/>
            <w:tcBorders/>
            <w:shd w:fill="auto" w:val="clear"/>
            <w:tcMar>
              <w:bottom w:w="0" w:type="dxa"/>
            </w:tcMar>
          </w:tcPr>
          <w:p>
            <w:pPr>
              <w:pStyle w:val="TableContents"/>
              <w:spacing w:before="0" w:after="0"/>
              <w:ind w:left="0" w:right="0" w:hanging="0"/>
              <w:jc w:val="right"/>
              <w:rPr/>
            </w:pPr>
            <w:r>
              <w:rPr/>
              <w:t> </w:t>
            </w:r>
          </w:p>
        </w:tc>
      </w:tr>
      <w:tr>
        <w:trPr/>
        <w:tc>
          <w:tcPr>
            <w:tcW w:w="9476" w:type="dxa"/>
            <w:gridSpan w:val="3"/>
            <w:tcBorders/>
            <w:shd w:fill="auto" w:val="clear"/>
            <w:tcMar>
              <w:bottom w:w="0" w:type="dxa"/>
            </w:tcMar>
          </w:tcPr>
          <w:p>
            <w:pPr>
              <w:pStyle w:val="TableContents"/>
              <w:spacing w:before="0" w:after="0"/>
              <w:ind w:left="0" w:right="0" w:hanging="0"/>
              <w:rPr/>
            </w:pPr>
            <w:hyperlink w:anchor="Article5_222831">
              <w:r>
                <w:rPr>
                  <w:rStyle w:val="InternetLink"/>
                  <w:rFonts w:ascii="Times New Roman" w:hAnsi="Times New Roman"/>
                  <w:color w:val="0000FF"/>
                  <w:sz w:val="17"/>
                  <w:u w:val="single"/>
                </w:rPr>
                <w:t>ARTICLE 5 ALLOCATIONS</w:t>
              </w:r>
            </w:hyperlink>
          </w:p>
        </w:tc>
        <w:tc>
          <w:tcPr>
            <w:tcW w:w="729" w:type="dxa"/>
            <w:tcBorders/>
            <w:shd w:fill="auto" w:val="clear"/>
            <w:tcMar>
              <w:bottom w:w="0" w:type="dxa"/>
            </w:tcMar>
          </w:tcPr>
          <w:p>
            <w:pPr>
              <w:pStyle w:val="TableContents"/>
              <w:spacing w:before="0" w:after="0"/>
              <w:ind w:left="0" w:right="0" w:hanging="0"/>
              <w:jc w:val="right"/>
              <w:rPr/>
            </w:pPr>
            <w:r>
              <w:rPr/>
              <w:t> </w:t>
            </w:r>
          </w:p>
        </w:tc>
      </w:tr>
      <w:tr>
        <w:trPr/>
        <w:tc>
          <w:tcPr>
            <w:tcW w:w="1038" w:type="dxa"/>
            <w:gridSpan w:val="2"/>
            <w:tcBorders/>
            <w:shd w:fill="auto" w:val="clear"/>
            <w:tcMar>
              <w:bottom w:w="0" w:type="dxa"/>
            </w:tcMar>
          </w:tcPr>
          <w:p>
            <w:pPr>
              <w:pStyle w:val="TableContents"/>
              <w:spacing w:before="0" w:after="0"/>
              <w:ind w:left="0" w:right="0" w:hanging="0"/>
              <w:rPr/>
            </w:pPr>
            <w:hyperlink w:anchor="a5_1_222834">
              <w:r>
                <w:rPr>
                  <w:rStyle w:val="InternetLink"/>
                  <w:rFonts w:ascii="Times New Roman" w:hAnsi="Times New Roman"/>
                  <w:color w:val="0000FF"/>
                  <w:sz w:val="17"/>
                  <w:u w:val="single"/>
                </w:rPr>
                <w:t>5.1</w:t>
              </w:r>
            </w:hyperlink>
          </w:p>
        </w:tc>
        <w:tc>
          <w:tcPr>
            <w:tcW w:w="8438" w:type="dxa"/>
            <w:tcBorders/>
            <w:shd w:fill="auto" w:val="clear"/>
            <w:tcMar>
              <w:bottom w:w="0" w:type="dxa"/>
            </w:tcMar>
          </w:tcPr>
          <w:p>
            <w:pPr>
              <w:pStyle w:val="TableContents"/>
              <w:spacing w:before="0" w:after="0"/>
              <w:ind w:left="0" w:right="0" w:hanging="0"/>
              <w:rPr/>
            </w:pPr>
            <w:hyperlink w:anchor="a5_1_222834">
              <w:r>
                <w:rPr>
                  <w:rStyle w:val="InternetLink"/>
                  <w:rFonts w:ascii="Times New Roman" w:hAnsi="Times New Roman"/>
                  <w:color w:val="0000FF"/>
                  <w:sz w:val="17"/>
                  <w:u w:val="single"/>
                </w:rPr>
                <w:t>Profits</w:t>
              </w:r>
            </w:hyperlink>
          </w:p>
        </w:tc>
        <w:tc>
          <w:tcPr>
            <w:tcW w:w="729" w:type="dxa"/>
            <w:tcBorders/>
            <w:shd w:fill="auto" w:val="clear"/>
            <w:tcMar>
              <w:bottom w:w="0" w:type="dxa"/>
            </w:tcMar>
          </w:tcPr>
          <w:p>
            <w:pPr>
              <w:pStyle w:val="TableContents"/>
              <w:spacing w:before="0" w:after="0"/>
              <w:ind w:left="0" w:right="0" w:hanging="0"/>
              <w:jc w:val="right"/>
              <w:rPr/>
            </w:pPr>
            <w:r>
              <w:rPr/>
              <w:t> </w:t>
            </w:r>
          </w:p>
        </w:tc>
      </w:tr>
      <w:tr>
        <w:trPr/>
        <w:tc>
          <w:tcPr>
            <w:tcW w:w="1038" w:type="dxa"/>
            <w:gridSpan w:val="2"/>
            <w:tcBorders/>
            <w:shd w:fill="auto" w:val="clear"/>
            <w:tcMar>
              <w:bottom w:w="0" w:type="dxa"/>
            </w:tcMar>
          </w:tcPr>
          <w:p>
            <w:pPr>
              <w:pStyle w:val="TableContents"/>
              <w:spacing w:before="0" w:after="0"/>
              <w:ind w:left="0" w:right="0" w:hanging="0"/>
              <w:rPr/>
            </w:pPr>
            <w:hyperlink w:anchor="a5_2_222836">
              <w:r>
                <w:rPr>
                  <w:rStyle w:val="InternetLink"/>
                  <w:rFonts w:ascii="Times New Roman" w:hAnsi="Times New Roman"/>
                  <w:color w:val="0000FF"/>
                  <w:sz w:val="17"/>
                  <w:u w:val="single"/>
                </w:rPr>
                <w:t>5.2</w:t>
              </w:r>
            </w:hyperlink>
          </w:p>
        </w:tc>
        <w:tc>
          <w:tcPr>
            <w:tcW w:w="8438" w:type="dxa"/>
            <w:tcBorders/>
            <w:shd w:fill="auto" w:val="clear"/>
            <w:tcMar>
              <w:bottom w:w="0" w:type="dxa"/>
            </w:tcMar>
          </w:tcPr>
          <w:p>
            <w:pPr>
              <w:pStyle w:val="TableContents"/>
              <w:spacing w:before="0" w:after="0"/>
              <w:ind w:left="0" w:right="0" w:hanging="0"/>
              <w:rPr/>
            </w:pPr>
            <w:hyperlink w:anchor="a5_2_222836">
              <w:r>
                <w:rPr>
                  <w:rStyle w:val="InternetLink"/>
                  <w:rFonts w:ascii="Times New Roman" w:hAnsi="Times New Roman"/>
                  <w:color w:val="0000FF"/>
                  <w:sz w:val="17"/>
                  <w:u w:val="single"/>
                </w:rPr>
                <w:t>Losses</w:t>
              </w:r>
            </w:hyperlink>
          </w:p>
        </w:tc>
        <w:tc>
          <w:tcPr>
            <w:tcW w:w="729" w:type="dxa"/>
            <w:tcBorders/>
            <w:shd w:fill="auto" w:val="clear"/>
            <w:tcMar>
              <w:bottom w:w="0" w:type="dxa"/>
            </w:tcMar>
          </w:tcPr>
          <w:p>
            <w:pPr>
              <w:pStyle w:val="TableContents"/>
              <w:spacing w:before="0" w:after="0"/>
              <w:ind w:left="0" w:right="0" w:hanging="0"/>
              <w:jc w:val="right"/>
              <w:rPr/>
            </w:pPr>
            <w:r>
              <w:rPr/>
              <w:t> </w:t>
            </w:r>
          </w:p>
        </w:tc>
      </w:tr>
      <w:tr>
        <w:trPr/>
        <w:tc>
          <w:tcPr>
            <w:tcW w:w="1038" w:type="dxa"/>
            <w:gridSpan w:val="2"/>
            <w:tcBorders/>
            <w:shd w:fill="auto" w:val="clear"/>
            <w:tcMar>
              <w:bottom w:w="0" w:type="dxa"/>
            </w:tcMar>
          </w:tcPr>
          <w:p>
            <w:pPr>
              <w:pStyle w:val="TableContents"/>
              <w:spacing w:before="0" w:after="0"/>
              <w:ind w:left="0" w:right="0" w:hanging="0"/>
              <w:rPr/>
            </w:pPr>
            <w:hyperlink w:anchor="a5_3_222838">
              <w:r>
                <w:rPr>
                  <w:rStyle w:val="InternetLink"/>
                  <w:rFonts w:ascii="Times New Roman" w:hAnsi="Times New Roman"/>
                  <w:color w:val="0000FF"/>
                  <w:sz w:val="17"/>
                  <w:u w:val="single"/>
                </w:rPr>
                <w:t>5.3</w:t>
              </w:r>
            </w:hyperlink>
          </w:p>
        </w:tc>
        <w:tc>
          <w:tcPr>
            <w:tcW w:w="8438" w:type="dxa"/>
            <w:tcBorders/>
            <w:shd w:fill="auto" w:val="clear"/>
            <w:tcMar>
              <w:bottom w:w="0" w:type="dxa"/>
            </w:tcMar>
          </w:tcPr>
          <w:p>
            <w:pPr>
              <w:pStyle w:val="TableContents"/>
              <w:spacing w:before="0" w:after="0"/>
              <w:ind w:left="0" w:right="0" w:hanging="0"/>
              <w:rPr/>
            </w:pPr>
            <w:hyperlink w:anchor="a5_3_222838">
              <w:r>
                <w:rPr>
                  <w:rStyle w:val="InternetLink"/>
                  <w:rFonts w:ascii="Times New Roman" w:hAnsi="Times New Roman"/>
                  <w:color w:val="0000FF"/>
                  <w:sz w:val="17"/>
                  <w:u w:val="single"/>
                </w:rPr>
                <w:t>Regulatory Allocations</w:t>
              </w:r>
            </w:hyperlink>
          </w:p>
        </w:tc>
        <w:tc>
          <w:tcPr>
            <w:tcW w:w="729" w:type="dxa"/>
            <w:tcBorders/>
            <w:shd w:fill="auto" w:val="clear"/>
            <w:tcMar>
              <w:bottom w:w="0" w:type="dxa"/>
            </w:tcMar>
          </w:tcPr>
          <w:p>
            <w:pPr>
              <w:pStyle w:val="TableContents"/>
              <w:spacing w:before="0" w:after="0"/>
              <w:ind w:left="0" w:right="0" w:hanging="0"/>
              <w:jc w:val="right"/>
              <w:rPr/>
            </w:pPr>
            <w:r>
              <w:rPr/>
              <w:t> </w:t>
            </w:r>
          </w:p>
        </w:tc>
      </w:tr>
      <w:tr>
        <w:trPr/>
        <w:tc>
          <w:tcPr>
            <w:tcW w:w="1038" w:type="dxa"/>
            <w:gridSpan w:val="2"/>
            <w:tcBorders/>
            <w:shd w:fill="auto" w:val="clear"/>
            <w:tcMar>
              <w:bottom w:w="0" w:type="dxa"/>
            </w:tcMar>
          </w:tcPr>
          <w:p>
            <w:pPr>
              <w:pStyle w:val="TableContents"/>
              <w:spacing w:before="0" w:after="0"/>
              <w:ind w:left="0" w:right="0" w:hanging="0"/>
              <w:rPr/>
            </w:pPr>
            <w:hyperlink w:anchor="a5_4_222841">
              <w:r>
                <w:rPr>
                  <w:rStyle w:val="InternetLink"/>
                  <w:rFonts w:ascii="Times New Roman" w:hAnsi="Times New Roman"/>
                  <w:color w:val="0000FF"/>
                  <w:sz w:val="17"/>
                  <w:u w:val="single"/>
                </w:rPr>
                <w:t>5.4</w:t>
              </w:r>
            </w:hyperlink>
          </w:p>
        </w:tc>
        <w:tc>
          <w:tcPr>
            <w:tcW w:w="8438" w:type="dxa"/>
            <w:tcBorders/>
            <w:shd w:fill="auto" w:val="clear"/>
            <w:tcMar>
              <w:bottom w:w="0" w:type="dxa"/>
            </w:tcMar>
          </w:tcPr>
          <w:p>
            <w:pPr>
              <w:pStyle w:val="TableContents"/>
              <w:spacing w:before="0" w:after="0"/>
              <w:ind w:left="0" w:right="0" w:hanging="0"/>
              <w:rPr/>
            </w:pPr>
            <w:hyperlink w:anchor="a5_4_222841">
              <w:r>
                <w:rPr>
                  <w:rStyle w:val="InternetLink"/>
                  <w:rFonts w:ascii="Times New Roman" w:hAnsi="Times New Roman"/>
                  <w:color w:val="0000FF"/>
                  <w:sz w:val="17"/>
                  <w:u w:val="single"/>
                </w:rPr>
                <w:t>Tax Allocations: Code Section 704(c)</w:t>
              </w:r>
            </w:hyperlink>
          </w:p>
        </w:tc>
        <w:tc>
          <w:tcPr>
            <w:tcW w:w="729" w:type="dxa"/>
            <w:tcBorders/>
            <w:shd w:fill="auto" w:val="clear"/>
            <w:tcMar>
              <w:bottom w:w="0" w:type="dxa"/>
            </w:tcMar>
          </w:tcPr>
          <w:p>
            <w:pPr>
              <w:pStyle w:val="TableContents"/>
              <w:spacing w:before="0" w:after="0"/>
              <w:ind w:left="0" w:right="0" w:hanging="0"/>
              <w:jc w:val="right"/>
              <w:rPr/>
            </w:pPr>
            <w:r>
              <w:rPr/>
              <w:t> </w:t>
            </w:r>
          </w:p>
        </w:tc>
      </w:tr>
      <w:tr>
        <w:trPr/>
        <w:tc>
          <w:tcPr>
            <w:tcW w:w="1038" w:type="dxa"/>
            <w:gridSpan w:val="2"/>
            <w:tcBorders/>
            <w:shd w:fill="auto" w:val="clear"/>
            <w:tcMar>
              <w:bottom w:w="0" w:type="dxa"/>
            </w:tcMar>
          </w:tcPr>
          <w:p>
            <w:pPr>
              <w:pStyle w:val="TableContents"/>
              <w:spacing w:before="0" w:after="0"/>
              <w:ind w:left="0" w:right="0" w:hanging="0"/>
              <w:rPr/>
            </w:pPr>
            <w:hyperlink w:anchor="a5_5_222843">
              <w:r>
                <w:rPr>
                  <w:rStyle w:val="InternetLink"/>
                  <w:rFonts w:ascii="Times New Roman" w:hAnsi="Times New Roman"/>
                  <w:color w:val="0000FF"/>
                  <w:sz w:val="17"/>
                  <w:u w:val="single"/>
                </w:rPr>
                <w:t>5.5</w:t>
              </w:r>
            </w:hyperlink>
          </w:p>
        </w:tc>
        <w:tc>
          <w:tcPr>
            <w:tcW w:w="8438" w:type="dxa"/>
            <w:tcBorders/>
            <w:shd w:fill="auto" w:val="clear"/>
            <w:tcMar>
              <w:bottom w:w="0" w:type="dxa"/>
            </w:tcMar>
          </w:tcPr>
          <w:p>
            <w:pPr>
              <w:pStyle w:val="TableContents"/>
              <w:spacing w:before="0" w:after="0"/>
              <w:ind w:left="0" w:right="0" w:hanging="0"/>
              <w:rPr/>
            </w:pPr>
            <w:hyperlink w:anchor="a5_5_222843">
              <w:r>
                <w:rPr>
                  <w:rStyle w:val="InternetLink"/>
                  <w:rFonts w:ascii="Times New Roman" w:hAnsi="Times New Roman"/>
                  <w:color w:val="0000FF"/>
                  <w:sz w:val="17"/>
                  <w:u w:val="single"/>
                </w:rPr>
                <w:t>Change in Percentage Interests</w:t>
              </w:r>
            </w:hyperlink>
          </w:p>
        </w:tc>
        <w:tc>
          <w:tcPr>
            <w:tcW w:w="729" w:type="dxa"/>
            <w:tcBorders/>
            <w:shd w:fill="auto" w:val="clear"/>
            <w:tcMar>
              <w:bottom w:w="0" w:type="dxa"/>
            </w:tcMar>
          </w:tcPr>
          <w:p>
            <w:pPr>
              <w:pStyle w:val="TableContents"/>
              <w:spacing w:before="0" w:after="0"/>
              <w:ind w:left="0" w:right="0" w:hanging="0"/>
              <w:jc w:val="right"/>
              <w:rPr/>
            </w:pPr>
            <w:r>
              <w:rPr/>
              <w:t> </w:t>
            </w:r>
          </w:p>
        </w:tc>
      </w:tr>
      <w:tr>
        <w:trPr/>
        <w:tc>
          <w:tcPr>
            <w:tcW w:w="1038" w:type="dxa"/>
            <w:gridSpan w:val="2"/>
            <w:tcBorders/>
            <w:shd w:fill="auto" w:val="clear"/>
            <w:tcMar>
              <w:bottom w:w="0" w:type="dxa"/>
            </w:tcMar>
          </w:tcPr>
          <w:p>
            <w:pPr>
              <w:pStyle w:val="TableContents"/>
              <w:spacing w:before="0" w:after="0"/>
              <w:ind w:left="0" w:right="0" w:hanging="0"/>
              <w:rPr/>
            </w:pPr>
            <w:hyperlink w:anchor="a5_6_222845">
              <w:r>
                <w:rPr>
                  <w:rStyle w:val="InternetLink"/>
                  <w:rFonts w:ascii="Times New Roman" w:hAnsi="Times New Roman"/>
                  <w:color w:val="0000FF"/>
                  <w:sz w:val="17"/>
                  <w:u w:val="single"/>
                </w:rPr>
                <w:t>5.6</w:t>
              </w:r>
            </w:hyperlink>
          </w:p>
        </w:tc>
        <w:tc>
          <w:tcPr>
            <w:tcW w:w="8438" w:type="dxa"/>
            <w:tcBorders/>
            <w:shd w:fill="auto" w:val="clear"/>
            <w:tcMar>
              <w:bottom w:w="0" w:type="dxa"/>
            </w:tcMar>
          </w:tcPr>
          <w:p>
            <w:pPr>
              <w:pStyle w:val="TableContents"/>
              <w:spacing w:before="0" w:after="0"/>
              <w:ind w:left="0" w:right="0" w:hanging="0"/>
              <w:rPr/>
            </w:pPr>
            <w:hyperlink w:anchor="a5_6_222845">
              <w:r>
                <w:rPr>
                  <w:rStyle w:val="InternetLink"/>
                  <w:rFonts w:ascii="Times New Roman" w:hAnsi="Times New Roman"/>
                  <w:color w:val="0000FF"/>
                  <w:sz w:val="17"/>
                  <w:u w:val="single"/>
                </w:rPr>
                <w:t>Withholding</w:t>
              </w:r>
            </w:hyperlink>
          </w:p>
        </w:tc>
        <w:tc>
          <w:tcPr>
            <w:tcW w:w="729" w:type="dxa"/>
            <w:tcBorders/>
            <w:shd w:fill="auto" w:val="clear"/>
            <w:tcMar>
              <w:bottom w:w="0" w:type="dxa"/>
            </w:tcMar>
          </w:tcPr>
          <w:p>
            <w:pPr>
              <w:pStyle w:val="TableContents"/>
              <w:spacing w:before="0" w:after="0"/>
              <w:ind w:left="0" w:right="0" w:hanging="0"/>
              <w:jc w:val="right"/>
              <w:rPr/>
            </w:pPr>
            <w:r>
              <w:rPr/>
              <w:t> </w:t>
            </w:r>
          </w:p>
        </w:tc>
      </w:tr>
      <w:tr>
        <w:trPr/>
        <w:tc>
          <w:tcPr>
            <w:tcW w:w="1038" w:type="dxa"/>
            <w:gridSpan w:val="2"/>
            <w:tcBorders/>
            <w:shd w:fill="auto" w:val="clear"/>
            <w:tcMar>
              <w:bottom w:w="0" w:type="dxa"/>
            </w:tcMar>
          </w:tcPr>
          <w:p>
            <w:pPr>
              <w:pStyle w:val="TableContents"/>
              <w:spacing w:before="0" w:after="0"/>
              <w:ind w:left="0" w:right="0" w:hanging="0"/>
              <w:rPr/>
            </w:pPr>
            <w:r>
              <w:rPr/>
              <w:t> </w:t>
            </w:r>
          </w:p>
        </w:tc>
        <w:tc>
          <w:tcPr>
            <w:tcW w:w="8438" w:type="dxa"/>
            <w:tcBorders/>
            <w:shd w:fill="auto" w:val="clear"/>
            <w:tcMar>
              <w:bottom w:w="0" w:type="dxa"/>
            </w:tcMar>
          </w:tcPr>
          <w:p>
            <w:pPr>
              <w:pStyle w:val="TableContents"/>
              <w:spacing w:before="0" w:after="0"/>
              <w:ind w:left="0" w:right="0" w:hanging="0"/>
              <w:rPr/>
            </w:pPr>
            <w:r>
              <w:rPr/>
              <w:t> </w:t>
            </w:r>
          </w:p>
        </w:tc>
        <w:tc>
          <w:tcPr>
            <w:tcW w:w="729" w:type="dxa"/>
            <w:tcBorders/>
            <w:shd w:fill="auto" w:val="clear"/>
            <w:tcMar>
              <w:bottom w:w="0" w:type="dxa"/>
            </w:tcMar>
          </w:tcPr>
          <w:p>
            <w:pPr>
              <w:pStyle w:val="TableContents"/>
              <w:spacing w:before="0" w:after="0"/>
              <w:ind w:left="0" w:right="0" w:hanging="0"/>
              <w:jc w:val="right"/>
              <w:rPr/>
            </w:pPr>
            <w:r>
              <w:rPr/>
              <w:t> </w:t>
            </w:r>
          </w:p>
        </w:tc>
      </w:tr>
      <w:tr>
        <w:trPr/>
        <w:tc>
          <w:tcPr>
            <w:tcW w:w="9476" w:type="dxa"/>
            <w:gridSpan w:val="3"/>
            <w:tcBorders/>
            <w:shd w:fill="auto" w:val="clear"/>
            <w:tcMar>
              <w:bottom w:w="0" w:type="dxa"/>
            </w:tcMar>
          </w:tcPr>
          <w:p>
            <w:pPr>
              <w:pStyle w:val="TableContents"/>
              <w:spacing w:before="0" w:after="0"/>
              <w:ind w:left="0" w:right="0" w:hanging="0"/>
              <w:rPr/>
            </w:pPr>
            <w:hyperlink w:anchor="Article6_222849">
              <w:r>
                <w:rPr>
                  <w:rStyle w:val="InternetLink"/>
                  <w:rFonts w:ascii="Times New Roman" w:hAnsi="Times New Roman"/>
                  <w:color w:val="0000FF"/>
                  <w:sz w:val="17"/>
                  <w:u w:val="single"/>
                </w:rPr>
                <w:t>ARTICLE 6 MEMBERS MEETINGS</w:t>
              </w:r>
            </w:hyperlink>
          </w:p>
        </w:tc>
        <w:tc>
          <w:tcPr>
            <w:tcW w:w="729" w:type="dxa"/>
            <w:tcBorders/>
            <w:shd w:fill="auto" w:val="clear"/>
            <w:tcMar>
              <w:bottom w:w="0" w:type="dxa"/>
            </w:tcMar>
          </w:tcPr>
          <w:p>
            <w:pPr>
              <w:pStyle w:val="TableContents"/>
              <w:spacing w:before="0" w:after="0"/>
              <w:ind w:left="0" w:right="0" w:hanging="0"/>
              <w:jc w:val="right"/>
              <w:rPr/>
            </w:pPr>
            <w:r>
              <w:rPr/>
              <w:t> </w:t>
            </w:r>
          </w:p>
        </w:tc>
      </w:tr>
      <w:tr>
        <w:trPr/>
        <w:tc>
          <w:tcPr>
            <w:tcW w:w="1038" w:type="dxa"/>
            <w:gridSpan w:val="2"/>
            <w:tcBorders/>
            <w:shd w:fill="auto" w:val="clear"/>
            <w:tcMar>
              <w:bottom w:w="0" w:type="dxa"/>
            </w:tcMar>
          </w:tcPr>
          <w:p>
            <w:pPr>
              <w:pStyle w:val="TableContents"/>
              <w:spacing w:before="0" w:after="0"/>
              <w:ind w:left="0" w:right="0" w:hanging="0"/>
              <w:rPr/>
            </w:pPr>
            <w:hyperlink w:anchor="a6_1_222851">
              <w:r>
                <w:rPr>
                  <w:rStyle w:val="InternetLink"/>
                  <w:rFonts w:ascii="Times New Roman" w:hAnsi="Times New Roman"/>
                  <w:color w:val="0000FF"/>
                  <w:sz w:val="17"/>
                  <w:u w:val="single"/>
                </w:rPr>
                <w:t>6.1</w:t>
              </w:r>
            </w:hyperlink>
          </w:p>
        </w:tc>
        <w:tc>
          <w:tcPr>
            <w:tcW w:w="8438" w:type="dxa"/>
            <w:tcBorders/>
            <w:shd w:fill="auto" w:val="clear"/>
            <w:tcMar>
              <w:bottom w:w="0" w:type="dxa"/>
            </w:tcMar>
          </w:tcPr>
          <w:p>
            <w:pPr>
              <w:pStyle w:val="TableContents"/>
              <w:spacing w:before="0" w:after="0"/>
              <w:ind w:left="0" w:right="0" w:hanging="0"/>
              <w:rPr/>
            </w:pPr>
            <w:hyperlink w:anchor="a6_1_222851">
              <w:r>
                <w:rPr>
                  <w:rStyle w:val="InternetLink"/>
                  <w:rFonts w:ascii="Times New Roman" w:hAnsi="Times New Roman"/>
                  <w:color w:val="0000FF"/>
                  <w:sz w:val="17"/>
                  <w:u w:val="single"/>
                </w:rPr>
                <w:t>Meetings of Members; Place of Meetings</w:t>
              </w:r>
            </w:hyperlink>
          </w:p>
        </w:tc>
        <w:tc>
          <w:tcPr>
            <w:tcW w:w="729" w:type="dxa"/>
            <w:tcBorders/>
            <w:shd w:fill="auto" w:val="clear"/>
            <w:tcMar>
              <w:bottom w:w="0" w:type="dxa"/>
            </w:tcMar>
          </w:tcPr>
          <w:p>
            <w:pPr>
              <w:pStyle w:val="TableContents"/>
              <w:spacing w:before="0" w:after="0"/>
              <w:ind w:left="0" w:right="0" w:hanging="0"/>
              <w:jc w:val="right"/>
              <w:rPr/>
            </w:pPr>
            <w:r>
              <w:rPr/>
              <w:t> </w:t>
            </w:r>
          </w:p>
        </w:tc>
      </w:tr>
      <w:tr>
        <w:trPr/>
        <w:tc>
          <w:tcPr>
            <w:tcW w:w="1038" w:type="dxa"/>
            <w:gridSpan w:val="2"/>
            <w:tcBorders/>
            <w:shd w:fill="auto" w:val="clear"/>
            <w:tcMar>
              <w:bottom w:w="0" w:type="dxa"/>
            </w:tcMar>
          </w:tcPr>
          <w:p>
            <w:pPr>
              <w:pStyle w:val="TableContents"/>
              <w:spacing w:before="0" w:after="0"/>
              <w:ind w:left="0" w:right="0" w:hanging="0"/>
              <w:rPr/>
            </w:pPr>
            <w:hyperlink w:anchor="a6_2_222853">
              <w:r>
                <w:rPr>
                  <w:rStyle w:val="InternetLink"/>
                  <w:rFonts w:ascii="Times New Roman" w:hAnsi="Times New Roman"/>
                  <w:color w:val="0000FF"/>
                  <w:sz w:val="17"/>
                  <w:u w:val="single"/>
                </w:rPr>
                <w:t>6.2</w:t>
              </w:r>
            </w:hyperlink>
          </w:p>
        </w:tc>
        <w:tc>
          <w:tcPr>
            <w:tcW w:w="8438" w:type="dxa"/>
            <w:tcBorders/>
            <w:shd w:fill="auto" w:val="clear"/>
            <w:tcMar>
              <w:bottom w:w="0" w:type="dxa"/>
            </w:tcMar>
          </w:tcPr>
          <w:p>
            <w:pPr>
              <w:pStyle w:val="TableContents"/>
              <w:spacing w:before="0" w:after="0"/>
              <w:ind w:left="0" w:right="0" w:hanging="0"/>
              <w:rPr/>
            </w:pPr>
            <w:hyperlink w:anchor="a6_2_222853">
              <w:r>
                <w:rPr>
                  <w:rStyle w:val="InternetLink"/>
                  <w:rFonts w:ascii="Times New Roman" w:hAnsi="Times New Roman"/>
                  <w:color w:val="0000FF"/>
                  <w:sz w:val="17"/>
                  <w:u w:val="single"/>
                </w:rPr>
                <w:t>Quorum; Voting Requirement</w:t>
              </w:r>
            </w:hyperlink>
          </w:p>
        </w:tc>
        <w:tc>
          <w:tcPr>
            <w:tcW w:w="729" w:type="dxa"/>
            <w:tcBorders/>
            <w:shd w:fill="auto" w:val="clear"/>
            <w:tcMar>
              <w:bottom w:w="0" w:type="dxa"/>
            </w:tcMar>
          </w:tcPr>
          <w:p>
            <w:pPr>
              <w:pStyle w:val="TableContents"/>
              <w:spacing w:before="0" w:after="0"/>
              <w:ind w:left="0" w:right="0" w:hanging="0"/>
              <w:jc w:val="right"/>
              <w:rPr/>
            </w:pPr>
            <w:r>
              <w:rPr/>
              <w:t> </w:t>
            </w:r>
          </w:p>
        </w:tc>
      </w:tr>
      <w:tr>
        <w:trPr/>
        <w:tc>
          <w:tcPr>
            <w:tcW w:w="1038" w:type="dxa"/>
            <w:gridSpan w:val="2"/>
            <w:tcBorders/>
            <w:shd w:fill="auto" w:val="clear"/>
            <w:tcMar>
              <w:bottom w:w="0" w:type="dxa"/>
            </w:tcMar>
          </w:tcPr>
          <w:p>
            <w:pPr>
              <w:pStyle w:val="TableContents"/>
              <w:spacing w:before="0" w:after="0"/>
              <w:ind w:left="0" w:right="0" w:hanging="0"/>
              <w:rPr/>
            </w:pPr>
            <w:hyperlink w:anchor="a6_3_222854">
              <w:r>
                <w:rPr>
                  <w:rStyle w:val="InternetLink"/>
                  <w:rFonts w:ascii="Times New Roman" w:hAnsi="Times New Roman"/>
                  <w:color w:val="0000FF"/>
                  <w:sz w:val="17"/>
                  <w:u w:val="single"/>
                </w:rPr>
                <w:t>6.3</w:t>
              </w:r>
            </w:hyperlink>
          </w:p>
        </w:tc>
        <w:tc>
          <w:tcPr>
            <w:tcW w:w="8438" w:type="dxa"/>
            <w:tcBorders/>
            <w:shd w:fill="auto" w:val="clear"/>
            <w:tcMar>
              <w:bottom w:w="0" w:type="dxa"/>
            </w:tcMar>
          </w:tcPr>
          <w:p>
            <w:pPr>
              <w:pStyle w:val="TableContents"/>
              <w:spacing w:before="0" w:after="0"/>
              <w:ind w:left="0" w:right="0" w:hanging="0"/>
              <w:rPr/>
            </w:pPr>
            <w:hyperlink w:anchor="a6_3_222854">
              <w:r>
                <w:rPr>
                  <w:rStyle w:val="InternetLink"/>
                  <w:rFonts w:ascii="Times New Roman" w:hAnsi="Times New Roman"/>
                  <w:color w:val="0000FF"/>
                  <w:sz w:val="17"/>
                  <w:u w:val="single"/>
                </w:rPr>
                <w:t>[Intentionally Omitted]</w:t>
              </w:r>
            </w:hyperlink>
          </w:p>
        </w:tc>
        <w:tc>
          <w:tcPr>
            <w:tcW w:w="729" w:type="dxa"/>
            <w:tcBorders/>
            <w:shd w:fill="auto" w:val="clear"/>
            <w:tcMar>
              <w:bottom w:w="0" w:type="dxa"/>
            </w:tcMar>
          </w:tcPr>
          <w:p>
            <w:pPr>
              <w:pStyle w:val="TableContents"/>
              <w:spacing w:before="0" w:after="0"/>
              <w:ind w:left="0" w:right="0" w:hanging="0"/>
              <w:jc w:val="right"/>
              <w:rPr/>
            </w:pPr>
            <w:r>
              <w:rPr/>
              <w:t> </w:t>
            </w:r>
          </w:p>
        </w:tc>
      </w:tr>
      <w:tr>
        <w:trPr/>
        <w:tc>
          <w:tcPr>
            <w:tcW w:w="1038" w:type="dxa"/>
            <w:gridSpan w:val="2"/>
            <w:tcBorders/>
            <w:shd w:fill="auto" w:val="clear"/>
            <w:tcMar>
              <w:bottom w:w="0" w:type="dxa"/>
            </w:tcMar>
          </w:tcPr>
          <w:p>
            <w:pPr>
              <w:pStyle w:val="TableContents"/>
              <w:spacing w:before="0" w:after="0"/>
              <w:ind w:left="0" w:right="0" w:hanging="0"/>
              <w:rPr/>
            </w:pPr>
            <w:hyperlink w:anchor="a6_4_222856">
              <w:r>
                <w:rPr>
                  <w:rStyle w:val="InternetLink"/>
                  <w:rFonts w:ascii="Times New Roman" w:hAnsi="Times New Roman"/>
                  <w:color w:val="0000FF"/>
                  <w:sz w:val="17"/>
                  <w:u w:val="single"/>
                </w:rPr>
                <w:t>6.4</w:t>
              </w:r>
            </w:hyperlink>
          </w:p>
        </w:tc>
        <w:tc>
          <w:tcPr>
            <w:tcW w:w="8438" w:type="dxa"/>
            <w:tcBorders/>
            <w:shd w:fill="auto" w:val="clear"/>
            <w:tcMar>
              <w:bottom w:w="0" w:type="dxa"/>
            </w:tcMar>
          </w:tcPr>
          <w:p>
            <w:pPr>
              <w:pStyle w:val="TableContents"/>
              <w:spacing w:before="0" w:after="0"/>
              <w:ind w:left="0" w:right="0" w:hanging="0"/>
              <w:rPr/>
            </w:pPr>
            <w:hyperlink w:anchor="a6_4_222856">
              <w:r>
                <w:rPr>
                  <w:rStyle w:val="InternetLink"/>
                  <w:rFonts w:ascii="Times New Roman" w:hAnsi="Times New Roman"/>
                  <w:color w:val="0000FF"/>
                  <w:sz w:val="17"/>
                  <w:u w:val="single"/>
                </w:rPr>
                <w:t>Action Without Meeting</w:t>
              </w:r>
            </w:hyperlink>
          </w:p>
        </w:tc>
        <w:tc>
          <w:tcPr>
            <w:tcW w:w="729" w:type="dxa"/>
            <w:tcBorders/>
            <w:shd w:fill="auto" w:val="clear"/>
            <w:tcMar>
              <w:bottom w:w="0" w:type="dxa"/>
            </w:tcMar>
          </w:tcPr>
          <w:p>
            <w:pPr>
              <w:pStyle w:val="TableContents"/>
              <w:spacing w:before="0" w:after="0"/>
              <w:ind w:left="0" w:right="0" w:hanging="0"/>
              <w:jc w:val="right"/>
              <w:rPr/>
            </w:pPr>
            <w:r>
              <w:rPr/>
              <w:t> </w:t>
            </w:r>
          </w:p>
        </w:tc>
      </w:tr>
      <w:tr>
        <w:trPr/>
        <w:tc>
          <w:tcPr>
            <w:tcW w:w="1038" w:type="dxa"/>
            <w:gridSpan w:val="2"/>
            <w:tcBorders/>
            <w:shd w:fill="auto" w:val="clear"/>
            <w:tcMar>
              <w:bottom w:w="0" w:type="dxa"/>
            </w:tcMar>
          </w:tcPr>
          <w:p>
            <w:pPr>
              <w:pStyle w:val="TableContents"/>
              <w:spacing w:before="0" w:after="0"/>
              <w:ind w:left="0" w:right="0" w:hanging="0"/>
              <w:rPr/>
            </w:pPr>
            <w:hyperlink w:anchor="a6_5_222901">
              <w:r>
                <w:rPr>
                  <w:rStyle w:val="InternetLink"/>
                  <w:rFonts w:ascii="Times New Roman" w:hAnsi="Times New Roman"/>
                  <w:color w:val="0000FF"/>
                  <w:sz w:val="17"/>
                  <w:u w:val="single"/>
                </w:rPr>
                <w:t>6.5</w:t>
              </w:r>
            </w:hyperlink>
          </w:p>
        </w:tc>
        <w:tc>
          <w:tcPr>
            <w:tcW w:w="8438" w:type="dxa"/>
            <w:tcBorders/>
            <w:shd w:fill="auto" w:val="clear"/>
            <w:tcMar>
              <w:bottom w:w="0" w:type="dxa"/>
            </w:tcMar>
          </w:tcPr>
          <w:p>
            <w:pPr>
              <w:pStyle w:val="TableContents"/>
              <w:spacing w:before="0" w:after="0"/>
              <w:ind w:left="0" w:right="0" w:hanging="0"/>
              <w:rPr/>
            </w:pPr>
            <w:hyperlink w:anchor="a6_5_222901">
              <w:r>
                <w:rPr>
                  <w:rStyle w:val="InternetLink"/>
                  <w:rFonts w:ascii="Times New Roman" w:hAnsi="Times New Roman"/>
                  <w:color w:val="0000FF"/>
                  <w:sz w:val="17"/>
                  <w:u w:val="single"/>
                </w:rPr>
                <w:t>Notice</w:t>
              </w:r>
            </w:hyperlink>
          </w:p>
        </w:tc>
        <w:tc>
          <w:tcPr>
            <w:tcW w:w="729" w:type="dxa"/>
            <w:tcBorders/>
            <w:shd w:fill="auto" w:val="clear"/>
            <w:tcMar>
              <w:bottom w:w="0" w:type="dxa"/>
            </w:tcMar>
          </w:tcPr>
          <w:p>
            <w:pPr>
              <w:pStyle w:val="TableContents"/>
              <w:spacing w:before="0" w:after="0"/>
              <w:ind w:left="0" w:right="0" w:hanging="0"/>
              <w:jc w:val="right"/>
              <w:rPr/>
            </w:pPr>
            <w:r>
              <w:rPr/>
              <w:t> </w:t>
            </w:r>
          </w:p>
        </w:tc>
      </w:tr>
      <w:tr>
        <w:trPr/>
        <w:tc>
          <w:tcPr>
            <w:tcW w:w="1038" w:type="dxa"/>
            <w:gridSpan w:val="2"/>
            <w:tcBorders/>
            <w:shd w:fill="auto" w:val="clear"/>
            <w:tcMar>
              <w:bottom w:w="0" w:type="dxa"/>
            </w:tcMar>
          </w:tcPr>
          <w:p>
            <w:pPr>
              <w:pStyle w:val="TableContents"/>
              <w:spacing w:before="0" w:after="0"/>
              <w:ind w:left="0" w:right="0" w:hanging="0"/>
              <w:rPr/>
            </w:pPr>
            <w:hyperlink w:anchor="a6_6_222902">
              <w:r>
                <w:rPr>
                  <w:rStyle w:val="InternetLink"/>
                  <w:rFonts w:ascii="Times New Roman" w:hAnsi="Times New Roman"/>
                  <w:color w:val="0000FF"/>
                  <w:sz w:val="17"/>
                  <w:u w:val="single"/>
                </w:rPr>
                <w:t>6.6</w:t>
              </w:r>
            </w:hyperlink>
          </w:p>
        </w:tc>
        <w:tc>
          <w:tcPr>
            <w:tcW w:w="8438" w:type="dxa"/>
            <w:tcBorders/>
            <w:shd w:fill="auto" w:val="clear"/>
            <w:tcMar>
              <w:bottom w:w="0" w:type="dxa"/>
            </w:tcMar>
          </w:tcPr>
          <w:p>
            <w:pPr>
              <w:pStyle w:val="TableContents"/>
              <w:spacing w:before="0" w:after="0"/>
              <w:ind w:left="0" w:right="0" w:hanging="0"/>
              <w:rPr/>
            </w:pPr>
            <w:hyperlink w:anchor="a6_6_222902">
              <w:r>
                <w:rPr>
                  <w:rStyle w:val="InternetLink"/>
                  <w:rFonts w:ascii="Times New Roman" w:hAnsi="Times New Roman"/>
                  <w:color w:val="0000FF"/>
                  <w:sz w:val="17"/>
                  <w:u w:val="single"/>
                </w:rPr>
                <w:t>Waiver of Notice</w:t>
              </w:r>
            </w:hyperlink>
          </w:p>
        </w:tc>
        <w:tc>
          <w:tcPr>
            <w:tcW w:w="729" w:type="dxa"/>
            <w:tcBorders/>
            <w:shd w:fill="auto" w:val="clear"/>
            <w:tcMar>
              <w:bottom w:w="0" w:type="dxa"/>
            </w:tcMar>
          </w:tcPr>
          <w:p>
            <w:pPr>
              <w:pStyle w:val="TableContents"/>
              <w:spacing w:before="0" w:after="0"/>
              <w:ind w:left="0" w:right="0" w:hanging="0"/>
              <w:jc w:val="right"/>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i</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1133"/>
        <w:gridCol w:w="8352"/>
        <w:gridCol w:w="720"/>
      </w:tblGrid>
      <w:tr>
        <w:trPr/>
        <w:tc>
          <w:tcPr>
            <w:tcW w:w="9485" w:type="dxa"/>
            <w:gridSpan w:val="2"/>
            <w:tcBorders/>
            <w:shd w:fill="auto" w:val="clear"/>
          </w:tcPr>
          <w:p>
            <w:pPr>
              <w:pStyle w:val="TableContents"/>
              <w:spacing w:before="0" w:after="0"/>
              <w:ind w:left="0" w:right="0" w:hanging="0"/>
              <w:rPr/>
            </w:pPr>
            <w:hyperlink w:anchor="Article7_222905">
              <w:r>
                <w:rPr>
                  <w:rStyle w:val="InternetLink"/>
                  <w:rFonts w:ascii="Times New Roman" w:hAnsi="Times New Roman"/>
                  <w:color w:val="0000FF"/>
                  <w:sz w:val="17"/>
                  <w:u w:val="single"/>
                </w:rPr>
                <w:t>ARTICLE 7 MANAGEMENT AND CONTROL</w:t>
              </w:r>
            </w:hyperlink>
          </w:p>
        </w:tc>
        <w:tc>
          <w:tcPr>
            <w:tcW w:w="720" w:type="dxa"/>
            <w:tcBorders/>
            <w:shd w:fill="auto" w:val="clear"/>
          </w:tcPr>
          <w:p>
            <w:pPr>
              <w:pStyle w:val="TableContents"/>
              <w:spacing w:before="0" w:after="0"/>
              <w:ind w:left="0" w:right="0" w:hanging="0"/>
              <w:jc w:val="right"/>
              <w:rPr/>
            </w:pPr>
            <w:r>
              <w:rPr/>
              <w:t> </w:t>
            </w:r>
          </w:p>
        </w:tc>
      </w:tr>
      <w:tr>
        <w:trPr/>
        <w:tc>
          <w:tcPr>
            <w:tcW w:w="1133" w:type="dxa"/>
            <w:tcBorders/>
            <w:shd w:fill="auto" w:val="clear"/>
          </w:tcPr>
          <w:p>
            <w:pPr>
              <w:pStyle w:val="TableContents"/>
              <w:spacing w:before="0" w:after="0"/>
              <w:ind w:left="0" w:right="0" w:hanging="0"/>
              <w:rPr/>
            </w:pPr>
            <w:hyperlink w:anchor="a7_1_222907">
              <w:r>
                <w:rPr>
                  <w:rStyle w:val="InternetLink"/>
                  <w:rFonts w:ascii="Times New Roman" w:hAnsi="Times New Roman"/>
                  <w:color w:val="0000FF"/>
                  <w:sz w:val="17"/>
                  <w:u w:val="single"/>
                </w:rPr>
                <w:t>7.1</w:t>
              </w:r>
            </w:hyperlink>
          </w:p>
        </w:tc>
        <w:tc>
          <w:tcPr>
            <w:tcW w:w="8352" w:type="dxa"/>
            <w:tcBorders/>
            <w:shd w:fill="auto" w:val="clear"/>
          </w:tcPr>
          <w:p>
            <w:pPr>
              <w:pStyle w:val="TableContents"/>
              <w:spacing w:before="0" w:after="0"/>
              <w:ind w:left="0" w:right="0" w:hanging="0"/>
              <w:rPr/>
            </w:pPr>
            <w:hyperlink w:anchor="a7_1_222907">
              <w:r>
                <w:rPr>
                  <w:rStyle w:val="InternetLink"/>
                  <w:rFonts w:ascii="Times New Roman" w:hAnsi="Times New Roman"/>
                  <w:color w:val="0000FF"/>
                  <w:sz w:val="17"/>
                  <w:u w:val="single"/>
                </w:rPr>
                <w:t>Management</w:t>
              </w:r>
            </w:hyperlink>
          </w:p>
        </w:tc>
        <w:tc>
          <w:tcPr>
            <w:tcW w:w="720" w:type="dxa"/>
            <w:tcBorders/>
            <w:shd w:fill="auto" w:val="clear"/>
          </w:tcPr>
          <w:p>
            <w:pPr>
              <w:pStyle w:val="TableContents"/>
              <w:spacing w:before="0" w:after="0"/>
              <w:ind w:left="0" w:right="0" w:hanging="0"/>
              <w:jc w:val="right"/>
              <w:rPr/>
            </w:pPr>
            <w:r>
              <w:rPr/>
              <w:t> </w:t>
            </w:r>
          </w:p>
        </w:tc>
      </w:tr>
      <w:tr>
        <w:trPr/>
        <w:tc>
          <w:tcPr>
            <w:tcW w:w="1133" w:type="dxa"/>
            <w:tcBorders/>
            <w:shd w:fill="auto" w:val="clear"/>
          </w:tcPr>
          <w:p>
            <w:pPr>
              <w:pStyle w:val="TableContents"/>
              <w:spacing w:before="0" w:after="0"/>
              <w:ind w:left="0" w:right="0" w:hanging="0"/>
              <w:rPr/>
            </w:pPr>
            <w:hyperlink w:anchor="a7_2_222927">
              <w:r>
                <w:rPr>
                  <w:rStyle w:val="InternetLink"/>
                  <w:rFonts w:ascii="Times New Roman" w:hAnsi="Times New Roman"/>
                  <w:color w:val="0000FF"/>
                  <w:sz w:val="17"/>
                  <w:u w:val="single"/>
                </w:rPr>
                <w:t>7.2</w:t>
              </w:r>
            </w:hyperlink>
          </w:p>
        </w:tc>
        <w:tc>
          <w:tcPr>
            <w:tcW w:w="8352" w:type="dxa"/>
            <w:tcBorders/>
            <w:shd w:fill="auto" w:val="clear"/>
          </w:tcPr>
          <w:p>
            <w:pPr>
              <w:pStyle w:val="TableContents"/>
              <w:spacing w:before="0" w:after="0"/>
              <w:ind w:left="0" w:right="0" w:hanging="0"/>
              <w:rPr/>
            </w:pPr>
            <w:hyperlink w:anchor="a7_2_222927">
              <w:r>
                <w:rPr>
                  <w:rStyle w:val="InternetLink"/>
                  <w:rFonts w:ascii="Times New Roman" w:hAnsi="Times New Roman"/>
                  <w:color w:val="0000FF"/>
                  <w:sz w:val="17"/>
                  <w:u w:val="single"/>
                </w:rPr>
                <w:t>Officers</w:t>
              </w:r>
            </w:hyperlink>
          </w:p>
        </w:tc>
        <w:tc>
          <w:tcPr>
            <w:tcW w:w="720" w:type="dxa"/>
            <w:tcBorders/>
            <w:shd w:fill="auto" w:val="clear"/>
          </w:tcPr>
          <w:p>
            <w:pPr>
              <w:pStyle w:val="TableContents"/>
              <w:spacing w:before="0" w:after="0"/>
              <w:ind w:left="0" w:right="0" w:hanging="0"/>
              <w:jc w:val="right"/>
              <w:rPr/>
            </w:pPr>
            <w:r>
              <w:rPr/>
              <w:t> </w:t>
            </w:r>
          </w:p>
        </w:tc>
      </w:tr>
      <w:tr>
        <w:trPr/>
        <w:tc>
          <w:tcPr>
            <w:tcW w:w="1133" w:type="dxa"/>
            <w:tcBorders/>
            <w:shd w:fill="auto" w:val="clear"/>
          </w:tcPr>
          <w:p>
            <w:pPr>
              <w:pStyle w:val="TableContents"/>
              <w:spacing w:before="0" w:after="0"/>
              <w:ind w:left="0" w:right="0" w:hanging="0"/>
              <w:rPr/>
            </w:pPr>
            <w:hyperlink w:anchor="a7_3_222929">
              <w:r>
                <w:rPr>
                  <w:rStyle w:val="InternetLink"/>
                  <w:rFonts w:ascii="Times New Roman" w:hAnsi="Times New Roman"/>
                  <w:color w:val="0000FF"/>
                  <w:sz w:val="17"/>
                  <w:u w:val="single"/>
                </w:rPr>
                <w:t>7.3</w:t>
              </w:r>
            </w:hyperlink>
          </w:p>
        </w:tc>
        <w:tc>
          <w:tcPr>
            <w:tcW w:w="8352" w:type="dxa"/>
            <w:tcBorders/>
            <w:shd w:fill="auto" w:val="clear"/>
          </w:tcPr>
          <w:p>
            <w:pPr>
              <w:pStyle w:val="TableContents"/>
              <w:spacing w:before="0" w:after="0"/>
              <w:ind w:left="0" w:right="0" w:hanging="0"/>
              <w:rPr/>
            </w:pPr>
            <w:hyperlink w:anchor="a7_3_222929">
              <w:r>
                <w:rPr>
                  <w:rStyle w:val="InternetLink"/>
                  <w:rFonts w:ascii="Times New Roman" w:hAnsi="Times New Roman"/>
                  <w:color w:val="0000FF"/>
                  <w:sz w:val="17"/>
                  <w:u w:val="single"/>
                </w:rPr>
                <w:t>Board</w:t>
              </w:r>
            </w:hyperlink>
          </w:p>
        </w:tc>
        <w:tc>
          <w:tcPr>
            <w:tcW w:w="720" w:type="dxa"/>
            <w:tcBorders/>
            <w:shd w:fill="auto" w:val="clear"/>
          </w:tcPr>
          <w:p>
            <w:pPr>
              <w:pStyle w:val="TableContents"/>
              <w:spacing w:before="0" w:after="0"/>
              <w:ind w:left="0" w:right="0" w:hanging="0"/>
              <w:jc w:val="right"/>
              <w:rPr/>
            </w:pPr>
            <w:r>
              <w:rPr/>
              <w:t> </w:t>
            </w:r>
          </w:p>
        </w:tc>
      </w:tr>
      <w:tr>
        <w:trPr/>
        <w:tc>
          <w:tcPr>
            <w:tcW w:w="1133" w:type="dxa"/>
            <w:tcBorders/>
            <w:shd w:fill="auto" w:val="clear"/>
          </w:tcPr>
          <w:p>
            <w:pPr>
              <w:pStyle w:val="TableContents"/>
              <w:spacing w:before="0" w:after="0"/>
              <w:ind w:left="0" w:right="0" w:hanging="0"/>
              <w:rPr/>
            </w:pPr>
            <w:hyperlink w:anchor="a7_4_222931">
              <w:r>
                <w:rPr>
                  <w:rStyle w:val="InternetLink"/>
                  <w:rFonts w:ascii="Times New Roman" w:hAnsi="Times New Roman"/>
                  <w:color w:val="0000FF"/>
                  <w:sz w:val="17"/>
                  <w:u w:val="single"/>
                </w:rPr>
                <w:t>7.4</w:t>
              </w:r>
            </w:hyperlink>
          </w:p>
        </w:tc>
        <w:tc>
          <w:tcPr>
            <w:tcW w:w="8352" w:type="dxa"/>
            <w:tcBorders/>
            <w:shd w:fill="auto" w:val="clear"/>
          </w:tcPr>
          <w:p>
            <w:pPr>
              <w:pStyle w:val="TableContents"/>
              <w:spacing w:before="0" w:after="0"/>
              <w:ind w:left="0" w:right="0" w:hanging="0"/>
              <w:rPr/>
            </w:pPr>
            <w:hyperlink w:anchor="a7_4_222931">
              <w:r>
                <w:rPr>
                  <w:rStyle w:val="InternetLink"/>
                  <w:rFonts w:ascii="Times New Roman" w:hAnsi="Times New Roman"/>
                  <w:color w:val="0000FF"/>
                  <w:sz w:val="17"/>
                  <w:u w:val="single"/>
                </w:rPr>
                <w:t>Meetings of the Board</w:t>
              </w:r>
            </w:hyperlink>
          </w:p>
        </w:tc>
        <w:tc>
          <w:tcPr>
            <w:tcW w:w="720" w:type="dxa"/>
            <w:tcBorders/>
            <w:shd w:fill="auto" w:val="clear"/>
          </w:tcPr>
          <w:p>
            <w:pPr>
              <w:pStyle w:val="TableContents"/>
              <w:spacing w:before="0" w:after="0"/>
              <w:ind w:left="0" w:right="0" w:hanging="0"/>
              <w:jc w:val="right"/>
              <w:rPr/>
            </w:pPr>
            <w:r>
              <w:rPr/>
              <w:t> </w:t>
            </w:r>
          </w:p>
        </w:tc>
      </w:tr>
      <w:tr>
        <w:trPr/>
        <w:tc>
          <w:tcPr>
            <w:tcW w:w="1133" w:type="dxa"/>
            <w:tcBorders/>
            <w:shd w:fill="auto" w:val="clear"/>
          </w:tcPr>
          <w:p>
            <w:pPr>
              <w:pStyle w:val="TableContents"/>
              <w:spacing w:before="0" w:after="0"/>
              <w:ind w:left="0" w:right="0" w:hanging="0"/>
              <w:rPr/>
            </w:pPr>
            <w:hyperlink w:anchor="a7_5_222935">
              <w:r>
                <w:rPr>
                  <w:rStyle w:val="InternetLink"/>
                  <w:rFonts w:ascii="Times New Roman" w:hAnsi="Times New Roman"/>
                  <w:color w:val="0000FF"/>
                  <w:sz w:val="17"/>
                  <w:u w:val="single"/>
                </w:rPr>
                <w:t>7.5</w:t>
              </w:r>
            </w:hyperlink>
          </w:p>
        </w:tc>
        <w:tc>
          <w:tcPr>
            <w:tcW w:w="8352" w:type="dxa"/>
            <w:tcBorders/>
            <w:shd w:fill="auto" w:val="clear"/>
          </w:tcPr>
          <w:p>
            <w:pPr>
              <w:pStyle w:val="TableContents"/>
              <w:spacing w:before="0" w:after="0"/>
              <w:ind w:left="0" w:right="0" w:hanging="0"/>
              <w:rPr/>
            </w:pPr>
            <w:hyperlink w:anchor="a7_5_222935">
              <w:r>
                <w:rPr>
                  <w:rStyle w:val="InternetLink"/>
                  <w:rFonts w:ascii="Times New Roman" w:hAnsi="Times New Roman"/>
                  <w:color w:val="0000FF"/>
                  <w:sz w:val="17"/>
                  <w:u w:val="single"/>
                </w:rPr>
                <w:t>Quorum and Acts of the Board</w:t>
              </w:r>
            </w:hyperlink>
          </w:p>
        </w:tc>
        <w:tc>
          <w:tcPr>
            <w:tcW w:w="720" w:type="dxa"/>
            <w:tcBorders/>
            <w:shd w:fill="auto" w:val="clear"/>
          </w:tcPr>
          <w:p>
            <w:pPr>
              <w:pStyle w:val="TableContents"/>
              <w:spacing w:before="0" w:after="0"/>
              <w:ind w:left="0" w:right="0" w:hanging="0"/>
              <w:jc w:val="right"/>
              <w:rPr/>
            </w:pPr>
            <w:r>
              <w:rPr/>
              <w:t> </w:t>
            </w:r>
          </w:p>
        </w:tc>
      </w:tr>
      <w:tr>
        <w:trPr/>
        <w:tc>
          <w:tcPr>
            <w:tcW w:w="1133" w:type="dxa"/>
            <w:tcBorders/>
            <w:shd w:fill="auto" w:val="clear"/>
          </w:tcPr>
          <w:p>
            <w:pPr>
              <w:pStyle w:val="TableContents"/>
              <w:spacing w:before="0" w:after="0"/>
              <w:ind w:left="0" w:right="0" w:hanging="0"/>
              <w:rPr/>
            </w:pPr>
            <w:hyperlink w:anchor="a7_6_222937">
              <w:r>
                <w:rPr>
                  <w:rStyle w:val="InternetLink"/>
                  <w:rFonts w:ascii="Times New Roman" w:hAnsi="Times New Roman"/>
                  <w:color w:val="0000FF"/>
                  <w:sz w:val="17"/>
                  <w:u w:val="single"/>
                </w:rPr>
                <w:t>7.6</w:t>
              </w:r>
            </w:hyperlink>
          </w:p>
        </w:tc>
        <w:tc>
          <w:tcPr>
            <w:tcW w:w="8352" w:type="dxa"/>
            <w:tcBorders/>
            <w:shd w:fill="auto" w:val="clear"/>
          </w:tcPr>
          <w:p>
            <w:pPr>
              <w:pStyle w:val="TableContents"/>
              <w:spacing w:before="0" w:after="0"/>
              <w:ind w:left="0" w:right="0" w:hanging="0"/>
              <w:rPr/>
            </w:pPr>
            <w:hyperlink w:anchor="a7_6_222937">
              <w:r>
                <w:rPr>
                  <w:rStyle w:val="InternetLink"/>
                  <w:rFonts w:ascii="Times New Roman" w:hAnsi="Times New Roman"/>
                  <w:color w:val="0000FF"/>
                  <w:sz w:val="17"/>
                  <w:u w:val="single"/>
                </w:rPr>
                <w:t>Electronic Communications</w:t>
              </w:r>
            </w:hyperlink>
          </w:p>
        </w:tc>
        <w:tc>
          <w:tcPr>
            <w:tcW w:w="720" w:type="dxa"/>
            <w:tcBorders/>
            <w:shd w:fill="auto" w:val="clear"/>
          </w:tcPr>
          <w:p>
            <w:pPr>
              <w:pStyle w:val="TableContents"/>
              <w:spacing w:before="0" w:after="0"/>
              <w:ind w:left="0" w:right="0" w:hanging="0"/>
              <w:jc w:val="right"/>
              <w:rPr/>
            </w:pPr>
            <w:r>
              <w:rPr/>
              <w:t> </w:t>
            </w:r>
          </w:p>
        </w:tc>
      </w:tr>
      <w:tr>
        <w:trPr/>
        <w:tc>
          <w:tcPr>
            <w:tcW w:w="1133" w:type="dxa"/>
            <w:tcBorders/>
            <w:shd w:fill="auto" w:val="clear"/>
          </w:tcPr>
          <w:p>
            <w:pPr>
              <w:pStyle w:val="TableContents"/>
              <w:spacing w:before="0" w:after="0"/>
              <w:ind w:left="0" w:right="0" w:hanging="0"/>
              <w:rPr/>
            </w:pPr>
            <w:hyperlink w:anchor="a7_7_222938">
              <w:r>
                <w:rPr>
                  <w:rStyle w:val="InternetLink"/>
                  <w:rFonts w:ascii="Times New Roman" w:hAnsi="Times New Roman"/>
                  <w:color w:val="0000FF"/>
                  <w:sz w:val="17"/>
                  <w:u w:val="single"/>
                </w:rPr>
                <w:t>7.7</w:t>
              </w:r>
            </w:hyperlink>
          </w:p>
        </w:tc>
        <w:tc>
          <w:tcPr>
            <w:tcW w:w="8352" w:type="dxa"/>
            <w:tcBorders/>
            <w:shd w:fill="auto" w:val="clear"/>
          </w:tcPr>
          <w:p>
            <w:pPr>
              <w:pStyle w:val="TableContents"/>
              <w:spacing w:before="0" w:after="0"/>
              <w:ind w:left="0" w:right="0" w:hanging="0"/>
              <w:rPr/>
            </w:pPr>
            <w:hyperlink w:anchor="a7_7_222938">
              <w:r>
                <w:rPr>
                  <w:rStyle w:val="InternetLink"/>
                  <w:rFonts w:ascii="Times New Roman" w:hAnsi="Times New Roman"/>
                  <w:color w:val="0000FF"/>
                  <w:sz w:val="17"/>
                  <w:u w:val="single"/>
                </w:rPr>
                <w:t>Committees of Directors</w:t>
              </w:r>
            </w:hyperlink>
          </w:p>
        </w:tc>
        <w:tc>
          <w:tcPr>
            <w:tcW w:w="720" w:type="dxa"/>
            <w:tcBorders/>
            <w:shd w:fill="auto" w:val="clear"/>
          </w:tcPr>
          <w:p>
            <w:pPr>
              <w:pStyle w:val="TableContents"/>
              <w:spacing w:before="0" w:after="0"/>
              <w:ind w:left="0" w:right="0" w:hanging="0"/>
              <w:jc w:val="right"/>
              <w:rPr/>
            </w:pPr>
            <w:r>
              <w:rPr/>
              <w:t> </w:t>
            </w:r>
          </w:p>
        </w:tc>
      </w:tr>
      <w:tr>
        <w:trPr/>
        <w:tc>
          <w:tcPr>
            <w:tcW w:w="1133" w:type="dxa"/>
            <w:tcBorders/>
            <w:shd w:fill="auto" w:val="clear"/>
          </w:tcPr>
          <w:p>
            <w:pPr>
              <w:pStyle w:val="TableContents"/>
              <w:spacing w:before="0" w:after="0"/>
              <w:ind w:left="0" w:right="0" w:hanging="0"/>
              <w:rPr/>
            </w:pPr>
            <w:hyperlink w:anchor="a7_8_222940">
              <w:r>
                <w:rPr>
                  <w:rStyle w:val="InternetLink"/>
                  <w:rFonts w:ascii="Times New Roman" w:hAnsi="Times New Roman"/>
                  <w:color w:val="0000FF"/>
                  <w:sz w:val="17"/>
                  <w:u w:val="single"/>
                </w:rPr>
                <w:t>7.8</w:t>
              </w:r>
            </w:hyperlink>
          </w:p>
        </w:tc>
        <w:tc>
          <w:tcPr>
            <w:tcW w:w="8352" w:type="dxa"/>
            <w:tcBorders/>
            <w:shd w:fill="auto" w:val="clear"/>
          </w:tcPr>
          <w:p>
            <w:pPr>
              <w:pStyle w:val="TableContents"/>
              <w:spacing w:before="0" w:after="0"/>
              <w:ind w:left="0" w:right="0" w:hanging="0"/>
              <w:rPr/>
            </w:pPr>
            <w:hyperlink w:anchor="a7_8_222940">
              <w:r>
                <w:rPr>
                  <w:rStyle w:val="InternetLink"/>
                  <w:rFonts w:ascii="Times New Roman" w:hAnsi="Times New Roman"/>
                  <w:color w:val="0000FF"/>
                  <w:sz w:val="17"/>
                  <w:u w:val="single"/>
                </w:rPr>
                <w:t>Compensation of Directors</w:t>
              </w:r>
            </w:hyperlink>
          </w:p>
        </w:tc>
        <w:tc>
          <w:tcPr>
            <w:tcW w:w="720" w:type="dxa"/>
            <w:tcBorders/>
            <w:shd w:fill="auto" w:val="clear"/>
          </w:tcPr>
          <w:p>
            <w:pPr>
              <w:pStyle w:val="TableContents"/>
              <w:spacing w:before="0" w:after="0"/>
              <w:ind w:left="0" w:right="0" w:hanging="0"/>
              <w:jc w:val="right"/>
              <w:rPr/>
            </w:pPr>
            <w:r>
              <w:rPr/>
              <w:t> </w:t>
            </w:r>
          </w:p>
        </w:tc>
      </w:tr>
      <w:tr>
        <w:trPr/>
        <w:tc>
          <w:tcPr>
            <w:tcW w:w="1133" w:type="dxa"/>
            <w:tcBorders/>
            <w:shd w:fill="auto" w:val="clear"/>
          </w:tcPr>
          <w:p>
            <w:pPr>
              <w:pStyle w:val="TableContents"/>
              <w:spacing w:before="0" w:after="0"/>
              <w:ind w:left="0" w:right="0" w:hanging="0"/>
              <w:rPr/>
            </w:pPr>
            <w:hyperlink w:anchor="a7_9_222942">
              <w:r>
                <w:rPr>
                  <w:rStyle w:val="InternetLink"/>
                  <w:rFonts w:ascii="Times New Roman" w:hAnsi="Times New Roman"/>
                  <w:color w:val="0000FF"/>
                  <w:sz w:val="17"/>
                  <w:u w:val="single"/>
                </w:rPr>
                <w:t>7.9</w:t>
              </w:r>
            </w:hyperlink>
          </w:p>
        </w:tc>
        <w:tc>
          <w:tcPr>
            <w:tcW w:w="8352" w:type="dxa"/>
            <w:tcBorders/>
            <w:shd w:fill="auto" w:val="clear"/>
          </w:tcPr>
          <w:p>
            <w:pPr>
              <w:pStyle w:val="TableContents"/>
              <w:spacing w:before="0" w:after="0"/>
              <w:ind w:left="0" w:right="0" w:hanging="0"/>
              <w:rPr/>
            </w:pPr>
            <w:hyperlink w:anchor="a7_9_222942">
              <w:r>
                <w:rPr>
                  <w:rStyle w:val="InternetLink"/>
                  <w:rFonts w:ascii="Times New Roman" w:hAnsi="Times New Roman"/>
                  <w:color w:val="0000FF"/>
                  <w:sz w:val="17"/>
                  <w:u w:val="single"/>
                </w:rPr>
                <w:t>Directors as Agents</w:t>
              </w:r>
            </w:hyperlink>
          </w:p>
        </w:tc>
        <w:tc>
          <w:tcPr>
            <w:tcW w:w="720" w:type="dxa"/>
            <w:tcBorders/>
            <w:shd w:fill="auto" w:val="clear"/>
          </w:tcPr>
          <w:p>
            <w:pPr>
              <w:pStyle w:val="TableContents"/>
              <w:spacing w:before="0" w:after="0"/>
              <w:ind w:left="0" w:right="0" w:hanging="0"/>
              <w:jc w:val="right"/>
              <w:rPr/>
            </w:pPr>
            <w:r>
              <w:rPr/>
              <w:t> </w:t>
            </w:r>
          </w:p>
        </w:tc>
      </w:tr>
      <w:tr>
        <w:trPr/>
        <w:tc>
          <w:tcPr>
            <w:tcW w:w="1133" w:type="dxa"/>
            <w:tcBorders/>
            <w:shd w:fill="auto" w:val="clear"/>
          </w:tcPr>
          <w:p>
            <w:pPr>
              <w:pStyle w:val="TableContents"/>
              <w:spacing w:before="0" w:after="0"/>
              <w:ind w:left="0" w:right="0" w:hanging="0"/>
              <w:rPr/>
            </w:pPr>
            <w:hyperlink w:anchor="a7_10_222944">
              <w:r>
                <w:rPr>
                  <w:rStyle w:val="InternetLink"/>
                  <w:rFonts w:ascii="Times New Roman" w:hAnsi="Times New Roman"/>
                  <w:color w:val="0000FF"/>
                  <w:sz w:val="17"/>
                  <w:u w:val="single"/>
                </w:rPr>
                <w:t>7.10</w:t>
              </w:r>
            </w:hyperlink>
          </w:p>
        </w:tc>
        <w:tc>
          <w:tcPr>
            <w:tcW w:w="8352" w:type="dxa"/>
            <w:tcBorders/>
            <w:shd w:fill="auto" w:val="clear"/>
          </w:tcPr>
          <w:p>
            <w:pPr>
              <w:pStyle w:val="TableContents"/>
              <w:spacing w:before="0" w:after="0"/>
              <w:ind w:left="0" w:right="0" w:hanging="0"/>
              <w:rPr/>
            </w:pPr>
            <w:hyperlink w:anchor="a7_10_222944">
              <w:r>
                <w:rPr>
                  <w:rStyle w:val="InternetLink"/>
                  <w:rFonts w:ascii="Times New Roman" w:hAnsi="Times New Roman"/>
                  <w:color w:val="0000FF"/>
                  <w:sz w:val="17"/>
                  <w:u w:val="single"/>
                </w:rPr>
                <w:t>Matters Requiring Board Approval</w:t>
              </w:r>
            </w:hyperlink>
          </w:p>
        </w:tc>
        <w:tc>
          <w:tcPr>
            <w:tcW w:w="720" w:type="dxa"/>
            <w:tcBorders/>
            <w:shd w:fill="auto" w:val="clear"/>
          </w:tcPr>
          <w:p>
            <w:pPr>
              <w:pStyle w:val="TableContents"/>
              <w:spacing w:before="0" w:after="0"/>
              <w:ind w:left="0" w:right="0" w:hanging="0"/>
              <w:jc w:val="right"/>
              <w:rPr/>
            </w:pPr>
            <w:r>
              <w:rPr/>
              <w:t> </w:t>
            </w:r>
          </w:p>
        </w:tc>
      </w:tr>
      <w:tr>
        <w:trPr/>
        <w:tc>
          <w:tcPr>
            <w:tcW w:w="1133" w:type="dxa"/>
            <w:tcBorders/>
            <w:shd w:fill="auto" w:val="clear"/>
          </w:tcPr>
          <w:p>
            <w:pPr>
              <w:pStyle w:val="TableContents"/>
              <w:spacing w:before="0" w:after="0"/>
              <w:ind w:left="0" w:right="0" w:hanging="0"/>
              <w:rPr/>
            </w:pPr>
            <w:hyperlink w:anchor="a7_11_222949">
              <w:r>
                <w:rPr>
                  <w:rStyle w:val="InternetLink"/>
                  <w:rFonts w:ascii="Times New Roman" w:hAnsi="Times New Roman"/>
                  <w:color w:val="0000FF"/>
                  <w:sz w:val="17"/>
                  <w:u w:val="single"/>
                </w:rPr>
                <w:t>7.11</w:t>
              </w:r>
            </w:hyperlink>
          </w:p>
        </w:tc>
        <w:tc>
          <w:tcPr>
            <w:tcW w:w="8352" w:type="dxa"/>
            <w:tcBorders/>
            <w:shd w:fill="auto" w:val="clear"/>
          </w:tcPr>
          <w:p>
            <w:pPr>
              <w:pStyle w:val="TableContents"/>
              <w:spacing w:before="0" w:after="0"/>
              <w:ind w:left="0" w:right="0" w:hanging="0"/>
              <w:rPr/>
            </w:pPr>
            <w:hyperlink w:anchor="a7_11_222949">
              <w:r>
                <w:rPr>
                  <w:rStyle w:val="InternetLink"/>
                  <w:rFonts w:ascii="Times New Roman" w:hAnsi="Times New Roman"/>
                  <w:color w:val="0000FF"/>
                  <w:sz w:val="17"/>
                  <w:u w:val="single"/>
                </w:rPr>
                <w:t>Matters Requiring Member Approval</w:t>
              </w:r>
            </w:hyperlink>
          </w:p>
        </w:tc>
        <w:tc>
          <w:tcPr>
            <w:tcW w:w="720" w:type="dxa"/>
            <w:tcBorders/>
            <w:shd w:fill="auto" w:val="clear"/>
          </w:tcPr>
          <w:p>
            <w:pPr>
              <w:pStyle w:val="TableContents"/>
              <w:spacing w:before="0" w:after="0"/>
              <w:ind w:left="0" w:right="0" w:hanging="0"/>
              <w:jc w:val="right"/>
              <w:rPr/>
            </w:pPr>
            <w:r>
              <w:rPr/>
              <w:t> </w:t>
            </w:r>
          </w:p>
        </w:tc>
      </w:tr>
      <w:tr>
        <w:trPr/>
        <w:tc>
          <w:tcPr>
            <w:tcW w:w="1133" w:type="dxa"/>
            <w:tcBorders/>
            <w:shd w:fill="auto" w:val="clear"/>
          </w:tcPr>
          <w:p>
            <w:pPr>
              <w:pStyle w:val="TableContents"/>
              <w:spacing w:before="0" w:after="0"/>
              <w:ind w:left="0" w:right="0" w:hanging="0"/>
              <w:rPr/>
            </w:pPr>
            <w:hyperlink w:anchor="a7_12_222953">
              <w:r>
                <w:rPr>
                  <w:rStyle w:val="InternetLink"/>
                  <w:rFonts w:ascii="Times New Roman" w:hAnsi="Times New Roman"/>
                  <w:color w:val="0000FF"/>
                  <w:sz w:val="17"/>
                  <w:u w:val="single"/>
                </w:rPr>
                <w:t>7.12</w:t>
              </w:r>
            </w:hyperlink>
          </w:p>
        </w:tc>
        <w:tc>
          <w:tcPr>
            <w:tcW w:w="8352" w:type="dxa"/>
            <w:tcBorders/>
            <w:shd w:fill="auto" w:val="clear"/>
          </w:tcPr>
          <w:p>
            <w:pPr>
              <w:pStyle w:val="TableContents"/>
              <w:spacing w:before="0" w:after="0"/>
              <w:ind w:left="0" w:right="0" w:hanging="0"/>
              <w:rPr/>
            </w:pPr>
            <w:hyperlink w:anchor="a7_12_222953">
              <w:r>
                <w:rPr>
                  <w:rStyle w:val="InternetLink"/>
                  <w:rFonts w:ascii="Times New Roman" w:hAnsi="Times New Roman"/>
                  <w:color w:val="0000FF"/>
                  <w:sz w:val="17"/>
                  <w:u w:val="single"/>
                </w:rPr>
                <w:t>Disputes between a Member and the Company</w:t>
              </w:r>
            </w:hyperlink>
          </w:p>
        </w:tc>
        <w:tc>
          <w:tcPr>
            <w:tcW w:w="720" w:type="dxa"/>
            <w:tcBorders/>
            <w:shd w:fill="auto" w:val="clear"/>
          </w:tcPr>
          <w:p>
            <w:pPr>
              <w:pStyle w:val="TableContents"/>
              <w:spacing w:before="0" w:after="0"/>
              <w:ind w:left="0" w:right="0" w:hanging="0"/>
              <w:jc w:val="right"/>
              <w:rPr/>
            </w:pPr>
            <w:r>
              <w:rPr/>
              <w:t> </w:t>
            </w:r>
          </w:p>
        </w:tc>
      </w:tr>
      <w:tr>
        <w:trPr/>
        <w:tc>
          <w:tcPr>
            <w:tcW w:w="1133" w:type="dxa"/>
            <w:tcBorders/>
            <w:shd w:fill="auto" w:val="clear"/>
          </w:tcPr>
          <w:p>
            <w:pPr>
              <w:pStyle w:val="TableContents"/>
              <w:spacing w:before="0" w:after="0"/>
              <w:ind w:left="0" w:right="0" w:hanging="0"/>
              <w:rPr/>
            </w:pPr>
            <w:r>
              <w:rPr/>
              <w:t> </w:t>
            </w:r>
          </w:p>
        </w:tc>
        <w:tc>
          <w:tcPr>
            <w:tcW w:w="8352" w:type="dxa"/>
            <w:tcBorders/>
            <w:shd w:fill="auto" w:val="clear"/>
          </w:tcPr>
          <w:p>
            <w:pPr>
              <w:pStyle w:val="TableContents"/>
              <w:spacing w:before="0" w:after="0"/>
              <w:ind w:left="0" w:right="0" w:hanging="0"/>
              <w:rPr/>
            </w:pPr>
            <w:r>
              <w:rPr/>
              <w:t> </w:t>
            </w:r>
          </w:p>
        </w:tc>
        <w:tc>
          <w:tcPr>
            <w:tcW w:w="720" w:type="dxa"/>
            <w:tcBorders/>
            <w:shd w:fill="auto" w:val="clear"/>
          </w:tcPr>
          <w:p>
            <w:pPr>
              <w:pStyle w:val="TableContents"/>
              <w:spacing w:before="0" w:after="0"/>
              <w:ind w:left="0" w:right="0" w:hanging="0"/>
              <w:jc w:val="right"/>
              <w:rPr/>
            </w:pPr>
            <w:r>
              <w:rPr/>
              <w:t> </w:t>
            </w:r>
          </w:p>
        </w:tc>
      </w:tr>
      <w:tr>
        <w:trPr/>
        <w:tc>
          <w:tcPr>
            <w:tcW w:w="9485" w:type="dxa"/>
            <w:gridSpan w:val="2"/>
            <w:tcBorders/>
            <w:shd w:fill="auto" w:val="clear"/>
          </w:tcPr>
          <w:p>
            <w:pPr>
              <w:pStyle w:val="TableContents"/>
              <w:spacing w:before="0" w:after="0"/>
              <w:ind w:left="0" w:right="0" w:hanging="0"/>
              <w:rPr/>
            </w:pPr>
            <w:hyperlink w:anchor="Article8_222955">
              <w:r>
                <w:rPr>
                  <w:rStyle w:val="InternetLink"/>
                  <w:rFonts w:ascii="Times New Roman" w:hAnsi="Times New Roman"/>
                  <w:color w:val="0000FF"/>
                  <w:sz w:val="17"/>
                  <w:u w:val="single"/>
                </w:rPr>
                <w:t>ARTICLE 8 DUTIES; LIABILITY AND INDEMNIFICATION</w:t>
              </w:r>
            </w:hyperlink>
          </w:p>
        </w:tc>
        <w:tc>
          <w:tcPr>
            <w:tcW w:w="720" w:type="dxa"/>
            <w:tcBorders/>
            <w:shd w:fill="auto" w:val="clear"/>
          </w:tcPr>
          <w:p>
            <w:pPr>
              <w:pStyle w:val="TableContents"/>
              <w:spacing w:before="0" w:after="0"/>
              <w:ind w:left="0" w:right="0" w:hanging="0"/>
              <w:jc w:val="right"/>
              <w:rPr/>
            </w:pPr>
            <w:r>
              <w:rPr/>
              <w:t> </w:t>
            </w:r>
          </w:p>
        </w:tc>
      </w:tr>
      <w:tr>
        <w:trPr/>
        <w:tc>
          <w:tcPr>
            <w:tcW w:w="1133" w:type="dxa"/>
            <w:tcBorders/>
            <w:shd w:fill="auto" w:val="clear"/>
          </w:tcPr>
          <w:p>
            <w:pPr>
              <w:pStyle w:val="TableContents"/>
              <w:spacing w:before="0" w:after="0"/>
              <w:ind w:left="0" w:right="0" w:hanging="0"/>
              <w:rPr/>
            </w:pPr>
            <w:hyperlink w:anchor="a8_1_222959">
              <w:r>
                <w:rPr>
                  <w:rStyle w:val="InternetLink"/>
                  <w:rFonts w:ascii="Times New Roman" w:hAnsi="Times New Roman"/>
                  <w:color w:val="0000FF"/>
                  <w:sz w:val="17"/>
                  <w:u w:val="single"/>
                </w:rPr>
                <w:t>8.1</w:t>
              </w:r>
            </w:hyperlink>
          </w:p>
        </w:tc>
        <w:tc>
          <w:tcPr>
            <w:tcW w:w="8352" w:type="dxa"/>
            <w:tcBorders/>
            <w:shd w:fill="auto" w:val="clear"/>
          </w:tcPr>
          <w:p>
            <w:pPr>
              <w:pStyle w:val="TableContents"/>
              <w:spacing w:before="0" w:after="0"/>
              <w:ind w:left="0" w:right="0" w:hanging="0"/>
              <w:rPr/>
            </w:pPr>
            <w:hyperlink w:anchor="a8_1_222959">
              <w:r>
                <w:rPr>
                  <w:rStyle w:val="InternetLink"/>
                  <w:rFonts w:ascii="Times New Roman" w:hAnsi="Times New Roman"/>
                  <w:color w:val="0000FF"/>
                  <w:sz w:val="17"/>
                  <w:u w:val="single"/>
                </w:rPr>
                <w:t>Duties of Managers, Members and Directors</w:t>
              </w:r>
            </w:hyperlink>
          </w:p>
        </w:tc>
        <w:tc>
          <w:tcPr>
            <w:tcW w:w="720" w:type="dxa"/>
            <w:tcBorders/>
            <w:shd w:fill="auto" w:val="clear"/>
          </w:tcPr>
          <w:p>
            <w:pPr>
              <w:pStyle w:val="TableContents"/>
              <w:spacing w:before="0" w:after="0"/>
              <w:ind w:left="0" w:right="0" w:hanging="0"/>
              <w:jc w:val="right"/>
              <w:rPr/>
            </w:pPr>
            <w:r>
              <w:rPr/>
              <w:t> </w:t>
            </w:r>
          </w:p>
        </w:tc>
      </w:tr>
      <w:tr>
        <w:trPr/>
        <w:tc>
          <w:tcPr>
            <w:tcW w:w="1133" w:type="dxa"/>
            <w:tcBorders/>
            <w:shd w:fill="auto" w:val="clear"/>
          </w:tcPr>
          <w:p>
            <w:pPr>
              <w:pStyle w:val="TableContents"/>
              <w:spacing w:before="0" w:after="0"/>
              <w:ind w:left="0" w:right="0" w:hanging="0"/>
              <w:rPr/>
            </w:pPr>
            <w:hyperlink w:anchor="a8_2_223007">
              <w:r>
                <w:rPr>
                  <w:rStyle w:val="InternetLink"/>
                  <w:rFonts w:ascii="Times New Roman" w:hAnsi="Times New Roman"/>
                  <w:color w:val="0000FF"/>
                  <w:sz w:val="17"/>
                  <w:u w:val="single"/>
                </w:rPr>
                <w:t>8.2</w:t>
              </w:r>
            </w:hyperlink>
          </w:p>
        </w:tc>
        <w:tc>
          <w:tcPr>
            <w:tcW w:w="8352" w:type="dxa"/>
            <w:tcBorders/>
            <w:shd w:fill="auto" w:val="clear"/>
          </w:tcPr>
          <w:p>
            <w:pPr>
              <w:pStyle w:val="TableContents"/>
              <w:spacing w:before="0" w:after="0"/>
              <w:ind w:left="0" w:right="0" w:hanging="0"/>
              <w:rPr/>
            </w:pPr>
            <w:hyperlink w:anchor="a8_2_223007">
              <w:r>
                <w:rPr>
                  <w:rStyle w:val="InternetLink"/>
                  <w:rFonts w:ascii="Times New Roman" w:hAnsi="Times New Roman"/>
                  <w:color w:val="0000FF"/>
                  <w:sz w:val="17"/>
                  <w:u w:val="single"/>
                </w:rPr>
                <w:t>Limitation on Liability of Directors and Officers</w:t>
              </w:r>
            </w:hyperlink>
          </w:p>
        </w:tc>
        <w:tc>
          <w:tcPr>
            <w:tcW w:w="720" w:type="dxa"/>
            <w:tcBorders/>
            <w:shd w:fill="auto" w:val="clear"/>
          </w:tcPr>
          <w:p>
            <w:pPr>
              <w:pStyle w:val="TableContents"/>
              <w:spacing w:before="0" w:after="0"/>
              <w:ind w:left="0" w:right="0" w:hanging="0"/>
              <w:jc w:val="right"/>
              <w:rPr/>
            </w:pPr>
            <w:r>
              <w:rPr/>
              <w:t> </w:t>
            </w:r>
          </w:p>
        </w:tc>
      </w:tr>
      <w:tr>
        <w:trPr/>
        <w:tc>
          <w:tcPr>
            <w:tcW w:w="1133" w:type="dxa"/>
            <w:tcBorders/>
            <w:shd w:fill="auto" w:val="clear"/>
          </w:tcPr>
          <w:p>
            <w:pPr>
              <w:pStyle w:val="TableContents"/>
              <w:spacing w:before="0" w:after="0"/>
              <w:ind w:left="0" w:right="0" w:hanging="0"/>
              <w:rPr/>
            </w:pPr>
            <w:hyperlink w:anchor="a8_3_223009">
              <w:r>
                <w:rPr>
                  <w:rStyle w:val="InternetLink"/>
                  <w:rFonts w:ascii="Times New Roman" w:hAnsi="Times New Roman"/>
                  <w:color w:val="0000FF"/>
                  <w:sz w:val="17"/>
                  <w:u w:val="single"/>
                </w:rPr>
                <w:t>8.3</w:t>
              </w:r>
            </w:hyperlink>
          </w:p>
        </w:tc>
        <w:tc>
          <w:tcPr>
            <w:tcW w:w="8352" w:type="dxa"/>
            <w:tcBorders/>
            <w:shd w:fill="auto" w:val="clear"/>
          </w:tcPr>
          <w:p>
            <w:pPr>
              <w:pStyle w:val="TableContents"/>
              <w:spacing w:before="0" w:after="0"/>
              <w:ind w:left="0" w:right="0" w:hanging="0"/>
              <w:rPr/>
            </w:pPr>
            <w:hyperlink w:anchor="a8_3_223009">
              <w:r>
                <w:rPr>
                  <w:rStyle w:val="InternetLink"/>
                  <w:rFonts w:ascii="Times New Roman" w:hAnsi="Times New Roman"/>
                  <w:color w:val="0000FF"/>
                  <w:sz w:val="17"/>
                  <w:u w:val="single"/>
                </w:rPr>
                <w:t>Indemnification</w:t>
              </w:r>
            </w:hyperlink>
          </w:p>
        </w:tc>
        <w:tc>
          <w:tcPr>
            <w:tcW w:w="720" w:type="dxa"/>
            <w:tcBorders/>
            <w:shd w:fill="auto" w:val="clear"/>
          </w:tcPr>
          <w:p>
            <w:pPr>
              <w:pStyle w:val="TableContents"/>
              <w:spacing w:before="0" w:after="0"/>
              <w:ind w:left="0" w:right="0" w:hanging="0"/>
              <w:jc w:val="right"/>
              <w:rPr/>
            </w:pPr>
            <w:r>
              <w:rPr/>
              <w:t> </w:t>
            </w:r>
          </w:p>
        </w:tc>
      </w:tr>
      <w:tr>
        <w:trPr/>
        <w:tc>
          <w:tcPr>
            <w:tcW w:w="1133" w:type="dxa"/>
            <w:tcBorders/>
            <w:shd w:fill="auto" w:val="clear"/>
          </w:tcPr>
          <w:p>
            <w:pPr>
              <w:pStyle w:val="TableContents"/>
              <w:spacing w:before="0" w:after="0"/>
              <w:ind w:left="0" w:right="0" w:hanging="0"/>
              <w:rPr/>
            </w:pPr>
            <w:r>
              <w:rPr/>
              <w:t> </w:t>
            </w:r>
          </w:p>
        </w:tc>
        <w:tc>
          <w:tcPr>
            <w:tcW w:w="8352" w:type="dxa"/>
            <w:tcBorders/>
            <w:shd w:fill="auto" w:val="clear"/>
          </w:tcPr>
          <w:p>
            <w:pPr>
              <w:pStyle w:val="TableContents"/>
              <w:spacing w:before="0" w:after="0"/>
              <w:ind w:left="0" w:right="0" w:hanging="0"/>
              <w:rPr/>
            </w:pPr>
            <w:r>
              <w:rPr/>
              <w:t> </w:t>
            </w:r>
          </w:p>
        </w:tc>
        <w:tc>
          <w:tcPr>
            <w:tcW w:w="720" w:type="dxa"/>
            <w:tcBorders/>
            <w:shd w:fill="auto" w:val="clear"/>
          </w:tcPr>
          <w:p>
            <w:pPr>
              <w:pStyle w:val="TableContents"/>
              <w:spacing w:before="0" w:after="0"/>
              <w:ind w:left="0" w:right="0" w:hanging="0"/>
              <w:jc w:val="right"/>
              <w:rPr/>
            </w:pPr>
            <w:r>
              <w:rPr/>
              <w:t> </w:t>
            </w:r>
          </w:p>
        </w:tc>
      </w:tr>
      <w:tr>
        <w:trPr/>
        <w:tc>
          <w:tcPr>
            <w:tcW w:w="9485" w:type="dxa"/>
            <w:gridSpan w:val="2"/>
            <w:tcBorders/>
            <w:shd w:fill="auto" w:val="clear"/>
          </w:tcPr>
          <w:p>
            <w:pPr>
              <w:pStyle w:val="TableContents"/>
              <w:spacing w:before="0" w:after="0"/>
              <w:ind w:left="0" w:right="0" w:hanging="0"/>
              <w:rPr/>
            </w:pPr>
            <w:hyperlink w:anchor="Article9_223015">
              <w:r>
                <w:rPr>
                  <w:rStyle w:val="InternetLink"/>
                  <w:rFonts w:ascii="Times New Roman" w:hAnsi="Times New Roman"/>
                  <w:color w:val="0000FF"/>
                  <w:sz w:val="17"/>
                  <w:u w:val="single"/>
                </w:rPr>
                <w:t>ARTICLE 9 TRANSFERS OF MEMBERSHIP INTERESTS</w:t>
              </w:r>
            </w:hyperlink>
          </w:p>
        </w:tc>
        <w:tc>
          <w:tcPr>
            <w:tcW w:w="720" w:type="dxa"/>
            <w:tcBorders/>
            <w:shd w:fill="auto" w:val="clear"/>
          </w:tcPr>
          <w:p>
            <w:pPr>
              <w:pStyle w:val="TableContents"/>
              <w:spacing w:before="0" w:after="0"/>
              <w:ind w:left="0" w:right="0" w:hanging="0"/>
              <w:jc w:val="right"/>
              <w:rPr/>
            </w:pPr>
            <w:r>
              <w:rPr/>
              <w:t> </w:t>
            </w:r>
          </w:p>
        </w:tc>
      </w:tr>
      <w:tr>
        <w:trPr/>
        <w:tc>
          <w:tcPr>
            <w:tcW w:w="1133" w:type="dxa"/>
            <w:tcBorders/>
            <w:shd w:fill="auto" w:val="clear"/>
          </w:tcPr>
          <w:p>
            <w:pPr>
              <w:pStyle w:val="TableContents"/>
              <w:spacing w:before="0" w:after="0"/>
              <w:ind w:left="0" w:right="0" w:hanging="0"/>
              <w:rPr/>
            </w:pPr>
            <w:hyperlink w:anchor="a9_1_223017">
              <w:r>
                <w:rPr>
                  <w:rStyle w:val="InternetLink"/>
                  <w:rFonts w:ascii="Times New Roman" w:hAnsi="Times New Roman"/>
                  <w:color w:val="0000FF"/>
                  <w:sz w:val="17"/>
                  <w:u w:val="single"/>
                </w:rPr>
                <w:t>9.1</w:t>
              </w:r>
            </w:hyperlink>
          </w:p>
        </w:tc>
        <w:tc>
          <w:tcPr>
            <w:tcW w:w="8352" w:type="dxa"/>
            <w:tcBorders/>
            <w:shd w:fill="auto" w:val="clear"/>
          </w:tcPr>
          <w:p>
            <w:pPr>
              <w:pStyle w:val="TableContents"/>
              <w:spacing w:before="0" w:after="0"/>
              <w:ind w:left="0" w:right="0" w:hanging="0"/>
              <w:rPr/>
            </w:pPr>
            <w:hyperlink w:anchor="a9_1_223017">
              <w:r>
                <w:rPr>
                  <w:rStyle w:val="InternetLink"/>
                  <w:rFonts w:ascii="Times New Roman" w:hAnsi="Times New Roman"/>
                  <w:color w:val="0000FF"/>
                  <w:sz w:val="17"/>
                  <w:u w:val="single"/>
                </w:rPr>
                <w:t>General Restrictions</w:t>
              </w:r>
            </w:hyperlink>
          </w:p>
        </w:tc>
        <w:tc>
          <w:tcPr>
            <w:tcW w:w="720" w:type="dxa"/>
            <w:tcBorders/>
            <w:shd w:fill="auto" w:val="clear"/>
          </w:tcPr>
          <w:p>
            <w:pPr>
              <w:pStyle w:val="TableContents"/>
              <w:spacing w:before="0" w:after="0"/>
              <w:ind w:left="0" w:right="0" w:hanging="0"/>
              <w:jc w:val="right"/>
              <w:rPr/>
            </w:pPr>
            <w:r>
              <w:rPr/>
              <w:t> </w:t>
            </w:r>
          </w:p>
        </w:tc>
      </w:tr>
      <w:tr>
        <w:trPr/>
        <w:tc>
          <w:tcPr>
            <w:tcW w:w="1133" w:type="dxa"/>
            <w:tcBorders/>
            <w:shd w:fill="auto" w:val="clear"/>
          </w:tcPr>
          <w:p>
            <w:pPr>
              <w:pStyle w:val="TableContents"/>
              <w:spacing w:before="0" w:after="0"/>
              <w:ind w:left="0" w:right="0" w:hanging="0"/>
              <w:rPr/>
            </w:pPr>
            <w:hyperlink w:anchor="a9_2_223019">
              <w:r>
                <w:rPr>
                  <w:rStyle w:val="InternetLink"/>
                  <w:rFonts w:ascii="Times New Roman" w:hAnsi="Times New Roman"/>
                  <w:color w:val="0000FF"/>
                  <w:sz w:val="17"/>
                  <w:u w:val="single"/>
                </w:rPr>
                <w:t>9.2</w:t>
              </w:r>
            </w:hyperlink>
          </w:p>
        </w:tc>
        <w:tc>
          <w:tcPr>
            <w:tcW w:w="8352" w:type="dxa"/>
            <w:tcBorders/>
            <w:shd w:fill="auto" w:val="clear"/>
          </w:tcPr>
          <w:p>
            <w:pPr>
              <w:pStyle w:val="TableContents"/>
              <w:spacing w:before="0" w:after="0"/>
              <w:ind w:left="0" w:right="0" w:hanging="0"/>
              <w:rPr/>
            </w:pPr>
            <w:hyperlink w:anchor="a9_2_223019">
              <w:r>
                <w:rPr>
                  <w:rStyle w:val="InternetLink"/>
                  <w:rFonts w:ascii="Times New Roman" w:hAnsi="Times New Roman"/>
                  <w:color w:val="0000FF"/>
                  <w:sz w:val="17"/>
                  <w:u w:val="single"/>
                </w:rPr>
                <w:t>Permitted Transferees</w:t>
              </w:r>
            </w:hyperlink>
          </w:p>
        </w:tc>
        <w:tc>
          <w:tcPr>
            <w:tcW w:w="720" w:type="dxa"/>
            <w:tcBorders/>
            <w:shd w:fill="auto" w:val="clear"/>
          </w:tcPr>
          <w:p>
            <w:pPr>
              <w:pStyle w:val="TableContents"/>
              <w:spacing w:before="0" w:after="0"/>
              <w:ind w:left="0" w:right="0" w:hanging="0"/>
              <w:jc w:val="right"/>
              <w:rPr/>
            </w:pPr>
            <w:r>
              <w:rPr/>
              <w:t> </w:t>
            </w:r>
          </w:p>
        </w:tc>
      </w:tr>
      <w:tr>
        <w:trPr/>
        <w:tc>
          <w:tcPr>
            <w:tcW w:w="1133" w:type="dxa"/>
            <w:tcBorders/>
            <w:shd w:fill="auto" w:val="clear"/>
          </w:tcPr>
          <w:p>
            <w:pPr>
              <w:pStyle w:val="TableContents"/>
              <w:spacing w:before="0" w:after="0"/>
              <w:ind w:left="0" w:right="0" w:hanging="0"/>
              <w:rPr/>
            </w:pPr>
            <w:hyperlink w:anchor="a9_3_223023">
              <w:r>
                <w:rPr>
                  <w:rStyle w:val="InternetLink"/>
                  <w:rFonts w:ascii="Times New Roman" w:hAnsi="Times New Roman"/>
                  <w:color w:val="0000FF"/>
                  <w:sz w:val="17"/>
                  <w:u w:val="single"/>
                </w:rPr>
                <w:t>9.3</w:t>
              </w:r>
            </w:hyperlink>
          </w:p>
        </w:tc>
        <w:tc>
          <w:tcPr>
            <w:tcW w:w="8352" w:type="dxa"/>
            <w:tcBorders/>
            <w:shd w:fill="auto" w:val="clear"/>
          </w:tcPr>
          <w:p>
            <w:pPr>
              <w:pStyle w:val="TableContents"/>
              <w:spacing w:before="0" w:after="0"/>
              <w:ind w:left="0" w:right="0" w:hanging="0"/>
              <w:rPr/>
            </w:pPr>
            <w:hyperlink w:anchor="a9_3_223023">
              <w:r>
                <w:rPr>
                  <w:rStyle w:val="InternetLink"/>
                  <w:rFonts w:ascii="Times New Roman" w:hAnsi="Times New Roman"/>
                  <w:color w:val="0000FF"/>
                  <w:sz w:val="17"/>
                  <w:u w:val="single"/>
                </w:rPr>
                <w:t>Substitute Members</w:t>
              </w:r>
            </w:hyperlink>
          </w:p>
        </w:tc>
        <w:tc>
          <w:tcPr>
            <w:tcW w:w="720" w:type="dxa"/>
            <w:tcBorders/>
            <w:shd w:fill="auto" w:val="clear"/>
          </w:tcPr>
          <w:p>
            <w:pPr>
              <w:pStyle w:val="TableContents"/>
              <w:spacing w:before="0" w:after="0"/>
              <w:ind w:left="0" w:right="0" w:hanging="0"/>
              <w:jc w:val="right"/>
              <w:rPr/>
            </w:pPr>
            <w:r>
              <w:rPr/>
              <w:t> </w:t>
            </w:r>
          </w:p>
        </w:tc>
      </w:tr>
      <w:tr>
        <w:trPr/>
        <w:tc>
          <w:tcPr>
            <w:tcW w:w="1133" w:type="dxa"/>
            <w:tcBorders/>
            <w:shd w:fill="auto" w:val="clear"/>
          </w:tcPr>
          <w:p>
            <w:pPr>
              <w:pStyle w:val="TableContents"/>
              <w:spacing w:before="0" w:after="0"/>
              <w:ind w:left="0" w:right="0" w:hanging="0"/>
              <w:rPr/>
            </w:pPr>
            <w:hyperlink w:anchor="a9_4_223025">
              <w:r>
                <w:rPr>
                  <w:rStyle w:val="InternetLink"/>
                  <w:rFonts w:ascii="Times New Roman" w:hAnsi="Times New Roman"/>
                  <w:color w:val="0000FF"/>
                  <w:sz w:val="17"/>
                  <w:u w:val="single"/>
                </w:rPr>
                <w:t>9.4</w:t>
              </w:r>
            </w:hyperlink>
          </w:p>
        </w:tc>
        <w:tc>
          <w:tcPr>
            <w:tcW w:w="8352" w:type="dxa"/>
            <w:tcBorders/>
            <w:shd w:fill="auto" w:val="clear"/>
          </w:tcPr>
          <w:p>
            <w:pPr>
              <w:pStyle w:val="TableContents"/>
              <w:spacing w:before="0" w:after="0"/>
              <w:ind w:left="0" w:right="0" w:hanging="0"/>
              <w:rPr/>
            </w:pPr>
            <w:hyperlink w:anchor="a9_4_223025">
              <w:r>
                <w:rPr>
                  <w:rStyle w:val="InternetLink"/>
                  <w:rFonts w:ascii="Times New Roman" w:hAnsi="Times New Roman"/>
                  <w:color w:val="0000FF"/>
                  <w:sz w:val="17"/>
                  <w:u w:val="single"/>
                </w:rPr>
                <w:t>Effect of Admission as a Substitute Member</w:t>
              </w:r>
            </w:hyperlink>
          </w:p>
        </w:tc>
        <w:tc>
          <w:tcPr>
            <w:tcW w:w="720" w:type="dxa"/>
            <w:tcBorders/>
            <w:shd w:fill="auto" w:val="clear"/>
          </w:tcPr>
          <w:p>
            <w:pPr>
              <w:pStyle w:val="TableContents"/>
              <w:spacing w:before="0" w:after="0"/>
              <w:ind w:left="0" w:right="0" w:hanging="0"/>
              <w:jc w:val="right"/>
              <w:rPr/>
            </w:pPr>
            <w:r>
              <w:rPr/>
              <w:t> </w:t>
            </w:r>
          </w:p>
        </w:tc>
      </w:tr>
      <w:tr>
        <w:trPr/>
        <w:tc>
          <w:tcPr>
            <w:tcW w:w="1133" w:type="dxa"/>
            <w:tcBorders/>
            <w:shd w:fill="auto" w:val="clear"/>
          </w:tcPr>
          <w:p>
            <w:pPr>
              <w:pStyle w:val="TableContents"/>
              <w:spacing w:before="0" w:after="0"/>
              <w:ind w:left="0" w:right="0" w:hanging="0"/>
              <w:rPr/>
            </w:pPr>
            <w:hyperlink w:anchor="a9_5_223026">
              <w:r>
                <w:rPr>
                  <w:rStyle w:val="InternetLink"/>
                  <w:rFonts w:ascii="Times New Roman" w:hAnsi="Times New Roman"/>
                  <w:color w:val="0000FF"/>
                  <w:sz w:val="17"/>
                  <w:u w:val="single"/>
                </w:rPr>
                <w:t>9.5</w:t>
              </w:r>
            </w:hyperlink>
          </w:p>
        </w:tc>
        <w:tc>
          <w:tcPr>
            <w:tcW w:w="8352" w:type="dxa"/>
            <w:tcBorders/>
            <w:shd w:fill="auto" w:val="clear"/>
          </w:tcPr>
          <w:p>
            <w:pPr>
              <w:pStyle w:val="TableContents"/>
              <w:spacing w:before="0" w:after="0"/>
              <w:ind w:left="0" w:right="0" w:hanging="0"/>
              <w:rPr/>
            </w:pPr>
            <w:hyperlink w:anchor="a9_5_223026">
              <w:r>
                <w:rPr>
                  <w:rStyle w:val="InternetLink"/>
                  <w:rFonts w:ascii="Times New Roman" w:hAnsi="Times New Roman"/>
                  <w:color w:val="0000FF"/>
                  <w:sz w:val="17"/>
                  <w:u w:val="single"/>
                </w:rPr>
                <w:t>Consent</w:t>
              </w:r>
            </w:hyperlink>
          </w:p>
        </w:tc>
        <w:tc>
          <w:tcPr>
            <w:tcW w:w="720" w:type="dxa"/>
            <w:tcBorders/>
            <w:shd w:fill="auto" w:val="clear"/>
          </w:tcPr>
          <w:p>
            <w:pPr>
              <w:pStyle w:val="TableContents"/>
              <w:spacing w:before="0" w:after="0"/>
              <w:ind w:left="0" w:right="0" w:hanging="0"/>
              <w:jc w:val="right"/>
              <w:rPr/>
            </w:pPr>
            <w:r>
              <w:rPr/>
              <w:t> </w:t>
            </w:r>
          </w:p>
        </w:tc>
      </w:tr>
      <w:tr>
        <w:trPr/>
        <w:tc>
          <w:tcPr>
            <w:tcW w:w="1133" w:type="dxa"/>
            <w:tcBorders/>
            <w:shd w:fill="auto" w:val="clear"/>
          </w:tcPr>
          <w:p>
            <w:pPr>
              <w:pStyle w:val="TableContents"/>
              <w:spacing w:before="0" w:after="0"/>
              <w:ind w:left="0" w:right="0" w:hanging="0"/>
              <w:rPr/>
            </w:pPr>
            <w:hyperlink w:anchor="a9_6_223028">
              <w:r>
                <w:rPr>
                  <w:rStyle w:val="InternetLink"/>
                  <w:rFonts w:ascii="Times New Roman" w:hAnsi="Times New Roman"/>
                  <w:color w:val="0000FF"/>
                  <w:sz w:val="17"/>
                  <w:u w:val="single"/>
                </w:rPr>
                <w:t>9.6</w:t>
              </w:r>
            </w:hyperlink>
          </w:p>
        </w:tc>
        <w:tc>
          <w:tcPr>
            <w:tcW w:w="8352" w:type="dxa"/>
            <w:tcBorders/>
            <w:shd w:fill="auto" w:val="clear"/>
          </w:tcPr>
          <w:p>
            <w:pPr>
              <w:pStyle w:val="TableContents"/>
              <w:spacing w:before="0" w:after="0"/>
              <w:ind w:left="0" w:right="0" w:hanging="0"/>
              <w:rPr/>
            </w:pPr>
            <w:hyperlink w:anchor="a9_6_223028">
              <w:r>
                <w:rPr>
                  <w:rStyle w:val="InternetLink"/>
                  <w:rFonts w:ascii="Times New Roman" w:hAnsi="Times New Roman"/>
                  <w:color w:val="0000FF"/>
                  <w:sz w:val="17"/>
                  <w:u w:val="single"/>
                </w:rPr>
                <w:t>No Dissolution</w:t>
              </w:r>
            </w:hyperlink>
          </w:p>
        </w:tc>
        <w:tc>
          <w:tcPr>
            <w:tcW w:w="720" w:type="dxa"/>
            <w:tcBorders/>
            <w:shd w:fill="auto" w:val="clear"/>
          </w:tcPr>
          <w:p>
            <w:pPr>
              <w:pStyle w:val="TableContents"/>
              <w:spacing w:before="0" w:after="0"/>
              <w:ind w:left="0" w:right="0" w:hanging="0"/>
              <w:jc w:val="right"/>
              <w:rPr/>
            </w:pPr>
            <w:r>
              <w:rPr/>
              <w:t> </w:t>
            </w:r>
          </w:p>
        </w:tc>
      </w:tr>
      <w:tr>
        <w:trPr/>
        <w:tc>
          <w:tcPr>
            <w:tcW w:w="1133" w:type="dxa"/>
            <w:tcBorders/>
            <w:shd w:fill="auto" w:val="clear"/>
          </w:tcPr>
          <w:p>
            <w:pPr>
              <w:pStyle w:val="TableContents"/>
              <w:spacing w:before="0" w:after="0"/>
              <w:ind w:left="0" w:right="0" w:hanging="0"/>
              <w:rPr/>
            </w:pPr>
            <w:hyperlink w:anchor="a9_7_223030">
              <w:r>
                <w:rPr>
                  <w:rStyle w:val="InternetLink"/>
                  <w:rFonts w:ascii="Times New Roman" w:hAnsi="Times New Roman"/>
                  <w:color w:val="0000FF"/>
                  <w:sz w:val="17"/>
                  <w:u w:val="single"/>
                </w:rPr>
                <w:t>9.7</w:t>
              </w:r>
            </w:hyperlink>
          </w:p>
        </w:tc>
        <w:tc>
          <w:tcPr>
            <w:tcW w:w="8352" w:type="dxa"/>
            <w:tcBorders/>
            <w:shd w:fill="auto" w:val="clear"/>
          </w:tcPr>
          <w:p>
            <w:pPr>
              <w:pStyle w:val="TableContents"/>
              <w:spacing w:before="0" w:after="0"/>
              <w:ind w:left="0" w:right="0" w:hanging="0"/>
              <w:rPr/>
            </w:pPr>
            <w:hyperlink w:anchor="a9_7_223030">
              <w:r>
                <w:rPr>
                  <w:rStyle w:val="InternetLink"/>
                  <w:rFonts w:ascii="Times New Roman" w:hAnsi="Times New Roman"/>
                  <w:color w:val="0000FF"/>
                  <w:sz w:val="17"/>
                  <w:u w:val="single"/>
                </w:rPr>
                <w:t>Additional Members</w:t>
              </w:r>
            </w:hyperlink>
          </w:p>
        </w:tc>
        <w:tc>
          <w:tcPr>
            <w:tcW w:w="720" w:type="dxa"/>
            <w:tcBorders/>
            <w:shd w:fill="auto" w:val="clear"/>
          </w:tcPr>
          <w:p>
            <w:pPr>
              <w:pStyle w:val="TableContents"/>
              <w:spacing w:before="0" w:after="0"/>
              <w:ind w:left="0" w:right="0" w:hanging="0"/>
              <w:jc w:val="right"/>
              <w:rPr/>
            </w:pPr>
            <w:r>
              <w:rPr/>
              <w:t> </w:t>
            </w:r>
          </w:p>
        </w:tc>
      </w:tr>
      <w:tr>
        <w:trPr/>
        <w:tc>
          <w:tcPr>
            <w:tcW w:w="1133" w:type="dxa"/>
            <w:tcBorders/>
            <w:shd w:fill="auto" w:val="clear"/>
          </w:tcPr>
          <w:p>
            <w:pPr>
              <w:pStyle w:val="TableContents"/>
              <w:spacing w:before="0" w:after="0"/>
              <w:ind w:left="0" w:right="0" w:hanging="0"/>
              <w:rPr/>
            </w:pPr>
            <w:hyperlink w:anchor="a9_8_223031">
              <w:r>
                <w:rPr>
                  <w:rStyle w:val="InternetLink"/>
                  <w:rFonts w:ascii="Times New Roman" w:hAnsi="Times New Roman"/>
                  <w:color w:val="0000FF"/>
                  <w:sz w:val="17"/>
                  <w:u w:val="single"/>
                </w:rPr>
                <w:t>9.8</w:t>
              </w:r>
            </w:hyperlink>
          </w:p>
        </w:tc>
        <w:tc>
          <w:tcPr>
            <w:tcW w:w="8352" w:type="dxa"/>
            <w:tcBorders/>
            <w:shd w:fill="auto" w:val="clear"/>
          </w:tcPr>
          <w:p>
            <w:pPr>
              <w:pStyle w:val="TableContents"/>
              <w:spacing w:before="0" w:after="0"/>
              <w:ind w:left="0" w:right="0" w:hanging="0"/>
              <w:rPr/>
            </w:pPr>
            <w:hyperlink w:anchor="a9_8_223031">
              <w:r>
                <w:rPr>
                  <w:rStyle w:val="InternetLink"/>
                  <w:rFonts w:ascii="Times New Roman" w:hAnsi="Times New Roman"/>
                  <w:color w:val="0000FF"/>
                  <w:sz w:val="17"/>
                  <w:u w:val="single"/>
                </w:rPr>
                <w:t>Right of First Offer</w:t>
              </w:r>
            </w:hyperlink>
          </w:p>
        </w:tc>
        <w:tc>
          <w:tcPr>
            <w:tcW w:w="720" w:type="dxa"/>
            <w:tcBorders/>
            <w:shd w:fill="auto" w:val="clear"/>
          </w:tcPr>
          <w:p>
            <w:pPr>
              <w:pStyle w:val="TableContents"/>
              <w:spacing w:before="0" w:after="0"/>
              <w:ind w:left="0" w:right="0" w:hanging="0"/>
              <w:jc w:val="right"/>
              <w:rPr/>
            </w:pPr>
            <w:r>
              <w:rPr/>
              <w:t> </w:t>
            </w:r>
          </w:p>
        </w:tc>
      </w:tr>
      <w:tr>
        <w:trPr/>
        <w:tc>
          <w:tcPr>
            <w:tcW w:w="1133" w:type="dxa"/>
            <w:tcBorders/>
            <w:shd w:fill="auto" w:val="clear"/>
          </w:tcPr>
          <w:p>
            <w:pPr>
              <w:pStyle w:val="TableContents"/>
              <w:spacing w:before="0" w:after="0"/>
              <w:ind w:left="0" w:right="0" w:hanging="0"/>
              <w:rPr/>
            </w:pPr>
            <w:hyperlink w:anchor="a9_9_223036">
              <w:r>
                <w:rPr>
                  <w:rStyle w:val="InternetLink"/>
                  <w:rFonts w:ascii="Times New Roman" w:hAnsi="Times New Roman"/>
                  <w:color w:val="0000FF"/>
                  <w:sz w:val="17"/>
                  <w:u w:val="single"/>
                </w:rPr>
                <w:t>9.9</w:t>
              </w:r>
            </w:hyperlink>
          </w:p>
        </w:tc>
        <w:tc>
          <w:tcPr>
            <w:tcW w:w="8352" w:type="dxa"/>
            <w:tcBorders/>
            <w:shd w:fill="auto" w:val="clear"/>
          </w:tcPr>
          <w:p>
            <w:pPr>
              <w:pStyle w:val="TableContents"/>
              <w:spacing w:before="0" w:after="0"/>
              <w:ind w:left="0" w:right="0" w:hanging="0"/>
              <w:rPr/>
            </w:pPr>
            <w:hyperlink w:anchor="a9_9_223036">
              <w:r>
                <w:rPr>
                  <w:rStyle w:val="InternetLink"/>
                  <w:rFonts w:ascii="Times New Roman" w:hAnsi="Times New Roman"/>
                  <w:color w:val="0000FF"/>
                  <w:sz w:val="17"/>
                  <w:u w:val="single"/>
                </w:rPr>
                <w:t>Tag-Along Rights</w:t>
              </w:r>
            </w:hyperlink>
          </w:p>
        </w:tc>
        <w:tc>
          <w:tcPr>
            <w:tcW w:w="720" w:type="dxa"/>
            <w:tcBorders/>
            <w:shd w:fill="auto" w:val="clear"/>
          </w:tcPr>
          <w:p>
            <w:pPr>
              <w:pStyle w:val="TableContents"/>
              <w:spacing w:before="0" w:after="0"/>
              <w:ind w:left="0" w:right="0" w:hanging="0"/>
              <w:jc w:val="right"/>
              <w:rPr/>
            </w:pPr>
            <w:r>
              <w:rPr/>
              <w:t> </w:t>
            </w:r>
          </w:p>
        </w:tc>
      </w:tr>
      <w:tr>
        <w:trPr/>
        <w:tc>
          <w:tcPr>
            <w:tcW w:w="1133" w:type="dxa"/>
            <w:tcBorders/>
            <w:shd w:fill="auto" w:val="clear"/>
          </w:tcPr>
          <w:p>
            <w:pPr>
              <w:pStyle w:val="TableContents"/>
              <w:spacing w:before="0" w:after="0"/>
              <w:ind w:left="0" w:right="0" w:hanging="0"/>
              <w:rPr/>
            </w:pPr>
            <w:hyperlink w:anchor="a9_10_223039">
              <w:r>
                <w:rPr>
                  <w:rStyle w:val="InternetLink"/>
                  <w:rFonts w:ascii="Times New Roman" w:hAnsi="Times New Roman"/>
                  <w:color w:val="0000FF"/>
                  <w:sz w:val="17"/>
                  <w:u w:val="single"/>
                </w:rPr>
                <w:t>9.10</w:t>
              </w:r>
            </w:hyperlink>
          </w:p>
        </w:tc>
        <w:tc>
          <w:tcPr>
            <w:tcW w:w="8352" w:type="dxa"/>
            <w:tcBorders/>
            <w:shd w:fill="auto" w:val="clear"/>
          </w:tcPr>
          <w:p>
            <w:pPr>
              <w:pStyle w:val="TableContents"/>
              <w:spacing w:before="0" w:after="0"/>
              <w:ind w:left="0" w:right="0" w:hanging="0"/>
              <w:rPr/>
            </w:pPr>
            <w:hyperlink w:anchor="a9_10_223039">
              <w:r>
                <w:rPr>
                  <w:rStyle w:val="InternetLink"/>
                  <w:rFonts w:ascii="Times New Roman" w:hAnsi="Times New Roman"/>
                  <w:color w:val="0000FF"/>
                  <w:sz w:val="17"/>
                  <w:u w:val="single"/>
                </w:rPr>
                <w:t>Remedies</w:t>
              </w:r>
            </w:hyperlink>
          </w:p>
        </w:tc>
        <w:tc>
          <w:tcPr>
            <w:tcW w:w="720" w:type="dxa"/>
            <w:tcBorders/>
            <w:shd w:fill="auto" w:val="clear"/>
          </w:tcPr>
          <w:p>
            <w:pPr>
              <w:pStyle w:val="TableContents"/>
              <w:spacing w:before="0" w:after="0"/>
              <w:ind w:left="0" w:right="0" w:hanging="0"/>
              <w:jc w:val="right"/>
              <w:rPr/>
            </w:pPr>
            <w:r>
              <w:rPr/>
              <w:t> </w:t>
            </w:r>
          </w:p>
        </w:tc>
      </w:tr>
      <w:tr>
        <w:trPr/>
        <w:tc>
          <w:tcPr>
            <w:tcW w:w="1133" w:type="dxa"/>
            <w:tcBorders/>
            <w:shd w:fill="auto" w:val="clear"/>
          </w:tcPr>
          <w:p>
            <w:pPr>
              <w:pStyle w:val="TableContents"/>
              <w:spacing w:before="0" w:after="0"/>
              <w:ind w:left="0" w:right="0" w:hanging="0"/>
              <w:rPr/>
            </w:pPr>
            <w:r>
              <w:rPr/>
              <w:t> </w:t>
            </w:r>
          </w:p>
        </w:tc>
        <w:tc>
          <w:tcPr>
            <w:tcW w:w="8352" w:type="dxa"/>
            <w:tcBorders/>
            <w:shd w:fill="auto" w:val="clear"/>
          </w:tcPr>
          <w:p>
            <w:pPr>
              <w:pStyle w:val="TableContents"/>
              <w:spacing w:before="0" w:after="0"/>
              <w:ind w:left="0" w:right="0" w:hanging="0"/>
              <w:rPr/>
            </w:pPr>
            <w:r>
              <w:rPr/>
              <w:t> </w:t>
            </w:r>
          </w:p>
        </w:tc>
        <w:tc>
          <w:tcPr>
            <w:tcW w:w="720" w:type="dxa"/>
            <w:tcBorders/>
            <w:shd w:fill="auto" w:val="clear"/>
          </w:tcPr>
          <w:p>
            <w:pPr>
              <w:pStyle w:val="TableContents"/>
              <w:spacing w:before="0" w:after="0"/>
              <w:ind w:left="0" w:right="0" w:hanging="0"/>
              <w:jc w:val="right"/>
              <w:rPr/>
            </w:pPr>
            <w:r>
              <w:rPr/>
              <w:t> </w:t>
            </w:r>
          </w:p>
        </w:tc>
      </w:tr>
      <w:tr>
        <w:trPr/>
        <w:tc>
          <w:tcPr>
            <w:tcW w:w="9485" w:type="dxa"/>
            <w:gridSpan w:val="2"/>
            <w:tcBorders/>
            <w:shd w:fill="auto" w:val="clear"/>
          </w:tcPr>
          <w:p>
            <w:pPr>
              <w:pStyle w:val="TableContents"/>
              <w:spacing w:before="0" w:after="0"/>
              <w:ind w:left="0" w:right="0" w:hanging="0"/>
              <w:rPr/>
            </w:pPr>
            <w:hyperlink w:anchor="Article10_223043">
              <w:r>
                <w:rPr>
                  <w:rStyle w:val="InternetLink"/>
                  <w:rFonts w:ascii="Times New Roman" w:hAnsi="Times New Roman"/>
                  <w:color w:val="0000FF"/>
                  <w:sz w:val="17"/>
                  <w:u w:val="single"/>
                </w:rPr>
                <w:t>ARTICLE 10 DISSOLUTION AND TERMINATION</w:t>
              </w:r>
            </w:hyperlink>
          </w:p>
        </w:tc>
        <w:tc>
          <w:tcPr>
            <w:tcW w:w="720" w:type="dxa"/>
            <w:tcBorders/>
            <w:shd w:fill="auto" w:val="clear"/>
          </w:tcPr>
          <w:p>
            <w:pPr>
              <w:pStyle w:val="TableContents"/>
              <w:spacing w:before="0" w:after="0"/>
              <w:ind w:left="0" w:right="0" w:hanging="0"/>
              <w:jc w:val="right"/>
              <w:rPr/>
            </w:pPr>
            <w:r>
              <w:rPr/>
              <w:t> </w:t>
            </w:r>
          </w:p>
        </w:tc>
      </w:tr>
      <w:tr>
        <w:trPr/>
        <w:tc>
          <w:tcPr>
            <w:tcW w:w="1133" w:type="dxa"/>
            <w:tcBorders/>
            <w:shd w:fill="auto" w:val="clear"/>
          </w:tcPr>
          <w:p>
            <w:pPr>
              <w:pStyle w:val="TableContents"/>
              <w:spacing w:before="0" w:after="0"/>
              <w:ind w:left="0" w:right="0" w:hanging="0"/>
              <w:rPr/>
            </w:pPr>
            <w:hyperlink w:anchor="a10_1_223044">
              <w:r>
                <w:rPr>
                  <w:rStyle w:val="InternetLink"/>
                  <w:rFonts w:ascii="Times New Roman" w:hAnsi="Times New Roman"/>
                  <w:color w:val="0000FF"/>
                  <w:sz w:val="17"/>
                  <w:u w:val="single"/>
                </w:rPr>
                <w:t>10.1</w:t>
              </w:r>
            </w:hyperlink>
          </w:p>
        </w:tc>
        <w:tc>
          <w:tcPr>
            <w:tcW w:w="8352" w:type="dxa"/>
            <w:tcBorders/>
            <w:shd w:fill="auto" w:val="clear"/>
          </w:tcPr>
          <w:p>
            <w:pPr>
              <w:pStyle w:val="TableContents"/>
              <w:spacing w:before="0" w:after="0"/>
              <w:ind w:left="0" w:right="0" w:hanging="0"/>
              <w:rPr/>
            </w:pPr>
            <w:hyperlink w:anchor="a10_1_223044">
              <w:r>
                <w:rPr>
                  <w:rStyle w:val="InternetLink"/>
                  <w:rFonts w:ascii="Times New Roman" w:hAnsi="Times New Roman"/>
                  <w:color w:val="0000FF"/>
                  <w:sz w:val="17"/>
                  <w:u w:val="single"/>
                </w:rPr>
                <w:t>Events Causing Dissolution</w:t>
              </w:r>
            </w:hyperlink>
          </w:p>
        </w:tc>
        <w:tc>
          <w:tcPr>
            <w:tcW w:w="720" w:type="dxa"/>
            <w:tcBorders/>
            <w:shd w:fill="auto" w:val="clear"/>
          </w:tcPr>
          <w:p>
            <w:pPr>
              <w:pStyle w:val="TableContents"/>
              <w:spacing w:before="0" w:after="0"/>
              <w:ind w:left="0" w:right="0" w:hanging="0"/>
              <w:jc w:val="right"/>
              <w:rPr/>
            </w:pPr>
            <w:r>
              <w:rPr/>
              <w:t> </w:t>
            </w:r>
          </w:p>
        </w:tc>
      </w:tr>
      <w:tr>
        <w:trPr/>
        <w:tc>
          <w:tcPr>
            <w:tcW w:w="1133" w:type="dxa"/>
            <w:tcBorders/>
            <w:shd w:fill="auto" w:val="clear"/>
          </w:tcPr>
          <w:p>
            <w:pPr>
              <w:pStyle w:val="TableContents"/>
              <w:spacing w:before="0" w:after="0"/>
              <w:ind w:left="0" w:right="0" w:hanging="0"/>
              <w:rPr/>
            </w:pPr>
            <w:hyperlink w:anchor="a10_2_223047">
              <w:r>
                <w:rPr>
                  <w:rStyle w:val="InternetLink"/>
                  <w:rFonts w:ascii="Times New Roman" w:hAnsi="Times New Roman"/>
                  <w:color w:val="0000FF"/>
                  <w:sz w:val="17"/>
                  <w:u w:val="single"/>
                </w:rPr>
                <w:t>10.2</w:t>
              </w:r>
            </w:hyperlink>
          </w:p>
        </w:tc>
        <w:tc>
          <w:tcPr>
            <w:tcW w:w="8352" w:type="dxa"/>
            <w:tcBorders/>
            <w:shd w:fill="auto" w:val="clear"/>
          </w:tcPr>
          <w:p>
            <w:pPr>
              <w:pStyle w:val="TableContents"/>
              <w:spacing w:before="0" w:after="0"/>
              <w:ind w:left="0" w:right="0" w:hanging="0"/>
              <w:rPr/>
            </w:pPr>
            <w:hyperlink w:anchor="a10_2_223047">
              <w:r>
                <w:rPr>
                  <w:rStyle w:val="InternetLink"/>
                  <w:rFonts w:ascii="Times New Roman" w:hAnsi="Times New Roman"/>
                  <w:color w:val="0000FF"/>
                  <w:sz w:val="17"/>
                  <w:u w:val="single"/>
                </w:rPr>
                <w:t>Final Accounting</w:t>
              </w:r>
            </w:hyperlink>
          </w:p>
        </w:tc>
        <w:tc>
          <w:tcPr>
            <w:tcW w:w="720" w:type="dxa"/>
            <w:tcBorders/>
            <w:shd w:fill="auto" w:val="clear"/>
          </w:tcPr>
          <w:p>
            <w:pPr>
              <w:pStyle w:val="TableContents"/>
              <w:spacing w:before="0" w:after="0"/>
              <w:ind w:left="0" w:right="0" w:hanging="0"/>
              <w:jc w:val="right"/>
              <w:rPr/>
            </w:pPr>
            <w:r>
              <w:rPr/>
              <w:t> </w:t>
            </w:r>
          </w:p>
        </w:tc>
      </w:tr>
      <w:tr>
        <w:trPr/>
        <w:tc>
          <w:tcPr>
            <w:tcW w:w="1133" w:type="dxa"/>
            <w:tcBorders/>
            <w:shd w:fill="auto" w:val="clear"/>
          </w:tcPr>
          <w:p>
            <w:pPr>
              <w:pStyle w:val="TableContents"/>
              <w:spacing w:before="0" w:after="0"/>
              <w:ind w:left="0" w:right="0" w:hanging="0"/>
              <w:rPr/>
            </w:pPr>
            <w:hyperlink w:anchor="a10_3_223048">
              <w:r>
                <w:rPr>
                  <w:rStyle w:val="InternetLink"/>
                  <w:rFonts w:ascii="Times New Roman" w:hAnsi="Times New Roman"/>
                  <w:color w:val="0000FF"/>
                  <w:sz w:val="17"/>
                  <w:u w:val="single"/>
                </w:rPr>
                <w:t>10.3</w:t>
              </w:r>
            </w:hyperlink>
          </w:p>
        </w:tc>
        <w:tc>
          <w:tcPr>
            <w:tcW w:w="8352" w:type="dxa"/>
            <w:tcBorders/>
            <w:shd w:fill="auto" w:val="clear"/>
          </w:tcPr>
          <w:p>
            <w:pPr>
              <w:pStyle w:val="TableContents"/>
              <w:spacing w:before="0" w:after="0"/>
              <w:ind w:left="0" w:right="0" w:hanging="0"/>
              <w:rPr/>
            </w:pPr>
            <w:hyperlink w:anchor="a10_3_223048">
              <w:r>
                <w:rPr>
                  <w:rStyle w:val="InternetLink"/>
                  <w:rFonts w:ascii="Times New Roman" w:hAnsi="Times New Roman"/>
                  <w:color w:val="0000FF"/>
                  <w:sz w:val="17"/>
                  <w:u w:val="single"/>
                </w:rPr>
                <w:t>Distributions Following Dissolution and Termination</w:t>
              </w:r>
            </w:hyperlink>
          </w:p>
        </w:tc>
        <w:tc>
          <w:tcPr>
            <w:tcW w:w="720" w:type="dxa"/>
            <w:tcBorders/>
            <w:shd w:fill="auto" w:val="clear"/>
          </w:tcPr>
          <w:p>
            <w:pPr>
              <w:pStyle w:val="TableContents"/>
              <w:spacing w:before="0" w:after="0"/>
              <w:ind w:left="0" w:right="0" w:hanging="0"/>
              <w:jc w:val="right"/>
              <w:rPr/>
            </w:pPr>
            <w:r>
              <w:rPr/>
              <w:t> </w:t>
            </w:r>
          </w:p>
        </w:tc>
      </w:tr>
      <w:tr>
        <w:trPr/>
        <w:tc>
          <w:tcPr>
            <w:tcW w:w="1133" w:type="dxa"/>
            <w:tcBorders/>
            <w:shd w:fill="auto" w:val="clear"/>
          </w:tcPr>
          <w:p>
            <w:pPr>
              <w:pStyle w:val="TableContents"/>
              <w:spacing w:before="0" w:after="0"/>
              <w:ind w:left="0" w:right="0" w:hanging="0"/>
              <w:rPr/>
            </w:pPr>
            <w:hyperlink w:anchor="a10_4_223055">
              <w:r>
                <w:rPr>
                  <w:rStyle w:val="InternetLink"/>
                  <w:rFonts w:ascii="Times New Roman" w:hAnsi="Times New Roman"/>
                  <w:color w:val="0000FF"/>
                  <w:sz w:val="17"/>
                  <w:u w:val="single"/>
                </w:rPr>
                <w:t>10.4</w:t>
              </w:r>
            </w:hyperlink>
          </w:p>
        </w:tc>
        <w:tc>
          <w:tcPr>
            <w:tcW w:w="8352" w:type="dxa"/>
            <w:tcBorders/>
            <w:shd w:fill="auto" w:val="clear"/>
          </w:tcPr>
          <w:p>
            <w:pPr>
              <w:pStyle w:val="TableContents"/>
              <w:spacing w:before="0" w:after="0"/>
              <w:ind w:left="0" w:right="0" w:hanging="0"/>
              <w:rPr/>
            </w:pPr>
            <w:hyperlink w:anchor="a10_4_223055">
              <w:r>
                <w:rPr>
                  <w:rStyle w:val="InternetLink"/>
                  <w:rFonts w:ascii="Times New Roman" w:hAnsi="Times New Roman"/>
                  <w:color w:val="0000FF"/>
                  <w:sz w:val="17"/>
                  <w:u w:val="single"/>
                </w:rPr>
                <w:t>Termination of the Company</w:t>
              </w:r>
            </w:hyperlink>
          </w:p>
        </w:tc>
        <w:tc>
          <w:tcPr>
            <w:tcW w:w="720" w:type="dxa"/>
            <w:tcBorders/>
            <w:shd w:fill="auto" w:val="clear"/>
          </w:tcPr>
          <w:p>
            <w:pPr>
              <w:pStyle w:val="TableContents"/>
              <w:spacing w:before="0" w:after="0"/>
              <w:ind w:left="0" w:right="0" w:hanging="0"/>
              <w:jc w:val="right"/>
              <w:rPr/>
            </w:pPr>
            <w:r>
              <w:rPr/>
              <w:t> </w:t>
            </w:r>
          </w:p>
        </w:tc>
      </w:tr>
      <w:tr>
        <w:trPr/>
        <w:tc>
          <w:tcPr>
            <w:tcW w:w="1133" w:type="dxa"/>
            <w:tcBorders/>
            <w:shd w:fill="auto" w:val="clear"/>
          </w:tcPr>
          <w:p>
            <w:pPr>
              <w:pStyle w:val="TableContents"/>
              <w:spacing w:before="0" w:after="0"/>
              <w:ind w:left="0" w:right="0" w:hanging="0"/>
              <w:rPr/>
            </w:pPr>
            <w:hyperlink w:anchor="a10_5_223056">
              <w:r>
                <w:rPr>
                  <w:rStyle w:val="InternetLink"/>
                  <w:rFonts w:ascii="Times New Roman" w:hAnsi="Times New Roman"/>
                  <w:color w:val="0000FF"/>
                  <w:sz w:val="17"/>
                  <w:u w:val="single"/>
                </w:rPr>
                <w:t>10.5</w:t>
              </w:r>
            </w:hyperlink>
          </w:p>
        </w:tc>
        <w:tc>
          <w:tcPr>
            <w:tcW w:w="8352" w:type="dxa"/>
            <w:tcBorders/>
            <w:shd w:fill="auto" w:val="clear"/>
          </w:tcPr>
          <w:p>
            <w:pPr>
              <w:pStyle w:val="TableContents"/>
              <w:spacing w:before="0" w:after="0"/>
              <w:ind w:left="0" w:right="0" w:hanging="0"/>
              <w:rPr/>
            </w:pPr>
            <w:hyperlink w:anchor="a10_5_223056">
              <w:r>
                <w:rPr>
                  <w:rStyle w:val="InternetLink"/>
                  <w:rFonts w:ascii="Times New Roman" w:hAnsi="Times New Roman"/>
                  <w:color w:val="0000FF"/>
                  <w:sz w:val="17"/>
                  <w:u w:val="single"/>
                </w:rPr>
                <w:t>No Action for Dissolution</w:t>
              </w:r>
            </w:hyperlink>
          </w:p>
        </w:tc>
        <w:tc>
          <w:tcPr>
            <w:tcW w:w="720" w:type="dxa"/>
            <w:tcBorders/>
            <w:shd w:fill="auto" w:val="clear"/>
          </w:tcPr>
          <w:p>
            <w:pPr>
              <w:pStyle w:val="TableContents"/>
              <w:spacing w:before="0" w:after="0"/>
              <w:ind w:left="0" w:right="0" w:hanging="0"/>
              <w:jc w:val="right"/>
              <w:rPr/>
            </w:pPr>
            <w:r>
              <w:rPr/>
              <w:t> </w:t>
            </w:r>
          </w:p>
        </w:tc>
      </w:tr>
      <w:tr>
        <w:trPr/>
        <w:tc>
          <w:tcPr>
            <w:tcW w:w="1133" w:type="dxa"/>
            <w:tcBorders/>
            <w:shd w:fill="auto" w:val="clear"/>
          </w:tcPr>
          <w:p>
            <w:pPr>
              <w:pStyle w:val="TableContents"/>
              <w:spacing w:before="0" w:after="0"/>
              <w:ind w:left="0" w:right="0" w:hanging="0"/>
              <w:rPr/>
            </w:pPr>
            <w:r>
              <w:rPr/>
              <w:t> </w:t>
            </w:r>
          </w:p>
        </w:tc>
        <w:tc>
          <w:tcPr>
            <w:tcW w:w="8352" w:type="dxa"/>
            <w:tcBorders/>
            <w:shd w:fill="auto" w:val="clear"/>
          </w:tcPr>
          <w:p>
            <w:pPr>
              <w:pStyle w:val="TableContents"/>
              <w:spacing w:before="0" w:after="0"/>
              <w:ind w:left="0" w:right="0" w:hanging="0"/>
              <w:rPr/>
            </w:pPr>
            <w:r>
              <w:rPr/>
              <w:t> </w:t>
            </w:r>
          </w:p>
        </w:tc>
        <w:tc>
          <w:tcPr>
            <w:tcW w:w="720" w:type="dxa"/>
            <w:tcBorders/>
            <w:shd w:fill="auto" w:val="clear"/>
          </w:tcPr>
          <w:p>
            <w:pPr>
              <w:pStyle w:val="TableContents"/>
              <w:spacing w:before="0" w:after="0"/>
              <w:ind w:left="0" w:right="0" w:hanging="0"/>
              <w:jc w:val="right"/>
              <w:rPr/>
            </w:pPr>
            <w:r>
              <w:rPr/>
              <w:t> </w:t>
            </w:r>
          </w:p>
        </w:tc>
      </w:tr>
      <w:tr>
        <w:trPr/>
        <w:tc>
          <w:tcPr>
            <w:tcW w:w="9485" w:type="dxa"/>
            <w:gridSpan w:val="2"/>
            <w:tcBorders/>
            <w:shd w:fill="auto" w:val="clear"/>
          </w:tcPr>
          <w:p>
            <w:pPr>
              <w:pStyle w:val="TableContents"/>
              <w:spacing w:before="0" w:after="0"/>
              <w:ind w:left="0" w:right="0" w:hanging="0"/>
              <w:rPr/>
            </w:pPr>
            <w:hyperlink w:anchor="Article11_223100">
              <w:r>
                <w:rPr>
                  <w:rStyle w:val="InternetLink"/>
                  <w:rFonts w:ascii="Times New Roman" w:hAnsi="Times New Roman"/>
                  <w:color w:val="0000FF"/>
                  <w:sz w:val="17"/>
                  <w:u w:val="single"/>
                </w:rPr>
                <w:t>ARTICLE 11 TAX MATTERS</w:t>
              </w:r>
            </w:hyperlink>
          </w:p>
        </w:tc>
        <w:tc>
          <w:tcPr>
            <w:tcW w:w="720" w:type="dxa"/>
            <w:tcBorders/>
            <w:shd w:fill="auto" w:val="clear"/>
          </w:tcPr>
          <w:p>
            <w:pPr>
              <w:pStyle w:val="TableContents"/>
              <w:spacing w:before="0" w:after="0"/>
              <w:ind w:left="0" w:right="0" w:hanging="0"/>
              <w:jc w:val="right"/>
              <w:rPr/>
            </w:pPr>
            <w:r>
              <w:rPr/>
              <w:t> </w:t>
            </w:r>
          </w:p>
        </w:tc>
      </w:tr>
      <w:tr>
        <w:trPr/>
        <w:tc>
          <w:tcPr>
            <w:tcW w:w="1133" w:type="dxa"/>
            <w:tcBorders/>
            <w:shd w:fill="auto" w:val="clear"/>
          </w:tcPr>
          <w:p>
            <w:pPr>
              <w:pStyle w:val="TableContents"/>
              <w:spacing w:before="0" w:after="0"/>
              <w:ind w:left="0" w:right="0" w:hanging="0"/>
              <w:rPr/>
            </w:pPr>
            <w:hyperlink w:anchor="a11_1_223103">
              <w:r>
                <w:rPr>
                  <w:rStyle w:val="InternetLink"/>
                  <w:rFonts w:ascii="Times New Roman" w:hAnsi="Times New Roman"/>
                  <w:color w:val="0000FF"/>
                  <w:sz w:val="17"/>
                  <w:u w:val="single"/>
                </w:rPr>
                <w:t>11.1</w:t>
              </w:r>
            </w:hyperlink>
          </w:p>
        </w:tc>
        <w:tc>
          <w:tcPr>
            <w:tcW w:w="8352" w:type="dxa"/>
            <w:tcBorders/>
            <w:shd w:fill="auto" w:val="clear"/>
          </w:tcPr>
          <w:p>
            <w:pPr>
              <w:pStyle w:val="TableContents"/>
              <w:spacing w:before="0" w:after="0"/>
              <w:ind w:left="0" w:right="0" w:hanging="0"/>
              <w:rPr/>
            </w:pPr>
            <w:hyperlink w:anchor="a11_1_223103">
              <w:r>
                <w:rPr>
                  <w:rStyle w:val="InternetLink"/>
                  <w:rFonts w:ascii="Times New Roman" w:hAnsi="Times New Roman"/>
                  <w:color w:val="0000FF"/>
                  <w:sz w:val="17"/>
                  <w:u w:val="single"/>
                </w:rPr>
                <w:t>Tax Matters Member</w:t>
              </w:r>
            </w:hyperlink>
          </w:p>
        </w:tc>
        <w:tc>
          <w:tcPr>
            <w:tcW w:w="720" w:type="dxa"/>
            <w:tcBorders/>
            <w:shd w:fill="auto" w:val="clear"/>
          </w:tcPr>
          <w:p>
            <w:pPr>
              <w:pStyle w:val="TableContents"/>
              <w:spacing w:before="0" w:after="0"/>
              <w:ind w:left="0" w:right="0" w:hanging="0"/>
              <w:jc w:val="right"/>
              <w:rPr/>
            </w:pPr>
            <w:r>
              <w:rPr/>
              <w:t> </w:t>
            </w:r>
          </w:p>
        </w:tc>
      </w:tr>
      <w:tr>
        <w:trPr/>
        <w:tc>
          <w:tcPr>
            <w:tcW w:w="1133" w:type="dxa"/>
            <w:tcBorders/>
            <w:shd w:fill="auto" w:val="clear"/>
          </w:tcPr>
          <w:p>
            <w:pPr>
              <w:pStyle w:val="TableContents"/>
              <w:spacing w:before="0" w:after="0"/>
              <w:ind w:left="0" w:right="0" w:hanging="0"/>
              <w:rPr/>
            </w:pPr>
            <w:hyperlink w:anchor="a11_2_223104">
              <w:r>
                <w:rPr>
                  <w:rStyle w:val="InternetLink"/>
                  <w:rFonts w:ascii="Times New Roman" w:hAnsi="Times New Roman"/>
                  <w:color w:val="0000FF"/>
                  <w:sz w:val="17"/>
                  <w:u w:val="single"/>
                </w:rPr>
                <w:t>11.2</w:t>
              </w:r>
            </w:hyperlink>
          </w:p>
        </w:tc>
        <w:tc>
          <w:tcPr>
            <w:tcW w:w="8352" w:type="dxa"/>
            <w:tcBorders/>
            <w:shd w:fill="auto" w:val="clear"/>
          </w:tcPr>
          <w:p>
            <w:pPr>
              <w:pStyle w:val="TableContents"/>
              <w:spacing w:before="0" w:after="0"/>
              <w:ind w:left="0" w:right="0" w:hanging="0"/>
              <w:rPr/>
            </w:pPr>
            <w:hyperlink w:anchor="a11_2_223104">
              <w:r>
                <w:rPr>
                  <w:rStyle w:val="InternetLink"/>
                  <w:rFonts w:ascii="Times New Roman" w:hAnsi="Times New Roman"/>
                  <w:color w:val="0000FF"/>
                  <w:sz w:val="17"/>
                  <w:u w:val="single"/>
                </w:rPr>
                <w:t>Certain Authorizations</w:t>
              </w:r>
            </w:hyperlink>
          </w:p>
        </w:tc>
        <w:tc>
          <w:tcPr>
            <w:tcW w:w="720" w:type="dxa"/>
            <w:tcBorders/>
            <w:shd w:fill="auto" w:val="clear"/>
          </w:tcPr>
          <w:p>
            <w:pPr>
              <w:pStyle w:val="TableContents"/>
              <w:spacing w:before="0" w:after="0"/>
              <w:ind w:left="0" w:right="0" w:hanging="0"/>
              <w:jc w:val="right"/>
              <w:rPr/>
            </w:pPr>
            <w:r>
              <w:rPr/>
              <w:t> </w:t>
            </w:r>
          </w:p>
        </w:tc>
      </w:tr>
      <w:tr>
        <w:trPr/>
        <w:tc>
          <w:tcPr>
            <w:tcW w:w="1133" w:type="dxa"/>
            <w:tcBorders/>
            <w:shd w:fill="auto" w:val="clear"/>
          </w:tcPr>
          <w:p>
            <w:pPr>
              <w:pStyle w:val="TableContents"/>
              <w:spacing w:before="0" w:after="0"/>
              <w:ind w:left="0" w:right="0" w:hanging="0"/>
              <w:rPr/>
            </w:pPr>
            <w:hyperlink w:anchor="a11_3_223112">
              <w:r>
                <w:rPr>
                  <w:rStyle w:val="InternetLink"/>
                  <w:rFonts w:ascii="Times New Roman" w:hAnsi="Times New Roman"/>
                  <w:color w:val="0000FF"/>
                  <w:sz w:val="17"/>
                  <w:u w:val="single"/>
                </w:rPr>
                <w:t>11.3</w:t>
              </w:r>
            </w:hyperlink>
          </w:p>
        </w:tc>
        <w:tc>
          <w:tcPr>
            <w:tcW w:w="8352" w:type="dxa"/>
            <w:tcBorders/>
            <w:shd w:fill="auto" w:val="clear"/>
          </w:tcPr>
          <w:p>
            <w:pPr>
              <w:pStyle w:val="TableContents"/>
              <w:spacing w:before="0" w:after="0"/>
              <w:ind w:left="0" w:right="0" w:hanging="0"/>
              <w:rPr/>
            </w:pPr>
            <w:hyperlink w:anchor="a11_3_223112">
              <w:r>
                <w:rPr>
                  <w:rStyle w:val="InternetLink"/>
                  <w:rFonts w:ascii="Times New Roman" w:hAnsi="Times New Roman"/>
                  <w:color w:val="0000FF"/>
                  <w:sz w:val="17"/>
                  <w:u w:val="single"/>
                </w:rPr>
                <w:t>Indemnity of Tax Matters Member</w:t>
              </w:r>
            </w:hyperlink>
          </w:p>
        </w:tc>
        <w:tc>
          <w:tcPr>
            <w:tcW w:w="720" w:type="dxa"/>
            <w:tcBorders/>
            <w:shd w:fill="auto" w:val="clear"/>
          </w:tcPr>
          <w:p>
            <w:pPr>
              <w:pStyle w:val="TableContents"/>
              <w:spacing w:before="0" w:after="0"/>
              <w:ind w:left="0" w:right="0" w:hanging="0"/>
              <w:jc w:val="right"/>
              <w:rPr/>
            </w:pPr>
            <w:r>
              <w:rPr/>
              <w:t> </w:t>
            </w:r>
          </w:p>
        </w:tc>
      </w:tr>
      <w:tr>
        <w:trPr/>
        <w:tc>
          <w:tcPr>
            <w:tcW w:w="1133" w:type="dxa"/>
            <w:tcBorders/>
            <w:shd w:fill="auto" w:val="clear"/>
          </w:tcPr>
          <w:p>
            <w:pPr>
              <w:pStyle w:val="TableContents"/>
              <w:spacing w:before="0" w:after="0"/>
              <w:ind w:left="0" w:right="0" w:hanging="0"/>
              <w:rPr/>
            </w:pPr>
            <w:hyperlink w:anchor="a11_4_223113">
              <w:r>
                <w:rPr>
                  <w:rStyle w:val="InternetLink"/>
                  <w:rFonts w:ascii="Times New Roman" w:hAnsi="Times New Roman"/>
                  <w:color w:val="0000FF"/>
                  <w:sz w:val="17"/>
                  <w:u w:val="single"/>
                </w:rPr>
                <w:t>11.4</w:t>
              </w:r>
            </w:hyperlink>
          </w:p>
        </w:tc>
        <w:tc>
          <w:tcPr>
            <w:tcW w:w="8352" w:type="dxa"/>
            <w:tcBorders/>
            <w:shd w:fill="auto" w:val="clear"/>
          </w:tcPr>
          <w:p>
            <w:pPr>
              <w:pStyle w:val="TableContents"/>
              <w:spacing w:before="0" w:after="0"/>
              <w:ind w:left="0" w:right="0" w:hanging="0"/>
              <w:rPr/>
            </w:pPr>
            <w:hyperlink w:anchor="a11_4_223113">
              <w:r>
                <w:rPr>
                  <w:rStyle w:val="InternetLink"/>
                  <w:rFonts w:ascii="Times New Roman" w:hAnsi="Times New Roman"/>
                  <w:color w:val="0000FF"/>
                  <w:sz w:val="17"/>
                  <w:u w:val="single"/>
                </w:rPr>
                <w:t>Information Furnished</w:t>
              </w:r>
            </w:hyperlink>
          </w:p>
        </w:tc>
        <w:tc>
          <w:tcPr>
            <w:tcW w:w="720" w:type="dxa"/>
            <w:tcBorders/>
            <w:shd w:fill="auto" w:val="clear"/>
          </w:tcPr>
          <w:p>
            <w:pPr>
              <w:pStyle w:val="TableContents"/>
              <w:spacing w:before="0" w:after="0"/>
              <w:ind w:left="0" w:right="0" w:hanging="0"/>
              <w:jc w:val="right"/>
              <w:rPr/>
            </w:pPr>
            <w:r>
              <w:rPr/>
              <w:t> </w:t>
            </w:r>
          </w:p>
        </w:tc>
      </w:tr>
      <w:tr>
        <w:trPr/>
        <w:tc>
          <w:tcPr>
            <w:tcW w:w="1133" w:type="dxa"/>
            <w:tcBorders/>
            <w:shd w:fill="auto" w:val="clear"/>
          </w:tcPr>
          <w:p>
            <w:pPr>
              <w:pStyle w:val="TableContents"/>
              <w:spacing w:before="0" w:after="0"/>
              <w:ind w:left="0" w:right="0" w:hanging="0"/>
              <w:rPr/>
            </w:pPr>
            <w:hyperlink w:anchor="a11_5_223114">
              <w:r>
                <w:rPr>
                  <w:rStyle w:val="InternetLink"/>
                  <w:rFonts w:ascii="Times New Roman" w:hAnsi="Times New Roman"/>
                  <w:color w:val="0000FF"/>
                  <w:sz w:val="17"/>
                  <w:u w:val="single"/>
                </w:rPr>
                <w:t>11.5</w:t>
              </w:r>
            </w:hyperlink>
          </w:p>
        </w:tc>
        <w:tc>
          <w:tcPr>
            <w:tcW w:w="8352" w:type="dxa"/>
            <w:tcBorders/>
            <w:shd w:fill="auto" w:val="clear"/>
          </w:tcPr>
          <w:p>
            <w:pPr>
              <w:pStyle w:val="TableContents"/>
              <w:spacing w:before="0" w:after="0"/>
              <w:ind w:left="0" w:right="0" w:hanging="0"/>
              <w:rPr/>
            </w:pPr>
            <w:hyperlink w:anchor="a11_5_223114">
              <w:r>
                <w:rPr>
                  <w:rStyle w:val="InternetLink"/>
                  <w:rFonts w:ascii="Times New Roman" w:hAnsi="Times New Roman"/>
                  <w:color w:val="0000FF"/>
                  <w:sz w:val="17"/>
                  <w:u w:val="single"/>
                </w:rPr>
                <w:t>Notice of Proceedings, etc.</w:t>
              </w:r>
            </w:hyperlink>
          </w:p>
        </w:tc>
        <w:tc>
          <w:tcPr>
            <w:tcW w:w="720" w:type="dxa"/>
            <w:tcBorders/>
            <w:shd w:fill="auto" w:val="clear"/>
          </w:tcPr>
          <w:p>
            <w:pPr>
              <w:pStyle w:val="TableContents"/>
              <w:spacing w:before="0" w:after="0"/>
              <w:ind w:left="0" w:right="0" w:hanging="0"/>
              <w:jc w:val="right"/>
              <w:rPr/>
            </w:pPr>
            <w:r>
              <w:rPr/>
              <w:t> </w:t>
            </w:r>
          </w:p>
        </w:tc>
      </w:tr>
      <w:tr>
        <w:trPr/>
        <w:tc>
          <w:tcPr>
            <w:tcW w:w="1133" w:type="dxa"/>
            <w:tcBorders/>
            <w:shd w:fill="auto" w:val="clear"/>
          </w:tcPr>
          <w:p>
            <w:pPr>
              <w:pStyle w:val="TableContents"/>
              <w:spacing w:before="0" w:after="0"/>
              <w:ind w:left="0" w:right="0" w:hanging="0"/>
              <w:rPr/>
            </w:pPr>
            <w:hyperlink w:anchor="a11_6_223118">
              <w:r>
                <w:rPr>
                  <w:rStyle w:val="InternetLink"/>
                  <w:rFonts w:ascii="Times New Roman" w:hAnsi="Times New Roman"/>
                  <w:color w:val="0000FF"/>
                  <w:sz w:val="17"/>
                  <w:u w:val="single"/>
                </w:rPr>
                <w:t>11.6</w:t>
              </w:r>
            </w:hyperlink>
          </w:p>
        </w:tc>
        <w:tc>
          <w:tcPr>
            <w:tcW w:w="8352" w:type="dxa"/>
            <w:tcBorders/>
            <w:shd w:fill="auto" w:val="clear"/>
          </w:tcPr>
          <w:p>
            <w:pPr>
              <w:pStyle w:val="TableContents"/>
              <w:spacing w:before="0" w:after="0"/>
              <w:ind w:left="0" w:right="0" w:hanging="0"/>
              <w:rPr/>
            </w:pPr>
            <w:hyperlink w:anchor="a11_6_223118">
              <w:r>
                <w:rPr>
                  <w:rStyle w:val="InternetLink"/>
                  <w:rFonts w:ascii="Times New Roman" w:hAnsi="Times New Roman"/>
                  <w:color w:val="0000FF"/>
                  <w:sz w:val="17"/>
                  <w:u w:val="single"/>
                </w:rPr>
                <w:t>Notices to Tax Matters Member</w:t>
              </w:r>
            </w:hyperlink>
          </w:p>
        </w:tc>
        <w:tc>
          <w:tcPr>
            <w:tcW w:w="720" w:type="dxa"/>
            <w:tcBorders/>
            <w:shd w:fill="auto" w:val="clear"/>
          </w:tcPr>
          <w:p>
            <w:pPr>
              <w:pStyle w:val="TableContents"/>
              <w:spacing w:before="0" w:after="0"/>
              <w:ind w:left="0" w:right="0" w:hanging="0"/>
              <w:jc w:val="right"/>
              <w:rPr/>
            </w:pPr>
            <w:r>
              <w:rPr/>
              <w:t> </w:t>
            </w:r>
          </w:p>
        </w:tc>
      </w:tr>
      <w:tr>
        <w:trPr/>
        <w:tc>
          <w:tcPr>
            <w:tcW w:w="1133" w:type="dxa"/>
            <w:tcBorders/>
            <w:shd w:fill="auto" w:val="clear"/>
          </w:tcPr>
          <w:p>
            <w:pPr>
              <w:pStyle w:val="TableContents"/>
              <w:spacing w:before="0" w:after="0"/>
              <w:ind w:left="0" w:right="0" w:hanging="0"/>
              <w:rPr/>
            </w:pPr>
            <w:hyperlink w:anchor="a11_7_223124">
              <w:r>
                <w:rPr>
                  <w:rStyle w:val="InternetLink"/>
                  <w:rFonts w:ascii="Times New Roman" w:hAnsi="Times New Roman"/>
                  <w:color w:val="0000FF"/>
                  <w:sz w:val="17"/>
                  <w:u w:val="single"/>
                </w:rPr>
                <w:t>11.7</w:t>
              </w:r>
            </w:hyperlink>
          </w:p>
        </w:tc>
        <w:tc>
          <w:tcPr>
            <w:tcW w:w="8352" w:type="dxa"/>
            <w:tcBorders/>
            <w:shd w:fill="auto" w:val="clear"/>
          </w:tcPr>
          <w:p>
            <w:pPr>
              <w:pStyle w:val="TableContents"/>
              <w:spacing w:before="0" w:after="0"/>
              <w:ind w:left="0" w:right="0" w:hanging="0"/>
              <w:rPr/>
            </w:pPr>
            <w:hyperlink w:anchor="a11_7_223124">
              <w:r>
                <w:rPr>
                  <w:rStyle w:val="InternetLink"/>
                  <w:rFonts w:ascii="Times New Roman" w:hAnsi="Times New Roman"/>
                  <w:color w:val="0000FF"/>
                  <w:sz w:val="17"/>
                  <w:u w:val="single"/>
                </w:rPr>
                <w:t>Preparation of Tax Returns</w:t>
              </w:r>
            </w:hyperlink>
          </w:p>
        </w:tc>
        <w:tc>
          <w:tcPr>
            <w:tcW w:w="720" w:type="dxa"/>
            <w:tcBorders/>
            <w:shd w:fill="auto" w:val="clear"/>
          </w:tcPr>
          <w:p>
            <w:pPr>
              <w:pStyle w:val="TableContents"/>
              <w:spacing w:before="0" w:after="0"/>
              <w:ind w:left="0" w:right="0" w:hanging="0"/>
              <w:jc w:val="right"/>
              <w:rPr/>
            </w:pPr>
            <w:r>
              <w:rPr/>
              <w:t> </w:t>
            </w:r>
          </w:p>
        </w:tc>
      </w:tr>
      <w:tr>
        <w:trPr/>
        <w:tc>
          <w:tcPr>
            <w:tcW w:w="1133" w:type="dxa"/>
            <w:tcBorders/>
            <w:shd w:fill="auto" w:val="clear"/>
          </w:tcPr>
          <w:p>
            <w:pPr>
              <w:pStyle w:val="TableContents"/>
              <w:spacing w:before="0" w:after="0"/>
              <w:ind w:left="0" w:right="0" w:hanging="0"/>
              <w:rPr/>
            </w:pPr>
            <w:hyperlink w:anchor="a11_8_223126">
              <w:r>
                <w:rPr>
                  <w:rStyle w:val="InternetLink"/>
                  <w:rFonts w:ascii="Times New Roman" w:hAnsi="Times New Roman"/>
                  <w:color w:val="0000FF"/>
                  <w:sz w:val="17"/>
                  <w:u w:val="single"/>
                </w:rPr>
                <w:t>11.8</w:t>
              </w:r>
            </w:hyperlink>
          </w:p>
        </w:tc>
        <w:tc>
          <w:tcPr>
            <w:tcW w:w="8352" w:type="dxa"/>
            <w:tcBorders/>
            <w:shd w:fill="auto" w:val="clear"/>
          </w:tcPr>
          <w:p>
            <w:pPr>
              <w:pStyle w:val="TableContents"/>
              <w:spacing w:before="0" w:after="0"/>
              <w:ind w:left="0" w:right="0" w:hanging="0"/>
              <w:rPr/>
            </w:pPr>
            <w:hyperlink w:anchor="a11_8_223126">
              <w:r>
                <w:rPr>
                  <w:rStyle w:val="InternetLink"/>
                  <w:rFonts w:ascii="Times New Roman" w:hAnsi="Times New Roman"/>
                  <w:color w:val="0000FF"/>
                  <w:sz w:val="17"/>
                  <w:u w:val="single"/>
                </w:rPr>
                <w:t>Tax Elections</w:t>
              </w:r>
            </w:hyperlink>
          </w:p>
        </w:tc>
        <w:tc>
          <w:tcPr>
            <w:tcW w:w="720" w:type="dxa"/>
            <w:tcBorders/>
            <w:shd w:fill="auto" w:val="clear"/>
          </w:tcPr>
          <w:p>
            <w:pPr>
              <w:pStyle w:val="TableContents"/>
              <w:spacing w:before="0" w:after="0"/>
              <w:ind w:left="0" w:right="0" w:hanging="0"/>
              <w:jc w:val="right"/>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ii</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1144"/>
        <w:gridCol w:w="104"/>
        <w:gridCol w:w="312"/>
        <w:gridCol w:w="7915"/>
        <w:gridCol w:w="730"/>
      </w:tblGrid>
      <w:tr>
        <w:trPr/>
        <w:tc>
          <w:tcPr>
            <w:tcW w:w="1144" w:type="dxa"/>
            <w:tcBorders/>
            <w:shd w:fill="auto" w:val="clear"/>
          </w:tcPr>
          <w:p>
            <w:pPr>
              <w:pStyle w:val="TableContents"/>
              <w:spacing w:before="0" w:after="0"/>
              <w:ind w:left="0" w:right="0" w:hanging="0"/>
              <w:rPr/>
            </w:pPr>
            <w:hyperlink w:anchor="a11_9_223127">
              <w:r>
                <w:rPr>
                  <w:rStyle w:val="InternetLink"/>
                  <w:rFonts w:ascii="Times New Roman" w:hAnsi="Times New Roman"/>
                  <w:color w:val="0000FF"/>
                  <w:sz w:val="17"/>
                  <w:u w:val="single"/>
                </w:rPr>
                <w:t>11.9</w:t>
              </w:r>
            </w:hyperlink>
          </w:p>
        </w:tc>
        <w:tc>
          <w:tcPr>
            <w:tcW w:w="8331" w:type="dxa"/>
            <w:gridSpan w:val="3"/>
            <w:tcBorders/>
            <w:shd w:fill="auto" w:val="clear"/>
          </w:tcPr>
          <w:p>
            <w:pPr>
              <w:pStyle w:val="TableContents"/>
              <w:spacing w:before="0" w:after="0"/>
              <w:ind w:left="0" w:right="0" w:hanging="0"/>
              <w:rPr/>
            </w:pPr>
            <w:hyperlink w:anchor="a11_9_223127">
              <w:r>
                <w:rPr>
                  <w:rStyle w:val="InternetLink"/>
                  <w:rFonts w:ascii="Times New Roman" w:hAnsi="Times New Roman"/>
                  <w:color w:val="0000FF"/>
                  <w:sz w:val="17"/>
                  <w:u w:val="single"/>
                </w:rPr>
                <w:t>Taxation as a Partnership</w:t>
              </w:r>
            </w:hyperlink>
          </w:p>
        </w:tc>
        <w:tc>
          <w:tcPr>
            <w:tcW w:w="730" w:type="dxa"/>
            <w:tcBorders/>
            <w:shd w:fill="auto" w:val="clear"/>
          </w:tcPr>
          <w:p>
            <w:pPr>
              <w:pStyle w:val="TableContents"/>
              <w:spacing w:before="0" w:after="0"/>
              <w:ind w:left="0" w:right="0" w:hanging="0"/>
              <w:jc w:val="right"/>
              <w:rPr/>
            </w:pPr>
            <w:r>
              <w:rPr/>
              <w:t> </w:t>
            </w:r>
          </w:p>
        </w:tc>
      </w:tr>
      <w:tr>
        <w:trPr/>
        <w:tc>
          <w:tcPr>
            <w:tcW w:w="1144" w:type="dxa"/>
            <w:tcBorders/>
            <w:shd w:fill="auto" w:val="clear"/>
          </w:tcPr>
          <w:p>
            <w:pPr>
              <w:pStyle w:val="TableContents"/>
              <w:spacing w:before="0" w:after="0"/>
              <w:ind w:left="0" w:right="0" w:hanging="0"/>
              <w:rPr/>
            </w:pPr>
            <w:r>
              <w:rPr/>
              <w:t> </w:t>
            </w:r>
          </w:p>
        </w:tc>
        <w:tc>
          <w:tcPr>
            <w:tcW w:w="8331" w:type="dxa"/>
            <w:gridSpan w:val="3"/>
            <w:tcBorders/>
            <w:shd w:fill="auto" w:val="clear"/>
          </w:tcPr>
          <w:p>
            <w:pPr>
              <w:pStyle w:val="TableContents"/>
              <w:spacing w:before="0" w:after="0"/>
              <w:ind w:left="0" w:right="0" w:hanging="0"/>
              <w:rPr/>
            </w:pPr>
            <w:r>
              <w:rPr/>
              <w:t> </w:t>
            </w:r>
          </w:p>
        </w:tc>
        <w:tc>
          <w:tcPr>
            <w:tcW w:w="730" w:type="dxa"/>
            <w:tcBorders/>
            <w:shd w:fill="auto" w:val="clear"/>
          </w:tcPr>
          <w:p>
            <w:pPr>
              <w:pStyle w:val="TableContents"/>
              <w:spacing w:before="0" w:after="0"/>
              <w:ind w:left="0" w:right="0" w:hanging="0"/>
              <w:jc w:val="right"/>
              <w:rPr/>
            </w:pPr>
            <w:r>
              <w:rPr/>
              <w:t> </w:t>
            </w:r>
          </w:p>
        </w:tc>
      </w:tr>
      <w:tr>
        <w:trPr/>
        <w:tc>
          <w:tcPr>
            <w:tcW w:w="9475" w:type="dxa"/>
            <w:gridSpan w:val="4"/>
            <w:tcBorders/>
            <w:shd w:fill="auto" w:val="clear"/>
          </w:tcPr>
          <w:p>
            <w:pPr>
              <w:pStyle w:val="TableContents"/>
              <w:spacing w:before="0" w:after="0"/>
              <w:ind w:left="0" w:right="0" w:hanging="0"/>
              <w:rPr/>
            </w:pPr>
            <w:hyperlink w:anchor="Article12_223140">
              <w:r>
                <w:rPr>
                  <w:rStyle w:val="InternetLink"/>
                  <w:rFonts w:ascii="Times New Roman" w:hAnsi="Times New Roman"/>
                  <w:color w:val="0000FF"/>
                  <w:sz w:val="17"/>
                  <w:u w:val="single"/>
                </w:rPr>
                <w:t>ARTICLE 12 ACCOUNTING AND BANK ACCOUNTS</w:t>
              </w:r>
            </w:hyperlink>
          </w:p>
        </w:tc>
        <w:tc>
          <w:tcPr>
            <w:tcW w:w="730" w:type="dxa"/>
            <w:tcBorders/>
            <w:shd w:fill="auto" w:val="clear"/>
          </w:tcPr>
          <w:p>
            <w:pPr>
              <w:pStyle w:val="TableContents"/>
              <w:spacing w:before="0" w:after="0"/>
              <w:ind w:left="0" w:right="0" w:hanging="0"/>
              <w:jc w:val="right"/>
              <w:rPr/>
            </w:pPr>
            <w:r>
              <w:rPr/>
              <w:t> </w:t>
            </w:r>
          </w:p>
        </w:tc>
      </w:tr>
      <w:tr>
        <w:trPr/>
        <w:tc>
          <w:tcPr>
            <w:tcW w:w="1144" w:type="dxa"/>
            <w:tcBorders/>
            <w:shd w:fill="auto" w:val="clear"/>
          </w:tcPr>
          <w:p>
            <w:pPr>
              <w:pStyle w:val="TableContents"/>
              <w:spacing w:before="0" w:after="0"/>
              <w:ind w:left="0" w:right="0" w:hanging="0"/>
              <w:rPr/>
            </w:pPr>
            <w:hyperlink w:anchor="a12_1_223129">
              <w:r>
                <w:rPr>
                  <w:rStyle w:val="InternetLink"/>
                  <w:rFonts w:ascii="Times New Roman" w:hAnsi="Times New Roman"/>
                  <w:color w:val="0000FF"/>
                  <w:sz w:val="17"/>
                  <w:u w:val="single"/>
                </w:rPr>
                <w:t>12.1</w:t>
              </w:r>
            </w:hyperlink>
          </w:p>
        </w:tc>
        <w:tc>
          <w:tcPr>
            <w:tcW w:w="8331" w:type="dxa"/>
            <w:gridSpan w:val="3"/>
            <w:tcBorders/>
            <w:shd w:fill="auto" w:val="clear"/>
          </w:tcPr>
          <w:p>
            <w:pPr>
              <w:pStyle w:val="TableContents"/>
              <w:spacing w:before="0" w:after="0"/>
              <w:ind w:left="0" w:right="0" w:hanging="0"/>
              <w:rPr/>
            </w:pPr>
            <w:hyperlink w:anchor="a12_1_223129">
              <w:r>
                <w:rPr>
                  <w:rStyle w:val="InternetLink"/>
                  <w:rFonts w:ascii="Times New Roman" w:hAnsi="Times New Roman"/>
                  <w:color w:val="0000FF"/>
                  <w:sz w:val="17"/>
                  <w:u w:val="single"/>
                </w:rPr>
                <w:t>Fiscal Year and Accounting Method</w:t>
              </w:r>
            </w:hyperlink>
          </w:p>
        </w:tc>
        <w:tc>
          <w:tcPr>
            <w:tcW w:w="730" w:type="dxa"/>
            <w:tcBorders/>
            <w:shd w:fill="auto" w:val="clear"/>
          </w:tcPr>
          <w:p>
            <w:pPr>
              <w:pStyle w:val="TableContents"/>
              <w:spacing w:before="0" w:after="0"/>
              <w:ind w:left="0" w:right="0" w:hanging="0"/>
              <w:jc w:val="right"/>
              <w:rPr/>
            </w:pPr>
            <w:r>
              <w:rPr/>
              <w:t> </w:t>
            </w:r>
          </w:p>
        </w:tc>
      </w:tr>
      <w:tr>
        <w:trPr/>
        <w:tc>
          <w:tcPr>
            <w:tcW w:w="1144" w:type="dxa"/>
            <w:tcBorders/>
            <w:shd w:fill="auto" w:val="clear"/>
          </w:tcPr>
          <w:p>
            <w:pPr>
              <w:pStyle w:val="TableContents"/>
              <w:spacing w:before="0" w:after="0"/>
              <w:ind w:left="0" w:right="0" w:hanging="0"/>
              <w:rPr/>
            </w:pPr>
            <w:hyperlink w:anchor="a12_2_223142">
              <w:r>
                <w:rPr>
                  <w:rStyle w:val="InternetLink"/>
                  <w:rFonts w:ascii="Times New Roman" w:hAnsi="Times New Roman"/>
                  <w:color w:val="0000FF"/>
                  <w:sz w:val="17"/>
                  <w:u w:val="single"/>
                </w:rPr>
                <w:t>12.2</w:t>
              </w:r>
            </w:hyperlink>
          </w:p>
        </w:tc>
        <w:tc>
          <w:tcPr>
            <w:tcW w:w="8331" w:type="dxa"/>
            <w:gridSpan w:val="3"/>
            <w:tcBorders/>
            <w:shd w:fill="auto" w:val="clear"/>
          </w:tcPr>
          <w:p>
            <w:pPr>
              <w:pStyle w:val="TableContents"/>
              <w:spacing w:before="0" w:after="0"/>
              <w:ind w:left="0" w:right="0" w:hanging="0"/>
              <w:rPr/>
            </w:pPr>
            <w:hyperlink w:anchor="a12_2_223142">
              <w:r>
                <w:rPr>
                  <w:rStyle w:val="InternetLink"/>
                  <w:rFonts w:ascii="Times New Roman" w:hAnsi="Times New Roman"/>
                  <w:color w:val="0000FF"/>
                  <w:sz w:val="17"/>
                  <w:u w:val="single"/>
                </w:rPr>
                <w:t>Books and Records</w:t>
              </w:r>
            </w:hyperlink>
          </w:p>
        </w:tc>
        <w:tc>
          <w:tcPr>
            <w:tcW w:w="730" w:type="dxa"/>
            <w:tcBorders/>
            <w:shd w:fill="auto" w:val="clear"/>
          </w:tcPr>
          <w:p>
            <w:pPr>
              <w:pStyle w:val="TableContents"/>
              <w:spacing w:before="0" w:after="0"/>
              <w:ind w:left="0" w:right="0" w:hanging="0"/>
              <w:jc w:val="right"/>
              <w:rPr/>
            </w:pPr>
            <w:r>
              <w:rPr/>
              <w:t> </w:t>
            </w:r>
          </w:p>
        </w:tc>
      </w:tr>
      <w:tr>
        <w:trPr/>
        <w:tc>
          <w:tcPr>
            <w:tcW w:w="1144" w:type="dxa"/>
            <w:tcBorders/>
            <w:shd w:fill="auto" w:val="clear"/>
          </w:tcPr>
          <w:p>
            <w:pPr>
              <w:pStyle w:val="TableContents"/>
              <w:spacing w:before="0" w:after="0"/>
              <w:ind w:left="0" w:right="0" w:hanging="0"/>
              <w:rPr/>
            </w:pPr>
            <w:hyperlink w:anchor="a12_3_223146">
              <w:r>
                <w:rPr>
                  <w:rStyle w:val="InternetLink"/>
                  <w:rFonts w:ascii="Times New Roman" w:hAnsi="Times New Roman"/>
                  <w:color w:val="0000FF"/>
                  <w:sz w:val="17"/>
                  <w:u w:val="single"/>
                </w:rPr>
                <w:t>12.3</w:t>
              </w:r>
            </w:hyperlink>
          </w:p>
        </w:tc>
        <w:tc>
          <w:tcPr>
            <w:tcW w:w="8331" w:type="dxa"/>
            <w:gridSpan w:val="3"/>
            <w:tcBorders/>
            <w:shd w:fill="auto" w:val="clear"/>
          </w:tcPr>
          <w:p>
            <w:pPr>
              <w:pStyle w:val="TableContents"/>
              <w:spacing w:before="0" w:after="0"/>
              <w:ind w:left="0" w:right="0" w:hanging="0"/>
              <w:rPr/>
            </w:pPr>
            <w:hyperlink w:anchor="a12_3_223146">
              <w:r>
                <w:rPr>
                  <w:rStyle w:val="InternetLink"/>
                  <w:rFonts w:ascii="Times New Roman" w:hAnsi="Times New Roman"/>
                  <w:color w:val="0000FF"/>
                  <w:sz w:val="17"/>
                  <w:u w:val="single"/>
                </w:rPr>
                <w:t>Delivery to Members; Inspection</w:t>
              </w:r>
            </w:hyperlink>
          </w:p>
        </w:tc>
        <w:tc>
          <w:tcPr>
            <w:tcW w:w="730" w:type="dxa"/>
            <w:tcBorders/>
            <w:shd w:fill="auto" w:val="clear"/>
          </w:tcPr>
          <w:p>
            <w:pPr>
              <w:pStyle w:val="TableContents"/>
              <w:spacing w:before="0" w:after="0"/>
              <w:ind w:left="0" w:right="0" w:hanging="0"/>
              <w:jc w:val="right"/>
              <w:rPr/>
            </w:pPr>
            <w:r>
              <w:rPr/>
              <w:t> </w:t>
            </w:r>
          </w:p>
        </w:tc>
      </w:tr>
      <w:tr>
        <w:trPr/>
        <w:tc>
          <w:tcPr>
            <w:tcW w:w="1144" w:type="dxa"/>
            <w:tcBorders/>
            <w:shd w:fill="auto" w:val="clear"/>
          </w:tcPr>
          <w:p>
            <w:pPr>
              <w:pStyle w:val="TableContents"/>
              <w:spacing w:before="0" w:after="0"/>
              <w:ind w:left="0" w:right="0" w:hanging="0"/>
              <w:rPr/>
            </w:pPr>
            <w:hyperlink w:anchor="a12_4_223147">
              <w:r>
                <w:rPr>
                  <w:rStyle w:val="InternetLink"/>
                  <w:rFonts w:ascii="Times New Roman" w:hAnsi="Times New Roman"/>
                  <w:color w:val="0000FF"/>
                  <w:sz w:val="17"/>
                  <w:u w:val="single"/>
                </w:rPr>
                <w:t>12.4</w:t>
              </w:r>
            </w:hyperlink>
          </w:p>
        </w:tc>
        <w:tc>
          <w:tcPr>
            <w:tcW w:w="8331" w:type="dxa"/>
            <w:gridSpan w:val="3"/>
            <w:tcBorders/>
            <w:shd w:fill="auto" w:val="clear"/>
          </w:tcPr>
          <w:p>
            <w:pPr>
              <w:pStyle w:val="TableContents"/>
              <w:spacing w:before="0" w:after="0"/>
              <w:ind w:left="0" w:right="0" w:hanging="0"/>
              <w:rPr/>
            </w:pPr>
            <w:hyperlink w:anchor="a12_4_223147">
              <w:r>
                <w:rPr>
                  <w:rStyle w:val="InternetLink"/>
                  <w:rFonts w:ascii="Times New Roman" w:hAnsi="Times New Roman"/>
                  <w:color w:val="0000FF"/>
                  <w:sz w:val="17"/>
                  <w:u w:val="single"/>
                </w:rPr>
                <w:t>Financial Statements</w:t>
              </w:r>
            </w:hyperlink>
          </w:p>
        </w:tc>
        <w:tc>
          <w:tcPr>
            <w:tcW w:w="730" w:type="dxa"/>
            <w:tcBorders/>
            <w:shd w:fill="auto" w:val="clear"/>
          </w:tcPr>
          <w:p>
            <w:pPr>
              <w:pStyle w:val="TableContents"/>
              <w:spacing w:before="0" w:after="0"/>
              <w:ind w:left="0" w:right="0" w:hanging="0"/>
              <w:jc w:val="right"/>
              <w:rPr/>
            </w:pPr>
            <w:r>
              <w:rPr/>
              <w:t> </w:t>
            </w:r>
          </w:p>
        </w:tc>
      </w:tr>
      <w:tr>
        <w:trPr/>
        <w:tc>
          <w:tcPr>
            <w:tcW w:w="1144" w:type="dxa"/>
            <w:tcBorders/>
            <w:shd w:fill="auto" w:val="clear"/>
          </w:tcPr>
          <w:p>
            <w:pPr>
              <w:pStyle w:val="TableContents"/>
              <w:spacing w:before="0" w:after="0"/>
              <w:ind w:left="0" w:right="0" w:hanging="0"/>
              <w:rPr/>
            </w:pPr>
            <w:hyperlink w:anchor="a12_5_223149">
              <w:r>
                <w:rPr>
                  <w:rStyle w:val="InternetLink"/>
                  <w:rFonts w:ascii="Times New Roman" w:hAnsi="Times New Roman"/>
                  <w:color w:val="0000FF"/>
                  <w:sz w:val="17"/>
                  <w:u w:val="single"/>
                </w:rPr>
                <w:t>12.5</w:t>
              </w:r>
            </w:hyperlink>
          </w:p>
        </w:tc>
        <w:tc>
          <w:tcPr>
            <w:tcW w:w="8331" w:type="dxa"/>
            <w:gridSpan w:val="3"/>
            <w:tcBorders/>
            <w:shd w:fill="auto" w:val="clear"/>
          </w:tcPr>
          <w:p>
            <w:pPr>
              <w:pStyle w:val="TableContents"/>
              <w:spacing w:before="0" w:after="0"/>
              <w:ind w:left="0" w:right="0" w:hanging="0"/>
              <w:rPr/>
            </w:pPr>
            <w:hyperlink w:anchor="a12_5_223149">
              <w:r>
                <w:rPr>
                  <w:rStyle w:val="InternetLink"/>
                  <w:rFonts w:ascii="Times New Roman" w:hAnsi="Times New Roman"/>
                  <w:color w:val="0000FF"/>
                  <w:sz w:val="17"/>
                  <w:u w:val="single"/>
                </w:rPr>
                <w:t>Filings</w:t>
              </w:r>
            </w:hyperlink>
          </w:p>
        </w:tc>
        <w:tc>
          <w:tcPr>
            <w:tcW w:w="730" w:type="dxa"/>
            <w:tcBorders/>
            <w:shd w:fill="auto" w:val="clear"/>
          </w:tcPr>
          <w:p>
            <w:pPr>
              <w:pStyle w:val="TableContents"/>
              <w:spacing w:before="0" w:after="0"/>
              <w:ind w:left="0" w:right="0" w:hanging="0"/>
              <w:jc w:val="right"/>
              <w:rPr/>
            </w:pPr>
            <w:r>
              <w:rPr/>
              <w:t> </w:t>
            </w:r>
          </w:p>
        </w:tc>
      </w:tr>
      <w:tr>
        <w:trPr/>
        <w:tc>
          <w:tcPr>
            <w:tcW w:w="1144" w:type="dxa"/>
            <w:tcBorders/>
            <w:shd w:fill="auto" w:val="clear"/>
          </w:tcPr>
          <w:p>
            <w:pPr>
              <w:pStyle w:val="TableContents"/>
              <w:spacing w:before="0" w:after="0"/>
              <w:ind w:left="0" w:right="0" w:hanging="0"/>
              <w:rPr/>
            </w:pPr>
            <w:hyperlink w:anchor="a12_6_223150">
              <w:r>
                <w:rPr>
                  <w:rStyle w:val="InternetLink"/>
                  <w:rFonts w:ascii="Times New Roman" w:hAnsi="Times New Roman"/>
                  <w:color w:val="0000FF"/>
                  <w:sz w:val="17"/>
                  <w:u w:val="single"/>
                </w:rPr>
                <w:t>12.6</w:t>
              </w:r>
            </w:hyperlink>
          </w:p>
        </w:tc>
        <w:tc>
          <w:tcPr>
            <w:tcW w:w="8331" w:type="dxa"/>
            <w:gridSpan w:val="3"/>
            <w:tcBorders/>
            <w:shd w:fill="auto" w:val="clear"/>
          </w:tcPr>
          <w:p>
            <w:pPr>
              <w:pStyle w:val="TableContents"/>
              <w:spacing w:before="0" w:after="0"/>
              <w:ind w:left="0" w:right="0" w:hanging="0"/>
              <w:rPr/>
            </w:pPr>
            <w:hyperlink w:anchor="a12_6_223150">
              <w:r>
                <w:rPr>
                  <w:rStyle w:val="InternetLink"/>
                  <w:rFonts w:ascii="Times New Roman" w:hAnsi="Times New Roman"/>
                  <w:color w:val="0000FF"/>
                  <w:sz w:val="17"/>
                  <w:u w:val="single"/>
                </w:rPr>
                <w:t>Non-Disclosure</w:t>
              </w:r>
            </w:hyperlink>
          </w:p>
        </w:tc>
        <w:tc>
          <w:tcPr>
            <w:tcW w:w="730" w:type="dxa"/>
            <w:tcBorders/>
            <w:shd w:fill="auto" w:val="clear"/>
          </w:tcPr>
          <w:p>
            <w:pPr>
              <w:pStyle w:val="TableContents"/>
              <w:spacing w:before="0" w:after="0"/>
              <w:ind w:left="0" w:right="0" w:hanging="0"/>
              <w:jc w:val="right"/>
              <w:rPr/>
            </w:pPr>
            <w:r>
              <w:rPr/>
              <w:t> </w:t>
            </w:r>
          </w:p>
        </w:tc>
      </w:tr>
      <w:tr>
        <w:trPr/>
        <w:tc>
          <w:tcPr>
            <w:tcW w:w="1144" w:type="dxa"/>
            <w:tcBorders/>
            <w:shd w:fill="auto" w:val="clear"/>
          </w:tcPr>
          <w:p>
            <w:pPr>
              <w:pStyle w:val="TableContents"/>
              <w:spacing w:before="0" w:after="0"/>
              <w:ind w:left="0" w:right="0" w:hanging="0"/>
              <w:rPr/>
            </w:pPr>
            <w:r>
              <w:rPr/>
              <w:t> </w:t>
            </w:r>
          </w:p>
        </w:tc>
        <w:tc>
          <w:tcPr>
            <w:tcW w:w="8331" w:type="dxa"/>
            <w:gridSpan w:val="3"/>
            <w:tcBorders/>
            <w:shd w:fill="auto" w:val="clear"/>
          </w:tcPr>
          <w:p>
            <w:pPr>
              <w:pStyle w:val="TableContents"/>
              <w:spacing w:before="0" w:after="0"/>
              <w:ind w:left="0" w:right="0" w:hanging="0"/>
              <w:rPr/>
            </w:pPr>
            <w:r>
              <w:rPr/>
              <w:t> </w:t>
            </w:r>
          </w:p>
        </w:tc>
        <w:tc>
          <w:tcPr>
            <w:tcW w:w="730" w:type="dxa"/>
            <w:tcBorders/>
            <w:shd w:fill="auto" w:val="clear"/>
          </w:tcPr>
          <w:p>
            <w:pPr>
              <w:pStyle w:val="TableContents"/>
              <w:spacing w:before="0" w:after="0"/>
              <w:ind w:left="0" w:right="0" w:hanging="0"/>
              <w:jc w:val="right"/>
              <w:rPr/>
            </w:pPr>
            <w:r>
              <w:rPr/>
              <w:t> </w:t>
            </w:r>
          </w:p>
        </w:tc>
      </w:tr>
      <w:tr>
        <w:trPr/>
        <w:tc>
          <w:tcPr>
            <w:tcW w:w="9475" w:type="dxa"/>
            <w:gridSpan w:val="4"/>
            <w:tcBorders/>
            <w:shd w:fill="auto" w:val="clear"/>
          </w:tcPr>
          <w:p>
            <w:pPr>
              <w:pStyle w:val="TableContents"/>
              <w:spacing w:before="0" w:after="0"/>
              <w:ind w:left="0" w:right="0" w:hanging="0"/>
              <w:rPr/>
            </w:pPr>
            <w:hyperlink w:anchor="Article13_223156">
              <w:r>
                <w:rPr>
                  <w:rStyle w:val="InternetLink"/>
                  <w:rFonts w:ascii="Times New Roman" w:hAnsi="Times New Roman"/>
                  <w:color w:val="0000FF"/>
                  <w:sz w:val="17"/>
                  <w:u w:val="single"/>
                </w:rPr>
                <w:t>ARTICLE 13 NON-COMPETITION</w:t>
              </w:r>
            </w:hyperlink>
          </w:p>
        </w:tc>
        <w:tc>
          <w:tcPr>
            <w:tcW w:w="730" w:type="dxa"/>
            <w:tcBorders/>
            <w:shd w:fill="auto" w:val="clear"/>
          </w:tcPr>
          <w:p>
            <w:pPr>
              <w:pStyle w:val="TableContents"/>
              <w:spacing w:before="0" w:after="0"/>
              <w:ind w:left="0" w:right="0" w:hanging="0"/>
              <w:jc w:val="right"/>
              <w:rPr/>
            </w:pPr>
            <w:r>
              <w:rPr/>
              <w:t> </w:t>
            </w:r>
          </w:p>
        </w:tc>
      </w:tr>
      <w:tr>
        <w:trPr/>
        <w:tc>
          <w:tcPr>
            <w:tcW w:w="1144" w:type="dxa"/>
            <w:tcBorders/>
            <w:shd w:fill="auto" w:val="clear"/>
          </w:tcPr>
          <w:p>
            <w:pPr>
              <w:pStyle w:val="TableContents"/>
              <w:spacing w:before="0" w:after="0"/>
              <w:ind w:left="0" w:right="0" w:hanging="0"/>
              <w:rPr/>
            </w:pPr>
            <w:hyperlink w:anchor="a13_1_223157">
              <w:r>
                <w:rPr>
                  <w:rStyle w:val="InternetLink"/>
                  <w:rFonts w:ascii="Times New Roman" w:hAnsi="Times New Roman"/>
                  <w:color w:val="0000FF"/>
                  <w:sz w:val="17"/>
                  <w:u w:val="single"/>
                </w:rPr>
                <w:t>13.1</w:t>
              </w:r>
            </w:hyperlink>
          </w:p>
        </w:tc>
        <w:tc>
          <w:tcPr>
            <w:tcW w:w="8331" w:type="dxa"/>
            <w:gridSpan w:val="3"/>
            <w:tcBorders/>
            <w:shd w:fill="auto" w:val="clear"/>
          </w:tcPr>
          <w:p>
            <w:pPr>
              <w:pStyle w:val="TableContents"/>
              <w:spacing w:before="0" w:after="0"/>
              <w:ind w:left="0" w:right="0" w:hanging="0"/>
              <w:rPr/>
            </w:pPr>
            <w:hyperlink w:anchor="a13_1_223157">
              <w:r>
                <w:rPr>
                  <w:rStyle w:val="InternetLink"/>
                  <w:rFonts w:ascii="Times New Roman" w:hAnsi="Times New Roman"/>
                  <w:color w:val="0000FF"/>
                  <w:sz w:val="17"/>
                  <w:u w:val="single"/>
                </w:rPr>
                <w:t>Non-Competition</w:t>
              </w:r>
            </w:hyperlink>
          </w:p>
        </w:tc>
        <w:tc>
          <w:tcPr>
            <w:tcW w:w="730" w:type="dxa"/>
            <w:tcBorders/>
            <w:shd w:fill="auto" w:val="clear"/>
          </w:tcPr>
          <w:p>
            <w:pPr>
              <w:pStyle w:val="TableContents"/>
              <w:spacing w:before="0" w:after="0"/>
              <w:ind w:left="0" w:right="0" w:hanging="0"/>
              <w:jc w:val="right"/>
              <w:rPr/>
            </w:pPr>
            <w:r>
              <w:rPr/>
              <w:t> </w:t>
            </w:r>
          </w:p>
        </w:tc>
      </w:tr>
      <w:tr>
        <w:trPr/>
        <w:tc>
          <w:tcPr>
            <w:tcW w:w="1144" w:type="dxa"/>
            <w:tcBorders/>
            <w:shd w:fill="auto" w:val="clear"/>
          </w:tcPr>
          <w:p>
            <w:pPr>
              <w:pStyle w:val="TableContents"/>
              <w:spacing w:before="0" w:after="0"/>
              <w:ind w:left="0" w:right="0" w:hanging="0"/>
              <w:rPr/>
            </w:pPr>
            <w:hyperlink w:anchor="a13_2_223159">
              <w:r>
                <w:rPr>
                  <w:rStyle w:val="InternetLink"/>
                  <w:rFonts w:ascii="Times New Roman" w:hAnsi="Times New Roman"/>
                  <w:color w:val="0000FF"/>
                  <w:sz w:val="17"/>
                  <w:u w:val="single"/>
                </w:rPr>
                <w:t>13.2</w:t>
              </w:r>
            </w:hyperlink>
          </w:p>
        </w:tc>
        <w:tc>
          <w:tcPr>
            <w:tcW w:w="8331" w:type="dxa"/>
            <w:gridSpan w:val="3"/>
            <w:tcBorders/>
            <w:shd w:fill="auto" w:val="clear"/>
          </w:tcPr>
          <w:p>
            <w:pPr>
              <w:pStyle w:val="TableContents"/>
              <w:spacing w:before="0" w:after="0"/>
              <w:ind w:left="0" w:right="0" w:hanging="0"/>
              <w:rPr/>
            </w:pPr>
            <w:hyperlink w:anchor="a13_2_223159">
              <w:r>
                <w:rPr>
                  <w:rStyle w:val="InternetLink"/>
                  <w:rFonts w:ascii="Times New Roman" w:hAnsi="Times New Roman"/>
                  <w:color w:val="0000FF"/>
                  <w:sz w:val="17"/>
                  <w:u w:val="single"/>
                </w:rPr>
                <w:t>Restricted Business</w:t>
              </w:r>
            </w:hyperlink>
          </w:p>
        </w:tc>
        <w:tc>
          <w:tcPr>
            <w:tcW w:w="730" w:type="dxa"/>
            <w:tcBorders/>
            <w:shd w:fill="auto" w:val="clear"/>
          </w:tcPr>
          <w:p>
            <w:pPr>
              <w:pStyle w:val="TableContents"/>
              <w:spacing w:before="0" w:after="0"/>
              <w:ind w:left="0" w:right="0" w:hanging="0"/>
              <w:jc w:val="right"/>
              <w:rPr/>
            </w:pPr>
            <w:r>
              <w:rPr/>
              <w:t> </w:t>
            </w:r>
          </w:p>
        </w:tc>
      </w:tr>
      <w:tr>
        <w:trPr/>
        <w:tc>
          <w:tcPr>
            <w:tcW w:w="1144" w:type="dxa"/>
            <w:tcBorders/>
            <w:shd w:fill="auto" w:val="clear"/>
          </w:tcPr>
          <w:p>
            <w:pPr>
              <w:pStyle w:val="TableContents"/>
              <w:spacing w:before="0" w:after="0"/>
              <w:ind w:left="0" w:right="0" w:hanging="0"/>
              <w:rPr/>
            </w:pPr>
            <w:hyperlink w:anchor="a13_3_223209">
              <w:r>
                <w:rPr>
                  <w:rStyle w:val="InternetLink"/>
                  <w:rFonts w:ascii="Times New Roman" w:hAnsi="Times New Roman"/>
                  <w:color w:val="0000FF"/>
                  <w:sz w:val="17"/>
                  <w:u w:val="single"/>
                </w:rPr>
                <w:t>13.3</w:t>
              </w:r>
            </w:hyperlink>
          </w:p>
        </w:tc>
        <w:tc>
          <w:tcPr>
            <w:tcW w:w="8331" w:type="dxa"/>
            <w:gridSpan w:val="3"/>
            <w:tcBorders/>
            <w:shd w:fill="auto" w:val="clear"/>
          </w:tcPr>
          <w:p>
            <w:pPr>
              <w:pStyle w:val="TableContents"/>
              <w:spacing w:before="0" w:after="0"/>
              <w:ind w:left="0" w:right="0" w:hanging="0"/>
              <w:rPr/>
            </w:pPr>
            <w:hyperlink w:anchor="a13_3_223209">
              <w:r>
                <w:rPr>
                  <w:rStyle w:val="InternetLink"/>
                  <w:rFonts w:ascii="Times New Roman" w:hAnsi="Times New Roman"/>
                  <w:color w:val="0000FF"/>
                  <w:sz w:val="17"/>
                  <w:u w:val="single"/>
                </w:rPr>
                <w:t>Damages</w:t>
              </w:r>
            </w:hyperlink>
          </w:p>
        </w:tc>
        <w:tc>
          <w:tcPr>
            <w:tcW w:w="730" w:type="dxa"/>
            <w:tcBorders/>
            <w:shd w:fill="auto" w:val="clear"/>
          </w:tcPr>
          <w:p>
            <w:pPr>
              <w:pStyle w:val="TableContents"/>
              <w:spacing w:before="0" w:after="0"/>
              <w:ind w:left="0" w:right="0" w:hanging="0"/>
              <w:jc w:val="right"/>
              <w:rPr/>
            </w:pPr>
            <w:r>
              <w:rPr/>
              <w:t> </w:t>
            </w:r>
          </w:p>
        </w:tc>
      </w:tr>
      <w:tr>
        <w:trPr/>
        <w:tc>
          <w:tcPr>
            <w:tcW w:w="1144" w:type="dxa"/>
            <w:tcBorders/>
            <w:shd w:fill="auto" w:val="clear"/>
          </w:tcPr>
          <w:p>
            <w:pPr>
              <w:pStyle w:val="TableContents"/>
              <w:spacing w:before="0" w:after="0"/>
              <w:ind w:left="0" w:right="0" w:hanging="0"/>
              <w:rPr/>
            </w:pPr>
            <w:hyperlink w:anchor="a13_4_223210">
              <w:r>
                <w:rPr>
                  <w:rStyle w:val="InternetLink"/>
                  <w:rFonts w:ascii="Times New Roman" w:hAnsi="Times New Roman"/>
                  <w:color w:val="0000FF"/>
                  <w:sz w:val="17"/>
                  <w:u w:val="single"/>
                </w:rPr>
                <w:t>13.4</w:t>
              </w:r>
            </w:hyperlink>
          </w:p>
        </w:tc>
        <w:tc>
          <w:tcPr>
            <w:tcW w:w="8331" w:type="dxa"/>
            <w:gridSpan w:val="3"/>
            <w:tcBorders/>
            <w:shd w:fill="auto" w:val="clear"/>
          </w:tcPr>
          <w:p>
            <w:pPr>
              <w:pStyle w:val="TableContents"/>
              <w:spacing w:before="0" w:after="0"/>
              <w:ind w:left="0" w:right="0" w:hanging="0"/>
              <w:rPr/>
            </w:pPr>
            <w:hyperlink w:anchor="a13_4_223210">
              <w:r>
                <w:rPr>
                  <w:rStyle w:val="InternetLink"/>
                  <w:rFonts w:ascii="Times New Roman" w:hAnsi="Times New Roman"/>
                  <w:color w:val="0000FF"/>
                  <w:sz w:val="17"/>
                  <w:u w:val="single"/>
                </w:rPr>
                <w:t>Limitations</w:t>
              </w:r>
            </w:hyperlink>
          </w:p>
        </w:tc>
        <w:tc>
          <w:tcPr>
            <w:tcW w:w="730" w:type="dxa"/>
            <w:tcBorders/>
            <w:shd w:fill="auto" w:val="clear"/>
          </w:tcPr>
          <w:p>
            <w:pPr>
              <w:pStyle w:val="TableContents"/>
              <w:spacing w:before="0" w:after="0"/>
              <w:ind w:left="0" w:right="0" w:hanging="0"/>
              <w:jc w:val="right"/>
              <w:rPr/>
            </w:pPr>
            <w:r>
              <w:rPr/>
              <w:t> </w:t>
            </w:r>
          </w:p>
        </w:tc>
      </w:tr>
      <w:tr>
        <w:trPr/>
        <w:tc>
          <w:tcPr>
            <w:tcW w:w="1144" w:type="dxa"/>
            <w:tcBorders/>
            <w:shd w:fill="auto" w:val="clear"/>
          </w:tcPr>
          <w:p>
            <w:pPr>
              <w:pStyle w:val="TableContents"/>
              <w:spacing w:before="0" w:after="0"/>
              <w:ind w:left="0" w:right="0" w:hanging="0"/>
              <w:rPr/>
            </w:pPr>
            <w:r>
              <w:rPr/>
              <w:t> </w:t>
            </w:r>
          </w:p>
        </w:tc>
        <w:tc>
          <w:tcPr>
            <w:tcW w:w="8331" w:type="dxa"/>
            <w:gridSpan w:val="3"/>
            <w:tcBorders/>
            <w:shd w:fill="auto" w:val="clear"/>
          </w:tcPr>
          <w:p>
            <w:pPr>
              <w:pStyle w:val="TableContents"/>
              <w:spacing w:before="0" w:after="0"/>
              <w:ind w:left="0" w:right="0" w:hanging="0"/>
              <w:rPr/>
            </w:pPr>
            <w:r>
              <w:rPr/>
              <w:t> </w:t>
            </w:r>
          </w:p>
        </w:tc>
        <w:tc>
          <w:tcPr>
            <w:tcW w:w="730" w:type="dxa"/>
            <w:tcBorders/>
            <w:shd w:fill="auto" w:val="clear"/>
          </w:tcPr>
          <w:p>
            <w:pPr>
              <w:pStyle w:val="TableContents"/>
              <w:spacing w:before="0" w:after="0"/>
              <w:ind w:left="0" w:right="0" w:hanging="0"/>
              <w:jc w:val="right"/>
              <w:rPr/>
            </w:pPr>
            <w:r>
              <w:rPr/>
              <w:t> </w:t>
            </w:r>
          </w:p>
        </w:tc>
      </w:tr>
      <w:tr>
        <w:trPr/>
        <w:tc>
          <w:tcPr>
            <w:tcW w:w="9475" w:type="dxa"/>
            <w:gridSpan w:val="4"/>
            <w:tcBorders/>
            <w:shd w:fill="auto" w:val="clear"/>
          </w:tcPr>
          <w:p>
            <w:pPr>
              <w:pStyle w:val="TableContents"/>
              <w:spacing w:before="0" w:after="0"/>
              <w:ind w:left="0" w:right="0" w:hanging="0"/>
              <w:rPr/>
            </w:pPr>
            <w:hyperlink w:anchor="Article14_223213">
              <w:r>
                <w:rPr>
                  <w:rStyle w:val="InternetLink"/>
                  <w:rFonts w:ascii="Times New Roman" w:hAnsi="Times New Roman"/>
                  <w:color w:val="0000FF"/>
                  <w:sz w:val="17"/>
                  <w:u w:val="single"/>
                </w:rPr>
                <w:t>ARTICLE 14 ADMINISTRATIVE SERVICES</w:t>
              </w:r>
            </w:hyperlink>
          </w:p>
        </w:tc>
        <w:tc>
          <w:tcPr>
            <w:tcW w:w="730" w:type="dxa"/>
            <w:tcBorders/>
            <w:shd w:fill="auto" w:val="clear"/>
          </w:tcPr>
          <w:p>
            <w:pPr>
              <w:pStyle w:val="TableContents"/>
              <w:spacing w:before="0" w:after="0"/>
              <w:ind w:left="0" w:right="0" w:hanging="0"/>
              <w:jc w:val="right"/>
              <w:rPr/>
            </w:pPr>
            <w:r>
              <w:rPr/>
              <w:t> </w:t>
            </w:r>
          </w:p>
        </w:tc>
      </w:tr>
      <w:tr>
        <w:trPr/>
        <w:tc>
          <w:tcPr>
            <w:tcW w:w="1144" w:type="dxa"/>
            <w:tcBorders/>
            <w:shd w:fill="auto" w:val="clear"/>
          </w:tcPr>
          <w:p>
            <w:pPr>
              <w:pStyle w:val="TableContents"/>
              <w:spacing w:before="0" w:after="0"/>
              <w:ind w:left="0" w:right="0" w:hanging="0"/>
              <w:rPr/>
            </w:pPr>
            <w:hyperlink w:anchor="a14_1_223215">
              <w:r>
                <w:rPr>
                  <w:rStyle w:val="InternetLink"/>
                  <w:rFonts w:ascii="Times New Roman" w:hAnsi="Times New Roman"/>
                  <w:color w:val="0000FF"/>
                  <w:sz w:val="17"/>
                  <w:u w:val="single"/>
                </w:rPr>
                <w:t>14.1</w:t>
              </w:r>
            </w:hyperlink>
          </w:p>
        </w:tc>
        <w:tc>
          <w:tcPr>
            <w:tcW w:w="8331" w:type="dxa"/>
            <w:gridSpan w:val="3"/>
            <w:tcBorders/>
            <w:shd w:fill="auto" w:val="clear"/>
          </w:tcPr>
          <w:p>
            <w:pPr>
              <w:pStyle w:val="TableContents"/>
              <w:spacing w:before="0" w:after="0"/>
              <w:ind w:left="0" w:right="0" w:hanging="0"/>
              <w:rPr/>
            </w:pPr>
            <w:hyperlink w:anchor="a14_1_223215">
              <w:r>
                <w:rPr>
                  <w:rStyle w:val="InternetLink"/>
                  <w:rFonts w:ascii="Times New Roman" w:hAnsi="Times New Roman"/>
                  <w:color w:val="0000FF"/>
                  <w:sz w:val="17"/>
                  <w:u w:val="single"/>
                </w:rPr>
                <w:t>Administrative Services</w:t>
              </w:r>
            </w:hyperlink>
          </w:p>
        </w:tc>
        <w:tc>
          <w:tcPr>
            <w:tcW w:w="730" w:type="dxa"/>
            <w:tcBorders/>
            <w:shd w:fill="auto" w:val="clear"/>
          </w:tcPr>
          <w:p>
            <w:pPr>
              <w:pStyle w:val="TableContents"/>
              <w:spacing w:before="0" w:after="0"/>
              <w:ind w:left="0" w:right="0" w:hanging="0"/>
              <w:jc w:val="right"/>
              <w:rPr/>
            </w:pPr>
            <w:r>
              <w:rPr/>
              <w:t> </w:t>
            </w:r>
          </w:p>
        </w:tc>
      </w:tr>
      <w:tr>
        <w:trPr/>
        <w:tc>
          <w:tcPr>
            <w:tcW w:w="1144" w:type="dxa"/>
            <w:tcBorders/>
            <w:shd w:fill="auto" w:val="clear"/>
          </w:tcPr>
          <w:p>
            <w:pPr>
              <w:pStyle w:val="TableContents"/>
              <w:spacing w:before="0" w:after="0"/>
              <w:ind w:left="0" w:right="0" w:hanging="0"/>
              <w:rPr/>
            </w:pPr>
            <w:hyperlink w:anchor="a14_2_223217">
              <w:r>
                <w:rPr>
                  <w:rStyle w:val="InternetLink"/>
                  <w:rFonts w:ascii="Times New Roman" w:hAnsi="Times New Roman"/>
                  <w:color w:val="0000FF"/>
                  <w:sz w:val="17"/>
                  <w:u w:val="single"/>
                </w:rPr>
                <w:t>14.2</w:t>
              </w:r>
            </w:hyperlink>
          </w:p>
        </w:tc>
        <w:tc>
          <w:tcPr>
            <w:tcW w:w="8331" w:type="dxa"/>
            <w:gridSpan w:val="3"/>
            <w:tcBorders/>
            <w:shd w:fill="auto" w:val="clear"/>
          </w:tcPr>
          <w:p>
            <w:pPr>
              <w:pStyle w:val="TableContents"/>
              <w:spacing w:before="0" w:after="0"/>
              <w:ind w:left="0" w:right="0" w:hanging="0"/>
              <w:rPr/>
            </w:pPr>
            <w:hyperlink w:anchor="a14_2_223217">
              <w:r>
                <w:rPr>
                  <w:rStyle w:val="InternetLink"/>
                  <w:rFonts w:ascii="Times New Roman" w:hAnsi="Times New Roman"/>
                  <w:color w:val="0000FF"/>
                  <w:sz w:val="17"/>
                  <w:u w:val="single"/>
                </w:rPr>
                <w:t>Services Standard</w:t>
              </w:r>
            </w:hyperlink>
          </w:p>
        </w:tc>
        <w:tc>
          <w:tcPr>
            <w:tcW w:w="730" w:type="dxa"/>
            <w:tcBorders/>
            <w:shd w:fill="auto" w:val="clear"/>
          </w:tcPr>
          <w:p>
            <w:pPr>
              <w:pStyle w:val="TableContents"/>
              <w:spacing w:before="0" w:after="0"/>
              <w:ind w:left="0" w:right="0" w:hanging="0"/>
              <w:jc w:val="right"/>
              <w:rPr/>
            </w:pPr>
            <w:r>
              <w:rPr/>
              <w:t> </w:t>
            </w:r>
          </w:p>
        </w:tc>
      </w:tr>
      <w:tr>
        <w:trPr/>
        <w:tc>
          <w:tcPr>
            <w:tcW w:w="1144" w:type="dxa"/>
            <w:tcBorders/>
            <w:shd w:fill="auto" w:val="clear"/>
          </w:tcPr>
          <w:p>
            <w:pPr>
              <w:pStyle w:val="TableContents"/>
              <w:spacing w:before="0" w:after="0"/>
              <w:ind w:left="0" w:right="0" w:hanging="0"/>
              <w:rPr/>
            </w:pPr>
            <w:hyperlink w:anchor="a14_3_223218">
              <w:r>
                <w:rPr>
                  <w:rStyle w:val="InternetLink"/>
                  <w:rFonts w:ascii="Times New Roman" w:hAnsi="Times New Roman"/>
                  <w:color w:val="0000FF"/>
                  <w:sz w:val="17"/>
                  <w:u w:val="single"/>
                </w:rPr>
                <w:t>14.3</w:t>
              </w:r>
            </w:hyperlink>
          </w:p>
        </w:tc>
        <w:tc>
          <w:tcPr>
            <w:tcW w:w="8331" w:type="dxa"/>
            <w:gridSpan w:val="3"/>
            <w:tcBorders/>
            <w:shd w:fill="auto" w:val="clear"/>
          </w:tcPr>
          <w:p>
            <w:pPr>
              <w:pStyle w:val="TableContents"/>
              <w:spacing w:before="0" w:after="0"/>
              <w:ind w:left="0" w:right="0" w:hanging="0"/>
              <w:rPr/>
            </w:pPr>
            <w:hyperlink w:anchor="a14_3_223218">
              <w:r>
                <w:rPr>
                  <w:rStyle w:val="InternetLink"/>
                  <w:rFonts w:ascii="Times New Roman" w:hAnsi="Times New Roman"/>
                  <w:color w:val="0000FF"/>
                  <w:sz w:val="17"/>
                  <w:u w:val="single"/>
                </w:rPr>
                <w:t>Termination</w:t>
              </w:r>
            </w:hyperlink>
          </w:p>
        </w:tc>
        <w:tc>
          <w:tcPr>
            <w:tcW w:w="730" w:type="dxa"/>
            <w:tcBorders/>
            <w:shd w:fill="auto" w:val="clear"/>
          </w:tcPr>
          <w:p>
            <w:pPr>
              <w:pStyle w:val="TableContents"/>
              <w:spacing w:before="0" w:after="0"/>
              <w:ind w:left="0" w:right="0" w:hanging="0"/>
              <w:jc w:val="right"/>
              <w:rPr/>
            </w:pPr>
            <w:r>
              <w:rPr/>
              <w:t> </w:t>
            </w:r>
          </w:p>
        </w:tc>
      </w:tr>
      <w:tr>
        <w:trPr/>
        <w:tc>
          <w:tcPr>
            <w:tcW w:w="1144" w:type="dxa"/>
            <w:tcBorders/>
            <w:shd w:fill="auto" w:val="clear"/>
          </w:tcPr>
          <w:p>
            <w:pPr>
              <w:pStyle w:val="TableContents"/>
              <w:spacing w:before="0" w:after="0"/>
              <w:ind w:left="0" w:right="0" w:hanging="0"/>
              <w:rPr/>
            </w:pPr>
            <w:r>
              <w:rPr/>
              <w:t> </w:t>
            </w:r>
          </w:p>
        </w:tc>
        <w:tc>
          <w:tcPr>
            <w:tcW w:w="8331" w:type="dxa"/>
            <w:gridSpan w:val="3"/>
            <w:tcBorders/>
            <w:shd w:fill="auto" w:val="clear"/>
          </w:tcPr>
          <w:p>
            <w:pPr>
              <w:pStyle w:val="TableContents"/>
              <w:spacing w:before="0" w:after="0"/>
              <w:ind w:left="0" w:right="0" w:hanging="0"/>
              <w:rPr/>
            </w:pPr>
            <w:r>
              <w:rPr/>
              <w:t> </w:t>
            </w:r>
          </w:p>
        </w:tc>
        <w:tc>
          <w:tcPr>
            <w:tcW w:w="730" w:type="dxa"/>
            <w:tcBorders/>
            <w:shd w:fill="auto" w:val="clear"/>
          </w:tcPr>
          <w:p>
            <w:pPr>
              <w:pStyle w:val="TableContents"/>
              <w:spacing w:before="0" w:after="0"/>
              <w:ind w:left="0" w:right="0" w:hanging="0"/>
              <w:jc w:val="right"/>
              <w:rPr/>
            </w:pPr>
            <w:r>
              <w:rPr/>
              <w:t> </w:t>
            </w:r>
          </w:p>
        </w:tc>
      </w:tr>
      <w:tr>
        <w:trPr/>
        <w:tc>
          <w:tcPr>
            <w:tcW w:w="9475" w:type="dxa"/>
            <w:gridSpan w:val="4"/>
            <w:tcBorders/>
            <w:shd w:fill="auto" w:val="clear"/>
          </w:tcPr>
          <w:p>
            <w:pPr>
              <w:pStyle w:val="TableContents"/>
              <w:spacing w:before="0" w:after="0"/>
              <w:ind w:left="0" w:right="0" w:hanging="0"/>
              <w:rPr/>
            </w:pPr>
            <w:hyperlink w:anchor="Article15_223221">
              <w:r>
                <w:rPr>
                  <w:rStyle w:val="InternetLink"/>
                  <w:rFonts w:ascii="Times New Roman" w:hAnsi="Times New Roman"/>
                  <w:color w:val="0000FF"/>
                  <w:sz w:val="17"/>
                  <w:u w:val="single"/>
                </w:rPr>
                <w:t>ARTICLE 15 MISCELLANEOUS</w:t>
              </w:r>
            </w:hyperlink>
          </w:p>
        </w:tc>
        <w:tc>
          <w:tcPr>
            <w:tcW w:w="730" w:type="dxa"/>
            <w:tcBorders/>
            <w:shd w:fill="auto" w:val="clear"/>
          </w:tcPr>
          <w:p>
            <w:pPr>
              <w:pStyle w:val="TableContents"/>
              <w:spacing w:before="0" w:after="0"/>
              <w:ind w:left="0" w:right="0" w:hanging="0"/>
              <w:jc w:val="right"/>
              <w:rPr/>
            </w:pPr>
            <w:r>
              <w:rPr/>
              <w:t> </w:t>
            </w:r>
          </w:p>
        </w:tc>
      </w:tr>
      <w:tr>
        <w:trPr/>
        <w:tc>
          <w:tcPr>
            <w:tcW w:w="1144" w:type="dxa"/>
            <w:tcBorders/>
            <w:shd w:fill="auto" w:val="clear"/>
          </w:tcPr>
          <w:p>
            <w:pPr>
              <w:pStyle w:val="TableContents"/>
              <w:spacing w:before="0" w:after="0"/>
              <w:ind w:left="0" w:right="0" w:hanging="0"/>
              <w:rPr/>
            </w:pPr>
            <w:hyperlink w:anchor="a15_1_223603">
              <w:r>
                <w:rPr>
                  <w:rStyle w:val="InternetLink"/>
                  <w:rFonts w:ascii="Times New Roman" w:hAnsi="Times New Roman"/>
                  <w:color w:val="0000FF"/>
                  <w:sz w:val="17"/>
                  <w:u w:val="single"/>
                </w:rPr>
                <w:t>15.1</w:t>
              </w:r>
            </w:hyperlink>
          </w:p>
        </w:tc>
        <w:tc>
          <w:tcPr>
            <w:tcW w:w="8331" w:type="dxa"/>
            <w:gridSpan w:val="3"/>
            <w:tcBorders/>
            <w:shd w:fill="auto" w:val="clear"/>
          </w:tcPr>
          <w:p>
            <w:pPr>
              <w:pStyle w:val="TableContents"/>
              <w:spacing w:before="0" w:after="0"/>
              <w:ind w:left="0" w:right="0" w:hanging="0"/>
              <w:rPr/>
            </w:pPr>
            <w:hyperlink w:anchor="a15_1_223603">
              <w:r>
                <w:rPr>
                  <w:rStyle w:val="InternetLink"/>
                  <w:rFonts w:ascii="Times New Roman" w:hAnsi="Times New Roman"/>
                  <w:color w:val="0000FF"/>
                  <w:sz w:val="17"/>
                  <w:u w:val="single"/>
                </w:rPr>
                <w:t>Waiver of Default</w:t>
              </w:r>
            </w:hyperlink>
          </w:p>
        </w:tc>
        <w:tc>
          <w:tcPr>
            <w:tcW w:w="730" w:type="dxa"/>
            <w:tcBorders/>
            <w:shd w:fill="auto" w:val="clear"/>
          </w:tcPr>
          <w:p>
            <w:pPr>
              <w:pStyle w:val="TableContents"/>
              <w:spacing w:before="0" w:after="0"/>
              <w:ind w:left="0" w:right="0" w:hanging="0"/>
              <w:jc w:val="right"/>
              <w:rPr/>
            </w:pPr>
            <w:r>
              <w:rPr/>
              <w:t> </w:t>
            </w:r>
          </w:p>
        </w:tc>
      </w:tr>
      <w:tr>
        <w:trPr/>
        <w:tc>
          <w:tcPr>
            <w:tcW w:w="1144" w:type="dxa"/>
            <w:tcBorders/>
            <w:shd w:fill="auto" w:val="clear"/>
          </w:tcPr>
          <w:p>
            <w:pPr>
              <w:pStyle w:val="TableContents"/>
              <w:spacing w:before="0" w:after="0"/>
              <w:ind w:left="0" w:right="0" w:hanging="0"/>
              <w:rPr/>
            </w:pPr>
            <w:hyperlink w:anchor="a15_2_223605">
              <w:r>
                <w:rPr>
                  <w:rStyle w:val="InternetLink"/>
                  <w:rFonts w:ascii="Times New Roman" w:hAnsi="Times New Roman"/>
                  <w:color w:val="0000FF"/>
                  <w:sz w:val="17"/>
                  <w:u w:val="single"/>
                </w:rPr>
                <w:t>15.2</w:t>
              </w:r>
            </w:hyperlink>
          </w:p>
        </w:tc>
        <w:tc>
          <w:tcPr>
            <w:tcW w:w="8331" w:type="dxa"/>
            <w:gridSpan w:val="3"/>
            <w:tcBorders/>
            <w:shd w:fill="auto" w:val="clear"/>
          </w:tcPr>
          <w:p>
            <w:pPr>
              <w:pStyle w:val="TableContents"/>
              <w:spacing w:before="0" w:after="0"/>
              <w:ind w:left="0" w:right="0" w:hanging="0"/>
              <w:rPr/>
            </w:pPr>
            <w:hyperlink w:anchor="a15_2_223605">
              <w:r>
                <w:rPr>
                  <w:rStyle w:val="InternetLink"/>
                  <w:rFonts w:ascii="Times New Roman" w:hAnsi="Times New Roman"/>
                  <w:color w:val="0000FF"/>
                  <w:sz w:val="17"/>
                  <w:u w:val="single"/>
                </w:rPr>
                <w:t>Amendment</w:t>
              </w:r>
            </w:hyperlink>
          </w:p>
        </w:tc>
        <w:tc>
          <w:tcPr>
            <w:tcW w:w="730" w:type="dxa"/>
            <w:tcBorders/>
            <w:shd w:fill="auto" w:val="clear"/>
          </w:tcPr>
          <w:p>
            <w:pPr>
              <w:pStyle w:val="TableContents"/>
              <w:spacing w:before="0" w:after="0"/>
              <w:ind w:left="0" w:right="0" w:hanging="0"/>
              <w:jc w:val="right"/>
              <w:rPr/>
            </w:pPr>
            <w:r>
              <w:rPr/>
              <w:t> </w:t>
            </w:r>
          </w:p>
        </w:tc>
      </w:tr>
      <w:tr>
        <w:trPr/>
        <w:tc>
          <w:tcPr>
            <w:tcW w:w="1144" w:type="dxa"/>
            <w:tcBorders/>
            <w:shd w:fill="auto" w:val="clear"/>
          </w:tcPr>
          <w:p>
            <w:pPr>
              <w:pStyle w:val="TableContents"/>
              <w:spacing w:before="0" w:after="0"/>
              <w:ind w:left="0" w:right="0" w:hanging="0"/>
              <w:rPr/>
            </w:pPr>
            <w:hyperlink w:anchor="a15_3_223609">
              <w:r>
                <w:rPr>
                  <w:rStyle w:val="InternetLink"/>
                  <w:rFonts w:ascii="Times New Roman" w:hAnsi="Times New Roman"/>
                  <w:color w:val="0000FF"/>
                  <w:sz w:val="17"/>
                  <w:u w:val="single"/>
                </w:rPr>
                <w:t>15.3</w:t>
              </w:r>
            </w:hyperlink>
          </w:p>
        </w:tc>
        <w:tc>
          <w:tcPr>
            <w:tcW w:w="8331" w:type="dxa"/>
            <w:gridSpan w:val="3"/>
            <w:tcBorders/>
            <w:shd w:fill="auto" w:val="clear"/>
          </w:tcPr>
          <w:p>
            <w:pPr>
              <w:pStyle w:val="TableContents"/>
              <w:spacing w:before="0" w:after="0"/>
              <w:ind w:left="0" w:right="0" w:hanging="0"/>
              <w:rPr/>
            </w:pPr>
            <w:hyperlink w:anchor="a15_3_223609">
              <w:r>
                <w:rPr>
                  <w:rStyle w:val="InternetLink"/>
                  <w:rFonts w:ascii="Times New Roman" w:hAnsi="Times New Roman"/>
                  <w:color w:val="0000FF"/>
                  <w:sz w:val="17"/>
                  <w:u w:val="single"/>
                </w:rPr>
                <w:t>No Third Party Rights</w:t>
              </w:r>
            </w:hyperlink>
          </w:p>
        </w:tc>
        <w:tc>
          <w:tcPr>
            <w:tcW w:w="730" w:type="dxa"/>
            <w:tcBorders/>
            <w:shd w:fill="auto" w:val="clear"/>
          </w:tcPr>
          <w:p>
            <w:pPr>
              <w:pStyle w:val="TableContents"/>
              <w:spacing w:before="0" w:after="0"/>
              <w:ind w:left="0" w:right="0" w:hanging="0"/>
              <w:jc w:val="right"/>
              <w:rPr/>
            </w:pPr>
            <w:r>
              <w:rPr/>
              <w:t> </w:t>
            </w:r>
          </w:p>
        </w:tc>
      </w:tr>
      <w:tr>
        <w:trPr/>
        <w:tc>
          <w:tcPr>
            <w:tcW w:w="1144" w:type="dxa"/>
            <w:tcBorders/>
            <w:shd w:fill="auto" w:val="clear"/>
          </w:tcPr>
          <w:p>
            <w:pPr>
              <w:pStyle w:val="TableContents"/>
              <w:spacing w:before="0" w:after="0"/>
              <w:ind w:left="0" w:right="0" w:hanging="0"/>
              <w:rPr/>
            </w:pPr>
            <w:hyperlink w:anchor="a15_4_223610">
              <w:r>
                <w:rPr>
                  <w:rStyle w:val="InternetLink"/>
                  <w:rFonts w:ascii="Times New Roman" w:hAnsi="Times New Roman"/>
                  <w:color w:val="0000FF"/>
                  <w:sz w:val="17"/>
                  <w:u w:val="single"/>
                </w:rPr>
                <w:t>15.4</w:t>
              </w:r>
            </w:hyperlink>
          </w:p>
        </w:tc>
        <w:tc>
          <w:tcPr>
            <w:tcW w:w="8331" w:type="dxa"/>
            <w:gridSpan w:val="3"/>
            <w:tcBorders/>
            <w:shd w:fill="auto" w:val="clear"/>
          </w:tcPr>
          <w:p>
            <w:pPr>
              <w:pStyle w:val="TableContents"/>
              <w:spacing w:before="0" w:after="0"/>
              <w:ind w:left="0" w:right="0" w:hanging="0"/>
              <w:rPr/>
            </w:pPr>
            <w:hyperlink w:anchor="a15_4_223610">
              <w:r>
                <w:rPr>
                  <w:rStyle w:val="InternetLink"/>
                  <w:rFonts w:ascii="Times New Roman" w:hAnsi="Times New Roman"/>
                  <w:color w:val="0000FF"/>
                  <w:sz w:val="17"/>
                  <w:u w:val="single"/>
                </w:rPr>
                <w:t>Severability</w:t>
              </w:r>
            </w:hyperlink>
          </w:p>
        </w:tc>
        <w:tc>
          <w:tcPr>
            <w:tcW w:w="730" w:type="dxa"/>
            <w:tcBorders/>
            <w:shd w:fill="auto" w:val="clear"/>
          </w:tcPr>
          <w:p>
            <w:pPr>
              <w:pStyle w:val="TableContents"/>
              <w:spacing w:before="0" w:after="0"/>
              <w:ind w:left="0" w:right="0" w:hanging="0"/>
              <w:jc w:val="right"/>
              <w:rPr/>
            </w:pPr>
            <w:r>
              <w:rPr/>
              <w:t> </w:t>
            </w:r>
          </w:p>
        </w:tc>
      </w:tr>
      <w:tr>
        <w:trPr/>
        <w:tc>
          <w:tcPr>
            <w:tcW w:w="1144" w:type="dxa"/>
            <w:tcBorders/>
            <w:shd w:fill="auto" w:val="clear"/>
          </w:tcPr>
          <w:p>
            <w:pPr>
              <w:pStyle w:val="TableContents"/>
              <w:spacing w:before="0" w:after="0"/>
              <w:ind w:left="0" w:right="0" w:hanging="0"/>
              <w:rPr/>
            </w:pPr>
            <w:hyperlink w:anchor="a15_5_223611">
              <w:r>
                <w:rPr>
                  <w:rStyle w:val="InternetLink"/>
                  <w:rFonts w:ascii="Times New Roman" w:hAnsi="Times New Roman"/>
                  <w:color w:val="0000FF"/>
                  <w:sz w:val="17"/>
                  <w:u w:val="single"/>
                </w:rPr>
                <w:t>15.5</w:t>
              </w:r>
            </w:hyperlink>
          </w:p>
        </w:tc>
        <w:tc>
          <w:tcPr>
            <w:tcW w:w="8331" w:type="dxa"/>
            <w:gridSpan w:val="3"/>
            <w:tcBorders/>
            <w:shd w:fill="auto" w:val="clear"/>
          </w:tcPr>
          <w:p>
            <w:pPr>
              <w:pStyle w:val="TableContents"/>
              <w:spacing w:before="0" w:after="0"/>
              <w:ind w:left="0" w:right="0" w:hanging="0"/>
              <w:rPr/>
            </w:pPr>
            <w:hyperlink w:anchor="a15_5_223611">
              <w:r>
                <w:rPr>
                  <w:rStyle w:val="InternetLink"/>
                  <w:rFonts w:ascii="Times New Roman" w:hAnsi="Times New Roman"/>
                  <w:color w:val="0000FF"/>
                  <w:sz w:val="17"/>
                  <w:u w:val="single"/>
                </w:rPr>
                <w:t>Nature of Interest in the Company</w:t>
              </w:r>
            </w:hyperlink>
          </w:p>
        </w:tc>
        <w:tc>
          <w:tcPr>
            <w:tcW w:w="730" w:type="dxa"/>
            <w:tcBorders/>
            <w:shd w:fill="auto" w:val="clear"/>
          </w:tcPr>
          <w:p>
            <w:pPr>
              <w:pStyle w:val="TableContents"/>
              <w:spacing w:before="0" w:after="0"/>
              <w:ind w:left="0" w:right="0" w:hanging="0"/>
              <w:jc w:val="right"/>
              <w:rPr/>
            </w:pPr>
            <w:r>
              <w:rPr/>
              <w:t> </w:t>
            </w:r>
          </w:p>
        </w:tc>
      </w:tr>
      <w:tr>
        <w:trPr/>
        <w:tc>
          <w:tcPr>
            <w:tcW w:w="1144" w:type="dxa"/>
            <w:tcBorders/>
            <w:shd w:fill="auto" w:val="clear"/>
          </w:tcPr>
          <w:p>
            <w:pPr>
              <w:pStyle w:val="TableContents"/>
              <w:spacing w:before="0" w:after="0"/>
              <w:ind w:left="0" w:right="0" w:hanging="0"/>
              <w:rPr/>
            </w:pPr>
            <w:hyperlink w:anchor="a15_6_223613">
              <w:r>
                <w:rPr>
                  <w:rStyle w:val="InternetLink"/>
                  <w:rFonts w:ascii="Times New Roman" w:hAnsi="Times New Roman"/>
                  <w:color w:val="0000FF"/>
                  <w:sz w:val="17"/>
                  <w:u w:val="single"/>
                </w:rPr>
                <w:t>15.6</w:t>
              </w:r>
            </w:hyperlink>
          </w:p>
        </w:tc>
        <w:tc>
          <w:tcPr>
            <w:tcW w:w="8331" w:type="dxa"/>
            <w:gridSpan w:val="3"/>
            <w:tcBorders/>
            <w:shd w:fill="auto" w:val="clear"/>
          </w:tcPr>
          <w:p>
            <w:pPr>
              <w:pStyle w:val="TableContents"/>
              <w:spacing w:before="0" w:after="0"/>
              <w:ind w:left="0" w:right="0" w:hanging="0"/>
              <w:rPr/>
            </w:pPr>
            <w:hyperlink w:anchor="a15_6_223613">
              <w:r>
                <w:rPr>
                  <w:rStyle w:val="InternetLink"/>
                  <w:rFonts w:ascii="Times New Roman" w:hAnsi="Times New Roman"/>
                  <w:color w:val="0000FF"/>
                  <w:sz w:val="17"/>
                  <w:u w:val="single"/>
                </w:rPr>
                <w:t>Binding Agreement</w:t>
              </w:r>
            </w:hyperlink>
          </w:p>
        </w:tc>
        <w:tc>
          <w:tcPr>
            <w:tcW w:w="730" w:type="dxa"/>
            <w:tcBorders/>
            <w:shd w:fill="auto" w:val="clear"/>
          </w:tcPr>
          <w:p>
            <w:pPr>
              <w:pStyle w:val="TableContents"/>
              <w:spacing w:before="0" w:after="0"/>
              <w:ind w:left="0" w:right="0" w:hanging="0"/>
              <w:jc w:val="right"/>
              <w:rPr/>
            </w:pPr>
            <w:r>
              <w:rPr/>
              <w:t> </w:t>
            </w:r>
          </w:p>
        </w:tc>
      </w:tr>
      <w:tr>
        <w:trPr/>
        <w:tc>
          <w:tcPr>
            <w:tcW w:w="1144" w:type="dxa"/>
            <w:tcBorders/>
            <w:shd w:fill="auto" w:val="clear"/>
          </w:tcPr>
          <w:p>
            <w:pPr>
              <w:pStyle w:val="TableContents"/>
              <w:spacing w:before="0" w:after="0"/>
              <w:ind w:left="0" w:right="0" w:hanging="0"/>
              <w:rPr/>
            </w:pPr>
            <w:hyperlink w:anchor="a15_7_223616">
              <w:r>
                <w:rPr>
                  <w:rStyle w:val="InternetLink"/>
                  <w:rFonts w:ascii="Times New Roman" w:hAnsi="Times New Roman"/>
                  <w:color w:val="0000FF"/>
                  <w:sz w:val="17"/>
                  <w:u w:val="single"/>
                </w:rPr>
                <w:t>15.7</w:t>
              </w:r>
            </w:hyperlink>
          </w:p>
        </w:tc>
        <w:tc>
          <w:tcPr>
            <w:tcW w:w="8331" w:type="dxa"/>
            <w:gridSpan w:val="3"/>
            <w:tcBorders/>
            <w:shd w:fill="auto" w:val="clear"/>
          </w:tcPr>
          <w:p>
            <w:pPr>
              <w:pStyle w:val="TableContents"/>
              <w:spacing w:before="0" w:after="0"/>
              <w:ind w:left="0" w:right="0" w:hanging="0"/>
              <w:rPr/>
            </w:pPr>
            <w:hyperlink w:anchor="a15_7_223616">
              <w:r>
                <w:rPr>
                  <w:rStyle w:val="InternetLink"/>
                  <w:rFonts w:ascii="Times New Roman" w:hAnsi="Times New Roman"/>
                  <w:color w:val="0000FF"/>
                  <w:sz w:val="17"/>
                  <w:u w:val="single"/>
                </w:rPr>
                <w:t>Headings</w:t>
              </w:r>
            </w:hyperlink>
          </w:p>
        </w:tc>
        <w:tc>
          <w:tcPr>
            <w:tcW w:w="730" w:type="dxa"/>
            <w:tcBorders/>
            <w:shd w:fill="auto" w:val="clear"/>
          </w:tcPr>
          <w:p>
            <w:pPr>
              <w:pStyle w:val="TableContents"/>
              <w:spacing w:before="0" w:after="0"/>
              <w:ind w:left="0" w:right="0" w:hanging="0"/>
              <w:jc w:val="right"/>
              <w:rPr/>
            </w:pPr>
            <w:r>
              <w:rPr/>
              <w:t> </w:t>
            </w:r>
          </w:p>
        </w:tc>
      </w:tr>
      <w:tr>
        <w:trPr/>
        <w:tc>
          <w:tcPr>
            <w:tcW w:w="1144" w:type="dxa"/>
            <w:tcBorders/>
            <w:shd w:fill="auto" w:val="clear"/>
          </w:tcPr>
          <w:p>
            <w:pPr>
              <w:pStyle w:val="TableContents"/>
              <w:spacing w:before="0" w:after="0"/>
              <w:ind w:left="0" w:right="0" w:hanging="0"/>
              <w:rPr/>
            </w:pPr>
            <w:hyperlink w:anchor="a15_8_223618">
              <w:r>
                <w:rPr>
                  <w:rStyle w:val="InternetLink"/>
                  <w:rFonts w:ascii="Times New Roman" w:hAnsi="Times New Roman"/>
                  <w:color w:val="0000FF"/>
                  <w:sz w:val="17"/>
                  <w:u w:val="single"/>
                </w:rPr>
                <w:t>15.8</w:t>
              </w:r>
            </w:hyperlink>
          </w:p>
        </w:tc>
        <w:tc>
          <w:tcPr>
            <w:tcW w:w="8331" w:type="dxa"/>
            <w:gridSpan w:val="3"/>
            <w:tcBorders/>
            <w:shd w:fill="auto" w:val="clear"/>
          </w:tcPr>
          <w:p>
            <w:pPr>
              <w:pStyle w:val="TableContents"/>
              <w:spacing w:before="0" w:after="0"/>
              <w:ind w:left="0" w:right="0" w:hanging="0"/>
              <w:rPr/>
            </w:pPr>
            <w:hyperlink w:anchor="a15_8_223618">
              <w:r>
                <w:rPr>
                  <w:rStyle w:val="InternetLink"/>
                  <w:rFonts w:ascii="Times New Roman" w:hAnsi="Times New Roman"/>
                  <w:color w:val="0000FF"/>
                  <w:sz w:val="17"/>
                  <w:u w:val="single"/>
                </w:rPr>
                <w:t>Word Meanings</w:t>
              </w:r>
            </w:hyperlink>
          </w:p>
        </w:tc>
        <w:tc>
          <w:tcPr>
            <w:tcW w:w="730" w:type="dxa"/>
            <w:tcBorders/>
            <w:shd w:fill="auto" w:val="clear"/>
          </w:tcPr>
          <w:p>
            <w:pPr>
              <w:pStyle w:val="TableContents"/>
              <w:spacing w:before="0" w:after="0"/>
              <w:ind w:left="0" w:right="0" w:hanging="0"/>
              <w:jc w:val="right"/>
              <w:rPr/>
            </w:pPr>
            <w:r>
              <w:rPr/>
              <w:t> </w:t>
            </w:r>
          </w:p>
        </w:tc>
      </w:tr>
      <w:tr>
        <w:trPr/>
        <w:tc>
          <w:tcPr>
            <w:tcW w:w="1144" w:type="dxa"/>
            <w:tcBorders/>
            <w:shd w:fill="auto" w:val="clear"/>
          </w:tcPr>
          <w:p>
            <w:pPr>
              <w:pStyle w:val="TableContents"/>
              <w:spacing w:before="0" w:after="0"/>
              <w:ind w:left="0" w:right="0" w:hanging="0"/>
              <w:rPr/>
            </w:pPr>
            <w:hyperlink w:anchor="a15_9_223619">
              <w:r>
                <w:rPr>
                  <w:rStyle w:val="InternetLink"/>
                  <w:rFonts w:ascii="Times New Roman" w:hAnsi="Times New Roman"/>
                  <w:color w:val="0000FF"/>
                  <w:sz w:val="17"/>
                  <w:u w:val="single"/>
                </w:rPr>
                <w:t>15.9</w:t>
              </w:r>
            </w:hyperlink>
          </w:p>
        </w:tc>
        <w:tc>
          <w:tcPr>
            <w:tcW w:w="8331" w:type="dxa"/>
            <w:gridSpan w:val="3"/>
            <w:tcBorders/>
            <w:shd w:fill="auto" w:val="clear"/>
          </w:tcPr>
          <w:p>
            <w:pPr>
              <w:pStyle w:val="TableContents"/>
              <w:spacing w:before="0" w:after="0"/>
              <w:ind w:left="0" w:right="0" w:hanging="0"/>
              <w:rPr/>
            </w:pPr>
            <w:hyperlink w:anchor="a15_9_223619">
              <w:r>
                <w:rPr>
                  <w:rStyle w:val="InternetLink"/>
                  <w:rFonts w:ascii="Times New Roman" w:hAnsi="Times New Roman"/>
                  <w:color w:val="0000FF"/>
                  <w:sz w:val="17"/>
                  <w:u w:val="single"/>
                </w:rPr>
                <w:t>Counterparts</w:t>
              </w:r>
            </w:hyperlink>
          </w:p>
        </w:tc>
        <w:tc>
          <w:tcPr>
            <w:tcW w:w="730" w:type="dxa"/>
            <w:tcBorders/>
            <w:shd w:fill="auto" w:val="clear"/>
          </w:tcPr>
          <w:p>
            <w:pPr>
              <w:pStyle w:val="TableContents"/>
              <w:spacing w:before="0" w:after="0"/>
              <w:ind w:left="0" w:right="0" w:hanging="0"/>
              <w:jc w:val="right"/>
              <w:rPr/>
            </w:pPr>
            <w:r>
              <w:rPr/>
              <w:t> </w:t>
            </w:r>
          </w:p>
        </w:tc>
      </w:tr>
      <w:tr>
        <w:trPr/>
        <w:tc>
          <w:tcPr>
            <w:tcW w:w="1144" w:type="dxa"/>
            <w:tcBorders/>
            <w:shd w:fill="auto" w:val="clear"/>
          </w:tcPr>
          <w:p>
            <w:pPr>
              <w:pStyle w:val="TableContents"/>
              <w:spacing w:before="0" w:after="0"/>
              <w:ind w:left="0" w:right="0" w:hanging="0"/>
              <w:rPr/>
            </w:pPr>
            <w:hyperlink w:anchor="a15_10_223621">
              <w:r>
                <w:rPr>
                  <w:rStyle w:val="InternetLink"/>
                  <w:rFonts w:ascii="Times New Roman" w:hAnsi="Times New Roman"/>
                  <w:color w:val="0000FF"/>
                  <w:sz w:val="17"/>
                  <w:u w:val="single"/>
                </w:rPr>
                <w:t>15.10</w:t>
              </w:r>
            </w:hyperlink>
          </w:p>
        </w:tc>
        <w:tc>
          <w:tcPr>
            <w:tcW w:w="8331" w:type="dxa"/>
            <w:gridSpan w:val="3"/>
            <w:tcBorders/>
            <w:shd w:fill="auto" w:val="clear"/>
          </w:tcPr>
          <w:p>
            <w:pPr>
              <w:pStyle w:val="TableContents"/>
              <w:spacing w:before="0" w:after="0"/>
              <w:ind w:left="0" w:right="0" w:hanging="0"/>
              <w:rPr/>
            </w:pPr>
            <w:hyperlink w:anchor="a15_10_223621">
              <w:r>
                <w:rPr>
                  <w:rStyle w:val="InternetLink"/>
                  <w:rFonts w:ascii="Times New Roman" w:hAnsi="Times New Roman"/>
                  <w:color w:val="0000FF"/>
                  <w:sz w:val="17"/>
                  <w:u w:val="single"/>
                </w:rPr>
                <w:t>Entire Agreement</w:t>
              </w:r>
            </w:hyperlink>
          </w:p>
        </w:tc>
        <w:tc>
          <w:tcPr>
            <w:tcW w:w="730" w:type="dxa"/>
            <w:tcBorders/>
            <w:shd w:fill="auto" w:val="clear"/>
          </w:tcPr>
          <w:p>
            <w:pPr>
              <w:pStyle w:val="TableContents"/>
              <w:spacing w:before="0" w:after="0"/>
              <w:ind w:left="0" w:right="0" w:hanging="0"/>
              <w:jc w:val="right"/>
              <w:rPr/>
            </w:pPr>
            <w:r>
              <w:rPr/>
              <w:t> </w:t>
            </w:r>
          </w:p>
        </w:tc>
      </w:tr>
      <w:tr>
        <w:trPr/>
        <w:tc>
          <w:tcPr>
            <w:tcW w:w="1144" w:type="dxa"/>
            <w:tcBorders/>
            <w:shd w:fill="auto" w:val="clear"/>
          </w:tcPr>
          <w:p>
            <w:pPr>
              <w:pStyle w:val="TableContents"/>
              <w:spacing w:before="0" w:after="0"/>
              <w:ind w:left="0" w:right="0" w:hanging="0"/>
              <w:rPr/>
            </w:pPr>
            <w:hyperlink w:anchor="a15_11_223623">
              <w:r>
                <w:rPr>
                  <w:rStyle w:val="InternetLink"/>
                  <w:rFonts w:ascii="Times New Roman" w:hAnsi="Times New Roman"/>
                  <w:color w:val="0000FF"/>
                  <w:sz w:val="17"/>
                  <w:u w:val="single"/>
                </w:rPr>
                <w:t>15.11</w:t>
              </w:r>
            </w:hyperlink>
          </w:p>
        </w:tc>
        <w:tc>
          <w:tcPr>
            <w:tcW w:w="8331" w:type="dxa"/>
            <w:gridSpan w:val="3"/>
            <w:tcBorders/>
            <w:shd w:fill="auto" w:val="clear"/>
          </w:tcPr>
          <w:p>
            <w:pPr>
              <w:pStyle w:val="TableContents"/>
              <w:spacing w:before="0" w:after="0"/>
              <w:ind w:left="0" w:right="0" w:hanging="0"/>
              <w:rPr/>
            </w:pPr>
            <w:hyperlink w:anchor="a15_11_223623">
              <w:r>
                <w:rPr>
                  <w:rStyle w:val="InternetLink"/>
                  <w:rFonts w:ascii="Times New Roman" w:hAnsi="Times New Roman"/>
                  <w:color w:val="0000FF"/>
                  <w:sz w:val="17"/>
                  <w:u w:val="single"/>
                </w:rPr>
                <w:t>Partition</w:t>
              </w:r>
            </w:hyperlink>
          </w:p>
        </w:tc>
        <w:tc>
          <w:tcPr>
            <w:tcW w:w="730" w:type="dxa"/>
            <w:tcBorders/>
            <w:shd w:fill="auto" w:val="clear"/>
          </w:tcPr>
          <w:p>
            <w:pPr>
              <w:pStyle w:val="TableContents"/>
              <w:spacing w:before="0" w:after="0"/>
              <w:ind w:left="0" w:right="0" w:hanging="0"/>
              <w:jc w:val="right"/>
              <w:rPr/>
            </w:pPr>
            <w:r>
              <w:rPr/>
              <w:t> </w:t>
            </w:r>
          </w:p>
        </w:tc>
      </w:tr>
      <w:tr>
        <w:trPr/>
        <w:tc>
          <w:tcPr>
            <w:tcW w:w="1144" w:type="dxa"/>
            <w:tcBorders/>
            <w:shd w:fill="auto" w:val="clear"/>
          </w:tcPr>
          <w:p>
            <w:pPr>
              <w:pStyle w:val="TableContents"/>
              <w:spacing w:before="0" w:after="0"/>
              <w:ind w:left="0" w:right="0" w:hanging="0"/>
              <w:rPr/>
            </w:pPr>
            <w:hyperlink w:anchor="a15_12_223625">
              <w:r>
                <w:rPr>
                  <w:rStyle w:val="InternetLink"/>
                  <w:rFonts w:ascii="Times New Roman" w:hAnsi="Times New Roman"/>
                  <w:color w:val="0000FF"/>
                  <w:sz w:val="17"/>
                  <w:u w:val="single"/>
                </w:rPr>
                <w:t>15.12</w:t>
              </w:r>
            </w:hyperlink>
          </w:p>
        </w:tc>
        <w:tc>
          <w:tcPr>
            <w:tcW w:w="8331" w:type="dxa"/>
            <w:gridSpan w:val="3"/>
            <w:tcBorders/>
            <w:shd w:fill="auto" w:val="clear"/>
          </w:tcPr>
          <w:p>
            <w:pPr>
              <w:pStyle w:val="TableContents"/>
              <w:spacing w:before="0" w:after="0"/>
              <w:ind w:left="0" w:right="0" w:hanging="0"/>
              <w:rPr/>
            </w:pPr>
            <w:hyperlink w:anchor="a15_12_223625">
              <w:r>
                <w:rPr>
                  <w:rStyle w:val="InternetLink"/>
                  <w:rFonts w:ascii="Times New Roman" w:hAnsi="Times New Roman"/>
                  <w:color w:val="0000FF"/>
                  <w:sz w:val="17"/>
                  <w:u w:val="single"/>
                </w:rPr>
                <w:t>Governing Law; Consent to Jurisdiction and Venue</w:t>
              </w:r>
            </w:hyperlink>
          </w:p>
        </w:tc>
        <w:tc>
          <w:tcPr>
            <w:tcW w:w="730" w:type="dxa"/>
            <w:tcBorders/>
            <w:shd w:fill="auto" w:val="clear"/>
          </w:tcPr>
          <w:p>
            <w:pPr>
              <w:pStyle w:val="TableContents"/>
              <w:spacing w:before="0" w:after="0"/>
              <w:ind w:left="0" w:right="0" w:hanging="0"/>
              <w:jc w:val="right"/>
              <w:rPr/>
            </w:pPr>
            <w:r>
              <w:rPr/>
              <w:t> </w:t>
            </w:r>
          </w:p>
        </w:tc>
      </w:tr>
      <w:tr>
        <w:trPr/>
        <w:tc>
          <w:tcPr>
            <w:tcW w:w="1144" w:type="dxa"/>
            <w:tcBorders/>
            <w:shd w:fill="auto" w:val="clear"/>
          </w:tcPr>
          <w:p>
            <w:pPr>
              <w:pStyle w:val="TableContents"/>
              <w:spacing w:before="0" w:after="0"/>
              <w:ind w:left="0" w:right="0" w:hanging="0"/>
              <w:rPr/>
            </w:pPr>
            <w:r>
              <w:rPr/>
              <w:t> </w:t>
            </w:r>
          </w:p>
        </w:tc>
        <w:tc>
          <w:tcPr>
            <w:tcW w:w="8331" w:type="dxa"/>
            <w:gridSpan w:val="3"/>
            <w:tcBorders/>
            <w:shd w:fill="auto" w:val="clear"/>
          </w:tcPr>
          <w:p>
            <w:pPr>
              <w:pStyle w:val="TableContents"/>
              <w:spacing w:before="0" w:after="0"/>
              <w:ind w:left="0" w:right="0" w:hanging="0"/>
              <w:rPr/>
            </w:pPr>
            <w:r>
              <w:rPr/>
              <w:t> </w:t>
            </w:r>
          </w:p>
        </w:tc>
        <w:tc>
          <w:tcPr>
            <w:tcW w:w="730" w:type="dxa"/>
            <w:tcBorders/>
            <w:shd w:fill="auto" w:val="clear"/>
          </w:tcPr>
          <w:p>
            <w:pPr>
              <w:pStyle w:val="TableContents"/>
              <w:spacing w:before="0" w:after="0"/>
              <w:ind w:left="0" w:right="0" w:hanging="0"/>
              <w:jc w:val="right"/>
              <w:rPr/>
            </w:pPr>
            <w:r>
              <w:rPr/>
              <w:t> </w:t>
            </w:r>
          </w:p>
        </w:tc>
      </w:tr>
      <w:tr>
        <w:trPr/>
        <w:tc>
          <w:tcPr>
            <w:tcW w:w="1144" w:type="dxa"/>
            <w:tcBorders/>
            <w:shd w:fill="auto" w:val="clear"/>
          </w:tcPr>
          <w:p>
            <w:pPr>
              <w:pStyle w:val="TableContents"/>
              <w:spacing w:before="0" w:after="0"/>
              <w:ind w:left="0" w:right="0" w:hanging="0"/>
              <w:rPr>
                <w:rFonts w:ascii="Times New Roman" w:hAnsi="Times New Roman"/>
                <w:sz w:val="17"/>
                <w:u w:val="single"/>
              </w:rPr>
            </w:pPr>
            <w:r>
              <w:rPr>
                <w:rFonts w:ascii="Times New Roman" w:hAnsi="Times New Roman"/>
                <w:sz w:val="17"/>
                <w:u w:val="single"/>
              </w:rPr>
              <w:t>Schedules</w:t>
            </w:r>
          </w:p>
        </w:tc>
        <w:tc>
          <w:tcPr>
            <w:tcW w:w="8331" w:type="dxa"/>
            <w:gridSpan w:val="3"/>
            <w:tcBorders/>
            <w:shd w:fill="auto" w:val="clear"/>
          </w:tcPr>
          <w:p>
            <w:pPr>
              <w:pStyle w:val="TableContents"/>
              <w:spacing w:before="0" w:after="0"/>
              <w:ind w:left="0" w:right="0" w:hanging="0"/>
              <w:rPr/>
            </w:pPr>
            <w:r>
              <w:rPr/>
              <w:t> </w:t>
            </w:r>
          </w:p>
        </w:tc>
        <w:tc>
          <w:tcPr>
            <w:tcW w:w="730" w:type="dxa"/>
            <w:tcBorders/>
            <w:shd w:fill="auto" w:val="clear"/>
          </w:tcPr>
          <w:p>
            <w:pPr>
              <w:pStyle w:val="TableContents"/>
              <w:spacing w:before="0" w:after="0"/>
              <w:ind w:left="0" w:right="0" w:hanging="0"/>
              <w:jc w:val="right"/>
              <w:rPr/>
            </w:pPr>
            <w:r>
              <w:rPr/>
              <w:t> </w:t>
            </w:r>
          </w:p>
        </w:tc>
      </w:tr>
      <w:tr>
        <w:trPr/>
        <w:tc>
          <w:tcPr>
            <w:tcW w:w="9475" w:type="dxa"/>
            <w:gridSpan w:val="4"/>
            <w:tcBorders/>
            <w:shd w:fill="auto" w:val="clear"/>
          </w:tcPr>
          <w:p>
            <w:pPr>
              <w:pStyle w:val="TableContents"/>
              <w:spacing w:before="0" w:after="0"/>
              <w:ind w:left="0" w:right="0" w:hanging="0"/>
              <w:rPr/>
            </w:pPr>
            <w:r>
              <w:rPr/>
              <w:t> </w:t>
            </w:r>
          </w:p>
        </w:tc>
        <w:tc>
          <w:tcPr>
            <w:tcW w:w="730" w:type="dxa"/>
            <w:tcBorders/>
            <w:shd w:fill="auto" w:val="clear"/>
          </w:tcPr>
          <w:p>
            <w:pPr>
              <w:pStyle w:val="TableContents"/>
              <w:spacing w:before="0" w:after="0"/>
              <w:ind w:left="0" w:right="0" w:hanging="0"/>
              <w:jc w:val="right"/>
              <w:rPr/>
            </w:pPr>
            <w:r>
              <w:rPr/>
              <w:t> </w:t>
            </w:r>
          </w:p>
        </w:tc>
      </w:tr>
      <w:tr>
        <w:trPr/>
        <w:tc>
          <w:tcPr>
            <w:tcW w:w="1248" w:type="dxa"/>
            <w:gridSpan w:val="2"/>
            <w:tcBorders/>
            <w:shd w:fill="auto" w:val="clear"/>
          </w:tcPr>
          <w:p>
            <w:pPr>
              <w:pStyle w:val="TableContents"/>
              <w:spacing w:before="0" w:after="0"/>
              <w:ind w:left="0" w:right="0" w:hanging="0"/>
              <w:rPr/>
            </w:pPr>
            <w:hyperlink w:anchor="Schedule1_223639">
              <w:r>
                <w:rPr>
                  <w:rStyle w:val="InternetLink"/>
                  <w:rFonts w:ascii="Times New Roman" w:hAnsi="Times New Roman"/>
                  <w:sz w:val="17"/>
                </w:rPr>
                <w:t>Schedule 1</w:t>
              </w:r>
            </w:hyperlink>
          </w:p>
        </w:tc>
        <w:tc>
          <w:tcPr>
            <w:tcW w:w="312" w:type="dxa"/>
            <w:tcBorders/>
            <w:shd w:fill="auto" w:val="clear"/>
          </w:tcPr>
          <w:p>
            <w:pPr>
              <w:pStyle w:val="TableContents"/>
              <w:spacing w:before="0" w:after="0"/>
              <w:ind w:left="0" w:right="0" w:hanging="0"/>
              <w:rPr/>
            </w:pPr>
            <w:hyperlink w:anchor="Schedule1_223639">
              <w:r>
                <w:rPr>
                  <w:rStyle w:val="InternetLink"/>
                  <w:rFonts w:ascii="Times New Roman" w:hAnsi="Times New Roman"/>
                  <w:sz w:val="17"/>
                </w:rPr>
                <w:t>-</w:t>
              </w:r>
            </w:hyperlink>
          </w:p>
        </w:tc>
        <w:tc>
          <w:tcPr>
            <w:tcW w:w="7915" w:type="dxa"/>
            <w:tcBorders/>
            <w:shd w:fill="auto" w:val="clear"/>
          </w:tcPr>
          <w:p>
            <w:pPr>
              <w:pStyle w:val="TableContents"/>
              <w:spacing w:before="0" w:after="0"/>
              <w:ind w:left="0" w:right="0" w:hanging="0"/>
              <w:rPr/>
            </w:pPr>
            <w:hyperlink w:anchor="Schedule1_223639">
              <w:r>
                <w:rPr>
                  <w:rStyle w:val="InternetLink"/>
                  <w:rFonts w:ascii="Times New Roman" w:hAnsi="Times New Roman"/>
                  <w:sz w:val="17"/>
                </w:rPr>
                <w:t>Designated Projects</w:t>
              </w:r>
            </w:hyperlink>
          </w:p>
        </w:tc>
        <w:tc>
          <w:tcPr>
            <w:tcW w:w="730" w:type="dxa"/>
            <w:tcBorders/>
            <w:shd w:fill="auto" w:val="clear"/>
          </w:tcPr>
          <w:p>
            <w:pPr>
              <w:pStyle w:val="TableContents"/>
              <w:spacing w:before="0" w:after="0"/>
              <w:ind w:left="0" w:right="0" w:hanging="0"/>
              <w:jc w:val="right"/>
              <w:rPr/>
            </w:pPr>
            <w:r>
              <w:rPr/>
              <w:t> </w:t>
            </w:r>
          </w:p>
        </w:tc>
      </w:tr>
      <w:tr>
        <w:trPr/>
        <w:tc>
          <w:tcPr>
            <w:tcW w:w="1248" w:type="dxa"/>
            <w:gridSpan w:val="2"/>
            <w:tcBorders/>
            <w:shd w:fill="auto" w:val="clear"/>
          </w:tcPr>
          <w:p>
            <w:pPr>
              <w:pStyle w:val="TableContents"/>
              <w:spacing w:before="0" w:after="0"/>
              <w:ind w:left="0" w:right="0" w:hanging="0"/>
              <w:rPr/>
            </w:pPr>
            <w:hyperlink w:anchor="Schedule2_223641">
              <w:r>
                <w:rPr>
                  <w:rStyle w:val="InternetLink"/>
                  <w:rFonts w:ascii="Times New Roman" w:hAnsi="Times New Roman"/>
                  <w:sz w:val="17"/>
                </w:rPr>
                <w:t>Schedule 2</w:t>
              </w:r>
            </w:hyperlink>
          </w:p>
        </w:tc>
        <w:tc>
          <w:tcPr>
            <w:tcW w:w="312" w:type="dxa"/>
            <w:tcBorders/>
            <w:shd w:fill="auto" w:val="clear"/>
          </w:tcPr>
          <w:p>
            <w:pPr>
              <w:pStyle w:val="TableContents"/>
              <w:spacing w:before="0" w:after="0"/>
              <w:ind w:left="0" w:right="0" w:hanging="0"/>
              <w:rPr/>
            </w:pPr>
            <w:hyperlink w:anchor="Schedule2_223641">
              <w:r>
                <w:rPr>
                  <w:rStyle w:val="InternetLink"/>
                  <w:rFonts w:ascii="Times New Roman" w:hAnsi="Times New Roman"/>
                  <w:sz w:val="17"/>
                </w:rPr>
                <w:t>-</w:t>
              </w:r>
            </w:hyperlink>
          </w:p>
        </w:tc>
        <w:tc>
          <w:tcPr>
            <w:tcW w:w="7915" w:type="dxa"/>
            <w:tcBorders/>
            <w:shd w:fill="auto" w:val="clear"/>
          </w:tcPr>
          <w:p>
            <w:pPr>
              <w:pStyle w:val="TableContents"/>
              <w:spacing w:before="0" w:after="0"/>
              <w:ind w:left="0" w:right="0" w:hanging="0"/>
              <w:rPr/>
            </w:pPr>
            <w:hyperlink w:anchor="Schedule2_223641">
              <w:r>
                <w:rPr>
                  <w:rStyle w:val="InternetLink"/>
                  <w:rFonts w:ascii="Times New Roman" w:hAnsi="Times New Roman"/>
                  <w:sz w:val="17"/>
                </w:rPr>
                <w:t>Initial Approved Projects</w:t>
              </w:r>
            </w:hyperlink>
          </w:p>
        </w:tc>
        <w:tc>
          <w:tcPr>
            <w:tcW w:w="730" w:type="dxa"/>
            <w:tcBorders/>
            <w:shd w:fill="auto" w:val="clear"/>
          </w:tcPr>
          <w:p>
            <w:pPr>
              <w:pStyle w:val="TableContents"/>
              <w:spacing w:before="0" w:after="0"/>
              <w:ind w:left="0" w:right="0" w:hanging="0"/>
              <w:jc w:val="right"/>
              <w:rPr/>
            </w:pPr>
            <w:r>
              <w:rPr/>
              <w:t> </w:t>
            </w:r>
          </w:p>
        </w:tc>
      </w:tr>
      <w:tr>
        <w:trPr/>
        <w:tc>
          <w:tcPr>
            <w:tcW w:w="1248" w:type="dxa"/>
            <w:gridSpan w:val="2"/>
            <w:tcBorders/>
            <w:shd w:fill="auto" w:val="clear"/>
          </w:tcPr>
          <w:p>
            <w:pPr>
              <w:pStyle w:val="TableContents"/>
              <w:spacing w:before="0" w:after="0"/>
              <w:ind w:left="0" w:right="0" w:hanging="0"/>
              <w:rPr/>
            </w:pPr>
            <w:hyperlink w:anchor="Schedule3_1_223644">
              <w:r>
                <w:rPr>
                  <w:rStyle w:val="InternetLink"/>
                  <w:rFonts w:ascii="Times New Roman" w:hAnsi="Times New Roman"/>
                  <w:sz w:val="17"/>
                </w:rPr>
                <w:t>Schedule 3.1</w:t>
              </w:r>
            </w:hyperlink>
          </w:p>
        </w:tc>
        <w:tc>
          <w:tcPr>
            <w:tcW w:w="312" w:type="dxa"/>
            <w:tcBorders/>
            <w:shd w:fill="auto" w:val="clear"/>
          </w:tcPr>
          <w:p>
            <w:pPr>
              <w:pStyle w:val="TableContents"/>
              <w:spacing w:before="0" w:after="0"/>
              <w:ind w:left="0" w:right="0" w:hanging="0"/>
              <w:rPr/>
            </w:pPr>
            <w:hyperlink w:anchor="Schedule3_1_223644">
              <w:r>
                <w:rPr>
                  <w:rStyle w:val="InternetLink"/>
                  <w:rFonts w:ascii="Times New Roman" w:hAnsi="Times New Roman"/>
                  <w:sz w:val="17"/>
                </w:rPr>
                <w:t>-</w:t>
              </w:r>
            </w:hyperlink>
          </w:p>
        </w:tc>
        <w:tc>
          <w:tcPr>
            <w:tcW w:w="7915" w:type="dxa"/>
            <w:tcBorders/>
            <w:shd w:fill="auto" w:val="clear"/>
          </w:tcPr>
          <w:p>
            <w:pPr>
              <w:pStyle w:val="TableContents"/>
              <w:spacing w:before="0" w:after="0"/>
              <w:ind w:left="0" w:right="0" w:hanging="0"/>
              <w:rPr/>
            </w:pPr>
            <w:hyperlink w:anchor="Schedule3_1_223644">
              <w:r>
                <w:rPr>
                  <w:rStyle w:val="InternetLink"/>
                  <w:rFonts w:ascii="Times New Roman" w:hAnsi="Times New Roman"/>
                  <w:sz w:val="17"/>
                </w:rPr>
                <w:t>Members, Capital Contributions and Percentage Interests</w:t>
              </w:r>
            </w:hyperlink>
          </w:p>
        </w:tc>
        <w:tc>
          <w:tcPr>
            <w:tcW w:w="730" w:type="dxa"/>
            <w:tcBorders/>
            <w:shd w:fill="auto" w:val="clear"/>
          </w:tcPr>
          <w:p>
            <w:pPr>
              <w:pStyle w:val="TableContents"/>
              <w:spacing w:before="0" w:after="0"/>
              <w:ind w:left="0" w:right="0" w:hanging="0"/>
              <w:jc w:val="right"/>
              <w:rPr/>
            </w:pPr>
            <w:r>
              <w:rPr/>
              <w:t> </w:t>
            </w:r>
          </w:p>
        </w:tc>
      </w:tr>
      <w:tr>
        <w:trPr/>
        <w:tc>
          <w:tcPr>
            <w:tcW w:w="1248" w:type="dxa"/>
            <w:gridSpan w:val="2"/>
            <w:tcBorders/>
            <w:shd w:fill="auto" w:val="clear"/>
          </w:tcPr>
          <w:p>
            <w:pPr>
              <w:pStyle w:val="TableContents"/>
              <w:spacing w:before="0" w:after="0"/>
              <w:ind w:left="0" w:right="0" w:hanging="0"/>
              <w:rPr/>
            </w:pPr>
            <w:hyperlink w:anchor="Schedule7_3_223647">
              <w:r>
                <w:rPr>
                  <w:rStyle w:val="InternetLink"/>
                  <w:rFonts w:ascii="Times New Roman" w:hAnsi="Times New Roman"/>
                  <w:sz w:val="17"/>
                </w:rPr>
                <w:t>Schedule 7.3</w:t>
              </w:r>
            </w:hyperlink>
          </w:p>
        </w:tc>
        <w:tc>
          <w:tcPr>
            <w:tcW w:w="312" w:type="dxa"/>
            <w:tcBorders/>
            <w:shd w:fill="auto" w:val="clear"/>
          </w:tcPr>
          <w:p>
            <w:pPr>
              <w:pStyle w:val="TableContents"/>
              <w:spacing w:before="0" w:after="0"/>
              <w:ind w:left="0" w:right="0" w:hanging="0"/>
              <w:rPr/>
            </w:pPr>
            <w:hyperlink w:anchor="Schedule7_3_223647">
              <w:r>
                <w:rPr>
                  <w:rStyle w:val="InternetLink"/>
                  <w:rFonts w:ascii="Times New Roman" w:hAnsi="Times New Roman"/>
                  <w:sz w:val="17"/>
                </w:rPr>
                <w:t>-</w:t>
              </w:r>
            </w:hyperlink>
          </w:p>
        </w:tc>
        <w:tc>
          <w:tcPr>
            <w:tcW w:w="7915" w:type="dxa"/>
            <w:tcBorders/>
            <w:shd w:fill="auto" w:val="clear"/>
          </w:tcPr>
          <w:p>
            <w:pPr>
              <w:pStyle w:val="TableContents"/>
              <w:spacing w:before="0" w:after="0"/>
              <w:ind w:left="0" w:right="0" w:hanging="0"/>
              <w:rPr/>
            </w:pPr>
            <w:hyperlink w:anchor="Schedule7_3_223647">
              <w:r>
                <w:rPr>
                  <w:rStyle w:val="InternetLink"/>
                  <w:rFonts w:ascii="Times New Roman" w:hAnsi="Times New Roman"/>
                  <w:sz w:val="17"/>
                </w:rPr>
                <w:t>Initial Directors</w:t>
              </w:r>
            </w:hyperlink>
          </w:p>
        </w:tc>
        <w:tc>
          <w:tcPr>
            <w:tcW w:w="730" w:type="dxa"/>
            <w:tcBorders/>
            <w:shd w:fill="auto" w:val="clear"/>
          </w:tcPr>
          <w:p>
            <w:pPr>
              <w:pStyle w:val="TableContents"/>
              <w:spacing w:before="0" w:after="0"/>
              <w:ind w:left="0" w:right="0" w:hanging="0"/>
              <w:jc w:val="right"/>
              <w:rPr/>
            </w:pPr>
            <w:r>
              <w:rPr/>
              <w:t> </w:t>
            </w:r>
          </w:p>
        </w:tc>
      </w:tr>
      <w:tr>
        <w:trPr/>
        <w:tc>
          <w:tcPr>
            <w:tcW w:w="1144"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7915"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iii</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AMENDED AND RESTATED</w:t>
        <w:br/>
        <w:t>LIMITED LIABILITY COMPANY AGREEMENT</w:t>
        <w:br/>
        <w:t>OF</w:t>
        <w:br/>
        <w:t>PAA/VULCAN GAS STORAGE, LLC</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THIS AMENDED AND RESTATED LIMITED LIABILITY COMPANY AGREEMENT (this </w:t>
      </w:r>
      <w:r>
        <w:rPr>
          <w:rFonts w:ascii="Times New Roman" w:hAnsi="Times New Roman"/>
          <w:b/>
          <w:i/>
          <w:sz w:val="17"/>
        </w:rPr>
        <w:t>Agreement</w:t>
      </w:r>
      <w:r>
        <w:rPr>
          <w:rFonts w:ascii="Times New Roman" w:hAnsi="Times New Roman"/>
          <w:sz w:val="17"/>
        </w:rPr>
        <w:t>) of PAA/VULCAN GAS STORAGE, LLC, a Delaware limited liability company (the </w:t>
      </w:r>
      <w:r>
        <w:rPr>
          <w:rFonts w:ascii="Times New Roman" w:hAnsi="Times New Roman"/>
          <w:b/>
          <w:i/>
          <w:sz w:val="17"/>
        </w:rPr>
        <w:t>Company</w:t>
      </w:r>
      <w:r>
        <w:rPr>
          <w:rFonts w:ascii="Times New Roman" w:hAnsi="Times New Roman"/>
          <w:sz w:val="17"/>
        </w:rPr>
        <w:t>), is made and entered into as of the 13</w:t>
      </w:r>
      <w:r>
        <w:rPr>
          <w:rFonts w:ascii="Times New Roman" w:hAnsi="Times New Roman"/>
          <w:position w:val="5"/>
          <w:sz w:val="13"/>
          <w:sz w:val="17"/>
        </w:rPr>
        <w:t>TH</w:t>
      </w:r>
      <w:r>
        <w:rPr>
          <w:rFonts w:ascii="Times New Roman" w:hAnsi="Times New Roman"/>
          <w:sz w:val="17"/>
        </w:rPr>
        <w:t xml:space="preserve"> day of September, 2005, by and between the Persons executing this Agreement on the signature pages hereto as a member (together with such other Persons that may hereafter become members as provided herein, but excluding any such Person who has ceased to be a member, referred to collectively as the </w:t>
      </w:r>
      <w:r>
        <w:rPr>
          <w:rFonts w:ascii="Times New Roman" w:hAnsi="Times New Roman"/>
          <w:b/>
          <w:i/>
          <w:sz w:val="17"/>
        </w:rPr>
        <w:t>Members</w:t>
      </w:r>
      <w:r>
        <w:rPr>
          <w:rFonts w:ascii="Times New Roman" w:hAnsi="Times New Roman"/>
          <w:sz w:val="17"/>
        </w:rPr>
        <w:t> or, individually, as a </w:t>
      </w:r>
      <w:r>
        <w:rPr>
          <w:rFonts w:ascii="Times New Roman" w:hAnsi="Times New Roman"/>
          <w:b/>
          <w:i/>
          <w:sz w:val="17"/>
        </w:rPr>
        <w:t>Member</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WHEREAS, the Members formed the Company by filing the Certificate with the Delaware Secretary of State and executing a Limited Liability Company Agreement of PAA/Vulcan Gas Storage, LLC dated as of August 18, 2005 (the </w:t>
      </w:r>
      <w:r>
        <w:rPr>
          <w:rFonts w:ascii="Times New Roman" w:hAnsi="Times New Roman"/>
          <w:b/>
          <w:i/>
          <w:sz w:val="17"/>
        </w:rPr>
        <w:t>Original Agreement</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WHEREAS, the Members desire to amend and restate the Original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NOW, THEREFORE, in consideration of the premises and the mutual agreements contained herein, the Members hereby amend and restate the Original Agreement in its entirety as set forth herein.</w:t>
      </w:r>
    </w:p>
    <w:p>
      <w:pPr>
        <w:pStyle w:val="TextBody"/>
        <w:spacing w:before="0" w:after="0"/>
        <w:ind w:left="0" w:right="0" w:hanging="0"/>
        <w:rPr/>
      </w:pPr>
      <w:r>
        <w:rPr/>
        <w:t> </w:t>
      </w:r>
    </w:p>
    <w:p>
      <w:pPr>
        <w:pStyle w:val="Heading1"/>
        <w:spacing w:before="0" w:after="0"/>
        <w:ind w:left="0" w:right="0" w:hanging="0"/>
        <w:rPr>
          <w:rFonts w:ascii="Times New Roman" w:hAnsi="Times New Roman"/>
          <w:b/>
          <w:sz w:val="17"/>
        </w:rPr>
      </w:pPr>
      <w:bookmarkStart w:id="4" w:name="Article1_222718"/>
      <w:bookmarkEnd w:id="4"/>
      <w:r>
        <w:rPr>
          <w:rFonts w:ascii="Times New Roman" w:hAnsi="Times New Roman"/>
          <w:b/>
          <w:sz w:val="17"/>
        </w:rPr>
        <w:t>ARTICLE 1</w:t>
        <w:br/>
        <w:t>DEFINITIONS</w:t>
      </w:r>
    </w:p>
    <w:p>
      <w:pPr>
        <w:pStyle w:val="Heading1"/>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used herein, the following terms shall have the following meanings, unless the context otherwise requires: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Acceptable Marketable Securities</w:t>
      </w:r>
      <w:r>
        <w:rPr>
          <w:rFonts w:ascii="Times New Roman" w:hAnsi="Times New Roman"/>
          <w:sz w:val="17"/>
        </w:rPr>
        <w:t xml:space="preserve"> shall have the meaning set forth in </w:t>
      </w:r>
      <w:r>
        <w:rPr>
          <w:rFonts w:ascii="Times New Roman" w:hAnsi="Times New Roman"/>
          <w:sz w:val="17"/>
          <w:u w:val="single"/>
        </w:rPr>
        <w:t>Section 9.9(b)</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Acceptance Notice</w:t>
      </w:r>
      <w:r>
        <w:rPr>
          <w:rFonts w:ascii="Times New Roman" w:hAnsi="Times New Roman"/>
          <w:sz w:val="17"/>
        </w:rPr>
        <w:t xml:space="preserve"> shall have the meaning set forth in </w:t>
      </w:r>
      <w:r>
        <w:rPr>
          <w:rFonts w:ascii="Times New Roman" w:hAnsi="Times New Roman"/>
          <w:sz w:val="17"/>
          <w:u w:val="single"/>
        </w:rPr>
        <w:t>Section 9.8(b)</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Act</w:t>
      </w:r>
      <w:r>
        <w:rPr>
          <w:rFonts w:ascii="Times New Roman" w:hAnsi="Times New Roman"/>
          <w:sz w:val="17"/>
        </w:rPr>
        <w:t xml:space="preserve"> means the Delaware Limited Liability Company Act, 6 </w:t>
      </w:r>
      <w:r>
        <w:rPr>
          <w:rFonts w:ascii="Times New Roman" w:hAnsi="Times New Roman"/>
          <w:sz w:val="17"/>
          <w:u w:val="single"/>
        </w:rPr>
        <w:t>Del. C.</w:t>
      </w:r>
      <w:r>
        <w:rPr>
          <w:rFonts w:ascii="Times New Roman" w:hAnsi="Times New Roman"/>
          <w:sz w:val="17"/>
        </w:rPr>
        <w:t xml:space="preserve"> Section 18-101, </w:t>
      </w:r>
      <w:r>
        <w:rPr>
          <w:rFonts w:ascii="Times New Roman" w:hAnsi="Times New Roman"/>
          <w:sz w:val="17"/>
          <w:u w:val="single"/>
        </w:rPr>
        <w:t>et seq.</w:t>
      </w:r>
      <w:r>
        <w:rPr>
          <w:rFonts w:ascii="Times New Roman" w:hAnsi="Times New Roman"/>
          <w:sz w:val="17"/>
        </w:rPr>
        <w:t>, as amended from time to time, and the provisions of succeeding law.</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Additional Interest</w:t>
      </w:r>
      <w:r>
        <w:rPr>
          <w:rFonts w:ascii="Times New Roman" w:hAnsi="Times New Roman"/>
          <w:sz w:val="17"/>
        </w:rPr>
        <w:t> means any Additional Percentage Interest or any Additional Issued Interest.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Additional Issued Interest</w:t>
      </w:r>
      <w:r>
        <w:rPr>
          <w:rFonts w:ascii="Times New Roman" w:hAnsi="Times New Roman"/>
          <w:sz w:val="17"/>
        </w:rPr>
        <w:t> means any Membership Interests, partnership interests, capital stock, or other equity interest in the Company (but excluding any Additional Percentage Interest) or any of its Subsidiaries or any other securities (including rights, warrants and options) convertible into, exchangeable for or exercisable for any of Membership Interests or partnership interests, capital stock, or other equity interests in the Company or any of its Subsidiaries, whether or not presently convertible, exchangeable or exercisable.</w:t>
      </w:r>
    </w:p>
    <w:p>
      <w:pPr>
        <w:pStyle w:val="TextBody"/>
        <w:spacing w:before="0" w:after="0"/>
        <w:ind w:left="0" w:right="0" w:hanging="0"/>
        <w:jc w:val="center"/>
        <w:rPr/>
      </w:pPr>
      <w:r>
        <w:rPr/>
        <w:t> </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Additional Percentage Interest</w:t>
      </w:r>
      <w:r>
        <w:rPr>
          <w:rFonts w:ascii="Times New Roman" w:hAnsi="Times New Roman"/>
          <w:sz w:val="17"/>
        </w:rPr>
        <w:t> means any increase in a Percentage Interest of an Initial Member in exchange for a Capital Contribution.</w:t>
      </w:r>
    </w:p>
    <w:p>
      <w:pPr>
        <w:pStyle w:val="TextBody"/>
        <w:spacing w:before="0" w:after="0"/>
        <w:ind w:left="0" w:right="0" w:hanging="0"/>
        <w:rPr/>
      </w:pPr>
      <w:r>
        <w:rPr/>
        <w:t> </w:t>
      </w:r>
    </w:p>
    <w:p>
      <w:pPr>
        <w:pStyle w:val="TextBody"/>
        <w:spacing w:before="0" w:after="0"/>
        <w:ind w:left="0" w:right="0" w:hanging="0"/>
        <w:rPr/>
      </w:pPr>
      <w:r>
        <w:rPr/>
        <w:t> </w:t>
      </w:r>
      <w:r>
        <w:rPr>
          <w:rFonts w:ascii="Times New Roman" w:hAnsi="Times New Roman"/>
          <w:sz w:val="17"/>
        </w:rPr>
        <w:t></w:t>
      </w:r>
      <w:r>
        <w:rPr>
          <w:rFonts w:ascii="Times New Roman" w:hAnsi="Times New Roman"/>
          <w:b/>
          <w:i/>
          <w:sz w:val="17"/>
        </w:rPr>
        <w:t>Adjusted Capital Account Deficit</w:t>
      </w:r>
      <w:r>
        <w:rPr>
          <w:rFonts w:ascii="Times New Roman" w:hAnsi="Times New Roman"/>
          <w:sz w:val="17"/>
        </w:rPr>
        <w:t> means, with respect to a Member, the deficit balance, if any, in such Members Capital Account as of the end of the relevant Fiscal Period, after giving effect to the following adjustments: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           Credit to such Capital Account any amounts which such Member is obligated to restore pursuant to any provision of this Agreement or is deemed to be obligated to restore pursuant to Regulations Sections 1.704-1(b)(2)(ii)(</w:t>
      </w:r>
      <w:r>
        <w:rPr>
          <w:rFonts w:ascii="Times New Roman" w:hAnsi="Times New Roman"/>
          <w:i/>
          <w:sz w:val="17"/>
        </w:rPr>
        <w:t>c</w:t>
      </w:r>
      <w:r>
        <w:rPr>
          <w:rFonts w:ascii="Times New Roman" w:hAnsi="Times New Roman"/>
          <w:sz w:val="17"/>
        </w:rPr>
        <w:t>), 1.704-2(g)(1) and 1.704-2(i)(5); and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           Debit to such Capital Account the items described in Regulations Sections 1.704-1(b)(2)(ii)(</w:t>
      </w:r>
      <w:r>
        <w:rPr>
          <w:rFonts w:ascii="Times New Roman" w:hAnsi="Times New Roman"/>
          <w:i/>
          <w:sz w:val="17"/>
        </w:rPr>
        <w:t>d</w:t>
      </w:r>
      <w:r>
        <w:rPr>
          <w:rFonts w:ascii="Times New Roman" w:hAnsi="Times New Roman"/>
          <w:sz w:val="17"/>
        </w:rPr>
        <w:t>)(</w:t>
      </w:r>
      <w:r>
        <w:rPr>
          <w:rFonts w:ascii="Times New Roman" w:hAnsi="Times New Roman"/>
          <w:i/>
          <w:sz w:val="17"/>
        </w:rPr>
        <w:t>4</w:t>
      </w:r>
      <w:r>
        <w:rPr>
          <w:rFonts w:ascii="Times New Roman" w:hAnsi="Times New Roman"/>
          <w:sz w:val="17"/>
        </w:rPr>
        <w:t>), 1.704-1(b)(2)(ii)(</w:t>
      </w:r>
      <w:r>
        <w:rPr>
          <w:rFonts w:ascii="Times New Roman" w:hAnsi="Times New Roman"/>
          <w:i/>
          <w:sz w:val="17"/>
        </w:rPr>
        <w:t>d</w:t>
      </w:r>
      <w:r>
        <w:rPr>
          <w:rFonts w:ascii="Times New Roman" w:hAnsi="Times New Roman"/>
          <w:sz w:val="17"/>
        </w:rPr>
        <w:t>)(</w:t>
      </w:r>
      <w:r>
        <w:rPr>
          <w:rFonts w:ascii="Times New Roman" w:hAnsi="Times New Roman"/>
          <w:i/>
          <w:sz w:val="17"/>
        </w:rPr>
        <w:t>5</w:t>
      </w:r>
      <w:r>
        <w:rPr>
          <w:rFonts w:ascii="Times New Roman" w:hAnsi="Times New Roman"/>
          <w:sz w:val="17"/>
        </w:rPr>
        <w:t>), and 1.704-1(b)(2)(ii)(</w:t>
      </w:r>
      <w:r>
        <w:rPr>
          <w:rFonts w:ascii="Times New Roman" w:hAnsi="Times New Roman"/>
          <w:i/>
          <w:sz w:val="17"/>
        </w:rPr>
        <w:t>d</w:t>
      </w:r>
      <w:r>
        <w:rPr>
          <w:rFonts w:ascii="Times New Roman" w:hAnsi="Times New Roman"/>
          <w:sz w:val="17"/>
        </w:rPr>
        <w:t>)(</w:t>
      </w:r>
      <w:r>
        <w:rPr>
          <w:rFonts w:ascii="Times New Roman" w:hAnsi="Times New Roman"/>
          <w:i/>
          <w:sz w:val="17"/>
        </w:rPr>
        <w:t>6</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Administrative Services</w:t>
      </w:r>
      <w:r>
        <w:rPr>
          <w:rFonts w:ascii="Times New Roman" w:hAnsi="Times New Roman"/>
          <w:sz w:val="17"/>
        </w:rPr>
        <w:t xml:space="preserve"> shall have the meaning set forth in </w:t>
      </w:r>
      <w:r>
        <w:rPr>
          <w:rFonts w:ascii="Times New Roman" w:hAnsi="Times New Roman"/>
          <w:sz w:val="17"/>
          <w:u w:val="single"/>
        </w:rPr>
        <w:t>Section 14.1</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Affiliate</w:t>
      </w:r>
      <w:r>
        <w:rPr>
          <w:rFonts w:ascii="Times New Roman" w:hAnsi="Times New Roman"/>
          <w:sz w:val="17"/>
        </w:rPr>
        <w:t> means, with respect to any specified Person, any other Person that directly, or indirectly through one or more intermediaries, controls, is controlled by, or is under common control with, such specified Person.  No Member or any of its Affiliates shall be deemed to be an Affiliate of the Company or any of its Subsidiaries for purposes of this Agreement.  None of Plains All American GP LLC, Plains AAP, L.P., PAA or any of their respective subsidiaries (collectively, the </w:t>
      </w:r>
      <w:r>
        <w:rPr>
          <w:rFonts w:ascii="Times New Roman" w:hAnsi="Times New Roman"/>
          <w:b/>
          <w:i/>
          <w:sz w:val="17"/>
        </w:rPr>
        <w:t>PAA Group</w:t>
      </w:r>
      <w:r>
        <w:rPr>
          <w:rFonts w:ascii="Times New Roman" w:hAnsi="Times New Roman"/>
          <w:sz w:val="17"/>
        </w:rPr>
        <w:t>) shall be deemed to be an Affiliate of Vulcan or any of its Affiliates (other than any member of the PAA Group to the extent it would otherwise be an Affiliate of Vulcan, collectively, the </w:t>
      </w:r>
      <w:r>
        <w:rPr>
          <w:rFonts w:ascii="Times New Roman" w:hAnsi="Times New Roman"/>
          <w:b/>
          <w:i/>
          <w:sz w:val="17"/>
        </w:rPr>
        <w:t>Vulcan Group</w:t>
      </w:r>
      <w:r>
        <w:rPr>
          <w:rFonts w:ascii="Times New Roman" w:hAnsi="Times New Roman"/>
          <w:sz w:val="17"/>
        </w:rPr>
        <w:t>), and no member of the Vulcan Group shall be deemed to be an Affiliate of any member of the PAA Group.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Agreement</w:t>
      </w:r>
      <w:r>
        <w:rPr>
          <w:rFonts w:ascii="Times New Roman" w:hAnsi="Times New Roman"/>
          <w:sz w:val="17"/>
        </w:rPr>
        <w:t> shall have the meaning set forth in the preamble hereof, as the same may be amended from time to time in accordance with the terms hereof.</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Appraiser</w:t>
      </w:r>
      <w:r>
        <w:rPr>
          <w:rFonts w:ascii="Times New Roman" w:hAnsi="Times New Roman"/>
          <w:sz w:val="17"/>
        </w:rPr>
        <w:t xml:space="preserve"> shall have the meaning set forth in </w:t>
      </w:r>
      <w:r>
        <w:rPr>
          <w:rFonts w:ascii="Times New Roman" w:hAnsi="Times New Roman"/>
          <w:sz w:val="17"/>
          <w:u w:val="single"/>
        </w:rPr>
        <w:t>Section 3.6</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20"/>
        </w:rPr>
      </w:pPr>
      <w:r>
        <w:rPr>
          <w:rFonts w:ascii="Times New Roman" w:hAnsi="Times New Roman"/>
          <w:sz w:val="17"/>
        </w:rPr>
        <w:t></w:t>
      </w:r>
      <w:r>
        <w:rPr>
          <w:rFonts w:ascii="Times New Roman" w:hAnsi="Times New Roman"/>
          <w:b/>
          <w:i/>
          <w:sz w:val="17"/>
        </w:rPr>
        <w:t>Authorized Representative</w:t>
      </w:r>
      <w:r>
        <w:rPr>
          <w:rFonts w:ascii="Times New Roman" w:hAnsi="Times New Roman"/>
          <w:sz w:val="17"/>
        </w:rPr>
        <w:t></w:t>
      </w:r>
      <w:r>
        <w:rPr>
          <w:rFonts w:ascii="Times New Roman" w:hAnsi="Times New Roman"/>
          <w:sz w:val="20"/>
        </w:rPr>
        <w:t xml:space="preserve"> shall have the meaning set forth in </w:t>
      </w:r>
      <w:r>
        <w:rPr>
          <w:rFonts w:ascii="Times New Roman" w:hAnsi="Times New Roman"/>
          <w:sz w:val="20"/>
          <w:u w:val="single"/>
        </w:rPr>
        <w:t>Section 6.1</w:t>
      </w:r>
      <w:r>
        <w:rPr>
          <w:rFonts w:ascii="Times New Roman" w:hAnsi="Times New Roman"/>
          <w:sz w:val="20"/>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Available Cash</w:t>
      </w:r>
      <w:r>
        <w:rPr>
          <w:rFonts w:ascii="Times New Roman" w:hAnsi="Times New Roman"/>
          <w:sz w:val="17"/>
        </w:rPr>
        <w:t xml:space="preserve"> means, with respect to a fiscal quarter, all cash and cash equivalents of the Company at the end of such quarter less the amount of cash reserves that is necessary or appropriate in the reasonable discretion of the Manager to (a) provide for the proper conduct of the business of the Company (including reserves for future capital expenditures and for anticipated future credit needs of the Company) subsequent to such quarter or (b) comply with applicable law or any loan agreement, security agreement, mortgage, debt instrument or other agreement or obligation to which the Company is a party or by which it is bound or its assets or Property is subject; </w:t>
      </w:r>
      <w:r>
        <w:rPr>
          <w:rFonts w:ascii="Times New Roman" w:hAnsi="Times New Roman"/>
          <w:i/>
          <w:sz w:val="17"/>
        </w:rPr>
        <w:t>provided, however</w:t>
      </w:r>
      <w:r>
        <w:rPr>
          <w:rFonts w:ascii="Times New Roman" w:hAnsi="Times New Roman"/>
          <w:sz w:val="17"/>
        </w:rPr>
        <w:t>, that distributions made by an operating Subsidiary to the Company or cash reserves established, increased or reduced after the expiration of such quarter but on or before the date of determination of Available Cash with respect to such quarter shall be deemed to have been made, established, increased or reduced, for purposes of determining Available Cash, during such quarter if the Manager so determines in its reasonable discretion.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Base Member</w:t>
      </w:r>
      <w:r>
        <w:rPr>
          <w:rFonts w:ascii="Times New Roman" w:hAnsi="Times New Roman"/>
          <w:sz w:val="17"/>
        </w:rPr>
        <w:t xml:space="preserve"> shall have the meaning set forth in </w:t>
      </w:r>
      <w:r>
        <w:rPr>
          <w:rFonts w:ascii="Times New Roman" w:hAnsi="Times New Roman"/>
          <w:sz w:val="17"/>
          <w:u w:val="single"/>
        </w:rPr>
        <w:t>Section 9.2(a)</w:t>
      </w:r>
      <w:r>
        <w:rPr>
          <w:rFonts w:ascii="Times New Roman" w:hAnsi="Times New Roman"/>
          <w:sz w:val="17"/>
        </w:rPr>
        <w: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BGS Debt</w:t>
      </w:r>
      <w:r>
        <w:rPr>
          <w:rFonts w:ascii="Times New Roman" w:hAnsi="Times New Roman"/>
          <w:sz w:val="17"/>
        </w:rPr>
        <w:t> means the debt financing in the amounts, and on terms that are substantially consistent with (but subject to reasonable modifications as may be required by market conditions), those set forth in the commitment letter, dated August 17, 2005, from Bank of America, N.A. to the Company and PAA.</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BGS Project</w:t>
      </w:r>
      <w:r>
        <w:rPr>
          <w:rFonts w:ascii="Times New Roman" w:hAnsi="Times New Roman"/>
          <w:sz w:val="17"/>
        </w:rPr>
        <w:t> means the natural gas storage facility located in Macombe and St. Clair Counties, Michigan, which is owned by Bluewater Gas Storage, LLC.</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Board</w:t>
      </w:r>
      <w:r>
        <w:rPr>
          <w:rFonts w:ascii="Times New Roman" w:hAnsi="Times New Roman"/>
          <w:sz w:val="17"/>
        </w:rPr>
        <w:t> means the Board of Directors of the Company.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Business</w:t>
      </w:r>
      <w:r>
        <w:rPr>
          <w:rFonts w:ascii="Times New Roman" w:hAnsi="Times New Roman"/>
          <w:sz w:val="17"/>
        </w:rPr>
        <w:t> means (i) the Gas Storage Business and (ii) the exploration, development, production and exploitation of the Bluewater Oil Reserves (as defined in the Purchase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Business Day</w:t>
      </w:r>
      <w:r>
        <w:rPr>
          <w:rFonts w:ascii="Times New Roman" w:hAnsi="Times New Roman"/>
          <w:sz w:val="17"/>
        </w:rPr>
        <w:t> means any day that is not a Saturday, a Sunday or other day on which banks are required or authorized by law to be closed in the City of New York.</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Called Interest Value</w:t>
      </w:r>
      <w:r>
        <w:rPr>
          <w:rFonts w:ascii="Times New Roman" w:hAnsi="Times New Roman"/>
          <w:sz w:val="17"/>
        </w:rPr>
        <w:t> means, with respect to a Membership Interest, the fair market value in U.S. dollars of such Membership Interest as of the Valuation Date that would reasonably be expected to be realized in an open-market sale on arms-length terms to a Person who is not an Affiliate of the seller, having regard to all relevant factors, including (x) the availability or lack of availability of a market for such Membership Interest or (y) any minority discount that would otherwise be applicable to such Membership Interest.  Valuation Date means, with respect to a particular determination, the date on which the Transfer to the Non-Qualifying Transferee with respect to which such determination is being made occurred.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Capital Account</w:t>
      </w:r>
      <w:r>
        <w:rPr>
          <w:rFonts w:ascii="Times New Roman" w:hAnsi="Times New Roman"/>
          <w:sz w:val="17"/>
        </w:rPr>
        <w:t xml:space="preserve"> means, with respect to any Member, a separate account established by the Company and maintained for each Member in accordance with </w:t>
      </w:r>
      <w:r>
        <w:rPr>
          <w:rFonts w:ascii="Times New Roman" w:hAnsi="Times New Roman"/>
          <w:sz w:val="17"/>
          <w:u w:val="single"/>
        </w:rPr>
        <w:t>Section 3.4</w:t>
      </w:r>
      <w:r>
        <w:rPr>
          <w:rFonts w:ascii="Times New Roman" w:hAnsi="Times New Roman"/>
          <w:sz w:val="17"/>
        </w:rPr>
        <w:t xml:space="preserve"> hereof.</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Capital Contribution</w:t>
      </w:r>
      <w:r>
        <w:rPr>
          <w:rFonts w:ascii="Times New Roman" w:hAnsi="Times New Roman"/>
          <w:sz w:val="17"/>
        </w:rPr>
        <w:t> means, with respect to any Member, the amount of money and the initial Gross Asset Value of any Property (other than money) contributed to the Company.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Certificate</w:t>
      </w:r>
      <w:r>
        <w:rPr>
          <w:rFonts w:ascii="Times New Roman" w:hAnsi="Times New Roman"/>
          <w:sz w:val="17"/>
        </w:rPr>
        <w:t> means the Certificate of Formation of the Company filed with the Secretary of State of Delaware, as amended or restated from time to time.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Change of Control</w:t>
      </w:r>
      <w:r>
        <w:rPr>
          <w:rFonts w:ascii="Times New Roman" w:hAnsi="Times New Roman"/>
          <w:sz w:val="17"/>
        </w:rPr>
        <w:t> means, with respect to Vulcan (if it is a Member at such time) or any direct or indirect Permitted Transferee of Vulcan (if it is a substitute Member at such time), that it ceases to be an Affiliate of Vulcan Capital Private Equity I LLC.</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Closing Date</w:t>
      </w:r>
      <w:r>
        <w:rPr>
          <w:rFonts w:ascii="Times New Roman" w:hAnsi="Times New Roman"/>
          <w:sz w:val="17"/>
        </w:rPr>
        <w:t> shall have the meaning set forth in the Purchase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Code</w:t>
      </w:r>
      <w:r>
        <w:rPr>
          <w:rFonts w:ascii="Times New Roman" w:hAnsi="Times New Roman"/>
          <w:sz w:val="17"/>
        </w:rPr>
        <w:t> means the United States Internal Revenue Code of 1986, as amended.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Company</w:t>
      </w:r>
      <w:r>
        <w:rPr>
          <w:rFonts w:ascii="Times New Roman" w:hAnsi="Times New Roman"/>
          <w:sz w:val="17"/>
        </w:rPr>
        <w:t> shall have the meaning set forth in the preamble hereof.</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Company Minimum Gain</w:t>
      </w:r>
      <w:r>
        <w:rPr>
          <w:rFonts w:ascii="Times New Roman" w:hAnsi="Times New Roman"/>
          <w:sz w:val="17"/>
        </w:rPr>
        <w:t> shall have the same meaning as partnership minimum gain as set forth in Regulations Section 1.704-2(b)(2) and 1.704-2(d).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Company Affiliate</w:t>
      </w:r>
      <w:r>
        <w:rPr>
          <w:rFonts w:ascii="Times New Roman" w:hAnsi="Times New Roman"/>
          <w:sz w:val="17"/>
        </w:rPr>
        <w:t xml:space="preserve"> shall have the meaning set forth in </w:t>
      </w:r>
      <w:r>
        <w:rPr>
          <w:rFonts w:ascii="Times New Roman" w:hAnsi="Times New Roman"/>
          <w:sz w:val="17"/>
          <w:u w:val="single"/>
        </w:rPr>
        <w:t>Section 8.2</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Depreciation</w:t>
      </w:r>
      <w:r>
        <w:rPr>
          <w:rFonts w:ascii="Times New Roman" w:hAnsi="Times New Roman"/>
          <w:sz w:val="17"/>
        </w:rPr>
        <w:t xml:space="preserve"> means, for each Fiscal Period or other period, an amount equal to the depreciation, amortization or other cost recovery deduction allowable with respect to an asset for such Fiscal Period, except that if the Gross Asset Value of an asset differs from its adjusted basis for federal income tax purposes at the beginning of such Fiscal Period, Depreciation shall be an amount which bears the same ratio to such beginning Gross Asset Value as the federal income tax depreciation, amortization or other cost recovery deduction for such Fiscal Period bears to such beginning adjusted tax basis; </w:t>
      </w:r>
      <w:r>
        <w:rPr>
          <w:rFonts w:ascii="Times New Roman" w:hAnsi="Times New Roman"/>
          <w:i/>
          <w:sz w:val="17"/>
        </w:rPr>
        <w:t>provided, however</w:t>
      </w:r>
      <w:r>
        <w:rPr>
          <w:rFonts w:ascii="Times New Roman" w:hAnsi="Times New Roman"/>
          <w:sz w:val="17"/>
        </w:rPr>
        <w:t>, that if the adjusted basis for federal income tax purposes of an asset at the beginning of such Fiscal Period is zero, Depreciation shall be determined with reference to such beginning Gross Asset Value using any reasonable method selected by the Board.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Designated Projects</w:t>
      </w:r>
      <w:r>
        <w:rPr>
          <w:rFonts w:ascii="Times New Roman" w:hAnsi="Times New Roman"/>
          <w:sz w:val="17"/>
        </w:rPr>
        <w:t xml:space="preserve"> means those acquisitions described on </w:t>
      </w:r>
      <w:r>
        <w:rPr>
          <w:rFonts w:ascii="Times New Roman" w:hAnsi="Times New Roman"/>
          <w:sz w:val="17"/>
          <w:u w:val="single"/>
        </w:rPr>
        <w:t>Schedule 1</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Directors</w:t>
      </w:r>
      <w:r>
        <w:rPr>
          <w:rFonts w:ascii="Times New Roman" w:hAnsi="Times New Roman"/>
          <w:sz w:val="17"/>
        </w:rPr>
        <w:t xml:space="preserve"> shall have the meaning set forth in </w:t>
      </w:r>
      <w:r>
        <w:rPr>
          <w:rFonts w:ascii="Times New Roman" w:hAnsi="Times New Roman"/>
          <w:sz w:val="17"/>
          <w:u w:val="single"/>
        </w:rPr>
        <w:t>Section 7.2(a)</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EBITDA</w:t>
      </w:r>
      <w:r>
        <w:rPr>
          <w:rFonts w:ascii="Times New Roman" w:hAnsi="Times New Roman"/>
          <w:sz w:val="17"/>
        </w:rPr>
        <w:t> means, for any period, the sum of consolidated net income (as determined in accordance with GAAP) of the Company and its Subsidiaries for such period plus the following expenses or charges to the extent deducted from consolidated net income in such period: interest, income taxes, depreciation, depletion, amortization and other similar non-cash charges, minus all non-cash income added to consolidated net income.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Encumbrance</w:t>
      </w:r>
      <w:r>
        <w:rPr>
          <w:rFonts w:ascii="Times New Roman" w:hAnsi="Times New Roman"/>
          <w:sz w:val="17"/>
        </w:rPr>
        <w:t> means any security interest, pledge, mortgage, lien (including environmental and tax liens), charge, encumbrance, adverse claim, any defect or imperfection in title, preferential arrangement or restriction, right to purchase, right of first refusal or other burden or encumbrance of any kind, other than those imposed by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Fair Market Value</w:t>
      </w:r>
      <w:r>
        <w:rPr>
          <w:rFonts w:ascii="Times New Roman" w:hAnsi="Times New Roman"/>
          <w:sz w:val="17"/>
        </w:rPr>
        <w:t xml:space="preserve"> shall have the meaning set forth in </w:t>
      </w:r>
      <w:r>
        <w:rPr>
          <w:rFonts w:ascii="Times New Roman" w:hAnsi="Times New Roman"/>
          <w:sz w:val="17"/>
          <w:u w:val="single"/>
        </w:rPr>
        <w:t>Section 3.6</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Fair Value of the Company</w:t>
      </w:r>
      <w:r>
        <w:rPr>
          <w:rFonts w:ascii="Times New Roman" w:hAnsi="Times New Roman"/>
          <w:sz w:val="17"/>
        </w:rPr>
        <w:t> means, as of a particular date, the value (including for the avoidance of doubt the control premium associated with a sale of all of the equity of a company), expressed in US dollars, that would be obtained at such time in a sale to an unaffiliated buyer on arms-length terms of all of the equity of the Company on a stand-alone basis and, for avoidance of doubt, shall not be subject to any discount for a sale of a minority interest.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Fiscal Period</w:t>
      </w:r>
      <w:r>
        <w:rPr>
          <w:rFonts w:ascii="Times New Roman" w:hAnsi="Times New Roman"/>
          <w:sz w:val="17"/>
        </w:rPr>
        <w:t xml:space="preserve"> shall mean, subject to the provisions of Section 706 of the Code, (i) the period commencing on the date of formation and ending on December 31, 2005, (ii) any subsequent 12 month period commencing on January 1 and ending on December 31, (iii) the period commencing on the later of the formation of the Company or January 1 and ending on the date, if any, on which all of the assets of the Company are distributed to the Members pursuant to </w:t>
      </w:r>
      <w:r>
        <w:rPr>
          <w:rFonts w:ascii="Times New Roman" w:hAnsi="Times New Roman"/>
          <w:sz w:val="17"/>
          <w:u w:val="single"/>
        </w:rPr>
        <w:t>Article X</w:t>
      </w:r>
      <w:r>
        <w:rPr>
          <w:rFonts w:ascii="Times New Roman" w:hAnsi="Times New Roman"/>
          <w:sz w:val="17"/>
        </w:rPr>
        <w:t xml:space="preserve">, and (iv) any portion of the period described in clauses (i), (ii) or (iii) of this definition for which the Company is required to allocate Profits and Losses or other items of Company income, gain, loss, deduction or credit pursuant to </w:t>
      </w:r>
      <w:r>
        <w:rPr>
          <w:rFonts w:ascii="Times New Roman" w:hAnsi="Times New Roman"/>
          <w:sz w:val="17"/>
          <w:u w:val="single"/>
        </w:rPr>
        <w:t>Article V</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GAAP</w:t>
      </w:r>
      <w:r>
        <w:rPr>
          <w:rFonts w:ascii="Times New Roman" w:hAnsi="Times New Roman"/>
          <w:sz w:val="17"/>
        </w:rPr>
        <w:t> means United States generally accepted accounting principles in effect from time to time.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Gas Storage Business</w:t>
      </w:r>
      <w:r>
        <w:rPr>
          <w:rFonts w:ascii="Times New Roman" w:hAnsi="Times New Roman"/>
          <w:sz w:val="17"/>
        </w:rPr>
        <w:t> means the development, acquisition, ownership and operation of natural gas storage facilities and related services.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Gross Asset Value</w:t>
      </w:r>
      <w:r>
        <w:rPr>
          <w:rFonts w:ascii="Times New Roman" w:hAnsi="Times New Roman"/>
          <w:sz w:val="17"/>
        </w:rPr>
        <w:t xml:space="preserve"> means with respect to any asset, the assets adjusted basis for federal income tax purposes, except as follows and as otherwise provided in </w:t>
      </w:r>
      <w:r>
        <w:rPr>
          <w:rFonts w:ascii="Times New Roman" w:hAnsi="Times New Roman"/>
          <w:sz w:val="17"/>
          <w:u w:val="single"/>
        </w:rPr>
        <w:t>Section 3.2(b)</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(a)           The initial Gross Asset Value of any asset contributed by a Member to the Company shall be the gross fair market value of such asset, as reasonably determined by the Board; </w:t>
      </w:r>
      <w:r>
        <w:rPr>
          <w:rFonts w:ascii="Times New Roman" w:hAnsi="Times New Roman"/>
          <w:i/>
          <w:sz w:val="17"/>
        </w:rPr>
        <w:t>provided, however</w:t>
      </w:r>
      <w:r>
        <w:rPr>
          <w:rFonts w:ascii="Times New Roman" w:hAnsi="Times New Roman"/>
          <w:sz w:val="17"/>
        </w:rPr>
        <w:t xml:space="preserve">, that the initial Gross Asset Values of the assets contributed to the Company pursuant to </w:t>
      </w:r>
      <w:r>
        <w:rPr>
          <w:rFonts w:ascii="Times New Roman" w:hAnsi="Times New Roman"/>
          <w:sz w:val="17"/>
          <w:u w:val="single"/>
        </w:rPr>
        <w:t>Section 3.1</w:t>
      </w:r>
      <w:r>
        <w:rPr>
          <w:rFonts w:ascii="Times New Roman" w:hAnsi="Times New Roman"/>
          <w:sz w:val="17"/>
        </w:rPr>
        <w:t xml:space="preserve"> hereof shall be as set forth in such section or the schedule referred to therein;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           The Gross Asset Values of all Company assets shall be adjusted to equal their respective gross fair market values (taking Code Section 7701(g) into account), as reasonably determined by the Board as of the following times: (i) the acquisition of an additional interest in the Company by any new or existing Member in exchange for more than a de minimis Capital Contribution; (ii) the distribution by the Company to a Member of more than a de minimis amount of Company property as consideration for an interest in the Company; (iii) the grant of an interest in the Company to any new or existing Member for the provision of services; and (iv) the liquidation of the Company within the meaning of Regulations Section 1.704-1(b)(2)(ii)(g);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           The Gross Asset Value of any Company asset distributed to any Member shall be adjusted to equal the gross fair market value (taking Code Section 7701(g) into account) of such asset on the date of distribution, as reasonably determined by the Board; and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(d)           The Gross Asset Value of Company assets will be increased or decreased to reflect any adjustment to the adjusted basis of such assets under Code Section 734(b) or 743(b), but only to the extent that the adjustment is taken into account in determining Capital Accounts under Regulations Section 1.704-1(b)(2)(iv)(m) and paragraph (f) of the definition of Profits and Losses or </w:t>
      </w:r>
      <w:r>
        <w:rPr>
          <w:rFonts w:ascii="Times New Roman" w:hAnsi="Times New Roman"/>
          <w:sz w:val="17"/>
          <w:u w:val="single"/>
        </w:rPr>
        <w:t>Section 5.3(f) </w:t>
      </w:r>
      <w:r>
        <w:rPr>
          <w:rFonts w:ascii="Times New Roman" w:hAnsi="Times New Roman"/>
          <w:sz w:val="17"/>
        </w:rPr>
        <w:t xml:space="preserve">hereof; </w:t>
      </w:r>
      <w:r>
        <w:rPr>
          <w:rFonts w:ascii="Times New Roman" w:hAnsi="Times New Roman"/>
          <w:i/>
          <w:sz w:val="17"/>
        </w:rPr>
        <w:t>provided, however,</w:t>
      </w:r>
      <w:r>
        <w:rPr>
          <w:rFonts w:ascii="Times New Roman" w:hAnsi="Times New Roman"/>
          <w:sz w:val="17"/>
        </w:rPr>
        <w:t xml:space="preserve"> that Gross Asset values shall not be adjusted pursuant to this paragraph (d) to the extent that an adjustment pursuant to paragraph (b) above is required in connection with a transaction that would otherwise result in an adjustment pursuant to this paragraph (d).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If the Gross Asset Value of an asset has been determined or adjusted pursuant to subparagraph (a), (b) or (d), such Gross Asset Value shall thereafter be adjusted by the Depreciation taken into account with respect to such asset, for purposes of computing Profits and Losses.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Initial Approved Projects</w:t>
      </w:r>
      <w:r>
        <w:rPr>
          <w:rFonts w:ascii="Times New Roman" w:hAnsi="Times New Roman"/>
          <w:sz w:val="17"/>
        </w:rPr>
        <w:t xml:space="preserve"> means those acquisitions described on </w:t>
      </w:r>
      <w:r>
        <w:rPr>
          <w:rFonts w:ascii="Times New Roman" w:hAnsi="Times New Roman"/>
          <w:sz w:val="17"/>
          <w:u w:val="single"/>
        </w:rPr>
        <w:t>Schedule 2</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Initial Capital Contribution</w:t>
      </w:r>
      <w:r>
        <w:rPr>
          <w:rFonts w:ascii="Times New Roman" w:hAnsi="Times New Roman"/>
          <w:sz w:val="17"/>
        </w:rPr>
        <w:t xml:space="preserve"> means the Capital Contributions made on the Initial Capital Contribution Date pursuant to </w:t>
      </w:r>
      <w:r>
        <w:rPr>
          <w:rFonts w:ascii="Times New Roman" w:hAnsi="Times New Roman"/>
          <w:sz w:val="17"/>
          <w:u w:val="single"/>
        </w:rPr>
        <w:t>Section 3.1</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Initial Capital Contribution Date</w:t>
      </w:r>
      <w:r>
        <w:rPr>
          <w:rFonts w:ascii="Times New Roman" w:hAnsi="Times New Roman"/>
          <w:sz w:val="17"/>
        </w:rPr>
        <w:t> means the earlier to occur of (i) the Closing Date or (ii) such date as may be determined by the Board upon not less than three Business Days notice to the Members of such date.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Initial Directors</w:t>
      </w:r>
      <w:r>
        <w:rPr>
          <w:rFonts w:ascii="Times New Roman" w:hAnsi="Times New Roman"/>
          <w:sz w:val="17"/>
        </w:rPr>
        <w:t xml:space="preserve"> shall have the meaning set forth in </w:t>
      </w:r>
      <w:r>
        <w:rPr>
          <w:rFonts w:ascii="Times New Roman" w:hAnsi="Times New Roman"/>
          <w:sz w:val="17"/>
          <w:u w:val="single"/>
        </w:rPr>
        <w:t>Section 7.2(a)(i)</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20"/>
        </w:rPr>
      </w:pPr>
      <w:r>
        <w:rPr>
          <w:rFonts w:ascii="Times New Roman" w:hAnsi="Times New Roman"/>
          <w:sz w:val="17"/>
        </w:rPr>
        <w:t></w:t>
      </w:r>
      <w:r>
        <w:rPr>
          <w:rFonts w:ascii="Times New Roman" w:hAnsi="Times New Roman"/>
          <w:b/>
          <w:i/>
          <w:sz w:val="17"/>
        </w:rPr>
        <w:t>Initial Members</w:t>
      </w:r>
      <w:r>
        <w:rPr>
          <w:rFonts w:ascii="Times New Roman" w:hAnsi="Times New Roman"/>
          <w:sz w:val="17"/>
        </w:rPr>
        <w:t></w:t>
      </w:r>
      <w:r>
        <w:rPr>
          <w:rFonts w:ascii="Times New Roman" w:hAnsi="Times New Roman"/>
          <w:sz w:val="20"/>
        </w:rPr>
        <w:t xml:space="preserve"> means PAA and Vulcan and any Person acquiring all of the Membership Interest of either of the foregoing.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Institutional Investments</w:t>
      </w:r>
      <w:r>
        <w:rPr>
          <w:rFonts w:ascii="Times New Roman" w:hAnsi="Times New Roman"/>
          <w:sz w:val="17"/>
        </w:rPr>
        <w:t xml:space="preserve"> shall have the meaning set forth in </w:t>
      </w:r>
      <w:r>
        <w:rPr>
          <w:rFonts w:ascii="Times New Roman" w:hAnsi="Times New Roman"/>
          <w:sz w:val="17"/>
          <w:u w:val="single"/>
        </w:rPr>
        <w:t>Section 13.2(a)</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Liquidating Trustee</w:t>
      </w:r>
      <w:r>
        <w:rPr>
          <w:rFonts w:ascii="Times New Roman" w:hAnsi="Times New Roman"/>
          <w:sz w:val="17"/>
        </w:rPr>
        <w:t xml:space="preserve"> shall have the meaning set forth in </w:t>
      </w:r>
      <w:r>
        <w:rPr>
          <w:rFonts w:ascii="Times New Roman" w:hAnsi="Times New Roman"/>
          <w:sz w:val="17"/>
          <w:u w:val="single"/>
        </w:rPr>
        <w:t>Section 10.3</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Losses</w:t>
      </w:r>
      <w:r>
        <w:rPr>
          <w:rFonts w:ascii="Times New Roman" w:hAnsi="Times New Roman"/>
          <w:sz w:val="17"/>
        </w:rPr>
        <w:t> shall have the meaning set forth in the definition of Profits and Losses.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Majority in Interest</w:t>
      </w:r>
      <w:r>
        <w:rPr>
          <w:rFonts w:ascii="Times New Roman" w:hAnsi="Times New Roman"/>
          <w:sz w:val="17"/>
        </w:rPr>
        <w:t> means Members owning more than fifty percent (50%) of the total Percentage Interests held by all Members.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Manager</w:t>
      </w:r>
      <w:r>
        <w:rPr>
          <w:rFonts w:ascii="Times New Roman" w:hAnsi="Times New Roman"/>
          <w:sz w:val="17"/>
        </w:rPr>
        <w:t> means PAA or, if Vulcan elects to designate the Manager during any PAA Minority Interest Period, Vulcan or an Affiliate of Vulcan designated by Vulcan; provided that as a condition to becoming and continuing as Manager, Vulcan or any Person that Vulcan designates as Manager shall have, as of the end of the most recently completed fiscal quarter, a net worth of at least the greater of (x) US$100,000,000 and (y) an amount equal to 20% of the enterprise value of the Company, in each case based on the most recent audited consolidated balance sheet of such Person (or the Company, as applicable) prepared in accordance with GAAP.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Manager Indemnified Acts</w:t>
      </w:r>
      <w:r>
        <w:rPr>
          <w:rFonts w:ascii="Times New Roman" w:hAnsi="Times New Roman"/>
          <w:sz w:val="17"/>
        </w:rPr>
        <w:t xml:space="preserve"> shall have the meaning set forth in </w:t>
      </w:r>
      <w:r>
        <w:rPr>
          <w:rFonts w:ascii="Times New Roman" w:hAnsi="Times New Roman"/>
          <w:sz w:val="17"/>
          <w:u w:val="single"/>
        </w:rPr>
        <w:t>Section 8.1(b)</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Manager Indemnified Parties</w:t>
      </w:r>
      <w:r>
        <w:rPr>
          <w:rFonts w:ascii="Times New Roman" w:hAnsi="Times New Roman"/>
          <w:sz w:val="17"/>
        </w:rPr>
        <w:t xml:space="preserve"> shall have the meaning set forth in </w:t>
      </w:r>
      <w:r>
        <w:rPr>
          <w:rFonts w:ascii="Times New Roman" w:hAnsi="Times New Roman"/>
          <w:sz w:val="17"/>
          <w:u w:val="single"/>
        </w:rPr>
        <w:t>Section 8.1(b)</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Member</w:t>
      </w:r>
      <w:r>
        <w:rPr>
          <w:rFonts w:ascii="Times New Roman" w:hAnsi="Times New Roman"/>
          <w:sz w:val="17"/>
        </w:rPr>
        <w:t> or </w:t>
      </w:r>
      <w:r>
        <w:rPr>
          <w:rFonts w:ascii="Times New Roman" w:hAnsi="Times New Roman"/>
          <w:b/>
          <w:i/>
          <w:sz w:val="17"/>
        </w:rPr>
        <w:t>Members</w:t>
      </w:r>
      <w:r>
        <w:rPr>
          <w:rFonts w:ascii="Times New Roman" w:hAnsi="Times New Roman"/>
          <w:sz w:val="17"/>
        </w:rPr>
        <w:t> shall have the meaning set forth in the preamble hereof.</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Member Nonrecourse Debt</w:t>
      </w:r>
      <w:r>
        <w:rPr>
          <w:rFonts w:ascii="Times New Roman" w:hAnsi="Times New Roman"/>
          <w:sz w:val="17"/>
        </w:rPr>
        <w:t> shall have the same meaning as partner nonrecourse debt as set forth in Regulations Section 1.704-2(b)(4).</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Member Nonrecourse Debt Minimum Gain</w:t>
      </w:r>
      <w:r>
        <w:rPr>
          <w:rFonts w:ascii="Times New Roman" w:hAnsi="Times New Roman"/>
          <w:sz w:val="17"/>
        </w:rPr>
        <w:t> means an amount, with respect to each Member Nonrecourse Debt, equal to the Company Minimum Gain that would result if such Member Nonrecourse Debt were treated as a Nonrecourse Liability, determined in accordance with Regulations Section 1.704-2(i).</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Member Nonrecourse Deductions</w:t>
      </w:r>
      <w:r>
        <w:rPr>
          <w:rFonts w:ascii="Times New Roman" w:hAnsi="Times New Roman"/>
          <w:sz w:val="17"/>
        </w:rPr>
        <w:t> shall have the same meaning as partner nonrecourse deductions as set forth in Regulations Section 1.704-2(i).</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Membership Interest</w:t>
      </w:r>
      <w:r>
        <w:rPr>
          <w:rFonts w:ascii="Times New Roman" w:hAnsi="Times New Roman"/>
          <w:sz w:val="17"/>
        </w:rPr>
        <w:t> means a Members limited liability company interest in the Company which refers to all of a Members rights and interests in the Company in such Members capacity as a Member, all as provided in this Agreement and the Act, including (a) that Members status as a Member; (b) that Members share of the income, gain, loss, deduction and credits of, and the right to receive distributions from, the Company; (c) all other rights, benefits and privileges enjoyed by that Member (under the Act, this Agreement, or otherwise) in its capacity as a Member, including that Members rights to vote, consent and approve and otherwise to participate in the management of the Company, including through the Board; and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6</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(d) all obligations, duties and liabilities imposed on that Member (under the Act, this Agreement or otherwise) in its capacity as a Member, including any obligations to make Capital Contributions.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Membership Transfer</w:t>
      </w:r>
      <w:r>
        <w:rPr>
          <w:rFonts w:ascii="Times New Roman" w:hAnsi="Times New Roman"/>
          <w:sz w:val="17"/>
        </w:rPr>
        <w:t xml:space="preserve"> shall have the meaning set forth in </w:t>
      </w:r>
      <w:r>
        <w:rPr>
          <w:rFonts w:ascii="Times New Roman" w:hAnsi="Times New Roman"/>
          <w:sz w:val="17"/>
          <w:u w:val="single"/>
        </w:rPr>
        <w:t>Section 9.1(b)</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Non-Qualified Transferee</w:t>
      </w:r>
      <w:r>
        <w:rPr>
          <w:rFonts w:ascii="Times New Roman" w:hAnsi="Times New Roman"/>
          <w:sz w:val="17"/>
        </w:rPr>
        <w:t xml:space="preserve"> shall have the meaning set forth in </w:t>
      </w:r>
      <w:r>
        <w:rPr>
          <w:rFonts w:ascii="Times New Roman" w:hAnsi="Times New Roman"/>
          <w:sz w:val="17"/>
          <w:u w:val="single"/>
        </w:rPr>
        <w:t>Section 9.2(a)</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Nonrecourse Deductions</w:t>
      </w:r>
      <w:r>
        <w:rPr>
          <w:rFonts w:ascii="Times New Roman" w:hAnsi="Times New Roman"/>
          <w:sz w:val="17"/>
        </w:rPr>
        <w:t> shall have the meaning specified in Regulations Section 1.704-2(b).</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Nonrecourse Liability</w:t>
      </w:r>
      <w:r>
        <w:rPr>
          <w:rFonts w:ascii="Times New Roman" w:hAnsi="Times New Roman"/>
          <w:sz w:val="17"/>
        </w:rPr>
        <w:t> shall have the meaning set forth in Regulations Section 1.704-2(b)(3).</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Notice</w:t>
      </w:r>
      <w:r>
        <w:rPr>
          <w:rFonts w:ascii="Times New Roman" w:hAnsi="Times New Roman"/>
          <w:sz w:val="17"/>
        </w:rPr>
        <w:t> means a writing (including an electronic writing), containing the information required by this Agreement to be communicated to a party, and shall be deemed to have been received (a) when personally delivered or sent by telecopy or electronic mail (except that if such writing is delivered or sent at a time that is not during normal business hours on a Business Day, the notice shall be deemed to have been received the next Business Day), (b) one day following delivery by overnight delivery courier, with all delivery charges pre-paid, or (c) on the third Business Day following the date on which it was sent by United States mail, postage prepaid, to such party, in each case, at the address, email address or fax number, as the case may be, of such party as shown on the records of the Company.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 xml:space="preserve">Offer Notice </w:t>
      </w:r>
      <w:r>
        <w:rPr>
          <w:rFonts w:ascii="Times New Roman" w:hAnsi="Times New Roman"/>
          <w:sz w:val="17"/>
        </w:rPr>
        <w:t xml:space="preserve"> shall have the meaning set forth in </w:t>
      </w:r>
      <w:r>
        <w:rPr>
          <w:rFonts w:ascii="Times New Roman" w:hAnsi="Times New Roman"/>
          <w:sz w:val="17"/>
          <w:u w:val="single"/>
        </w:rPr>
        <w:t>Section 9.8</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Offer Option Period</w:t>
      </w:r>
      <w:r>
        <w:rPr>
          <w:rFonts w:ascii="Times New Roman" w:hAnsi="Times New Roman"/>
          <w:sz w:val="17"/>
        </w:rPr>
        <w:t xml:space="preserve"> shall have the meaning set forth in </w:t>
      </w:r>
      <w:r>
        <w:rPr>
          <w:rFonts w:ascii="Times New Roman" w:hAnsi="Times New Roman"/>
          <w:sz w:val="17"/>
          <w:u w:val="single"/>
        </w:rPr>
        <w:t>Section 9.8</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Offer Price</w:t>
      </w:r>
      <w:r>
        <w:rPr>
          <w:rFonts w:ascii="Times New Roman" w:hAnsi="Times New Roman"/>
          <w:sz w:val="17"/>
        </w:rPr>
        <w:t xml:space="preserve"> shall have the meaning set forth in </w:t>
      </w:r>
      <w:r>
        <w:rPr>
          <w:rFonts w:ascii="Times New Roman" w:hAnsi="Times New Roman"/>
          <w:sz w:val="17"/>
          <w:u w:val="single"/>
        </w:rPr>
        <w:t>Section 9.8</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Officer</w:t>
      </w:r>
      <w:r>
        <w:rPr>
          <w:rFonts w:ascii="Times New Roman" w:hAnsi="Times New Roman"/>
          <w:sz w:val="17"/>
        </w:rPr>
        <w:t xml:space="preserve"> shall have the meaning set forth in </w:t>
      </w:r>
      <w:r>
        <w:rPr>
          <w:rFonts w:ascii="Times New Roman" w:hAnsi="Times New Roman"/>
          <w:sz w:val="17"/>
          <w:u w:val="single"/>
        </w:rPr>
        <w:t>Section 7.2</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Original Agreement</w:t>
      </w:r>
      <w:r>
        <w:rPr>
          <w:rFonts w:ascii="Times New Roman" w:hAnsi="Times New Roman"/>
          <w:sz w:val="17"/>
        </w:rPr>
        <w:t> shall have the meaning set forth in the recitals.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Other Initial Member</w:t>
      </w:r>
      <w:r>
        <w:rPr>
          <w:rFonts w:ascii="Times New Roman" w:hAnsi="Times New Roman"/>
          <w:sz w:val="17"/>
        </w:rPr>
        <w:t xml:space="preserve"> shall have the meaning set forth in </w:t>
      </w:r>
      <w:r>
        <w:rPr>
          <w:rFonts w:ascii="Times New Roman" w:hAnsi="Times New Roman"/>
          <w:sz w:val="17"/>
          <w:u w:val="single"/>
        </w:rPr>
        <w:t>Section 9.8</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Other Approved Project</w:t>
      </w:r>
      <w:r>
        <w:rPr>
          <w:rFonts w:ascii="Times New Roman" w:hAnsi="Times New Roman"/>
          <w:sz w:val="17"/>
        </w:rPr>
        <w:t> means any project owned (or to be owned) by the Company or under development (or to be developed) by the Company (other than the BGS Project or the PPEC Project), in each case that was approved in writing by each of the Initial Members (or the Director or Directors designated by each Initial Member), regardless of whether approval of such project by the Initial Members or the Board is or was otherwise required under this Agreement.  Notwithstanding the foregoing, the Initial Approved Projects and the Designated Projects constitute Other Approved Projects.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PAA</w:t>
      </w:r>
      <w:r>
        <w:rPr>
          <w:rFonts w:ascii="Times New Roman" w:hAnsi="Times New Roman"/>
          <w:sz w:val="17"/>
        </w:rPr>
        <w:t> means Plains All American Pipeline, L.P., a Delaware limited partnership; provided that when used in reference to PAA in its capacity as a Member, such term shall also refer to any of its Permitted Transferees that is admitted as a substitute Member; provided,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7</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further that no such substitution shall relieve Plains All American Pipeline, L.P. from its obligations under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PAA Minority Interest Period</w:t>
      </w:r>
      <w:r>
        <w:rPr>
          <w:rFonts w:ascii="Times New Roman" w:hAnsi="Times New Roman"/>
          <w:sz w:val="17"/>
        </w:rPr>
        <w:t> means any time that PAA is a Member but its Percentage Interest is less than 25%.</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Percentage Interest</w:t>
      </w:r>
      <w:r>
        <w:rPr>
          <w:rFonts w:ascii="Times New Roman" w:hAnsi="Times New Roman"/>
          <w:sz w:val="17"/>
        </w:rPr>
        <w:t xml:space="preserve"> of a Member means (a) in the case of a Member executing this Agreement as of the date of this Agreement or a Person acquiring such Persons Membership Interest, the aggregate percentage of Membership Interests of such Member set forth on </w:t>
      </w:r>
      <w:r>
        <w:rPr>
          <w:rFonts w:ascii="Times New Roman" w:hAnsi="Times New Roman"/>
          <w:sz w:val="17"/>
          <w:u w:val="single"/>
        </w:rPr>
        <w:t>Schedule 3.1</w:t>
      </w:r>
      <w:r>
        <w:rPr>
          <w:rFonts w:ascii="Times New Roman" w:hAnsi="Times New Roman"/>
          <w:sz w:val="17"/>
        </w:rPr>
        <w:t xml:space="preserve"> hereto, and (b) in the case of an additional Member admitted pursuant to </w:t>
      </w:r>
      <w:r>
        <w:rPr>
          <w:rFonts w:ascii="Times New Roman" w:hAnsi="Times New Roman"/>
          <w:sz w:val="17"/>
          <w:u w:val="single"/>
        </w:rPr>
        <w:t>Section 9.7</w:t>
      </w:r>
      <w:r>
        <w:rPr>
          <w:rFonts w:ascii="Times New Roman" w:hAnsi="Times New Roman"/>
          <w:sz w:val="17"/>
        </w:rPr>
        <w:t xml:space="preserve">, the Percentage Interest established pursuant thereto and in accordance with </w:t>
      </w:r>
      <w:r>
        <w:rPr>
          <w:rFonts w:ascii="Times New Roman" w:hAnsi="Times New Roman"/>
          <w:sz w:val="17"/>
          <w:u w:val="single"/>
        </w:rPr>
        <w:t>Section 3.2(b)</w:t>
      </w:r>
      <w:r>
        <w:rPr>
          <w:rFonts w:ascii="Times New Roman" w:hAnsi="Times New Roman"/>
          <w:sz w:val="17"/>
        </w:rPr>
        <w:t xml:space="preserve">, in each case as the same may be modified from time to time as provided herein; </w:t>
      </w:r>
      <w:r>
        <w:rPr>
          <w:rFonts w:ascii="Times New Roman" w:hAnsi="Times New Roman"/>
          <w:i/>
          <w:sz w:val="17"/>
        </w:rPr>
        <w:t>provided</w:t>
      </w:r>
      <w:r>
        <w:rPr>
          <w:rFonts w:ascii="Times New Roman" w:hAnsi="Times New Roman"/>
          <w:sz w:val="17"/>
        </w:rPr>
        <w:t>, that the total of all Percentage Interests always shall equal 100%.</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Permitted Transfer</w:t>
      </w:r>
      <w:r>
        <w:rPr>
          <w:rFonts w:ascii="Times New Roman" w:hAnsi="Times New Roman"/>
          <w:sz w:val="17"/>
        </w:rPr>
        <w:t> means: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(a)           a Transfer of any or all of the Membership Interest by any Member who is a natural person to (i) such Members spouse, children (including legally adopted children and stepchildren), spouses of children or grandchildren or spouses of grandchildren; (ii) a trust for the benefit of the Member and/or any of the Persons described in clause (i); or (iii) a limited partnership or limited liability company whose sole partners or members, as the case may be, are the Member and/or any of the Persons described in clause (i) or clause (ii); </w:t>
      </w:r>
      <w:r>
        <w:rPr>
          <w:rFonts w:ascii="Times New Roman" w:hAnsi="Times New Roman"/>
          <w:i/>
          <w:sz w:val="17"/>
        </w:rPr>
        <w:t>provided</w:t>
      </w:r>
      <w:r>
        <w:rPr>
          <w:rFonts w:ascii="Times New Roman" w:hAnsi="Times New Roman"/>
          <w:sz w:val="17"/>
        </w:rPr>
        <w:t>, that in any of clauses (i), (ii) or (iii), the Member transferring such Membership Interest, or portion thereof, retains exclusive power to exercise all rights under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           a Transfer of any or all of the Membership Interest by any Member to the Company; or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(c)           a Transfer of any or all of the Membership Interest by a Member to any Affiliate of such Member; </w:t>
      </w:r>
      <w:r>
        <w:rPr>
          <w:rFonts w:ascii="Times New Roman" w:hAnsi="Times New Roman"/>
          <w:i/>
          <w:sz w:val="17"/>
        </w:rPr>
        <w:t>provided, however</w:t>
      </w:r>
      <w:r>
        <w:rPr>
          <w:rFonts w:ascii="Times New Roman" w:hAnsi="Times New Roman"/>
          <w:sz w:val="17"/>
        </w:rPr>
        <w:t>, that such transfer shall be a Permitted Transfer only so long as such Membership Interest, or portion; thereof, is held by such Affiliate or is otherwise transferred in another Permitted Transfer;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i/>
          <w:sz w:val="17"/>
        </w:rPr>
        <w:t>provided, however</w:t>
      </w:r>
      <w:r>
        <w:rPr>
          <w:rFonts w:ascii="Times New Roman" w:hAnsi="Times New Roman"/>
          <w:sz w:val="17"/>
        </w:rPr>
        <w:t xml:space="preserve">, that no Permitted Transfer shall be effective unless and until the transferee of the Membership Interest, or portion thereof, so transferred complies with </w:t>
      </w:r>
      <w:r>
        <w:rPr>
          <w:rFonts w:ascii="Times New Roman" w:hAnsi="Times New Roman"/>
          <w:sz w:val="17"/>
          <w:u w:val="single"/>
        </w:rPr>
        <w:t>Section 9.1(b)</w:t>
      </w:r>
      <w:r>
        <w:rPr>
          <w:rFonts w:ascii="Times New Roman" w:hAnsi="Times New Roman"/>
          <w:sz w:val="17"/>
        </w:rPr>
        <w:t>.  Except in the case of a Permitted Transfer pursuant to clause (b) above, from and after the date on which a Permitted Transfer becomes effective, the Permitted Transferee of the Membership Interest, or portion thereof, so transferred shall have the same rights, and shall be bound by the same obligations, under this Agreement as the transferor of such Membership Interest, or portion thereof, and shall be deemed for all purposes hereunder a Member and such Permitted Transferee shall, as a condition to such Transfer, agree in writing to be bound by the terms of this Agreement.  No Permitted Transfer shall conflict with or result in any violation of any judgment, order, decree, statute, law, ordinance, rule or regulation or require the Company, if not currently subject, to become subject, or if currently subject, to become subject to a greater extent, to any statute, law, ordinance, rule or regulation, excluding matters of a ministerial nature that are not materially burdensome to the Company.</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8</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Permitted Transferee</w:t>
      </w:r>
      <w:r>
        <w:rPr>
          <w:rFonts w:ascii="Times New Roman" w:hAnsi="Times New Roman"/>
          <w:sz w:val="17"/>
        </w:rPr>
        <w:t> means any Person who shall have acquired and who shall hold a Membership Interest, or portion thereof, pursuant to a Permitted Transfer.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Person</w:t>
      </w:r>
      <w:r>
        <w:rPr>
          <w:rFonts w:ascii="Times New Roman" w:hAnsi="Times New Roman"/>
          <w:sz w:val="17"/>
        </w:rPr>
        <w:t> means any individual, partnership, corporation, limited liability company, trust, incorporated or unincorporated organization or other legal entity of any kind.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PPEC Debt</w:t>
      </w:r>
      <w:r>
        <w:rPr>
          <w:rFonts w:ascii="Times New Roman" w:hAnsi="Times New Roman"/>
          <w:sz w:val="17"/>
        </w:rPr>
        <w:t> means debt financing in the amounts, and on terms that are substantially consistent with (but subject to reasonable modifications as may be required by market conditions), those set forth in the draft labeled Skadden Comments 6/28/05 of the Summary of Terms and Conditions between ABN AMRO Bank N.V. and Pine Prairie Energy Center, LLC.</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PPEC Project</w:t>
      </w:r>
      <w:r>
        <w:rPr>
          <w:rFonts w:ascii="Times New Roman" w:hAnsi="Times New Roman"/>
          <w:sz w:val="17"/>
        </w:rPr>
        <w:t> means the salt cavern natural gas storage facility located in Evangeline Parish, Louisiana, that is currently under development by Pine Prairie Energy Center, LLC.</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Profits</w:t>
      </w:r>
      <w:r>
        <w:rPr>
          <w:rFonts w:ascii="Times New Roman" w:hAnsi="Times New Roman"/>
          <w:sz w:val="17"/>
        </w:rPr>
        <w:t> and </w:t>
      </w:r>
      <w:r>
        <w:rPr>
          <w:rFonts w:ascii="Times New Roman" w:hAnsi="Times New Roman"/>
          <w:b/>
          <w:i/>
          <w:sz w:val="17"/>
        </w:rPr>
        <w:t>Losses</w:t>
      </w:r>
      <w:r>
        <w:rPr>
          <w:rFonts w:ascii="Times New Roman" w:hAnsi="Times New Roman"/>
          <w:sz w:val="17"/>
        </w:rPr>
        <w:t> means, for each Fiscal Period, an amount equal to the Companys net taxable income or loss, determined in accordance with Section 703(a) of the Code (for this purpose, all items of income, gain, loss or deduction required to be stated separately pursuant to Section 703(a)(1) of the Code shall be included in computing such taxable income or loss), with the following adjustments: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           Any income of the Company that is exempt from federal income tax and not otherwise taken into account in computing Profits or Losses shall be added to such taxable income or loss;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           Any expenditures of the Company described in Section 705(a)(2)(B) of the Code or treated as Code Section 705(a)(2)(B) expenditures pursuant to Regulations Section 1.704-1(b)(2)(iv)(i), and not otherwise taken into account in computing Profits or Losses, shall be subtracted from such taxable income or loss;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           In the event the Gross Asset Value of any Company asset is adjusted pursuant to subparagraphs (b), (c) or (d) of the definition of Gross Asset Value, the amount of such adjustment shall be treated as an item of gain (if the adjustment increases the Gross Asset Value of the asset) or an item of loss (if the adjustment decreases the Gross Asset Value of the asset) from the disposition of such asset and shall be taken into account for purposes of computing Profits or Losses;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           Gain or loss resulting from any disposition of Property with respect to which gain or loss is recognized for federal income tax purposes shall be computed by reference to the Gross Asset Value of the Property disposed of, notwithstanding that the adjusted tax basis of such Property differs from its Gross Asset Value;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(e)           In lieu of the depreciation, amortization, and other cost recovery deductions taken into account in computing such taxable income or loss, there shall be taken into account Depreciation for such Fiscal Period, computed in accordance with the definition of Depreciation; and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            To the extent an adjustment to the adjusted tax basis of any Company asset pursuant to Code Section 734(b) or Code Section 743(b) is required, pursuant to</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9</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Regulations Section 1.704-1(b)(2)(iv)(m)(4) to be taken into account in determining Capital Accounts as a result of a distribution other than in liquidation of a Members interest in the Company, the amount of such adjustment shall be treated as an item of gain (if the adjustment increases the basis of the asset) or loss (if the adjustment decreases such basis) from the disposition of such asset and shall be taken into account for purposes of computing Profits or Losses.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Notwithstanding any other provision of this definition, any items specially allocated pursuant to </w:t>
      </w:r>
      <w:r>
        <w:rPr>
          <w:rFonts w:ascii="Times New Roman" w:hAnsi="Times New Roman"/>
          <w:sz w:val="17"/>
          <w:u w:val="single"/>
        </w:rPr>
        <w:t>Section 5.3</w:t>
      </w:r>
      <w:r>
        <w:rPr>
          <w:rFonts w:ascii="Times New Roman" w:hAnsi="Times New Roman"/>
          <w:sz w:val="17"/>
        </w:rPr>
        <w:t xml:space="preserve"> shall not be considered in computing Profits and Losses.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Project</w:t>
      </w:r>
      <w:r>
        <w:rPr>
          <w:rFonts w:ascii="Times New Roman" w:hAnsi="Times New Roman"/>
          <w:sz w:val="17"/>
        </w:rPr>
        <w:t> shall have the meaning set forth in the Purchase Agreement, as in effect on the date of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Property</w:t>
      </w:r>
      <w:r>
        <w:rPr>
          <w:rFonts w:ascii="Times New Roman" w:hAnsi="Times New Roman"/>
          <w:sz w:val="17"/>
        </w:rPr>
        <w:t> means all assets, real or intangible, that the Company may own or otherwise have an interest in from time to time.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Proposed Purchaser</w:t>
      </w:r>
      <w:r>
        <w:rPr>
          <w:rFonts w:ascii="Times New Roman" w:hAnsi="Times New Roman"/>
          <w:sz w:val="17"/>
        </w:rPr>
        <w:t xml:space="preserve"> shall have the meaning set forth in </w:t>
      </w:r>
      <w:r>
        <w:rPr>
          <w:rFonts w:ascii="Times New Roman" w:hAnsi="Times New Roman"/>
          <w:sz w:val="17"/>
          <w:u w:val="single"/>
        </w:rPr>
        <w:t>Section 9.9(a)</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Proposed Transferor</w:t>
      </w:r>
      <w:r>
        <w:rPr>
          <w:rFonts w:ascii="Times New Roman" w:hAnsi="Times New Roman"/>
          <w:sz w:val="17"/>
        </w:rPr>
        <w:t xml:space="preserve"> shall have the meaning set forth in </w:t>
      </w:r>
      <w:r>
        <w:rPr>
          <w:rFonts w:ascii="Times New Roman" w:hAnsi="Times New Roman"/>
          <w:sz w:val="17"/>
          <w:u w:val="single"/>
        </w:rPr>
        <w:t>Section 9.9(a)</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Proposed Value</w:t>
      </w:r>
      <w:r>
        <w:rPr>
          <w:rFonts w:ascii="Times New Roman" w:hAnsi="Times New Roman"/>
          <w:sz w:val="17"/>
        </w:rPr>
        <w:t xml:space="preserve"> shall have the meaning set forth in </w:t>
      </w:r>
      <w:r>
        <w:rPr>
          <w:rFonts w:ascii="Times New Roman" w:hAnsi="Times New Roman"/>
          <w:sz w:val="17"/>
          <w:u w:val="single"/>
        </w:rPr>
        <w:t>Section 3.6(c)</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Purchase Agreement</w:t>
      </w:r>
      <w:r>
        <w:rPr>
          <w:rFonts w:ascii="Times New Roman" w:hAnsi="Times New Roman"/>
          <w:sz w:val="17"/>
        </w:rPr>
        <w:t xml:space="preserve"> means that certain Membership Interest Purchase Agreement, dated as of August 19, 2005, by and between Sempra Energy Trading Corp, a Delaware corporation, and the Company, as may be amended from time to time in compliance with </w:t>
      </w:r>
      <w:r>
        <w:rPr>
          <w:rFonts w:ascii="Times New Roman" w:hAnsi="Times New Roman"/>
          <w:sz w:val="17"/>
          <w:u w:val="single"/>
        </w:rPr>
        <w:t>Section 7.11(a)(xi)</w:t>
      </w:r>
      <w:r>
        <w:rPr>
          <w:rFonts w:ascii="Times New Roman" w:hAnsi="Times New Roman"/>
          <w:sz w:val="17"/>
        </w:rPr>
        <w:t xml:space="preserve"> hereof.</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Qualifying Offer</w:t>
      </w:r>
      <w:r>
        <w:rPr>
          <w:rFonts w:ascii="Times New Roman" w:hAnsi="Times New Roman"/>
          <w:sz w:val="17"/>
        </w:rPr>
        <w:t xml:space="preserve"> shall have the meaning set forth in </w:t>
      </w:r>
      <w:r>
        <w:rPr>
          <w:rFonts w:ascii="Times New Roman" w:hAnsi="Times New Roman"/>
          <w:sz w:val="17"/>
          <w:u w:val="single"/>
        </w:rPr>
        <w:t>Section 9.8</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Regulations</w:t>
      </w:r>
      <w:r>
        <w:rPr>
          <w:rFonts w:ascii="Times New Roman" w:hAnsi="Times New Roman"/>
          <w:sz w:val="17"/>
        </w:rPr>
        <w:t> means the regulations, including temporary regulations, promulgated by the United States Department of Treasury with respect to the Code, as such regulations are amended from time to time, or corresponding provisions of future regulations.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Regulatory Allocations</w:t>
      </w:r>
      <w:r>
        <w:rPr>
          <w:rFonts w:ascii="Times New Roman" w:hAnsi="Times New Roman"/>
          <w:sz w:val="17"/>
        </w:rPr>
        <w:t xml:space="preserve"> shall have the meaning set forth in </w:t>
      </w:r>
      <w:r>
        <w:rPr>
          <w:rFonts w:ascii="Times New Roman" w:hAnsi="Times New Roman"/>
          <w:sz w:val="17"/>
          <w:u w:val="single"/>
        </w:rPr>
        <w:t>Section 5.3(c)</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Relevant Parties</w:t>
      </w:r>
      <w:r>
        <w:rPr>
          <w:rFonts w:ascii="Times New Roman" w:hAnsi="Times New Roman"/>
          <w:sz w:val="17"/>
        </w:rPr>
        <w:t xml:space="preserve"> shall have the meaning set forth in </w:t>
      </w:r>
      <w:r>
        <w:rPr>
          <w:rFonts w:ascii="Times New Roman" w:hAnsi="Times New Roman"/>
          <w:sz w:val="17"/>
          <w:u w:val="single"/>
        </w:rPr>
        <w:t>Section 3.6</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Representatives</w:t>
      </w:r>
      <w:r>
        <w:rPr>
          <w:rFonts w:ascii="Times New Roman" w:hAnsi="Times New Roman"/>
          <w:sz w:val="17"/>
        </w:rPr>
        <w:t xml:space="preserve"> shall have the meaning set forth in </w:t>
      </w:r>
      <w:r>
        <w:rPr>
          <w:rFonts w:ascii="Times New Roman" w:hAnsi="Times New Roman"/>
          <w:sz w:val="17"/>
          <w:u w:val="single"/>
        </w:rPr>
        <w:t>Section 12.6</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Requesting Party</w:t>
      </w:r>
      <w:r>
        <w:rPr>
          <w:rFonts w:ascii="Times New Roman" w:hAnsi="Times New Roman"/>
          <w:sz w:val="17"/>
        </w:rPr>
        <w:t xml:space="preserve"> shall have the meaning set forth in </w:t>
      </w:r>
      <w:r>
        <w:rPr>
          <w:rFonts w:ascii="Times New Roman" w:hAnsi="Times New Roman"/>
          <w:sz w:val="17"/>
          <w:u w:val="single"/>
        </w:rPr>
        <w:t>Section 3.2(d)</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Selling Member</w:t>
      </w:r>
      <w:r>
        <w:rPr>
          <w:rFonts w:ascii="Times New Roman" w:hAnsi="Times New Roman"/>
          <w:sz w:val="17"/>
        </w:rPr>
        <w:t xml:space="preserve"> shall have the meaning set forth in </w:t>
      </w:r>
      <w:r>
        <w:rPr>
          <w:rFonts w:ascii="Times New Roman" w:hAnsi="Times New Roman"/>
          <w:sz w:val="17"/>
          <w:u w:val="single"/>
        </w:rPr>
        <w:t>Section 9.8</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Subsidiary</w:t>
      </w:r>
      <w:r>
        <w:rPr>
          <w:rFonts w:ascii="Times New Roman" w:hAnsi="Times New Roman"/>
          <w:sz w:val="17"/>
        </w:rPr>
        <w:t> means, with respect to a Person, any corporation, partnership, association or other business entity of which (i) if a corporation, a majority of the total voting power of shares of stock entitled (irrespective of whether, at the time, stock of any other class or classes of such corporation shall have or might have voting power by reason of the happening of any contingency) to vote in the election of directors, managers or trustees thereof is at the time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10</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owned or controlled, directly or indirectly, by that Person or one or more of the other Subsidiaries of that Person or a combination thereof, or (ii) if a partnership, association or other business entity, a majority of either (x) the partnership or other similar ownership interest thereof or (y) the stock or equity interest of such partnership, association or other business entitys general partner, managing member or other similar controlling Person, is at the time owned or controlled, directly or indirectly, by such Person or one or more Subsidiaries of that Person or a combination thereof.</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Tax Matters Member</w:t>
      </w:r>
      <w:r>
        <w:rPr>
          <w:rFonts w:ascii="Times New Roman" w:hAnsi="Times New Roman"/>
          <w:sz w:val="17"/>
        </w:rPr>
        <w:t xml:space="preserve"> shall have the meaning set forth in </w:t>
      </w:r>
      <w:r>
        <w:rPr>
          <w:rFonts w:ascii="Times New Roman" w:hAnsi="Times New Roman"/>
          <w:sz w:val="17"/>
          <w:u w:val="single"/>
        </w:rPr>
        <w:t>Article 11</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Transfer</w:t>
      </w:r>
      <w:r>
        <w:rPr>
          <w:rFonts w:ascii="Times New Roman" w:hAnsi="Times New Roman"/>
          <w:sz w:val="17"/>
        </w:rPr>
        <w:t> or </w:t>
      </w:r>
      <w:r>
        <w:rPr>
          <w:rFonts w:ascii="Times New Roman" w:hAnsi="Times New Roman"/>
          <w:b/>
          <w:i/>
          <w:sz w:val="17"/>
        </w:rPr>
        <w:t>Transferred</w:t>
      </w:r>
      <w:r>
        <w:rPr>
          <w:rFonts w:ascii="Times New Roman" w:hAnsi="Times New Roman"/>
          <w:sz w:val="17"/>
        </w:rPr>
        <w:t> means to give, sell, exchange, assign, transfer, bequeath, devise or otherwise dispose of, voluntarily or involuntarily, by operation of law or otherwise.  For the avoidance of doubt, the creation of a lien, security interest, pledge, encumbrance, hypothecation or mortgage shall not be a Transfer, but a transfer upon (or in lieu of) foreclosure of any lien, security interest, pledge, encumbrance, hypothecation or mortgage shall constitute a Transfer.  When referring to a Membership Interest, Transfer shall mean the Transfer of such Membership Interest whether of record, beneficially, by participation or otherwise.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Transfer Closing</w:t>
      </w:r>
      <w:r>
        <w:rPr>
          <w:rFonts w:ascii="Times New Roman" w:hAnsi="Times New Roman"/>
          <w:sz w:val="17"/>
        </w:rPr>
        <w:t xml:space="preserve"> shall have the meaning set forth in </w:t>
      </w:r>
      <w:r>
        <w:rPr>
          <w:rFonts w:ascii="Times New Roman" w:hAnsi="Times New Roman"/>
          <w:sz w:val="17"/>
          <w:u w:val="single"/>
        </w:rPr>
        <w:t>Section 9.2(d)</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Transfer Closing Date</w:t>
      </w:r>
      <w:r>
        <w:rPr>
          <w:rFonts w:ascii="Times New Roman" w:hAnsi="Times New Roman"/>
          <w:sz w:val="17"/>
        </w:rPr>
        <w:t xml:space="preserve"> shall have the meaning set forth in </w:t>
      </w:r>
      <w:r>
        <w:rPr>
          <w:rFonts w:ascii="Times New Roman" w:hAnsi="Times New Roman"/>
          <w:sz w:val="17"/>
          <w:u w:val="single"/>
        </w:rPr>
        <w:t>Section 9.2(d)</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Transfer Notice</w:t>
      </w:r>
      <w:r>
        <w:rPr>
          <w:rFonts w:ascii="Times New Roman" w:hAnsi="Times New Roman"/>
          <w:sz w:val="17"/>
        </w:rPr>
        <w:t xml:space="preserve"> shall have the meaning set forth in </w:t>
      </w:r>
      <w:r>
        <w:rPr>
          <w:rFonts w:ascii="Times New Roman" w:hAnsi="Times New Roman"/>
          <w:sz w:val="17"/>
          <w:u w:val="single"/>
        </w:rPr>
        <w:t>Section 9.9(a)</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Transfer Request</w:t>
      </w:r>
      <w:r>
        <w:rPr>
          <w:rFonts w:ascii="Times New Roman" w:hAnsi="Times New Roman"/>
          <w:sz w:val="17"/>
        </w:rPr>
        <w:t xml:space="preserve"> shall have the meaning set forth in </w:t>
      </w:r>
      <w:r>
        <w:rPr>
          <w:rFonts w:ascii="Times New Roman" w:hAnsi="Times New Roman"/>
          <w:sz w:val="17"/>
          <w:u w:val="single"/>
        </w:rPr>
        <w:t>Section 9.9(a)</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Trigger Year</w:t>
      </w:r>
      <w:r>
        <w:rPr>
          <w:rFonts w:ascii="Times New Roman" w:hAnsi="Times New Roman"/>
          <w:sz w:val="17"/>
        </w:rPr>
        <w:t> shall have the meaning set forth in Section 4.1.</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Vulcan</w:t>
      </w:r>
      <w:r>
        <w:rPr>
          <w:rFonts w:ascii="Times New Roman" w:hAnsi="Times New Roman"/>
          <w:sz w:val="17"/>
        </w:rPr>
        <w:t> means Vulcan Gas Storage LLC, a Delaware limited liability company; provided that when used in reference to Vulcan in its capacity as a Member, such term shall also refer to any of its Permitted Transferees that is admitted as a substitute Member; provided, further that no such substitution shall relieve Vulcan Gas Storage LLC from its obligations under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Vulcan Minority Interest Period</w:t>
      </w:r>
      <w:r>
        <w:rPr>
          <w:rFonts w:ascii="Times New Roman" w:hAnsi="Times New Roman"/>
          <w:sz w:val="17"/>
        </w:rPr>
        <w:t> means any time that Vulcan is a Member but its Percentage Interest is less than 25%.</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Wholly-owned Subsidiary</w:t>
      </w:r>
      <w:r>
        <w:rPr>
          <w:rFonts w:ascii="Times New Roman" w:hAnsi="Times New Roman"/>
          <w:sz w:val="17"/>
        </w:rPr>
        <w:t> means, with respect to any Person, a Subsidiary of such Person where all of the outstanding capital stock or other ownership interests of which shall at the time be owned by such Person and/or by one or more Wholly-owned Subsidiaries of such Person.</w:t>
      </w:r>
    </w:p>
    <w:p>
      <w:pPr>
        <w:pStyle w:val="TextBody"/>
        <w:spacing w:before="0" w:after="0"/>
        <w:ind w:left="0" w:right="0" w:hanging="0"/>
        <w:rPr/>
      </w:pPr>
      <w:r>
        <w:rPr/>
        <w:t> </w:t>
      </w:r>
    </w:p>
    <w:p>
      <w:pPr>
        <w:pStyle w:val="Heading1"/>
        <w:spacing w:before="0" w:after="0"/>
        <w:ind w:left="0" w:right="0" w:hanging="0"/>
        <w:rPr>
          <w:rFonts w:ascii="Times New Roman" w:hAnsi="Times New Roman"/>
          <w:b/>
          <w:sz w:val="17"/>
        </w:rPr>
      </w:pPr>
      <w:bookmarkStart w:id="5" w:name="Article2_222730"/>
      <w:bookmarkEnd w:id="5"/>
      <w:r>
        <w:rPr>
          <w:rFonts w:ascii="Times New Roman" w:hAnsi="Times New Roman"/>
          <w:b/>
          <w:sz w:val="17"/>
        </w:rPr>
        <w:t>ARTICLE 2</w:t>
        <w:br/>
        <w:t>GENERAL</w:t>
      </w:r>
    </w:p>
    <w:p>
      <w:pPr>
        <w:pStyle w:val="Heading1"/>
        <w:spacing w:before="0" w:after="0"/>
        <w:ind w:left="0" w:right="0" w:hanging="0"/>
        <w:rPr/>
      </w:pPr>
      <w:r>
        <w:rPr/>
        <w:t> </w:t>
      </w:r>
    </w:p>
    <w:p>
      <w:pPr>
        <w:pStyle w:val="TextBody"/>
        <w:spacing w:before="0" w:after="0"/>
        <w:ind w:left="0" w:right="0" w:hanging="0"/>
        <w:rPr>
          <w:rFonts w:ascii="Times New Roman" w:hAnsi="Times New Roman"/>
          <w:sz w:val="17"/>
        </w:rPr>
      </w:pPr>
      <w:bookmarkStart w:id="6" w:name="a2_1_222733"/>
      <w:bookmarkEnd w:id="6"/>
      <w:r>
        <w:rPr>
          <w:rFonts w:ascii="Times New Roman" w:hAnsi="Times New Roman"/>
          <w:sz w:val="17"/>
        </w:rPr>
        <w:t xml:space="preserve">2.1           </w:t>
      </w:r>
      <w:r>
        <w:rPr>
          <w:rFonts w:ascii="Times New Roman" w:hAnsi="Times New Roman"/>
          <w:sz w:val="17"/>
          <w:u w:val="single"/>
        </w:rPr>
        <w:t>Formation</w:t>
      </w:r>
      <w:r>
        <w:rPr>
          <w:rFonts w:ascii="Times New Roman" w:hAnsi="Times New Roman"/>
          <w:sz w:val="17"/>
        </w:rPr>
        <w:t>.  The Company has been organized as a Delaware limited liability company by the filing of the Certificate with the Secretary of State of Delaware pursuant to the Act.  The name of the Company is PAA/Vulcan Gas Storage, LLC.  The rights and liabilities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11</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of the Members shall be as provided in the Act for Members except as provided herein.  To the extent that the rights or obligations of any Member are different by reason of any provision of this Agreement than they would be in the absence of such provision, to the extent permitted by the Act, this Agreement shall control.</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bookmarkStart w:id="7" w:name="a2_2_222737"/>
      <w:bookmarkEnd w:id="7"/>
      <w:r>
        <w:rPr>
          <w:rFonts w:ascii="Times New Roman" w:hAnsi="Times New Roman"/>
          <w:sz w:val="17"/>
        </w:rPr>
        <w:t xml:space="preserve">2.2           </w:t>
      </w:r>
      <w:r>
        <w:rPr>
          <w:rFonts w:ascii="Times New Roman" w:hAnsi="Times New Roman"/>
          <w:sz w:val="17"/>
          <w:u w:val="single"/>
        </w:rPr>
        <w:t>Principal Office</w:t>
      </w:r>
      <w:r>
        <w:rPr>
          <w:rFonts w:ascii="Times New Roman" w:hAnsi="Times New Roman"/>
          <w:sz w:val="17"/>
        </w:rPr>
        <w:t>.  The principal office of the Company shall be located at Houston, Texas, or at such other place(s) as the Board may determine from time to time.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bookmarkStart w:id="8" w:name="a2_3_222739"/>
      <w:bookmarkEnd w:id="8"/>
      <w:r>
        <w:rPr>
          <w:rFonts w:ascii="Times New Roman" w:hAnsi="Times New Roman"/>
          <w:sz w:val="17"/>
        </w:rPr>
        <w:t xml:space="preserve">2.3           </w:t>
      </w:r>
      <w:r>
        <w:rPr>
          <w:rFonts w:ascii="Times New Roman" w:hAnsi="Times New Roman"/>
          <w:sz w:val="17"/>
          <w:u w:val="single"/>
        </w:rPr>
        <w:t>Registered Office and Registered Agent</w:t>
      </w:r>
      <w:r>
        <w:rPr>
          <w:rFonts w:ascii="Times New Roman" w:hAnsi="Times New Roman"/>
          <w:sz w:val="17"/>
        </w:rPr>
        <w:t>.  The location of the registered office and the name of the registered agent of the Company in the State of Delaware shall be as stated in the Certificate or as determined from time to time by the Board.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bookmarkStart w:id="9" w:name="a2_4_222740"/>
      <w:bookmarkEnd w:id="9"/>
      <w:r>
        <w:rPr>
          <w:rFonts w:ascii="Times New Roman" w:hAnsi="Times New Roman"/>
          <w:sz w:val="17"/>
        </w:rPr>
        <w:t xml:space="preserve">2.4           </w:t>
      </w:r>
      <w:r>
        <w:rPr>
          <w:rFonts w:ascii="Times New Roman" w:hAnsi="Times New Roman"/>
          <w:sz w:val="17"/>
          <w:u w:val="single"/>
        </w:rPr>
        <w:t>Purpose of the Company</w:t>
      </w:r>
      <w:r>
        <w:rPr>
          <w:rFonts w:ascii="Times New Roman" w:hAnsi="Times New Roman"/>
          <w:sz w:val="17"/>
        </w:rPr>
        <w:t>.  The Companys purposes, and the nature of the business to be conducted and promoted by the Company, are (a) to engage in the Business and (b) to engage in any and all activities necessary, advisable, convenient or incidental to the foregoing.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bookmarkStart w:id="10" w:name="a2_5_222743"/>
      <w:bookmarkEnd w:id="10"/>
      <w:r>
        <w:rPr>
          <w:rFonts w:ascii="Times New Roman" w:hAnsi="Times New Roman"/>
          <w:sz w:val="17"/>
        </w:rPr>
        <w:t xml:space="preserve">2.5           </w:t>
      </w:r>
      <w:r>
        <w:rPr>
          <w:rFonts w:ascii="Times New Roman" w:hAnsi="Times New Roman"/>
          <w:sz w:val="17"/>
          <w:u w:val="single"/>
        </w:rPr>
        <w:t>Date of Dissolution</w:t>
      </w:r>
      <w:r>
        <w:rPr>
          <w:rFonts w:ascii="Times New Roman" w:hAnsi="Times New Roman"/>
          <w:sz w:val="17"/>
        </w:rPr>
        <w:t xml:space="preserve">.  The Company shall have perpetual existence unless the Company is dissolved pursuant to </w:t>
      </w:r>
      <w:r>
        <w:rPr>
          <w:rFonts w:ascii="Times New Roman" w:hAnsi="Times New Roman"/>
          <w:sz w:val="17"/>
          <w:u w:val="single"/>
        </w:rPr>
        <w:t>Article 10</w:t>
      </w:r>
      <w:r>
        <w:rPr>
          <w:rFonts w:ascii="Times New Roman" w:hAnsi="Times New Roman"/>
          <w:sz w:val="17"/>
        </w:rPr>
        <w:t xml:space="preserve"> hereof.  The existence of the Company as a separate legal entity shall continue until cancellation of the Certificate in the manner required by the Act.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bookmarkStart w:id="11" w:name="a2_6_222744"/>
      <w:bookmarkEnd w:id="11"/>
      <w:r>
        <w:rPr>
          <w:rFonts w:ascii="Times New Roman" w:hAnsi="Times New Roman"/>
          <w:sz w:val="17"/>
        </w:rPr>
        <w:t xml:space="preserve">2.6           </w:t>
      </w:r>
      <w:r>
        <w:rPr>
          <w:rFonts w:ascii="Times New Roman" w:hAnsi="Times New Roman"/>
          <w:sz w:val="17"/>
          <w:u w:val="single"/>
        </w:rPr>
        <w:t>Qualification</w:t>
      </w:r>
      <w:r>
        <w:rPr>
          <w:rFonts w:ascii="Times New Roman" w:hAnsi="Times New Roman"/>
          <w:sz w:val="17"/>
        </w:rPr>
        <w:t>.  Each of the President and Chief Executive Officer, any Vice President, the Secretary and any Assistant Secretary of the Company is hereby authorized to qualify the Company to do business as a foreign limited liability company in any jurisdiction in which the Company may wish to conduct business and each is hereby designated as an authorized person, within the meaning of the Act, to execute, deliver and file any amendments or restatements of the Certificate and any other certificates and any amendments or restatements thereof necessary for the Company to so qualify to do business in any such state or territory.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bookmarkStart w:id="12" w:name="a2_7_222746"/>
      <w:bookmarkEnd w:id="12"/>
      <w:r>
        <w:rPr>
          <w:rFonts w:ascii="Times New Roman" w:hAnsi="Times New Roman"/>
          <w:sz w:val="17"/>
        </w:rPr>
        <w:t xml:space="preserve">2.7           </w:t>
      </w:r>
      <w:r>
        <w:rPr>
          <w:rFonts w:ascii="Times New Roman" w:hAnsi="Times New Roman"/>
          <w:sz w:val="17"/>
          <w:u w:val="single"/>
        </w:rPr>
        <w:t>Members</w:t>
      </w:r>
      <w:r>
        <w:rPr>
          <w:rFonts w:ascii="Times New Roman" w:hAnsi="Times New Roman"/>
          <w:sz w:val="17"/>
        </w:rPr>
        <w:t>.</w:t>
      </w:r>
    </w:p>
    <w:p>
      <w:pPr>
        <w:pStyle w:val="TextBody"/>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 xml:space="preserve">(a)           </w:t>
      </w:r>
      <w:r>
        <w:rPr>
          <w:rFonts w:ascii="Times New Roman" w:hAnsi="Times New Roman"/>
          <w:b w:val="false"/>
          <w:sz w:val="17"/>
          <w:u w:val="single"/>
        </w:rPr>
        <w:t>Powers of Members</w:t>
      </w:r>
      <w:r>
        <w:rPr>
          <w:rFonts w:ascii="Times New Roman" w:hAnsi="Times New Roman"/>
          <w:b w:val="false"/>
          <w:sz w:val="17"/>
        </w:rPr>
        <w:t>.  The Members shall have the power to exercise any and all rights or powers granted to the Members pursuant to the express terms of this Agreement.  Except as expressly provided herein, the Members shall have no power to bind the Company and no authority to act on behalf of the Company.</w:t>
      </w:r>
    </w:p>
    <w:p>
      <w:pPr>
        <w:pStyle w:val="Heading3"/>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 xml:space="preserve">(b)           </w:t>
      </w:r>
      <w:r>
        <w:rPr>
          <w:rFonts w:ascii="Times New Roman" w:hAnsi="Times New Roman"/>
          <w:b w:val="false"/>
          <w:sz w:val="17"/>
          <w:u w:val="single"/>
        </w:rPr>
        <w:t>Partition</w:t>
      </w:r>
      <w:r>
        <w:rPr>
          <w:rFonts w:ascii="Times New Roman" w:hAnsi="Times New Roman"/>
          <w:b w:val="false"/>
          <w:sz w:val="17"/>
        </w:rPr>
        <w:t>.  Each Member waives any and all rights that it may have to maintain an action for partition of the Companys Property.</w:t>
      </w:r>
    </w:p>
    <w:p>
      <w:pPr>
        <w:pStyle w:val="Heading3"/>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 xml:space="preserve">(c)           </w:t>
      </w:r>
      <w:r>
        <w:rPr>
          <w:rFonts w:ascii="Times New Roman" w:hAnsi="Times New Roman"/>
          <w:b w:val="false"/>
          <w:sz w:val="17"/>
          <w:u w:val="single"/>
        </w:rPr>
        <w:t>Resignation</w:t>
      </w:r>
      <w:r>
        <w:rPr>
          <w:rFonts w:ascii="Times New Roman" w:hAnsi="Times New Roman"/>
          <w:b w:val="false"/>
          <w:sz w:val="17"/>
        </w:rPr>
        <w:t xml:space="preserve">.  Except upon a Transfer of all of its Membership Interests in accordance with this Agreement, a Member may not resign from the Company prior to the dissolution and winding up of the Company.  A Member ceases to be a Member only upon:  (i) a Permitted Transfer of all of such Members Membership Interest and the transferees admission as a substitute Member, all in accordance with the terms of this Agreement, or (ii) completion of dissolution and winding up of the Company pursuant to </w:t>
      </w:r>
      <w:r>
        <w:rPr>
          <w:rFonts w:ascii="Times New Roman" w:hAnsi="Times New Roman"/>
          <w:b w:val="false"/>
          <w:sz w:val="17"/>
          <w:u w:val="single"/>
        </w:rPr>
        <w:t>Article 10</w:t>
      </w:r>
      <w:r>
        <w:rPr>
          <w:rFonts w:ascii="Times New Roman" w:hAnsi="Times New Roman"/>
          <w:b w:val="false"/>
          <w:sz w:val="17"/>
        </w:rPr>
        <w:t>.</w:t>
      </w:r>
    </w:p>
    <w:p>
      <w:pPr>
        <w:pStyle w:val="Heading3"/>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 xml:space="preserve">(d)           </w:t>
      </w:r>
      <w:r>
        <w:rPr>
          <w:rFonts w:ascii="Times New Roman" w:hAnsi="Times New Roman"/>
          <w:b w:val="false"/>
          <w:sz w:val="17"/>
          <w:u w:val="single"/>
        </w:rPr>
        <w:t>Ownership</w:t>
      </w:r>
      <w:r>
        <w:rPr>
          <w:rFonts w:ascii="Times New Roman" w:hAnsi="Times New Roman"/>
          <w:b w:val="false"/>
          <w:sz w:val="17"/>
        </w:rPr>
        <w:t>.  Each Membership Interest shall correspond to a limited liability company interest as is provided in the Act.  The Company shall be the owner of the Property.  No Member shall have any ownership interest or right in the Property, including Property</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12</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conveyed by a Member to the Company, except indirectly by virtue of a Members ownership of a Membership Interest.</w:t>
      </w:r>
    </w:p>
    <w:p>
      <w:pPr>
        <w:pStyle w:val="Heading3"/>
        <w:spacing w:before="0" w:after="0"/>
        <w:ind w:left="0" w:right="0" w:hanging="0"/>
        <w:rPr/>
      </w:pPr>
      <w:r>
        <w:rPr/>
        <w:t> </w:t>
      </w:r>
    </w:p>
    <w:p>
      <w:pPr>
        <w:pStyle w:val="TextBody"/>
        <w:spacing w:before="0" w:after="0"/>
        <w:ind w:left="0" w:right="0" w:hanging="0"/>
        <w:rPr>
          <w:rFonts w:ascii="Times New Roman" w:hAnsi="Times New Roman"/>
          <w:sz w:val="17"/>
        </w:rPr>
      </w:pPr>
      <w:bookmarkStart w:id="13" w:name="a2_8_222752"/>
      <w:bookmarkEnd w:id="13"/>
      <w:r>
        <w:rPr>
          <w:rFonts w:ascii="Times New Roman" w:hAnsi="Times New Roman"/>
          <w:sz w:val="17"/>
        </w:rPr>
        <w:t xml:space="preserve">2.8           </w:t>
      </w:r>
      <w:r>
        <w:rPr>
          <w:rFonts w:ascii="Times New Roman" w:hAnsi="Times New Roman"/>
          <w:sz w:val="17"/>
          <w:u w:val="single"/>
        </w:rPr>
        <w:t>Reliance by Third Parties</w:t>
      </w:r>
      <w:r>
        <w:rPr>
          <w:rFonts w:ascii="Times New Roman" w:hAnsi="Times New Roman"/>
          <w:sz w:val="17"/>
        </w:rPr>
        <w:t>.  Except with respect to certain tax matters, Persons dealing with the Company shall be entitled to rely conclusively upon the power and authority of an Officer.</w:t>
      </w:r>
    </w:p>
    <w:p>
      <w:pPr>
        <w:pStyle w:val="TextBody"/>
        <w:spacing w:before="0" w:after="0"/>
        <w:ind w:left="0" w:right="0" w:hanging="0"/>
        <w:rPr/>
      </w:pPr>
      <w:r>
        <w:rPr/>
        <w:t> </w:t>
      </w:r>
    </w:p>
    <w:p>
      <w:pPr>
        <w:pStyle w:val="Heading1"/>
        <w:spacing w:before="0" w:after="0"/>
        <w:ind w:left="0" w:right="0" w:hanging="0"/>
        <w:rPr>
          <w:rFonts w:ascii="Times New Roman" w:hAnsi="Times New Roman"/>
          <w:b/>
          <w:sz w:val="17"/>
        </w:rPr>
      </w:pPr>
      <w:bookmarkStart w:id="14" w:name="Article3_222754"/>
      <w:bookmarkEnd w:id="14"/>
      <w:r>
        <w:rPr>
          <w:rFonts w:ascii="Times New Roman" w:hAnsi="Times New Roman"/>
          <w:b/>
          <w:sz w:val="17"/>
        </w:rPr>
        <w:t>ARTICLE 3</w:t>
        <w:br/>
        <w:t>CAPITALIZATION OF THE COMPANY</w:t>
      </w:r>
    </w:p>
    <w:p>
      <w:pPr>
        <w:pStyle w:val="Heading1"/>
        <w:spacing w:before="0" w:after="0"/>
        <w:ind w:left="0" w:right="0" w:hanging="0"/>
        <w:rPr/>
      </w:pPr>
      <w:r>
        <w:rPr/>
        <w:t> </w:t>
      </w:r>
    </w:p>
    <w:p>
      <w:pPr>
        <w:pStyle w:val="TextBody"/>
        <w:spacing w:before="0" w:after="0"/>
        <w:ind w:left="0" w:right="0" w:hanging="0"/>
        <w:rPr>
          <w:rFonts w:ascii="Times New Roman" w:hAnsi="Times New Roman"/>
          <w:sz w:val="17"/>
        </w:rPr>
      </w:pPr>
      <w:bookmarkStart w:id="15" w:name="a3_1_222756"/>
      <w:bookmarkEnd w:id="15"/>
      <w:r>
        <w:rPr>
          <w:rFonts w:ascii="Times New Roman" w:hAnsi="Times New Roman"/>
          <w:sz w:val="17"/>
        </w:rPr>
        <w:t xml:space="preserve">3.1           </w:t>
      </w:r>
      <w:r>
        <w:rPr>
          <w:rFonts w:ascii="Times New Roman" w:hAnsi="Times New Roman"/>
          <w:sz w:val="17"/>
          <w:u w:val="single"/>
        </w:rPr>
        <w:t>Initial Capital Contributions</w:t>
      </w:r>
      <w:r>
        <w:rPr>
          <w:rFonts w:ascii="Times New Roman" w:hAnsi="Times New Roman"/>
          <w:sz w:val="17"/>
        </w:rPr>
        <w:t xml:space="preserve">.  On the Initial Capital Contribution Date, each Initial Member shall make a Capital Contribution consisting of cash as set forth opposite such Members name on </w:t>
      </w:r>
      <w:r>
        <w:rPr>
          <w:rFonts w:ascii="Times New Roman" w:hAnsi="Times New Roman"/>
          <w:sz w:val="17"/>
          <w:u w:val="single"/>
        </w:rPr>
        <w:t>Schedule 3.1</w:t>
      </w:r>
      <w:r>
        <w:rPr>
          <w:rFonts w:ascii="Times New Roman" w:hAnsi="Times New Roman"/>
          <w:sz w:val="17"/>
        </w:rPr>
        <w:t xml:space="preserve"> hereto, as such amount may be adjusted by agreement of the Initial Members.  The initial Percentage Interest of each Initial Member following such Capital Contribution on the Initial Capital Contribution Date shall be as set forth on </w:t>
      </w:r>
      <w:r>
        <w:rPr>
          <w:rFonts w:ascii="Times New Roman" w:hAnsi="Times New Roman"/>
          <w:sz w:val="17"/>
          <w:u w:val="single"/>
        </w:rPr>
        <w:t>Schedule 3.1</w:t>
      </w:r>
      <w:r>
        <w:rPr>
          <w:rFonts w:ascii="Times New Roman" w:hAnsi="Times New Roman"/>
          <w:sz w:val="17"/>
        </w:rPr>
        <w:t xml:space="preserve"> hereto.</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bookmarkStart w:id="16" w:name="a3_2_222758"/>
      <w:bookmarkEnd w:id="16"/>
      <w:r>
        <w:rPr>
          <w:rFonts w:ascii="Times New Roman" w:hAnsi="Times New Roman"/>
          <w:sz w:val="17"/>
        </w:rPr>
        <w:t xml:space="preserve">3.2           </w:t>
      </w:r>
      <w:r>
        <w:rPr>
          <w:rFonts w:ascii="Times New Roman" w:hAnsi="Times New Roman"/>
          <w:sz w:val="17"/>
          <w:u w:val="single"/>
        </w:rPr>
        <w:t>Additional Capital Contributions; Adjustments to Percentage Interests</w:t>
      </w:r>
      <w:r>
        <w:rPr>
          <w:rFonts w:ascii="Times New Roman" w:hAnsi="Times New Roman"/>
          <w:sz w:val="17"/>
        </w:rPr>
        <w:t>.</w:t>
      </w:r>
    </w:p>
    <w:p>
      <w:pPr>
        <w:pStyle w:val="TextBody"/>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 xml:space="preserve">(a)           Except as set forth in </w:t>
      </w:r>
      <w:r>
        <w:rPr>
          <w:rFonts w:ascii="Times New Roman" w:hAnsi="Times New Roman"/>
          <w:b w:val="false"/>
          <w:sz w:val="17"/>
          <w:u w:val="single"/>
        </w:rPr>
        <w:t>Section 3.1</w:t>
      </w:r>
      <w:r>
        <w:rPr>
          <w:rFonts w:ascii="Times New Roman" w:hAnsi="Times New Roman"/>
          <w:b w:val="false"/>
          <w:sz w:val="17"/>
        </w:rPr>
        <w:t xml:space="preserve"> or </w:t>
      </w:r>
      <w:r>
        <w:rPr>
          <w:rFonts w:ascii="Times New Roman" w:hAnsi="Times New Roman"/>
          <w:b w:val="false"/>
          <w:sz w:val="17"/>
          <w:u w:val="single"/>
        </w:rPr>
        <w:t>Section 3.2(c)</w:t>
      </w:r>
      <w:r>
        <w:rPr>
          <w:rFonts w:ascii="Times New Roman" w:hAnsi="Times New Roman"/>
          <w:b w:val="false"/>
          <w:sz w:val="17"/>
        </w:rPr>
        <w:t>, no Member shall be required to make any additional Capital Contribution.</w:t>
      </w:r>
    </w:p>
    <w:p>
      <w:pPr>
        <w:pStyle w:val="Heading3"/>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 xml:space="preserve">(b)           If any Capital Contributions are made other than in cash, any related valuations of Gross Asset Value will be determined by the Board; </w:t>
      </w:r>
      <w:r>
        <w:rPr>
          <w:rFonts w:ascii="Times New Roman" w:hAnsi="Times New Roman"/>
          <w:b w:val="false"/>
          <w:i/>
          <w:sz w:val="17"/>
        </w:rPr>
        <w:t>provided, however</w:t>
      </w:r>
      <w:r>
        <w:rPr>
          <w:rFonts w:ascii="Times New Roman" w:hAnsi="Times New Roman"/>
          <w:b w:val="false"/>
          <w:sz w:val="17"/>
        </w:rPr>
        <w:t xml:space="preserve">, that if at the time such determination is to be made, the approval of both Initial Members is not required for such Board determination, then Gross Asset Value shall be determined by agreement of the Initial Members, or failing such agreement, by a third Person familiar with the valuation of such transactions selected by the Initial Members not later than ten (10) days after their approval of such issuance or, if the Initial Members fail to so select a third Person, then such third Person will be selected in accordance with the rules and procedures of the American Arbitration Association in Houston, Texas at the request of either Initial Member.  If any additional Capital Contributions are made by Members but not in proportion to their respective Percentage Interests, or if a new Member is admitted to the Company in exchange for a Capital Contribution, then the Percentage Interest of each Member shall be adjusted based upon the Fair Value of the Company at the time of such issuance or contribution, determined in accordance with </w:t>
      </w:r>
      <w:r>
        <w:rPr>
          <w:rFonts w:ascii="Times New Roman" w:hAnsi="Times New Roman"/>
          <w:b w:val="false"/>
          <w:sz w:val="17"/>
          <w:u w:val="single"/>
        </w:rPr>
        <w:t>Section 3.6</w:t>
      </w:r>
      <w:r>
        <w:rPr>
          <w:rFonts w:ascii="Times New Roman" w:hAnsi="Times New Roman"/>
          <w:b w:val="false"/>
          <w:sz w:val="17"/>
        </w:rPr>
        <w:t xml:space="preserve">.  If an Initial Member purchases Additional Interests in any Subsidiary as provided in </w:t>
      </w:r>
      <w:r>
        <w:rPr>
          <w:rFonts w:ascii="Times New Roman" w:hAnsi="Times New Roman"/>
          <w:b w:val="false"/>
          <w:sz w:val="17"/>
          <w:u w:val="single"/>
        </w:rPr>
        <w:t>Section 3.2(f) </w:t>
      </w:r>
      <w:r>
        <w:rPr>
          <w:rFonts w:ascii="Times New Roman" w:hAnsi="Times New Roman"/>
          <w:b w:val="false"/>
          <w:sz w:val="17"/>
        </w:rPr>
        <w:t xml:space="preserve">but not in proportion to its Percentage Interest, or if a third party purchases Additional Interests in such Subsidiary, then any adjustment to the percentage interests in such Subsidiary shall be adjusted based upon the Fair Value of the Subsidiary at the time of such issuance or contribution, determined in accordance with </w:t>
      </w:r>
      <w:r>
        <w:rPr>
          <w:rFonts w:ascii="Times New Roman" w:hAnsi="Times New Roman"/>
          <w:b w:val="false"/>
          <w:sz w:val="17"/>
          <w:u w:val="single"/>
        </w:rPr>
        <w:t>Section 3.6</w:t>
      </w:r>
      <w:r>
        <w:rPr>
          <w:rFonts w:ascii="Times New Roman" w:hAnsi="Times New Roman"/>
          <w:b w:val="false"/>
          <w:sz w:val="17"/>
        </w:rPr>
        <w:t>.  The names, addresses, Capital Contributions and Percentage Interests of the Members shall be reflected in the books and records of the Company.</w:t>
      </w:r>
    </w:p>
    <w:p>
      <w:pPr>
        <w:pStyle w:val="Heading3"/>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(c)           If, subsequent to the making of the Initial Capital Contributions the Manager reasonably determines that:</w:t>
      </w:r>
    </w:p>
    <w:p>
      <w:pPr>
        <w:pStyle w:val="Heading3"/>
        <w:spacing w:before="0" w:after="0"/>
        <w:ind w:left="0" w:right="0" w:hanging="0"/>
        <w:rPr/>
      </w:pPr>
      <w:r>
        <w:rPr/>
        <w:t> </w:t>
      </w:r>
    </w:p>
    <w:p>
      <w:pPr>
        <w:pStyle w:val="Heading4"/>
        <w:spacing w:before="0" w:after="0"/>
        <w:ind w:left="0" w:right="0" w:hanging="0"/>
        <w:rPr>
          <w:rFonts w:ascii="Times New Roman" w:hAnsi="Times New Roman"/>
          <w:b w:val="false"/>
          <w:sz w:val="17"/>
        </w:rPr>
      </w:pPr>
      <w:r>
        <w:rPr>
          <w:rFonts w:ascii="Times New Roman" w:hAnsi="Times New Roman"/>
          <w:b w:val="false"/>
          <w:sz w:val="17"/>
        </w:rPr>
        <w:t>(i)            the Company requires additional Capital Contributions in order to fund either of the Initial Approved Projects, the Manager may at any time and from time to time give written notice to each Initial Member of the amount(s) and date(s) on which such additional</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13</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Heading4"/>
        <w:spacing w:before="0" w:after="0"/>
        <w:ind w:left="0" w:right="0" w:hanging="0"/>
        <w:rPr>
          <w:rFonts w:ascii="Times New Roman" w:hAnsi="Times New Roman"/>
          <w:b w:val="false"/>
          <w:sz w:val="17"/>
        </w:rPr>
      </w:pPr>
      <w:r>
        <w:rPr>
          <w:rFonts w:ascii="Times New Roman" w:hAnsi="Times New Roman"/>
          <w:b w:val="false"/>
          <w:sz w:val="17"/>
        </w:rPr>
        <w:t>Capital Contributions are required, and upon receipt of such notice each Initial Member shall make a Capital Contribution in cash to the Company equal to 50% of such additional required Capital Contribution (regardless of such Initial Members respective Percentage Interest at such time) on or before the due date specified in such notice; or</w:t>
      </w:r>
    </w:p>
    <w:p>
      <w:pPr>
        <w:pStyle w:val="Heading4"/>
        <w:spacing w:before="0" w:after="0"/>
        <w:ind w:left="0" w:right="0" w:hanging="0"/>
        <w:rPr/>
      </w:pPr>
      <w:r>
        <w:rPr/>
        <w:t> </w:t>
      </w:r>
    </w:p>
    <w:p>
      <w:pPr>
        <w:pStyle w:val="Heading4"/>
        <w:spacing w:before="0" w:after="0"/>
        <w:ind w:left="0" w:right="0" w:hanging="0"/>
        <w:rPr>
          <w:rFonts w:ascii="Times New Roman" w:hAnsi="Times New Roman"/>
          <w:b w:val="false"/>
          <w:sz w:val="17"/>
        </w:rPr>
      </w:pPr>
      <w:r>
        <w:rPr>
          <w:rFonts w:ascii="Times New Roman" w:hAnsi="Times New Roman"/>
          <w:b w:val="false"/>
          <w:sz w:val="17"/>
        </w:rPr>
        <w:t xml:space="preserve">(ii)           the Company requires additional Capital Contributions for any other purpose, then to the extent (x) PAA does not (or is not entitled to) elect to provide such Capital Contributions and acquire Additional Percentage Interests pursuant to </w:t>
      </w:r>
      <w:r>
        <w:rPr>
          <w:rFonts w:ascii="Times New Roman" w:hAnsi="Times New Roman"/>
          <w:b w:val="false"/>
          <w:sz w:val="17"/>
          <w:u w:val="single"/>
        </w:rPr>
        <w:t>Section 3.2(e)(i) </w:t>
      </w:r>
      <w:r>
        <w:rPr>
          <w:rFonts w:ascii="Times New Roman" w:hAnsi="Times New Roman"/>
          <w:b w:val="false"/>
          <w:sz w:val="17"/>
        </w:rPr>
        <w:t xml:space="preserve">and (y) if such Capital Contribution is for the acquisition of a Designated Project, Vulcan does not exercise its right to acquire Additional Percentage Interests pursuant to </w:t>
      </w:r>
      <w:r>
        <w:rPr>
          <w:rFonts w:ascii="Times New Roman" w:hAnsi="Times New Roman"/>
          <w:b w:val="false"/>
          <w:sz w:val="17"/>
          <w:u w:val="single"/>
        </w:rPr>
        <w:t>Section 3.2(e)(iii)</w:t>
      </w:r>
      <w:r>
        <w:rPr>
          <w:rFonts w:ascii="Times New Roman" w:hAnsi="Times New Roman"/>
          <w:b w:val="false"/>
          <w:sz w:val="17"/>
        </w:rPr>
        <w:t xml:space="preserve">, the Manager may at any time and from time to time give written notice to each Initial Member of the amount(s) and date(s) on which such additional Capital Contributions are required, and upon receipt of such notice each Initial Member shall make a Capital Contribution in cash to the Company equal to its share (based on its Percentage Interest at the time of such contribution) of such additional required Capital Contribution on or before the due date specified in such notice; </w:t>
      </w:r>
      <w:r>
        <w:rPr>
          <w:rFonts w:ascii="Times New Roman" w:hAnsi="Times New Roman"/>
          <w:b w:val="false"/>
          <w:i/>
          <w:sz w:val="17"/>
        </w:rPr>
        <w:t>provided</w:t>
      </w:r>
      <w:r>
        <w:rPr>
          <w:rFonts w:ascii="Times New Roman" w:hAnsi="Times New Roman"/>
          <w:b w:val="false"/>
          <w:sz w:val="17"/>
        </w:rPr>
        <w:t xml:space="preserve">, </w:t>
      </w:r>
      <w:r>
        <w:rPr>
          <w:rFonts w:ascii="Times New Roman" w:hAnsi="Times New Roman"/>
          <w:b w:val="false"/>
          <w:i/>
          <w:sz w:val="17"/>
        </w:rPr>
        <w:t>however</w:t>
      </w:r>
      <w:r>
        <w:rPr>
          <w:rFonts w:ascii="Times New Roman" w:hAnsi="Times New Roman"/>
          <w:b w:val="false"/>
          <w:sz w:val="17"/>
        </w:rPr>
        <w:t xml:space="preserve">, that the Manager shall have no right to require additional Capital Contributions from the Members pursuant to this </w:t>
      </w:r>
      <w:r>
        <w:rPr>
          <w:rFonts w:ascii="Times New Roman" w:hAnsi="Times New Roman"/>
          <w:b w:val="false"/>
          <w:sz w:val="17"/>
          <w:u w:val="single"/>
        </w:rPr>
        <w:t>Section 3.2(c)(ii) </w:t>
      </w:r>
      <w:r>
        <w:rPr>
          <w:rFonts w:ascii="Times New Roman" w:hAnsi="Times New Roman"/>
          <w:b w:val="false"/>
          <w:sz w:val="17"/>
        </w:rPr>
        <w:t xml:space="preserve">from and after such time as the aggregate amount of additional Capital Contributions by Vulcan pursuant to this </w:t>
      </w:r>
      <w:r>
        <w:rPr>
          <w:rFonts w:ascii="Times New Roman" w:hAnsi="Times New Roman"/>
          <w:b w:val="false"/>
          <w:sz w:val="17"/>
          <w:u w:val="single"/>
        </w:rPr>
        <w:t>Section 3.2(c)(ii) </w:t>
      </w:r>
      <w:r>
        <w:rPr>
          <w:rFonts w:ascii="Times New Roman" w:hAnsi="Times New Roman"/>
          <w:b w:val="false"/>
          <w:sz w:val="17"/>
        </w:rPr>
        <w:t xml:space="preserve">equals $10 million (and in no event shall the aggregate amount of additional Capital Contributions required by the Manager from Vulcan exceed $10 million); </w:t>
      </w:r>
      <w:r>
        <w:rPr>
          <w:rFonts w:ascii="Times New Roman" w:hAnsi="Times New Roman"/>
          <w:b w:val="false"/>
          <w:i/>
          <w:sz w:val="17"/>
        </w:rPr>
        <w:t>provided</w:t>
      </w:r>
      <w:r>
        <w:rPr>
          <w:rFonts w:ascii="Times New Roman" w:hAnsi="Times New Roman"/>
          <w:b w:val="false"/>
          <w:sz w:val="17"/>
        </w:rPr>
        <w:t xml:space="preserve">, </w:t>
      </w:r>
      <w:r>
        <w:rPr>
          <w:rFonts w:ascii="Times New Roman" w:hAnsi="Times New Roman"/>
          <w:b w:val="false"/>
          <w:i/>
          <w:sz w:val="17"/>
        </w:rPr>
        <w:t>further</w:t>
      </w:r>
      <w:r>
        <w:rPr>
          <w:rFonts w:ascii="Times New Roman" w:hAnsi="Times New Roman"/>
          <w:b w:val="false"/>
          <w:sz w:val="17"/>
        </w:rPr>
        <w:t xml:space="preserve">, </w:t>
      </w:r>
      <w:r>
        <w:rPr>
          <w:rFonts w:ascii="Times New Roman" w:hAnsi="Times New Roman"/>
          <w:b w:val="false"/>
          <w:i/>
          <w:sz w:val="17"/>
        </w:rPr>
        <w:t>however</w:t>
      </w:r>
      <w:r>
        <w:rPr>
          <w:rFonts w:ascii="Times New Roman" w:hAnsi="Times New Roman"/>
          <w:b w:val="false"/>
          <w:sz w:val="17"/>
        </w:rPr>
        <w:t xml:space="preserve">, that for purposes of determining whether such $10 million limitation shall have been met, any such additional Capital Contributions the proceeds of which are used to acquire or develop Other Approved Projects (other than any Designated Project with respect to which (x) Vulcan has not exercised its right to acquire Additional Percentage Interests pursuant to </w:t>
      </w:r>
      <w:r>
        <w:rPr>
          <w:rFonts w:ascii="Times New Roman" w:hAnsi="Times New Roman"/>
          <w:b w:val="false"/>
          <w:sz w:val="17"/>
          <w:u w:val="single"/>
        </w:rPr>
        <w:t>Section 3.2(e)(iii) </w:t>
      </w:r>
      <w:r>
        <w:rPr>
          <w:rFonts w:ascii="Times New Roman" w:hAnsi="Times New Roman"/>
          <w:b w:val="false"/>
          <w:sz w:val="17"/>
        </w:rPr>
        <w:t xml:space="preserve">and (y) the Manager has required Vulcan to make a Capital Contribution pursuant to this </w:t>
      </w:r>
      <w:r>
        <w:rPr>
          <w:rFonts w:ascii="Times New Roman" w:hAnsi="Times New Roman"/>
          <w:b w:val="false"/>
          <w:sz w:val="17"/>
          <w:u w:val="single"/>
        </w:rPr>
        <w:t>Section 3.2(c)(ii)</w:t>
      </w:r>
      <w:r>
        <w:rPr>
          <w:rFonts w:ascii="Times New Roman" w:hAnsi="Times New Roman"/>
          <w:b w:val="false"/>
          <w:sz w:val="17"/>
        </w:rPr>
        <w:t>) shall be disregarded.</w:t>
      </w:r>
    </w:p>
    <w:p>
      <w:pPr>
        <w:pStyle w:val="Heading4"/>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 xml:space="preserve">(d)           If, subsequent to the making of the Initial Capital Contributions, the Manager or any Initial Member (i) reasonably determines that the Company or any of its Subsidiaries requires additional capital to fund capital expenditures that the Manager or such Initial Member reasonably believes are necessary for the BGS Project, the PPEC Project or any Other Approved Project or (ii) reasonably and in good faith determines that the Company or any of its Subsidiaries requires additional capital to prevent or cure a default under any material agreement, including any debt instrument, and (A) at such time the limit on additional Capital Contributions set forth in </w:t>
      </w:r>
      <w:r>
        <w:rPr>
          <w:rFonts w:ascii="Times New Roman" w:hAnsi="Times New Roman"/>
          <w:b w:val="false"/>
          <w:sz w:val="17"/>
          <w:u w:val="single"/>
        </w:rPr>
        <w:t>Section 3.2(c) </w:t>
      </w:r>
      <w:r>
        <w:rPr>
          <w:rFonts w:ascii="Times New Roman" w:hAnsi="Times New Roman"/>
          <w:b w:val="false"/>
          <w:sz w:val="17"/>
        </w:rPr>
        <w:t xml:space="preserve">has been reached and (B) the Manager desires to fund such capital through the sale or issuance by the Company or any Subsidiary of Additional Interests, the Company may, or may cause such Subsidiary, as applicable, to sell or issue such Additional Interests, </w:t>
      </w:r>
      <w:r>
        <w:rPr>
          <w:rFonts w:ascii="Times New Roman" w:hAnsi="Times New Roman"/>
          <w:b w:val="false"/>
          <w:i/>
          <w:sz w:val="17"/>
        </w:rPr>
        <w:t>provided</w:t>
      </w:r>
      <w:r>
        <w:rPr>
          <w:rFonts w:ascii="Times New Roman" w:hAnsi="Times New Roman"/>
          <w:b w:val="false"/>
          <w:sz w:val="17"/>
        </w:rPr>
        <w:t xml:space="preserve"> that the Manager and the Company or such Subsidiary comply with </w:t>
      </w:r>
      <w:r>
        <w:rPr>
          <w:rFonts w:ascii="Times New Roman" w:hAnsi="Times New Roman"/>
          <w:b w:val="false"/>
          <w:sz w:val="17"/>
          <w:u w:val="single"/>
        </w:rPr>
        <w:t>Section 3.2(e) </w:t>
      </w:r>
      <w:r>
        <w:rPr>
          <w:rFonts w:ascii="Times New Roman" w:hAnsi="Times New Roman"/>
          <w:b w:val="false"/>
          <w:sz w:val="17"/>
        </w:rPr>
        <w:t xml:space="preserve">or </w:t>
      </w:r>
      <w:r>
        <w:rPr>
          <w:rFonts w:ascii="Times New Roman" w:hAnsi="Times New Roman"/>
          <w:b w:val="false"/>
          <w:sz w:val="17"/>
          <w:u w:val="single"/>
        </w:rPr>
        <w:t>Section 3.2(f)</w:t>
      </w:r>
      <w:r>
        <w:rPr>
          <w:rFonts w:ascii="Times New Roman" w:hAnsi="Times New Roman"/>
          <w:b w:val="false"/>
          <w:sz w:val="17"/>
        </w:rPr>
        <w:t>, as applicable.</w:t>
      </w:r>
    </w:p>
    <w:p>
      <w:pPr>
        <w:pStyle w:val="Heading3"/>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 xml:space="preserve">(e)           Prior to issuing any Additional Percentage Interests (other than any Additional Percentage Interests issued in exchange for Capital Contributions pursuant to </w:t>
      </w:r>
      <w:r>
        <w:rPr>
          <w:rFonts w:ascii="Times New Roman" w:hAnsi="Times New Roman"/>
          <w:b w:val="false"/>
          <w:sz w:val="17"/>
          <w:u w:val="single"/>
        </w:rPr>
        <w:t>Section 3.2(c)</w:t>
      </w:r>
      <w:r>
        <w:rPr>
          <w:rFonts w:ascii="Times New Roman" w:hAnsi="Times New Roman"/>
          <w:b w:val="false"/>
          <w:sz w:val="17"/>
        </w:rPr>
        <w:t>), the Manager (acting on behalf of the Company) shall comply with the following:</w:t>
      </w:r>
    </w:p>
    <w:p>
      <w:pPr>
        <w:pStyle w:val="Heading3"/>
        <w:spacing w:before="0" w:after="0"/>
        <w:ind w:left="0" w:right="0" w:hanging="0"/>
        <w:rPr/>
      </w:pPr>
      <w:r>
        <w:rPr/>
        <w:t> </w:t>
      </w:r>
    </w:p>
    <w:p>
      <w:pPr>
        <w:pStyle w:val="Heading4"/>
        <w:spacing w:before="0" w:after="0"/>
        <w:ind w:left="0" w:right="0" w:hanging="0"/>
        <w:rPr>
          <w:rFonts w:ascii="Times New Roman" w:hAnsi="Times New Roman"/>
          <w:b w:val="false"/>
          <w:sz w:val="17"/>
        </w:rPr>
      </w:pPr>
      <w:r>
        <w:rPr>
          <w:rFonts w:ascii="Times New Roman" w:hAnsi="Times New Roman"/>
          <w:b w:val="false"/>
          <w:sz w:val="17"/>
        </w:rPr>
        <w:t>(i)            if at the time Additional Percentage Interests are to be issued PAA has a Percentage Interest that is less than 70%, then except with respect to Additional Percentage Interests issued in connection with the acquisition of any Initial Approved Project or any</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14</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Heading4"/>
        <w:spacing w:before="0" w:after="0"/>
        <w:ind w:left="0" w:right="0" w:hanging="0"/>
        <w:rPr>
          <w:rFonts w:ascii="Times New Roman" w:hAnsi="Times New Roman"/>
          <w:b w:val="false"/>
          <w:sz w:val="17"/>
        </w:rPr>
      </w:pPr>
      <w:r>
        <w:rPr>
          <w:rFonts w:ascii="Times New Roman" w:hAnsi="Times New Roman"/>
          <w:b w:val="false"/>
          <w:sz w:val="17"/>
        </w:rPr>
        <w:t xml:space="preserve">Additional Percentage Interests issued in connection with the acquisition of a Designated Project with respect to which Vulcan has exercised its right pursuant to </w:t>
      </w:r>
      <w:r>
        <w:rPr>
          <w:rFonts w:ascii="Times New Roman" w:hAnsi="Times New Roman"/>
          <w:b w:val="false"/>
          <w:sz w:val="17"/>
          <w:u w:val="single"/>
        </w:rPr>
        <w:t>Section 3.2(e)(iii)</w:t>
      </w:r>
      <w:r>
        <w:rPr>
          <w:rFonts w:ascii="Times New Roman" w:hAnsi="Times New Roman"/>
          <w:b w:val="false"/>
          <w:sz w:val="17"/>
        </w:rPr>
        <w:t xml:space="preserve">, PAA shall have the right, but not the obligation, to fund up to 100% of such Additional Percentage Interests up to an amount that would cause its Percentage Interest to equal 70% (and any remaining Additional Percentage Interests shall be issued in compliance with </w:t>
      </w:r>
      <w:r>
        <w:rPr>
          <w:rFonts w:ascii="Times New Roman" w:hAnsi="Times New Roman"/>
          <w:b w:val="false"/>
          <w:sz w:val="17"/>
          <w:u w:val="single"/>
        </w:rPr>
        <w:t>Section 3.2(c) </w:t>
      </w:r>
      <w:r>
        <w:rPr>
          <w:rFonts w:ascii="Times New Roman" w:hAnsi="Times New Roman"/>
          <w:b w:val="false"/>
          <w:sz w:val="17"/>
        </w:rPr>
        <w:t xml:space="preserve">or </w:t>
      </w:r>
      <w:r>
        <w:rPr>
          <w:rFonts w:ascii="Times New Roman" w:hAnsi="Times New Roman"/>
          <w:b w:val="false"/>
          <w:sz w:val="17"/>
          <w:u w:val="single"/>
        </w:rPr>
        <w:t>Section 3.2(e)(ii)</w:t>
      </w:r>
      <w:r>
        <w:rPr>
          <w:rFonts w:ascii="Times New Roman" w:hAnsi="Times New Roman"/>
          <w:b w:val="false"/>
          <w:sz w:val="17"/>
        </w:rPr>
        <w:t xml:space="preserve">, as applicable); </w:t>
      </w:r>
      <w:r>
        <w:rPr>
          <w:rFonts w:ascii="Times New Roman" w:hAnsi="Times New Roman"/>
          <w:b w:val="false"/>
          <w:i/>
          <w:sz w:val="17"/>
        </w:rPr>
        <w:t>provided</w:t>
      </w:r>
      <w:r>
        <w:rPr>
          <w:rFonts w:ascii="Times New Roman" w:hAnsi="Times New Roman"/>
          <w:b w:val="false"/>
          <w:sz w:val="17"/>
        </w:rPr>
        <w:t xml:space="preserve">, that notwithstanding the foregoing, if the Fair Value of the Company at the time of the issuance of such Additional Percentage Interests is less than the Purchase Price (as defined in the Purchase Agreement), then the Additional Percentage Interests shall be issued in compliance with </w:t>
      </w:r>
      <w:r>
        <w:rPr>
          <w:rFonts w:ascii="Times New Roman" w:hAnsi="Times New Roman"/>
          <w:b w:val="false"/>
          <w:sz w:val="17"/>
          <w:u w:val="single"/>
        </w:rPr>
        <w:t>Section 3.2(e)(ii)</w:t>
      </w:r>
      <w:r>
        <w:rPr>
          <w:rFonts w:ascii="Times New Roman" w:hAnsi="Times New Roman"/>
          <w:b w:val="false"/>
          <w:sz w:val="17"/>
        </w:rPr>
        <w:t>.</w:t>
      </w:r>
    </w:p>
    <w:p>
      <w:pPr>
        <w:pStyle w:val="Heading4"/>
        <w:spacing w:before="0" w:after="0"/>
        <w:ind w:left="0" w:right="0" w:hanging="0"/>
        <w:rPr/>
      </w:pPr>
      <w:r>
        <w:rPr/>
        <w:t> </w:t>
      </w:r>
    </w:p>
    <w:p>
      <w:pPr>
        <w:pStyle w:val="Heading4"/>
        <w:spacing w:before="0" w:after="0"/>
        <w:ind w:left="0" w:right="0" w:hanging="0"/>
        <w:rPr>
          <w:rFonts w:ascii="Times New Roman" w:hAnsi="Times New Roman"/>
          <w:b w:val="false"/>
          <w:sz w:val="17"/>
        </w:rPr>
      </w:pPr>
      <w:r>
        <w:rPr>
          <w:rFonts w:ascii="Times New Roman" w:hAnsi="Times New Roman"/>
          <w:b w:val="false"/>
          <w:sz w:val="17"/>
        </w:rPr>
        <w:t xml:space="preserve">(ii)           If any Additional Percentage Interests are to be issued other than as provided in </w:t>
      </w:r>
      <w:r>
        <w:rPr>
          <w:rFonts w:ascii="Times New Roman" w:hAnsi="Times New Roman"/>
          <w:b w:val="false"/>
          <w:sz w:val="17"/>
          <w:u w:val="single"/>
        </w:rPr>
        <w:t>Section 3.2(c) </w:t>
      </w:r>
      <w:r>
        <w:rPr>
          <w:rFonts w:ascii="Times New Roman" w:hAnsi="Times New Roman"/>
          <w:b w:val="false"/>
          <w:sz w:val="17"/>
        </w:rPr>
        <w:t xml:space="preserve">or </w:t>
      </w:r>
      <w:r>
        <w:rPr>
          <w:rFonts w:ascii="Times New Roman" w:hAnsi="Times New Roman"/>
          <w:b w:val="false"/>
          <w:sz w:val="17"/>
          <w:u w:val="single"/>
        </w:rPr>
        <w:t>3.2(e)(i) or (iii)</w:t>
      </w:r>
      <w:r>
        <w:rPr>
          <w:rFonts w:ascii="Times New Roman" w:hAnsi="Times New Roman"/>
          <w:b w:val="false"/>
          <w:sz w:val="17"/>
        </w:rPr>
        <w:t xml:space="preserve">, then the Manager shall request that each Initial Member acquire such Additional Percentage Interests, in each case in proportion to its respective Percentage Interest at such time.  The request shall specify the amount(s) and date(s) on which such Additional Percentage Interest purchase(s) are required.  Each Initial Member shall have the right, but not the obligation, to fund its share of such Additional Percentage Interests in accordance with such request by notifying the Manager on or before the 10th Business Day following the request; </w:t>
      </w:r>
      <w:r>
        <w:rPr>
          <w:rFonts w:ascii="Times New Roman" w:hAnsi="Times New Roman"/>
          <w:b w:val="false"/>
          <w:i/>
          <w:sz w:val="17"/>
        </w:rPr>
        <w:t>provided</w:t>
      </w:r>
      <w:r>
        <w:rPr>
          <w:rFonts w:ascii="Times New Roman" w:hAnsi="Times New Roman"/>
          <w:b w:val="false"/>
          <w:sz w:val="17"/>
        </w:rPr>
        <w:t xml:space="preserve">, that in the case of Vulcan, such notice must be accompanied by assurances reasonably acceptable to PAA from Paul G. Allen (or another Person reasonably acceptable to PAA) that Vulcan will have sufficient funds for the purchase of such Additional Percentage Interests (it being agreed that, without limitation, a letter from Paul G. Allen or such other Person substantially in the form of Exhibit A hereto with respect to such funds shall constitute reasonably acceptable assurances).  If an Initial Member elects not to fund its share of such Additional Percentage Interests, then the other Initial Member shall have the right, but not the obligation, to fund the entire amount of such Additional Percentage Interests as provided in the request (and its Percentage Interest shall be adjusted as provided in </w:t>
      </w:r>
      <w:r>
        <w:rPr>
          <w:rFonts w:ascii="Times New Roman" w:hAnsi="Times New Roman"/>
          <w:b w:val="false"/>
          <w:sz w:val="17"/>
          <w:u w:val="single"/>
        </w:rPr>
        <w:t>Section 3.2(b)</w:t>
      </w:r>
      <w:r>
        <w:rPr>
          <w:rFonts w:ascii="Times New Roman" w:hAnsi="Times New Roman"/>
          <w:b w:val="false"/>
          <w:sz w:val="17"/>
        </w:rPr>
        <w:t>).</w:t>
      </w:r>
    </w:p>
    <w:p>
      <w:pPr>
        <w:pStyle w:val="Heading4"/>
        <w:spacing w:before="0" w:after="0"/>
        <w:ind w:left="0" w:right="0" w:hanging="0"/>
        <w:rPr/>
      </w:pPr>
      <w:r>
        <w:rPr/>
        <w:t> </w:t>
      </w:r>
    </w:p>
    <w:p>
      <w:pPr>
        <w:pStyle w:val="Heading4"/>
        <w:spacing w:before="0" w:after="0"/>
        <w:ind w:left="0" w:right="0" w:hanging="0"/>
        <w:rPr>
          <w:rFonts w:ascii="Times New Roman" w:hAnsi="Times New Roman"/>
          <w:b w:val="false"/>
          <w:sz w:val="17"/>
        </w:rPr>
      </w:pPr>
      <w:r>
        <w:rPr>
          <w:rFonts w:ascii="Times New Roman" w:hAnsi="Times New Roman"/>
          <w:b w:val="false"/>
          <w:sz w:val="17"/>
        </w:rPr>
        <w:t xml:space="preserve">(iii)          If any Additional Percentage Interests are to be issued in order to fund any Designated Project, then the Manager shall request that each Initial Member acquire 50% of such Additional Percentage Interests (regardless of such Initial Members respective Percentage Interest at such time).  The request shall specify the amount(s) and date(s) on which such Additional Percentage Interest purchase(s) are required, and shall also provide each Initial Member with all material terms of such Designated Project.  Each Initial Member shall have the right, but not the obligation, to fund 50% of such Additional Percentage Interests in accordance with such request by notifying the Manager on or before the 10th Business Day following the request; </w:t>
      </w:r>
      <w:r>
        <w:rPr>
          <w:rFonts w:ascii="Times New Roman" w:hAnsi="Times New Roman"/>
          <w:b w:val="false"/>
          <w:i/>
          <w:sz w:val="17"/>
        </w:rPr>
        <w:t>provided</w:t>
      </w:r>
      <w:r>
        <w:rPr>
          <w:rFonts w:ascii="Times New Roman" w:hAnsi="Times New Roman"/>
          <w:b w:val="false"/>
          <w:sz w:val="17"/>
        </w:rPr>
        <w:t xml:space="preserve">, that in the case of Vulcan, such notice must be accompanied by assurances reasonably acceptable to PAA from Paul G. Allen (or another Person reasonably acceptable to PAA) that Vulcan will have sufficient funds for the purchase of such Additional Percentage Interests (it being agreed that, without limitation, a letter from Paul G. Allen or such other Person substantially in the form of Exhibit A hereto with respect to such funds shall constitute reasonably acceptable assurances).  If an Initial Member elects not to fund its share of such Additional Percentage Interests, then the other Initial Member shall have the right, but not the obligation, to fund the entire amount of such Additional Percentage Interests as provided in the request.  In any event, the Percentage Interest of any Initial Member acquiring Additional Percentage Interests hereunder shall be adjusted as provided in </w:t>
      </w:r>
      <w:r>
        <w:rPr>
          <w:rFonts w:ascii="Times New Roman" w:hAnsi="Times New Roman"/>
          <w:b w:val="false"/>
          <w:sz w:val="17"/>
          <w:u w:val="single"/>
        </w:rPr>
        <w:t>Section 3.2(b)</w:t>
      </w:r>
      <w:r>
        <w:rPr>
          <w:rFonts w:ascii="Times New Roman" w:hAnsi="Times New Roman"/>
          <w:b w:val="false"/>
          <w:sz w:val="17"/>
        </w:rPr>
        <w: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15</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 xml:space="preserve">(f)            Prior to issuing or selling (or permitting or causing any Subsidiary to issue or sell) any Additional Issued Interests, the Manager (acting on behalf of the Company) shall request that each Initial Member acquire such Additional Issued Interest, in proportion to its respective Percentage Interest at such time.  The request shall specify the amount(s) and date(s) on which such Additional Issued Interest purchase(s) are required.  Each Initial Member shall have the right, but not the obligation, to fund its share of such Additional Issued Interest in accordance with such request by notifying the Manager on or before the 10th Business Day following the request; </w:t>
      </w:r>
      <w:r>
        <w:rPr>
          <w:rFonts w:ascii="Times New Roman" w:hAnsi="Times New Roman"/>
          <w:b w:val="false"/>
          <w:i/>
          <w:sz w:val="17"/>
        </w:rPr>
        <w:t>provided</w:t>
      </w:r>
      <w:r>
        <w:rPr>
          <w:rFonts w:ascii="Times New Roman" w:hAnsi="Times New Roman"/>
          <w:b w:val="false"/>
          <w:sz w:val="17"/>
        </w:rPr>
        <w:t xml:space="preserve">, that in the case of Vulcan, such notice must be accompanied by assurances reasonably acceptable to PAA from Paul G. Allen (or another Person reasonably acceptable to PAA) that Vulcan will have sufficient funds for the purchase of such Additional Issued Interest (it being agreed that, without limitation, a letter from Paul G. Allen or such other Person substantially in the form of Exhibit A hereto with respect to such funds shall constitute reasonably acceptable assurances).  If an Initial Member elects not to fund its share of such Additional Issued Interest, then the other Initial Member shall have the right, but not the obligation, to (A) fund the entire amount of such Additional Issued Interest as provided in the request (and its interest in the Company or Subsidiary shall be adjusted as provided in </w:t>
      </w:r>
      <w:r>
        <w:rPr>
          <w:rFonts w:ascii="Times New Roman" w:hAnsi="Times New Roman"/>
          <w:b w:val="false"/>
          <w:sz w:val="17"/>
          <w:u w:val="single"/>
        </w:rPr>
        <w:t>Section 3.2(b)</w:t>
      </w:r>
      <w:r>
        <w:rPr>
          <w:rFonts w:ascii="Times New Roman" w:hAnsi="Times New Roman"/>
          <w:b w:val="false"/>
          <w:sz w:val="17"/>
        </w:rPr>
        <w:t xml:space="preserve">) or (B) cause the Company to issue such Additional Issued Interests in the Company or such Subsidiary, whether in a private or public offering, including an initial public offering, to a third party or parties; </w:t>
      </w:r>
      <w:r>
        <w:rPr>
          <w:rFonts w:ascii="Times New Roman" w:hAnsi="Times New Roman"/>
          <w:b w:val="false"/>
          <w:i/>
          <w:sz w:val="17"/>
        </w:rPr>
        <w:t>provided, however,</w:t>
      </w:r>
      <w:r>
        <w:rPr>
          <w:rFonts w:ascii="Times New Roman" w:hAnsi="Times New Roman"/>
          <w:b w:val="false"/>
          <w:sz w:val="17"/>
        </w:rPr>
        <w:t xml:space="preserve"> that (i) the Company may only cause a Subsidiary to issue, grant or sell any such Additional Issued Interest if the request to the Initial Members specified that the requested contribution would be made to such Subsidiary and (ii) the terms of such Additional Issued Interests and the terms on which such Additional Issued Interests are issued shall be no less favorable in any material respect to the Company (or such Subsidiary) than those set forth in the request to the Initial Members (allowing for customary underwriting commissions and discounts, dealer concession and reallowances, offering expenses and other transaction fees and costs).</w:t>
      </w:r>
    </w:p>
    <w:p>
      <w:pPr>
        <w:pStyle w:val="Heading3"/>
        <w:spacing w:before="0" w:after="0"/>
        <w:ind w:left="0" w:right="0" w:hanging="0"/>
        <w:rPr/>
      </w:pPr>
      <w:r>
        <w:rPr/>
        <w:t> </w:t>
      </w:r>
    </w:p>
    <w:p>
      <w:pPr>
        <w:pStyle w:val="TextBody"/>
        <w:spacing w:before="0" w:after="0"/>
        <w:ind w:left="0" w:right="0" w:hanging="0"/>
        <w:rPr>
          <w:rFonts w:ascii="Times New Roman" w:hAnsi="Times New Roman"/>
          <w:sz w:val="17"/>
        </w:rPr>
      </w:pPr>
      <w:bookmarkStart w:id="17" w:name="a3_3_222805"/>
      <w:bookmarkEnd w:id="17"/>
      <w:r>
        <w:rPr>
          <w:rFonts w:ascii="Times New Roman" w:hAnsi="Times New Roman"/>
          <w:sz w:val="17"/>
        </w:rPr>
        <w:t xml:space="preserve">3.3           </w:t>
      </w:r>
      <w:r>
        <w:rPr>
          <w:rFonts w:ascii="Times New Roman" w:hAnsi="Times New Roman"/>
          <w:sz w:val="17"/>
          <w:u w:val="single"/>
        </w:rPr>
        <w:t>Loans</w:t>
      </w:r>
      <w:r>
        <w:rPr>
          <w:rFonts w:ascii="Times New Roman" w:hAnsi="Times New Roman"/>
          <w:sz w:val="17"/>
        </w:rPr>
        <w:t>.</w:t>
      </w:r>
    </w:p>
    <w:p>
      <w:pPr>
        <w:pStyle w:val="TextBody"/>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(a)           No Member shall be obligated to loan funds to the Company.  Loans by a Member to the Company shall not be considered Capital Contributions.  The amount of any such loan shall be a debt of the Company owed to such Member in accordance with the terms and conditions upon which such loan is made.</w:t>
      </w:r>
    </w:p>
    <w:p>
      <w:pPr>
        <w:pStyle w:val="Heading3"/>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(b)           A Member may (but shall not be obligated to) guarantee a loan made to the Company.  If a Member guarantees a loan made to the Company and is required to make payment pursuant to such guarantee to the maker of the loan, then the amounts so paid to the maker of the loan shall be treated as a loan by such Member to the Company and not as an additional Capital Contribution.</w:t>
      </w:r>
    </w:p>
    <w:p>
      <w:pPr>
        <w:pStyle w:val="Heading3"/>
        <w:spacing w:before="0" w:after="0"/>
        <w:ind w:left="0" w:right="0" w:hanging="0"/>
        <w:rPr/>
      </w:pPr>
      <w:r>
        <w:rPr/>
        <w:t> </w:t>
      </w:r>
    </w:p>
    <w:p>
      <w:pPr>
        <w:pStyle w:val="TextBody"/>
        <w:spacing w:before="0" w:after="0"/>
        <w:ind w:left="0" w:right="0" w:hanging="0"/>
        <w:rPr>
          <w:rFonts w:ascii="Times New Roman" w:hAnsi="Times New Roman"/>
          <w:sz w:val="17"/>
        </w:rPr>
      </w:pPr>
      <w:bookmarkStart w:id="18" w:name="a3_4_222808"/>
      <w:bookmarkEnd w:id="18"/>
      <w:r>
        <w:rPr>
          <w:rFonts w:ascii="Times New Roman" w:hAnsi="Times New Roman"/>
          <w:sz w:val="17"/>
        </w:rPr>
        <w:t xml:space="preserve">3.4           </w:t>
      </w:r>
      <w:r>
        <w:rPr>
          <w:rFonts w:ascii="Times New Roman" w:hAnsi="Times New Roman"/>
          <w:sz w:val="17"/>
          <w:u w:val="single"/>
        </w:rPr>
        <w:t>Maintenance of Capital Accounts</w:t>
      </w:r>
      <w:r>
        <w:rPr>
          <w:rFonts w:ascii="Times New Roman" w:hAnsi="Times New Roman"/>
          <w:sz w:val="17"/>
        </w:rPr>
        <w:t>.</w:t>
      </w:r>
    </w:p>
    <w:p>
      <w:pPr>
        <w:pStyle w:val="TextBody"/>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(a)           The Company shall maintain for each Member a separate Capital Account with respect to the Membership Interest owned by such Member in accordance with the following provisions: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16</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Heading4"/>
        <w:spacing w:before="0" w:after="0"/>
        <w:ind w:left="0" w:right="0" w:hanging="0"/>
        <w:rPr>
          <w:rFonts w:ascii="Times New Roman" w:hAnsi="Times New Roman"/>
          <w:b w:val="false"/>
          <w:sz w:val="17"/>
        </w:rPr>
      </w:pPr>
      <w:r>
        <w:rPr>
          <w:rFonts w:ascii="Times New Roman" w:hAnsi="Times New Roman"/>
          <w:b w:val="false"/>
          <w:sz w:val="17"/>
        </w:rPr>
        <w:t>(i)            To each Members Capital Account there shall be credited (A) such Members Capital Contributions, (B) such Members share of Profits (and items of income and gain) and (C) the amount of any Company liabilities assumed by such Member or which are secured by any Property distributed to such Member.  The principal amount of a promissory note which is not readily traded on an established securities market and which is contributed to the Company by the maker of the note (or a Member related to the maker of the note within the meaning of Regulations Section 1.704-1(b)(2)(ii)(c)) shall not be included in the Capital Account of any Member until the Company makes a taxable disposition of the note or until (and only to the extent) principal payments are made on the note, all in accordance with Regulations Section 1.704-1(b)(2)(iv)(d)(2);</w:t>
      </w:r>
    </w:p>
    <w:p>
      <w:pPr>
        <w:pStyle w:val="Heading4"/>
        <w:spacing w:before="0" w:after="0"/>
        <w:ind w:left="0" w:right="0" w:hanging="0"/>
        <w:rPr/>
      </w:pPr>
      <w:r>
        <w:rPr/>
        <w:t> </w:t>
      </w:r>
    </w:p>
    <w:p>
      <w:pPr>
        <w:pStyle w:val="Heading4"/>
        <w:spacing w:before="0" w:after="0"/>
        <w:ind w:left="0" w:right="0" w:hanging="0"/>
        <w:rPr>
          <w:rFonts w:ascii="Times New Roman" w:hAnsi="Times New Roman"/>
          <w:b w:val="false"/>
          <w:sz w:val="17"/>
        </w:rPr>
      </w:pPr>
      <w:r>
        <w:rPr>
          <w:rFonts w:ascii="Times New Roman" w:hAnsi="Times New Roman"/>
          <w:b w:val="false"/>
          <w:sz w:val="17"/>
        </w:rPr>
        <w:t>(ii)           To each Members Capital Account there shall be debited (A) the amount of money and the Gross Asset Value of any Property distributed, (B) such Members share of Losses (and items of loss and deduction) and (C) the amount of any liabilities of such Member assumed by the Company or which are secured by any Property contributed by such Member to the Company;</w:t>
      </w:r>
    </w:p>
    <w:p>
      <w:pPr>
        <w:pStyle w:val="Heading4"/>
        <w:spacing w:before="0" w:after="0"/>
        <w:ind w:left="0" w:right="0" w:hanging="0"/>
        <w:rPr/>
      </w:pPr>
      <w:r>
        <w:rPr/>
        <w:t> </w:t>
      </w:r>
    </w:p>
    <w:p>
      <w:pPr>
        <w:pStyle w:val="Heading4"/>
        <w:spacing w:before="0" w:after="0"/>
        <w:ind w:left="0" w:right="0" w:hanging="0"/>
        <w:rPr>
          <w:rFonts w:ascii="Times New Roman" w:hAnsi="Times New Roman"/>
          <w:b w:val="false"/>
          <w:sz w:val="17"/>
        </w:rPr>
      </w:pPr>
      <w:r>
        <w:rPr>
          <w:rFonts w:ascii="Times New Roman" w:hAnsi="Times New Roman"/>
          <w:b w:val="false"/>
          <w:sz w:val="17"/>
        </w:rPr>
        <w:t>(iii)          In the event Membership Interests are Transferred in accordance with the terms of this Agreement, the transferee shall succeed to the Capital Account of the transferor to the extent such Capital Account relates to the Transferred Membership Interests;</w:t>
      </w:r>
    </w:p>
    <w:p>
      <w:pPr>
        <w:pStyle w:val="Heading4"/>
        <w:spacing w:before="0" w:after="0"/>
        <w:ind w:left="0" w:right="0" w:hanging="0"/>
        <w:rPr/>
      </w:pPr>
      <w:r>
        <w:rPr/>
        <w:t> </w:t>
      </w:r>
    </w:p>
    <w:p>
      <w:pPr>
        <w:pStyle w:val="Heading4"/>
        <w:spacing w:before="0" w:after="0"/>
        <w:ind w:left="0" w:right="0" w:hanging="0"/>
        <w:rPr>
          <w:rFonts w:ascii="Times New Roman" w:hAnsi="Times New Roman"/>
          <w:b w:val="false"/>
          <w:sz w:val="17"/>
        </w:rPr>
      </w:pPr>
      <w:r>
        <w:rPr>
          <w:rFonts w:ascii="Times New Roman" w:hAnsi="Times New Roman"/>
          <w:b w:val="false"/>
          <w:sz w:val="17"/>
        </w:rPr>
        <w:t xml:space="preserve">(iv)          In determining the amount of any liability for purposes of </w:t>
      </w:r>
      <w:r>
        <w:rPr>
          <w:rFonts w:ascii="Times New Roman" w:hAnsi="Times New Roman"/>
          <w:b w:val="false"/>
          <w:sz w:val="17"/>
          <w:u w:val="single"/>
        </w:rPr>
        <w:t>Sections 3.4(a)(i) and (ii) </w:t>
      </w:r>
      <w:r>
        <w:rPr>
          <w:rFonts w:ascii="Times New Roman" w:hAnsi="Times New Roman"/>
          <w:b w:val="false"/>
          <w:sz w:val="17"/>
        </w:rPr>
        <w:t>there shall be taken into account Code Section 752(c) and any other applicable provisions of the Code and Regulations;</w:t>
      </w:r>
    </w:p>
    <w:p>
      <w:pPr>
        <w:pStyle w:val="Heading4"/>
        <w:spacing w:before="0" w:after="0"/>
        <w:ind w:left="0" w:right="0" w:hanging="0"/>
        <w:rPr/>
      </w:pPr>
      <w:r>
        <w:rPr/>
        <w:t> </w:t>
      </w:r>
    </w:p>
    <w:p>
      <w:pPr>
        <w:pStyle w:val="Heading4"/>
        <w:spacing w:before="0" w:after="0"/>
        <w:ind w:left="0" w:right="0" w:hanging="0"/>
        <w:rPr>
          <w:rFonts w:ascii="Times New Roman" w:hAnsi="Times New Roman"/>
          <w:b w:val="false"/>
          <w:sz w:val="17"/>
        </w:rPr>
      </w:pPr>
      <w:r>
        <w:rPr>
          <w:rFonts w:ascii="Times New Roman" w:hAnsi="Times New Roman"/>
          <w:b w:val="false"/>
          <w:sz w:val="17"/>
        </w:rPr>
        <w:t>(v)           In addition to the adjustments specified by this Section 3.4, each Members Capital Account shall also be adjusted for any other increases or decreases required to be made to Capital Accounts pursuant to Code Section 704(b) and Regulations Section 1.704-1(b)(2)(iv).</w:t>
      </w:r>
    </w:p>
    <w:p>
      <w:pPr>
        <w:pStyle w:val="Heading4"/>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 xml:space="preserve">(b)           The foregoing </w:t>
      </w:r>
      <w:r>
        <w:rPr>
          <w:rFonts w:ascii="Times New Roman" w:hAnsi="Times New Roman"/>
          <w:b w:val="false"/>
          <w:sz w:val="17"/>
          <w:u w:val="single"/>
        </w:rPr>
        <w:t>Section 3.4(a) </w:t>
      </w:r>
      <w:r>
        <w:rPr>
          <w:rFonts w:ascii="Times New Roman" w:hAnsi="Times New Roman"/>
          <w:b w:val="false"/>
          <w:sz w:val="17"/>
        </w:rPr>
        <w:t>and the other provisions of this Agreement relating to the maintenance of Capital Accounts are intended to comply with Section 704(b) of the Code and Regulations Section 1.704-1(b) and, to the greatest extent practicable, shall be interpreted and applied in a manner consistent with such Regulation.  The Board in its discretion and to the extent otherwise consistent with the terms of this Agreement shall (i) make any adjustments that are necessary or appropriate to maintain equality between the Capital Accounts of the Members and the amount of capital reflected on the Companys balance sheet, as computed for book purposes, in accordance with Regulations Section 1.704-1(b)(2)(iv)(q), and (ii) make any appropriate modifications in the event unanticipated events might otherwise cause this Agreement not to comply with Section 704(b) of the Code and Regulations Section 1.704-1(b).</w:t>
      </w:r>
    </w:p>
    <w:p>
      <w:pPr>
        <w:pStyle w:val="Heading3"/>
        <w:spacing w:before="0" w:after="0"/>
        <w:ind w:left="0" w:right="0" w:hanging="0"/>
        <w:rPr/>
      </w:pPr>
      <w:r>
        <w:rPr/>
        <w:t> </w:t>
      </w:r>
    </w:p>
    <w:p>
      <w:pPr>
        <w:pStyle w:val="TextBody"/>
        <w:spacing w:before="0" w:after="0"/>
        <w:ind w:left="0" w:right="0" w:hanging="0"/>
        <w:rPr>
          <w:rFonts w:ascii="Times New Roman" w:hAnsi="Times New Roman"/>
          <w:sz w:val="17"/>
        </w:rPr>
      </w:pPr>
      <w:bookmarkStart w:id="19" w:name="a3_5_222811"/>
      <w:bookmarkEnd w:id="19"/>
      <w:r>
        <w:rPr>
          <w:rFonts w:ascii="Times New Roman" w:hAnsi="Times New Roman"/>
          <w:sz w:val="17"/>
        </w:rPr>
        <w:t xml:space="preserve">3.5           </w:t>
      </w:r>
      <w:r>
        <w:rPr>
          <w:rFonts w:ascii="Times New Roman" w:hAnsi="Times New Roman"/>
          <w:sz w:val="17"/>
          <w:u w:val="single"/>
        </w:rPr>
        <w:t>Capital Withdrawal Rights, Interest and Priority</w:t>
      </w:r>
      <w:r>
        <w:rPr>
          <w:rFonts w:ascii="Times New Roman" w:hAnsi="Times New Roman"/>
          <w:sz w:val="17"/>
        </w:rPr>
        <w:t>.  Except as expressly provided in this Agreement, no Member shall be entitled to (a) withdraw or reduce such Members Capital Contribution or to receive any distributions from the Company, or (b) receive or be credited with any interest on the balance of such Members Capital Contribution at any time.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17</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bookmarkStart w:id="20" w:name="a3_6_222814"/>
      <w:bookmarkEnd w:id="20"/>
      <w:r>
        <w:rPr>
          <w:rFonts w:ascii="Times New Roman" w:hAnsi="Times New Roman"/>
          <w:sz w:val="17"/>
        </w:rPr>
        <w:t xml:space="preserve">3.6           </w:t>
      </w:r>
      <w:r>
        <w:rPr>
          <w:rFonts w:ascii="Times New Roman" w:hAnsi="Times New Roman"/>
          <w:sz w:val="17"/>
          <w:u w:val="single"/>
        </w:rPr>
        <w:t>Determination of Fair Market Value</w:t>
      </w:r>
      <w:r>
        <w:rPr>
          <w:rFonts w:ascii="Times New Roman" w:hAnsi="Times New Roman"/>
          <w:sz w:val="17"/>
        </w:rPr>
        <w:t xml:space="preserve">.  Any determination of the Fair Value of the Company or a Subsidiary or the Called Interest Value (for purposes of this </w:t>
      </w:r>
      <w:r>
        <w:rPr>
          <w:rFonts w:ascii="Times New Roman" w:hAnsi="Times New Roman"/>
          <w:sz w:val="17"/>
          <w:u w:val="single"/>
        </w:rPr>
        <w:t>Section 3.6</w:t>
      </w:r>
      <w:r>
        <w:rPr>
          <w:rFonts w:ascii="Times New Roman" w:hAnsi="Times New Roman"/>
          <w:sz w:val="17"/>
        </w:rPr>
        <w:t>, the </w:t>
      </w:r>
      <w:r>
        <w:rPr>
          <w:rFonts w:ascii="Times New Roman" w:hAnsi="Times New Roman"/>
          <w:b/>
          <w:i/>
          <w:sz w:val="17"/>
        </w:rPr>
        <w:t>Fair Market Value</w:t>
      </w:r>
      <w:r>
        <w:rPr>
          <w:rFonts w:ascii="Times New Roman" w:hAnsi="Times New Roman"/>
          <w:sz w:val="17"/>
        </w:rPr>
        <w:t>) shall be made as follows:</w:t>
      </w:r>
    </w:p>
    <w:p>
      <w:pPr>
        <w:pStyle w:val="TextBody"/>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 xml:space="preserve">(a)           The Fair Market Value shall be an amount agreed upon by (i) the Initial Members in the case of </w:t>
      </w:r>
      <w:r>
        <w:rPr>
          <w:rFonts w:ascii="Times New Roman" w:hAnsi="Times New Roman"/>
          <w:b w:val="false"/>
          <w:sz w:val="17"/>
          <w:u w:val="single"/>
        </w:rPr>
        <w:t>Section 3.2(b) </w:t>
      </w:r>
      <w:r>
        <w:rPr>
          <w:rFonts w:ascii="Times New Roman" w:hAnsi="Times New Roman"/>
          <w:b w:val="false"/>
          <w:sz w:val="17"/>
        </w:rPr>
        <w:t xml:space="preserve">or (ii) the Company and the Non-Qualifying Transferee, in the case of </w:t>
      </w:r>
      <w:r>
        <w:rPr>
          <w:rFonts w:ascii="Times New Roman" w:hAnsi="Times New Roman"/>
          <w:b w:val="false"/>
          <w:sz w:val="17"/>
          <w:u w:val="single"/>
        </w:rPr>
        <w:t>Section 9.2</w:t>
      </w:r>
      <w:r>
        <w:rPr>
          <w:rFonts w:ascii="Times New Roman" w:hAnsi="Times New Roman"/>
          <w:b w:val="false"/>
          <w:sz w:val="17"/>
        </w:rPr>
        <w:t xml:space="preserve"> (in each case, the </w:t>
      </w:r>
      <w:r>
        <w:rPr>
          <w:rFonts w:ascii="Times New Roman" w:hAnsi="Times New Roman"/>
          <w:b/>
          <w:i/>
          <w:sz w:val="17"/>
        </w:rPr>
        <w:t>Relevant Parties</w:t>
      </w:r>
      <w:r>
        <w:rPr>
          <w:rFonts w:ascii="Times New Roman" w:hAnsi="Times New Roman"/>
          <w:b w:val="false"/>
          <w:sz w:val="17"/>
        </w:rPr>
        <w:t>) within five (5) Business Days after delivery of the notice required by such section.</w:t>
      </w:r>
    </w:p>
    <w:p>
      <w:pPr>
        <w:pStyle w:val="Heading3"/>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(b)           If the Relevant Parties cannot agree on the Fair Market Value within such five (5) Business Day period, each of the Relevant Parties will submit its respective proposal as to the Fair Market Value (its </w:t>
      </w:r>
      <w:r>
        <w:rPr>
          <w:rFonts w:ascii="Times New Roman" w:hAnsi="Times New Roman"/>
          <w:b/>
          <w:i/>
          <w:sz w:val="17"/>
        </w:rPr>
        <w:t>Proposed Value</w:t>
      </w:r>
      <w:r>
        <w:rPr>
          <w:rFonts w:ascii="Times New Roman" w:hAnsi="Times New Roman"/>
          <w:b w:val="false"/>
          <w:sz w:val="17"/>
        </w:rPr>
        <w:t>) to the other Relevant Party within ten (10) Business Days after the expiration of such five (5) Business Day period.  If the higher Proposed Value is not more than 10% higher than the lower Proposed Value, then the Fair Market Value shall be equal to the average of such Proposed Values.</w:t>
      </w:r>
    </w:p>
    <w:p>
      <w:pPr>
        <w:pStyle w:val="Heading3"/>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(c)           In the event that one of the Proposed Values submitted under subparagraph (b) is more than 10% higher than the other Proposed Value, then within ten Business Days after the submission of such proposals, the Relevant Parties shall jointly select and retain a managing director in an independent nationally recognized investment bank (the </w:t>
      </w:r>
      <w:r>
        <w:rPr>
          <w:rFonts w:ascii="Times New Roman" w:hAnsi="Times New Roman"/>
          <w:b/>
          <w:i/>
          <w:sz w:val="17"/>
        </w:rPr>
        <w:t>Appraiser</w:t>
      </w:r>
      <w:r>
        <w:rPr>
          <w:rFonts w:ascii="Times New Roman" w:hAnsi="Times New Roman"/>
          <w:b w:val="false"/>
          <w:sz w:val="17"/>
        </w:rPr>
        <w:t>).  In the event that such parties fail to jointly select the Appraiser within such time period, then at the request of either Relevant Party, the American Arbitration Association shall provide the Relevant Parties with a list of five Appraiser candidates and each of the Relevant Parties shall be allowed to strike two names from the list and rank the remaining Appraiser candidates in order of acceptance.  The American Arbitration Association shall select one of the Appraiser candidates remaining on both lists, taking into account the rankings of such candidates by the Relevant Parties.  The Appraiser shall be requested to make its determination within a period of 30 days after the deadline for submissions to be made by the Relevant Parties pursuant to subparagraph (d), or as soon as practicable thereafter.</w:t>
      </w:r>
    </w:p>
    <w:p>
      <w:pPr>
        <w:pStyle w:val="Heading3"/>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(d)           Within five Business Days of the appointment of the Appraiser, each of the Relevant Parties shall submit to the Appraiser (i) such Relevant Partys Proposed Value previously submitted to the other party pursuant to subparagraph (b), (ii) a list of factors that it believes to be relevant in the determination of the Fair Market Value, and (iii) the reasons for that Proposed Value.  In addition, each Relevant Party shall at the same time deliver to the other Relevant Party a copy of any submission or information it has supplied to the Appraiser.</w:t>
      </w:r>
    </w:p>
    <w:p>
      <w:pPr>
        <w:pStyle w:val="Heading3"/>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(e)           The Appraiser shall then make its own determination of the Fair Market Value, having requested such further information from the Relevant Parties and/or the Company (if it is not a Relevant Party) as it shall require.</w:t>
      </w:r>
    </w:p>
    <w:p>
      <w:pPr>
        <w:pStyle w:val="Heading3"/>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(f)            The Appraiser shall certify to each of the Relevant Parties and the Company (if it is not a Relevant Party) (i) that, having considered the respective submissions of each of the Relevant Parties, the Appraiser has made its own determination of the Fair Market Value according to the principles of this Agreement and (ii) which of the Proposed Values submitted by the Relevant Parties it determines to be closer to the Fair Market Value.  The Proposed Value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18</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submitted by either of the Relevant Parties so certified by the Appraiser pursuant to clause (ii) of the immediately preceding sentence shall thereupon be deemed to be the Fair Market Value.</w:t>
      </w:r>
    </w:p>
    <w:p>
      <w:pPr>
        <w:pStyle w:val="Heading3"/>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(g)           The fees and expenses of the Appraiser shall be paid equally by the Relevant Parties.  The Appraiser shall act as an expert and not as an arbitrator and its determination shall be final and binding upon the Relevant Parties.  The Appraiser shall have no liability to any of the Relevant Parties or the Company in respect of its determination.</w:t>
      </w:r>
    </w:p>
    <w:p>
      <w:pPr>
        <w:pStyle w:val="Heading3"/>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 xml:space="preserve">(h)           Notwithstanding anything in this Agreement to the contrary, any determination of Fair Market Value pursuant to this </w:t>
      </w:r>
      <w:r>
        <w:rPr>
          <w:rFonts w:ascii="Times New Roman" w:hAnsi="Times New Roman"/>
          <w:b w:val="false"/>
          <w:sz w:val="17"/>
          <w:u w:val="single"/>
        </w:rPr>
        <w:t>Section 3.6</w:t>
      </w:r>
      <w:r>
        <w:rPr>
          <w:rFonts w:ascii="Times New Roman" w:hAnsi="Times New Roman"/>
          <w:b w:val="false"/>
          <w:sz w:val="17"/>
        </w:rPr>
        <w:t xml:space="preserve"> shall be applicable only for purposes of the specific instance for which such Fair Market Value is determined, and shall not apply to any other instance requiring a determination of Fair Market Value.</w:t>
      </w:r>
    </w:p>
    <w:p>
      <w:pPr>
        <w:pStyle w:val="Heading3"/>
        <w:spacing w:before="0" w:after="0"/>
        <w:ind w:left="0" w:right="0" w:hanging="0"/>
        <w:rPr/>
      </w:pPr>
      <w:r>
        <w:rPr/>
        <w:t> </w:t>
      </w:r>
    </w:p>
    <w:p>
      <w:pPr>
        <w:pStyle w:val="Heading1"/>
        <w:spacing w:before="0" w:after="0"/>
        <w:ind w:left="0" w:right="0" w:hanging="0"/>
        <w:rPr>
          <w:rFonts w:ascii="Times New Roman" w:hAnsi="Times New Roman"/>
          <w:b/>
          <w:sz w:val="17"/>
        </w:rPr>
      </w:pPr>
      <w:bookmarkStart w:id="21" w:name="Article4_222820"/>
      <w:bookmarkEnd w:id="21"/>
      <w:r>
        <w:rPr>
          <w:rFonts w:ascii="Times New Roman" w:hAnsi="Times New Roman"/>
          <w:b/>
          <w:sz w:val="17"/>
        </w:rPr>
        <w:t>ARTICLE 4</w:t>
        <w:br/>
        <w:t>DISTRIBUTIONS</w:t>
      </w:r>
    </w:p>
    <w:p>
      <w:pPr>
        <w:pStyle w:val="Heading1"/>
        <w:spacing w:before="0" w:after="0"/>
        <w:ind w:left="0" w:right="0" w:hanging="0"/>
        <w:rPr/>
      </w:pPr>
      <w:r>
        <w:rPr/>
        <w:t> </w:t>
      </w:r>
    </w:p>
    <w:p>
      <w:pPr>
        <w:pStyle w:val="TextBody"/>
        <w:spacing w:before="0" w:after="0"/>
        <w:ind w:left="0" w:right="0" w:hanging="0"/>
        <w:rPr>
          <w:rFonts w:ascii="Times New Roman" w:hAnsi="Times New Roman"/>
          <w:sz w:val="17"/>
        </w:rPr>
      </w:pPr>
      <w:bookmarkStart w:id="22" w:name="a4_1_222822"/>
      <w:bookmarkEnd w:id="22"/>
      <w:r>
        <w:rPr>
          <w:rFonts w:ascii="Times New Roman" w:hAnsi="Times New Roman"/>
          <w:sz w:val="17"/>
        </w:rPr>
        <w:t xml:space="preserve">4.1           </w:t>
      </w:r>
      <w:r>
        <w:rPr>
          <w:rFonts w:ascii="Times New Roman" w:hAnsi="Times New Roman"/>
          <w:sz w:val="17"/>
          <w:u w:val="single"/>
        </w:rPr>
        <w:t>Distributions of Available Cash</w:t>
      </w:r>
      <w:r>
        <w:rPr>
          <w:rFonts w:ascii="Times New Roman" w:hAnsi="Times New Roman"/>
          <w:sz w:val="17"/>
        </w:rPr>
        <w:t xml:space="preserve">.  </w:t>
      </w:r>
    </w:p>
    <w:p>
      <w:pPr>
        <w:pStyle w:val="TextBody"/>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 xml:space="preserve">(a)           An amount equal to 100% of Available Cash with respect to each fiscal quarter of the Company shall be distributed to the Members in proportion to their relative Percentage Interests within 45 days after the end of such quarter; </w:t>
      </w:r>
      <w:r>
        <w:rPr>
          <w:rFonts w:ascii="Times New Roman" w:hAnsi="Times New Roman"/>
          <w:b w:val="false"/>
          <w:i/>
          <w:sz w:val="17"/>
        </w:rPr>
        <w:t>provided, however,</w:t>
      </w:r>
      <w:r>
        <w:rPr>
          <w:rFonts w:ascii="Times New Roman" w:hAnsi="Times New Roman"/>
          <w:b w:val="false"/>
          <w:sz w:val="17"/>
        </w:rPr>
        <w:t xml:space="preserve"> that Vulcan hereby directs the Company to pay to PAA (on behalf of Vulcan), at such time as the Company makes distributions of Available Cash to the Members with respect to the first fiscal quarter of 2006 and the first fiscal quarter of each subsequent calendar year through and including 2015, in consideration of the provision by PAA of a disproportionate guaranty to Sempra Energy Trading Corp. in connection with the Purchase Agreement, the first $100,000 that otherwise would have been distributed to Vulcan with respect to such quarter (and if Vulcans share of Available Cash is insufficient to pay the entire $100,000, the shortfall will be carried forward and paid by the Company (on behalf of Vulcan) in the next fiscal quarter that such funds are available)</w:t>
      </w:r>
    </w:p>
    <w:p>
      <w:pPr>
        <w:pStyle w:val="Heading3"/>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 xml:space="preserve">(b)           Notwithstanding </w:t>
      </w:r>
      <w:r>
        <w:rPr>
          <w:rFonts w:ascii="Times New Roman" w:hAnsi="Times New Roman"/>
          <w:b w:val="false"/>
          <w:sz w:val="17"/>
          <w:u w:val="single"/>
        </w:rPr>
        <w:t>Section 4.1(a)</w:t>
      </w:r>
      <w:r>
        <w:rPr>
          <w:rFonts w:ascii="Times New Roman" w:hAnsi="Times New Roman"/>
          <w:b w:val="false"/>
          <w:sz w:val="17"/>
        </w:rPr>
        <w:t>, from and after the Trigger Year, PAA shall be entitled to the following distributions from Available Cash as a management fee prior to any additional distributions of Available Cash to the Members:</w:t>
      </w:r>
    </w:p>
    <w:p>
      <w:pPr>
        <w:pStyle w:val="Heading3"/>
        <w:spacing w:before="0" w:after="0"/>
        <w:ind w:left="0" w:right="0" w:hanging="0"/>
        <w:rPr/>
      </w:pPr>
      <w:r>
        <w:rPr/>
        <w:t> </w:t>
      </w:r>
    </w:p>
    <w:p>
      <w:pPr>
        <w:pStyle w:val="Heading4"/>
        <w:spacing w:before="0" w:after="0"/>
        <w:ind w:left="0" w:right="0" w:hanging="0"/>
        <w:rPr>
          <w:rFonts w:ascii="Times New Roman" w:hAnsi="Times New Roman"/>
          <w:b w:val="false"/>
          <w:sz w:val="17"/>
        </w:rPr>
      </w:pPr>
      <w:r>
        <w:rPr>
          <w:rFonts w:ascii="Times New Roman" w:hAnsi="Times New Roman"/>
          <w:b w:val="false"/>
          <w:sz w:val="17"/>
        </w:rPr>
        <w:t xml:space="preserve">(i)            With respect to the first fiscal year of the Company that EBITDA (excluding accruals, if any, associated with the management fee described in this </w:t>
      </w:r>
      <w:r>
        <w:rPr>
          <w:rFonts w:ascii="Times New Roman" w:hAnsi="Times New Roman"/>
          <w:b w:val="false"/>
          <w:sz w:val="17"/>
          <w:u w:val="single"/>
        </w:rPr>
        <w:t>Section 4.1(b)</w:t>
      </w:r>
      <w:r>
        <w:rPr>
          <w:rFonts w:ascii="Times New Roman" w:hAnsi="Times New Roman"/>
          <w:b w:val="false"/>
          <w:sz w:val="17"/>
        </w:rPr>
        <w:t xml:space="preserve">) is greater than $75,000,000 (the </w:t>
      </w:r>
      <w:r>
        <w:rPr>
          <w:rFonts w:ascii="Times New Roman" w:hAnsi="Times New Roman"/>
          <w:b/>
          <w:i/>
          <w:sz w:val="17"/>
        </w:rPr>
        <w:t>Trigger Year</w:t>
      </w:r>
      <w:r>
        <w:rPr>
          <w:rFonts w:ascii="Times New Roman" w:hAnsi="Times New Roman"/>
          <w:b w:val="false"/>
          <w:sz w:val="17"/>
        </w:rPr>
        <w:t xml:space="preserve">), PAA shall receive a distribution equal to the product of (x) $6,000,000 and (y) the lesser of (A) five and (B) the number of full fiscal years of the Company (including the Trigger Year) that have occurred since the formation of the Company.  Subject to </w:t>
      </w:r>
      <w:r>
        <w:rPr>
          <w:rFonts w:ascii="Times New Roman" w:hAnsi="Times New Roman"/>
          <w:b w:val="false"/>
          <w:sz w:val="17"/>
          <w:u w:val="single"/>
        </w:rPr>
        <w:t>Section 4.1(c)</w:t>
      </w:r>
      <w:r>
        <w:rPr>
          <w:rFonts w:ascii="Times New Roman" w:hAnsi="Times New Roman"/>
          <w:b w:val="false"/>
          <w:sz w:val="17"/>
        </w:rPr>
        <w:t>, such amount shall be paid from the distribution in respect of the fourth quarter of the Trigger Year.</w:t>
      </w:r>
    </w:p>
    <w:p>
      <w:pPr>
        <w:pStyle w:val="Heading4"/>
        <w:spacing w:before="0" w:after="0"/>
        <w:ind w:left="0" w:right="0" w:hanging="0"/>
        <w:rPr/>
      </w:pPr>
      <w:r>
        <w:rPr/>
        <w:t> </w:t>
      </w:r>
    </w:p>
    <w:p>
      <w:pPr>
        <w:pStyle w:val="Heading4"/>
        <w:spacing w:before="0" w:after="0"/>
        <w:ind w:left="0" w:right="0" w:hanging="0"/>
        <w:rPr>
          <w:rFonts w:ascii="Times New Roman" w:hAnsi="Times New Roman"/>
          <w:b w:val="false"/>
          <w:sz w:val="17"/>
        </w:rPr>
      </w:pPr>
      <w:r>
        <w:rPr>
          <w:rFonts w:ascii="Times New Roman" w:hAnsi="Times New Roman"/>
          <w:b w:val="false"/>
          <w:sz w:val="17"/>
        </w:rPr>
        <w:t xml:space="preserve">(ii)           With respect to each fiscal year after the Trigger Year, PAA shall receive a distribution equal to the greater of (x) $2,000,000 and (y) 2% of EBITDA for such year.  The amounts payable under this clause (ii) shall be paid in equal quarterly installments of $500,000, and if any additional amount is payable pursuant to clause (ii)(y), subject to </w:t>
      </w:r>
      <w:r>
        <w:rPr>
          <w:rFonts w:ascii="Times New Roman" w:hAnsi="Times New Roman"/>
          <w:b w:val="false"/>
          <w:sz w:val="17"/>
          <w:u w:val="single"/>
        </w:rPr>
        <w:t>Section 4.1(c)</w:t>
      </w:r>
      <w:r>
        <w:rPr>
          <w:rFonts w:ascii="Times New Roman" w:hAnsi="Times New Roman"/>
          <w:b w:val="false"/>
          <w:sz w:val="17"/>
        </w:rPr>
        <w:t>, such amount shall be paid from the distribution in respect of the fourth quarter of such year.</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19</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 xml:space="preserve">(c)           If Available Cash is insufficient to pay the entire amount payable pursuant to </w:t>
      </w:r>
      <w:r>
        <w:rPr>
          <w:rFonts w:ascii="Times New Roman" w:hAnsi="Times New Roman"/>
          <w:b w:val="false"/>
          <w:sz w:val="17"/>
          <w:u w:val="single"/>
        </w:rPr>
        <w:t>Section 4.1(b)</w:t>
      </w:r>
      <w:r>
        <w:rPr>
          <w:rFonts w:ascii="Times New Roman" w:hAnsi="Times New Roman"/>
          <w:b w:val="false"/>
          <w:sz w:val="17"/>
        </w:rPr>
        <w:t>, the shortfall will be carried forward and paid by the Company in the next fiscal quarter that such funds are available.</w:t>
      </w:r>
    </w:p>
    <w:p>
      <w:pPr>
        <w:pStyle w:val="Heading3"/>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 xml:space="preserve">(d)           The parties agree to treat amounts distributed to PAA pursuant to </w:t>
      </w:r>
      <w:r>
        <w:rPr>
          <w:rFonts w:ascii="Times New Roman" w:hAnsi="Times New Roman"/>
          <w:b w:val="false"/>
          <w:sz w:val="17"/>
          <w:u w:val="single"/>
        </w:rPr>
        <w:t>Section 4.1(b) </w:t>
      </w:r>
      <w:r>
        <w:rPr>
          <w:rFonts w:ascii="Times New Roman" w:hAnsi="Times New Roman"/>
          <w:b w:val="false"/>
          <w:sz w:val="17"/>
        </w:rPr>
        <w:t>as guaranteed payments pursuant to Section 707(c) of the Code (any such distribution, the PAA Management Fee).</w:t>
      </w:r>
    </w:p>
    <w:p>
      <w:pPr>
        <w:pStyle w:val="Heading3"/>
        <w:spacing w:before="0" w:after="0"/>
        <w:ind w:left="0" w:right="0" w:hanging="0"/>
        <w:rPr/>
      </w:pPr>
      <w:r>
        <w:rPr/>
        <w:t> </w:t>
      </w:r>
    </w:p>
    <w:p>
      <w:pPr>
        <w:pStyle w:val="TextBody"/>
        <w:spacing w:before="0" w:after="0"/>
        <w:ind w:left="0" w:right="0" w:hanging="0"/>
        <w:rPr>
          <w:rFonts w:ascii="Times New Roman" w:hAnsi="Times New Roman"/>
          <w:sz w:val="17"/>
        </w:rPr>
      </w:pPr>
      <w:bookmarkStart w:id="23" w:name="a4_2_222825"/>
      <w:bookmarkEnd w:id="23"/>
      <w:r>
        <w:rPr>
          <w:rFonts w:ascii="Times New Roman" w:hAnsi="Times New Roman"/>
          <w:sz w:val="17"/>
        </w:rPr>
        <w:t xml:space="preserve">4.2           </w:t>
      </w:r>
      <w:r>
        <w:rPr>
          <w:rFonts w:ascii="Times New Roman" w:hAnsi="Times New Roman"/>
          <w:sz w:val="17"/>
          <w:u w:val="single"/>
        </w:rPr>
        <w:t>Persons Entitled to Distributions</w:t>
      </w:r>
      <w:r>
        <w:rPr>
          <w:rFonts w:ascii="Times New Roman" w:hAnsi="Times New Roman"/>
          <w:sz w:val="17"/>
        </w:rPr>
        <w:t xml:space="preserve">.  All distributions of Available Cash to Members for a fiscal quarter pursuant to </w:t>
      </w:r>
      <w:r>
        <w:rPr>
          <w:rFonts w:ascii="Times New Roman" w:hAnsi="Times New Roman"/>
          <w:sz w:val="17"/>
          <w:u w:val="single"/>
        </w:rPr>
        <w:t>Section 4.1</w:t>
      </w:r>
      <w:r>
        <w:rPr>
          <w:rFonts w:ascii="Times New Roman" w:hAnsi="Times New Roman"/>
          <w:sz w:val="17"/>
        </w:rPr>
        <w:t xml:space="preserve"> shall be made to the Members shown on the records of the Company to be entitled thereto as of the last day of such quarter, unless the transferor and transferee of any Membership Interest otherwise agree in writing to a different distribution.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bookmarkStart w:id="24" w:name="a4_3_222826"/>
      <w:bookmarkEnd w:id="24"/>
      <w:r>
        <w:rPr>
          <w:rFonts w:ascii="Times New Roman" w:hAnsi="Times New Roman"/>
          <w:sz w:val="17"/>
        </w:rPr>
        <w:t xml:space="preserve">4.3           </w:t>
      </w:r>
      <w:r>
        <w:rPr>
          <w:rFonts w:ascii="Times New Roman" w:hAnsi="Times New Roman"/>
          <w:sz w:val="17"/>
          <w:u w:val="single"/>
        </w:rPr>
        <w:t>Limitations on Distributions</w:t>
      </w:r>
    </w:p>
    <w:p>
      <w:pPr>
        <w:pStyle w:val="TextBody"/>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 xml:space="preserve">(a)           Notwithstanding any provision of this Agreement to the contrary, no distributions shall be made except pursuant to this </w:t>
      </w:r>
      <w:r>
        <w:rPr>
          <w:rFonts w:ascii="Times New Roman" w:hAnsi="Times New Roman"/>
          <w:b w:val="false"/>
          <w:sz w:val="17"/>
          <w:u w:val="single"/>
        </w:rPr>
        <w:t>Article 4</w:t>
      </w:r>
      <w:r>
        <w:rPr>
          <w:rFonts w:ascii="Times New Roman" w:hAnsi="Times New Roman"/>
          <w:b w:val="false"/>
          <w:sz w:val="17"/>
        </w:rPr>
        <w:t xml:space="preserve"> or </w:t>
      </w:r>
      <w:r>
        <w:rPr>
          <w:rFonts w:ascii="Times New Roman" w:hAnsi="Times New Roman"/>
          <w:b w:val="false"/>
          <w:sz w:val="17"/>
          <w:u w:val="single"/>
        </w:rPr>
        <w:t>Article 10</w:t>
      </w:r>
      <w:r>
        <w:rPr>
          <w:rFonts w:ascii="Times New Roman" w:hAnsi="Times New Roman"/>
          <w:b w:val="false"/>
          <w:sz w:val="17"/>
        </w:rPr>
        <w:t>.</w:t>
      </w:r>
    </w:p>
    <w:p>
      <w:pPr>
        <w:pStyle w:val="Heading3"/>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(b)           Notwithstanding any provision of this Agreement to the contrary, no distribution hereunder shall be permitted if such distribution would violate Section 18-607 of the Act or other applicable law.</w:t>
      </w:r>
    </w:p>
    <w:p>
      <w:pPr>
        <w:pStyle w:val="Heading3"/>
        <w:spacing w:before="0" w:after="0"/>
        <w:ind w:left="0" w:right="0" w:hanging="0"/>
        <w:rPr/>
      </w:pPr>
      <w:r>
        <w:rPr/>
        <w:t> </w:t>
      </w:r>
    </w:p>
    <w:p>
      <w:pPr>
        <w:pStyle w:val="Heading1"/>
        <w:spacing w:before="0" w:after="0"/>
        <w:ind w:left="0" w:right="0" w:hanging="0"/>
        <w:rPr>
          <w:rFonts w:ascii="Times New Roman" w:hAnsi="Times New Roman"/>
          <w:b/>
          <w:sz w:val="17"/>
        </w:rPr>
      </w:pPr>
      <w:bookmarkStart w:id="25" w:name="Article5_222831"/>
      <w:bookmarkEnd w:id="25"/>
      <w:r>
        <w:rPr>
          <w:rFonts w:ascii="Times New Roman" w:hAnsi="Times New Roman"/>
          <w:b/>
          <w:sz w:val="17"/>
        </w:rPr>
        <w:t>ARTICLE 5</w:t>
        <w:br/>
        <w:t>ALLOCATIONS</w:t>
      </w:r>
    </w:p>
    <w:p>
      <w:pPr>
        <w:pStyle w:val="Heading1"/>
        <w:spacing w:before="0" w:after="0"/>
        <w:ind w:left="0" w:right="0" w:hanging="0"/>
        <w:rPr/>
      </w:pPr>
      <w:r>
        <w:rPr/>
        <w:t> </w:t>
      </w:r>
    </w:p>
    <w:p>
      <w:pPr>
        <w:pStyle w:val="TextBody"/>
        <w:spacing w:before="0" w:after="0"/>
        <w:ind w:left="0" w:right="0" w:hanging="0"/>
        <w:rPr>
          <w:rFonts w:ascii="Times New Roman" w:hAnsi="Times New Roman"/>
          <w:sz w:val="17"/>
        </w:rPr>
      </w:pPr>
      <w:bookmarkStart w:id="26" w:name="a5_1_222834"/>
      <w:bookmarkEnd w:id="26"/>
      <w:r>
        <w:rPr>
          <w:rFonts w:ascii="Times New Roman" w:hAnsi="Times New Roman"/>
          <w:sz w:val="17"/>
        </w:rPr>
        <w:t xml:space="preserve">5.1           </w:t>
      </w:r>
      <w:r>
        <w:rPr>
          <w:rFonts w:ascii="Times New Roman" w:hAnsi="Times New Roman"/>
          <w:sz w:val="17"/>
          <w:u w:val="single"/>
        </w:rPr>
        <w:t>Profits</w:t>
      </w:r>
      <w:r>
        <w:rPr>
          <w:rFonts w:ascii="Times New Roman" w:hAnsi="Times New Roman"/>
          <w:sz w:val="17"/>
        </w:rPr>
        <w:t>.  Profits for each Fiscal Period shall be allocated:</w:t>
      </w:r>
    </w:p>
    <w:p>
      <w:pPr>
        <w:pStyle w:val="TextBody"/>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 xml:space="preserve">(a)           first, to those Members to which Losses have previously been allocated pursuant to </w:t>
      </w:r>
      <w:r>
        <w:rPr>
          <w:rFonts w:ascii="Times New Roman" w:hAnsi="Times New Roman"/>
          <w:b w:val="false"/>
          <w:sz w:val="17"/>
          <w:u w:val="single"/>
        </w:rPr>
        <w:t>Section 5.2(c) </w:t>
      </w:r>
      <w:r>
        <w:rPr>
          <w:rFonts w:ascii="Times New Roman" w:hAnsi="Times New Roman"/>
          <w:b w:val="false"/>
          <w:sz w:val="17"/>
        </w:rPr>
        <w:t>hereof so as to bring each such Members Capital Account to zero, pro rata in accordance with each such Members then existing Capital Account deficit; and</w:t>
      </w:r>
    </w:p>
    <w:p>
      <w:pPr>
        <w:pStyle w:val="Heading3"/>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(b)           second, any remaining Profits shall be allocated among the Members in proportion to their respective Percentage Interests;</w:t>
      </w:r>
    </w:p>
    <w:p>
      <w:pPr>
        <w:pStyle w:val="Heading3"/>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that, for each Fiscal Period, Profits initially allocated to Vulcan pursuant to this </w:t>
      </w:r>
      <w:r>
        <w:rPr>
          <w:rFonts w:ascii="Times New Roman" w:hAnsi="Times New Roman"/>
          <w:sz w:val="17"/>
          <w:u w:val="single"/>
        </w:rPr>
        <w:t>Section 5.1</w:t>
      </w:r>
      <w:r>
        <w:rPr>
          <w:rFonts w:ascii="Times New Roman" w:hAnsi="Times New Roman"/>
          <w:sz w:val="17"/>
        </w:rPr>
        <w:t xml:space="preserve"> (but for this proviso) shall be reallocated to PAA in an amount equal to the excess, if any, of (x) the aggregate amount of Available Cash distributed to PAA pursuant to the proviso set forth in </w:t>
      </w:r>
      <w:r>
        <w:rPr>
          <w:rFonts w:ascii="Times New Roman" w:hAnsi="Times New Roman"/>
          <w:sz w:val="17"/>
          <w:u w:val="single"/>
        </w:rPr>
        <w:t>Section 4.1(a) </w:t>
      </w:r>
      <w:r>
        <w:rPr>
          <w:rFonts w:ascii="Times New Roman" w:hAnsi="Times New Roman"/>
          <w:sz w:val="17"/>
        </w:rPr>
        <w:t xml:space="preserve">for the current Fiscal Period and all prior Fiscal Periods over (y) the amount of Profits reallocated to PAA pursuant to this proviso for all prior Fiscal Periods.  Amounts reallocated for any Fiscal Period pursuant to this proviso shall be deemed to be reallocated first from amounts initially allocated to Vulcan pursuant to </w:t>
      </w:r>
      <w:r>
        <w:rPr>
          <w:rFonts w:ascii="Times New Roman" w:hAnsi="Times New Roman"/>
          <w:sz w:val="17"/>
          <w:u w:val="single"/>
        </w:rPr>
        <w:t>Section 5.1(b) </w:t>
      </w:r>
      <w:r>
        <w:rPr>
          <w:rFonts w:ascii="Times New Roman" w:hAnsi="Times New Roman"/>
          <w:sz w:val="17"/>
        </w:rPr>
        <w:t xml:space="preserve">to the extent thereof and then from amounts initially allocated to Vulcan pursuant to </w:t>
      </w:r>
      <w:r>
        <w:rPr>
          <w:rFonts w:ascii="Times New Roman" w:hAnsi="Times New Roman"/>
          <w:sz w:val="17"/>
          <w:u w:val="single"/>
        </w:rPr>
        <w:t>Section 5.1(a)</w:t>
      </w:r>
      <w:r>
        <w:rPr>
          <w:rFonts w:ascii="Times New Roman" w:hAnsi="Times New Roman"/>
          <w:sz w:val="17"/>
        </w:rPr>
        <w: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20</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bookmarkStart w:id="27" w:name="a5_2_222836"/>
      <w:bookmarkEnd w:id="27"/>
      <w:r>
        <w:rPr>
          <w:rFonts w:ascii="Times New Roman" w:hAnsi="Times New Roman"/>
          <w:sz w:val="17"/>
        </w:rPr>
        <w:t xml:space="preserve">5.2           </w:t>
      </w:r>
      <w:r>
        <w:rPr>
          <w:rFonts w:ascii="Times New Roman" w:hAnsi="Times New Roman"/>
          <w:sz w:val="17"/>
          <w:u w:val="single"/>
        </w:rPr>
        <w:t>Losses</w:t>
      </w:r>
      <w:r>
        <w:rPr>
          <w:rFonts w:ascii="Times New Roman" w:hAnsi="Times New Roman"/>
          <w:sz w:val="17"/>
        </w:rPr>
        <w:t>.  Losses for each Fiscal Period shall be allocated:</w:t>
      </w:r>
    </w:p>
    <w:p>
      <w:pPr>
        <w:pStyle w:val="TextBody"/>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 xml:space="preserve">(a)           first, to the Members to which Profits have previously been allocated pursuant to </w:t>
      </w:r>
      <w:r>
        <w:rPr>
          <w:rFonts w:ascii="Times New Roman" w:hAnsi="Times New Roman"/>
          <w:b w:val="false"/>
          <w:sz w:val="17"/>
          <w:u w:val="single"/>
        </w:rPr>
        <w:t>Section 5.1(b) </w:t>
      </w:r>
      <w:r>
        <w:rPr>
          <w:rFonts w:ascii="Times New Roman" w:hAnsi="Times New Roman"/>
          <w:b w:val="false"/>
          <w:sz w:val="17"/>
        </w:rPr>
        <w:t xml:space="preserve">pro rata in accordance with the excess, if any, of (i) the amount of Profits allocated to each Member pursuant to </w:t>
      </w:r>
      <w:r>
        <w:rPr>
          <w:rFonts w:ascii="Times New Roman" w:hAnsi="Times New Roman"/>
          <w:b w:val="false"/>
          <w:sz w:val="17"/>
          <w:u w:val="single"/>
        </w:rPr>
        <w:t>Section 5.1(b) </w:t>
      </w:r>
      <w:r>
        <w:rPr>
          <w:rFonts w:ascii="Times New Roman" w:hAnsi="Times New Roman"/>
          <w:b w:val="false"/>
          <w:sz w:val="17"/>
        </w:rPr>
        <w:t xml:space="preserve">over (ii) the amount of Losses previously allocated to such Member pursuant to this </w:t>
      </w:r>
      <w:r>
        <w:rPr>
          <w:rFonts w:ascii="Times New Roman" w:hAnsi="Times New Roman"/>
          <w:b w:val="false"/>
          <w:sz w:val="17"/>
          <w:u w:val="single"/>
        </w:rPr>
        <w:t>Section 5.2(a)</w:t>
      </w:r>
      <w:r>
        <w:rPr>
          <w:rFonts w:ascii="Times New Roman" w:hAnsi="Times New Roman"/>
          <w:b w:val="false"/>
          <w:sz w:val="17"/>
        </w:rPr>
        <w:t>;</w:t>
      </w:r>
    </w:p>
    <w:p>
      <w:pPr>
        <w:pStyle w:val="Heading3"/>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(b)           second, to Members in proportion to their positive Capital Account balances until such Capital Account balances have been reduced to zero; and</w:t>
      </w:r>
    </w:p>
    <w:p>
      <w:pPr>
        <w:pStyle w:val="Heading3"/>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(c)           third, any remaining Losses shall be allocated among the Members in proportion to their respective Percentage Interests.</w:t>
      </w:r>
    </w:p>
    <w:p>
      <w:pPr>
        <w:pStyle w:val="Heading3"/>
        <w:spacing w:before="0" w:after="0"/>
        <w:ind w:left="0" w:right="0" w:hanging="0"/>
        <w:rPr/>
      </w:pPr>
      <w:r>
        <w:rPr/>
        <w:t> </w:t>
      </w:r>
    </w:p>
    <w:p>
      <w:pPr>
        <w:pStyle w:val="TextBody"/>
        <w:spacing w:before="0" w:after="0"/>
        <w:ind w:left="0" w:right="0" w:hanging="0"/>
        <w:rPr>
          <w:rFonts w:ascii="Times New Roman" w:hAnsi="Times New Roman"/>
          <w:sz w:val="17"/>
        </w:rPr>
      </w:pPr>
      <w:bookmarkStart w:id="28" w:name="a5_3_222838"/>
      <w:bookmarkEnd w:id="28"/>
      <w:r>
        <w:rPr>
          <w:rFonts w:ascii="Times New Roman" w:hAnsi="Times New Roman"/>
          <w:sz w:val="17"/>
        </w:rPr>
        <w:t xml:space="preserve">5.3           </w:t>
      </w:r>
      <w:r>
        <w:rPr>
          <w:rFonts w:ascii="Times New Roman" w:hAnsi="Times New Roman"/>
          <w:sz w:val="17"/>
          <w:u w:val="single"/>
        </w:rPr>
        <w:t>Regulatory Allocations</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special allocations shall be made in the following order and prior to any other allocations under this Agreement:</w:t>
      </w:r>
    </w:p>
    <w:p>
      <w:pPr>
        <w:pStyle w:val="TextBody"/>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 xml:space="preserve">(a)           </w:t>
      </w:r>
      <w:r>
        <w:rPr>
          <w:rFonts w:ascii="Times New Roman" w:hAnsi="Times New Roman"/>
          <w:b w:val="false"/>
          <w:sz w:val="17"/>
          <w:u w:val="single"/>
        </w:rPr>
        <w:t>Minimum Gain Chargeback</w:t>
      </w:r>
      <w:r>
        <w:rPr>
          <w:rFonts w:ascii="Times New Roman" w:hAnsi="Times New Roman"/>
          <w:b w:val="false"/>
          <w:sz w:val="17"/>
        </w:rPr>
        <w:t xml:space="preserve">.  Notwithstanding any other provision of this Article V and except as otherwise provided in Regulations Section 1.704-2(f), if there is a net decrease in Company Minimum Gain during any Fiscal Period of the Company, each Member shall be specially allocated items of Company income and gain for such Fiscal Period (and, if necessary, subsequent Fiscal Periods) in an amount equal to such Members share of the net decrease in Company Minimum Gain, as determined under Regulations Section 1.704-2(g).  Allocations pursuant to the previous sentence shall be made in proportion to the respective amounts required to be allocated to each Member pursuant thereto.  The items to be so allocated shall be determined in accordance with Regulations Section 1.704-2(f) and (j).  This </w:t>
      </w:r>
      <w:r>
        <w:rPr>
          <w:rFonts w:ascii="Times New Roman" w:hAnsi="Times New Roman"/>
          <w:b w:val="false"/>
          <w:sz w:val="17"/>
          <w:u w:val="single"/>
        </w:rPr>
        <w:t>Section 5.3(a) </w:t>
      </w:r>
      <w:r>
        <w:rPr>
          <w:rFonts w:ascii="Times New Roman" w:hAnsi="Times New Roman"/>
          <w:b w:val="false"/>
          <w:sz w:val="17"/>
        </w:rPr>
        <w:t>is intended to comply with the minimum gain chargeback requirement in such Regulations Section 1.704-2(f) and shall be interpreted consistently therewith.</w:t>
      </w:r>
    </w:p>
    <w:p>
      <w:pPr>
        <w:pStyle w:val="Heading3"/>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 xml:space="preserve">(b)           </w:t>
      </w:r>
      <w:r>
        <w:rPr>
          <w:rFonts w:ascii="Times New Roman" w:hAnsi="Times New Roman"/>
          <w:b w:val="false"/>
          <w:sz w:val="17"/>
          <w:u w:val="single"/>
        </w:rPr>
        <w:t>Member Minimum Gain Chargeback</w:t>
      </w:r>
      <w:r>
        <w:rPr>
          <w:rFonts w:ascii="Times New Roman" w:hAnsi="Times New Roman"/>
          <w:b w:val="false"/>
          <w:sz w:val="17"/>
        </w:rPr>
        <w:t xml:space="preserve">.  Notwithstanding any other provision of Article V, if there is a net decrease in Member Nonrecourse Debt Minimum Gain attributable to a Member Nonrecourse Debt, then, each Member who has a share of the Member Nonrecourse Debt Minimum Gain attributable to such Member Nonrecourse Debt, determined in accordance with Treasury Regulation Section 1.704-2(i), shall be specially allocated items of Company income and gain for such Fiscal Period (and, if necessary, subsequent Fiscal Periods) in an amount equal to such Members share of the net decrease in Member Nonrecourse Debt Minimum Gain attributable to such Member Nonrecourse Debt, determined in accordance with Regulations Section 1.704-2(i)(4). Allocations pursuant to the previous sentence shall be made in proportion to the respective amounts required to be allocated to each Member pursuant thereto.  The items to be allocated shall be determined in accordance with Regulations Sections 1.704-2(i)(4) and (j)(2).  This </w:t>
      </w:r>
      <w:r>
        <w:rPr>
          <w:rFonts w:ascii="Times New Roman" w:hAnsi="Times New Roman"/>
          <w:b w:val="false"/>
          <w:sz w:val="17"/>
          <w:u w:val="single"/>
        </w:rPr>
        <w:t>Section 5.3(b) </w:t>
      </w:r>
      <w:r>
        <w:rPr>
          <w:rFonts w:ascii="Times New Roman" w:hAnsi="Times New Roman"/>
          <w:b w:val="false"/>
          <w:sz w:val="17"/>
        </w:rPr>
        <w:t>is intended to comply with the minimum gain chargeback requirement in Regulations Sections 1.704-2(i)(4) and shall be interpreted consistently therewith.</w:t>
      </w:r>
    </w:p>
    <w:p>
      <w:pPr>
        <w:pStyle w:val="Heading3"/>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 xml:space="preserve">(c)           </w:t>
      </w:r>
      <w:r>
        <w:rPr>
          <w:rFonts w:ascii="Times New Roman" w:hAnsi="Times New Roman"/>
          <w:b w:val="false"/>
          <w:sz w:val="17"/>
          <w:u w:val="single"/>
        </w:rPr>
        <w:t>Qualified Income Offset</w:t>
      </w:r>
      <w:r>
        <w:rPr>
          <w:rFonts w:ascii="Times New Roman" w:hAnsi="Times New Roman"/>
          <w:b w:val="false"/>
          <w:sz w:val="17"/>
        </w:rPr>
        <w:t>.  In the event any Member unexpectedly receives any adjustments, allocations, or distributions described in Regulations Sections 1.704-1(b)(2)(ii)(d)(4), (5) or (6), items of Company income and gain shall be specially allocated to such Member in an amount and manner sufficient to eliminate, to the extent required by the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21</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 xml:space="preserve">Regulations, the Adjusted Capital Account Deficit of such Member as quickly as possible, </w:t>
      </w:r>
      <w:r>
        <w:rPr>
          <w:rFonts w:ascii="Times New Roman" w:hAnsi="Times New Roman"/>
          <w:b w:val="false"/>
          <w:i/>
          <w:sz w:val="17"/>
        </w:rPr>
        <w:t>provided</w:t>
      </w:r>
      <w:r>
        <w:rPr>
          <w:rFonts w:ascii="Times New Roman" w:hAnsi="Times New Roman"/>
          <w:b w:val="false"/>
          <w:sz w:val="17"/>
        </w:rPr>
        <w:t xml:space="preserve"> that an allocation pursuant to this </w:t>
      </w:r>
      <w:r>
        <w:rPr>
          <w:rFonts w:ascii="Times New Roman" w:hAnsi="Times New Roman"/>
          <w:b w:val="false"/>
          <w:sz w:val="17"/>
          <w:u w:val="single"/>
        </w:rPr>
        <w:t>Section 5.3(c) </w:t>
      </w:r>
      <w:r>
        <w:rPr>
          <w:rFonts w:ascii="Times New Roman" w:hAnsi="Times New Roman"/>
          <w:b w:val="false"/>
          <w:sz w:val="17"/>
        </w:rPr>
        <w:t xml:space="preserve">shall be made only if and to the extent that such Member would have an Adjusted Capital Account Deficit after all other allocations provided for in this Article V have been tentatively made as if this </w:t>
      </w:r>
      <w:r>
        <w:rPr>
          <w:rFonts w:ascii="Times New Roman" w:hAnsi="Times New Roman"/>
          <w:b w:val="false"/>
          <w:sz w:val="17"/>
          <w:u w:val="single"/>
        </w:rPr>
        <w:t>Section 5.3(c) </w:t>
      </w:r>
      <w:r>
        <w:rPr>
          <w:rFonts w:ascii="Times New Roman" w:hAnsi="Times New Roman"/>
          <w:b w:val="false"/>
          <w:sz w:val="17"/>
        </w:rPr>
        <w:t>were not in the Agreement.</w:t>
      </w:r>
    </w:p>
    <w:p>
      <w:pPr>
        <w:pStyle w:val="Heading3"/>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 xml:space="preserve">(d)           </w:t>
      </w:r>
      <w:r>
        <w:rPr>
          <w:rFonts w:ascii="Times New Roman" w:hAnsi="Times New Roman"/>
          <w:b w:val="false"/>
          <w:sz w:val="17"/>
          <w:u w:val="single"/>
        </w:rPr>
        <w:t>Nonrecourse Deductions</w:t>
      </w:r>
      <w:r>
        <w:rPr>
          <w:rFonts w:ascii="Times New Roman" w:hAnsi="Times New Roman"/>
          <w:b w:val="false"/>
          <w:sz w:val="17"/>
        </w:rPr>
        <w:t>.  Nonrecourse Deductions for any Fiscal Period shall be allocated among the Members in accordance with their respective Percentage Interests.</w:t>
      </w:r>
    </w:p>
    <w:p>
      <w:pPr>
        <w:pStyle w:val="Heading3"/>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 xml:space="preserve">(e)           </w:t>
      </w:r>
      <w:r>
        <w:rPr>
          <w:rFonts w:ascii="Times New Roman" w:hAnsi="Times New Roman"/>
          <w:b w:val="false"/>
          <w:sz w:val="17"/>
          <w:u w:val="single"/>
        </w:rPr>
        <w:t>Member Nonrecourse Deductions</w:t>
      </w:r>
      <w:r>
        <w:rPr>
          <w:rFonts w:ascii="Times New Roman" w:hAnsi="Times New Roman"/>
          <w:b w:val="false"/>
          <w:sz w:val="17"/>
        </w:rPr>
        <w:t>.  Any Member Nonrecourse Deductions for any Fiscal Period of the Company or portion thereof shall be allocated to the Member who bears the economic risk of loss with respect to the Member Nonrecourse Debt to which such Member Nonrecourse Deductions are attributable, in accordance with Regulations Section 1.704-2(i)(1).</w:t>
      </w:r>
    </w:p>
    <w:p>
      <w:pPr>
        <w:pStyle w:val="Heading3"/>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 xml:space="preserve">(f)            </w:t>
      </w:r>
      <w:r>
        <w:rPr>
          <w:rFonts w:ascii="Times New Roman" w:hAnsi="Times New Roman"/>
          <w:b w:val="false"/>
          <w:sz w:val="17"/>
          <w:u w:val="single"/>
        </w:rPr>
        <w:t>Section 754 Adjustments</w:t>
      </w:r>
      <w:r>
        <w:rPr>
          <w:rFonts w:ascii="Times New Roman" w:hAnsi="Times New Roman"/>
          <w:b w:val="false"/>
          <w:sz w:val="17"/>
        </w:rPr>
        <w:t>.  To the extent an adjustment to the adjusted tax basis of any Company asset is required pursuant to Regulations Sections 1.704-1(b)(2)(iv)(m) (2) or (4) to be taken into account in determining Capital Accounts, the amount of such adjustment to the Capital Accounts shall be treated as an item of gain (if the adjustment increases the basis of the asset) or loss (if the adjustment decreases such basis), and such gain or loss shall be allocated to the Members in a manner consistent with the manner in which their Capital Accounts are required to be adjusted pursuant to such Sections of the Treasury Regulations.</w:t>
      </w:r>
    </w:p>
    <w:p>
      <w:pPr>
        <w:pStyle w:val="Heading3"/>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 xml:space="preserve">(g)           </w:t>
      </w:r>
      <w:r>
        <w:rPr>
          <w:rFonts w:ascii="Times New Roman" w:hAnsi="Times New Roman"/>
          <w:b w:val="false"/>
          <w:sz w:val="17"/>
          <w:u w:val="single"/>
        </w:rPr>
        <w:t>Curative Allocations</w:t>
      </w:r>
      <w:r>
        <w:rPr>
          <w:rFonts w:ascii="Times New Roman" w:hAnsi="Times New Roman"/>
          <w:b w:val="false"/>
          <w:sz w:val="17"/>
        </w:rPr>
        <w:t xml:space="preserve">.  The allocations set forth in </w:t>
      </w:r>
      <w:r>
        <w:rPr>
          <w:rFonts w:ascii="Times New Roman" w:hAnsi="Times New Roman"/>
          <w:b w:val="false"/>
          <w:sz w:val="17"/>
          <w:u w:val="single"/>
        </w:rPr>
        <w:t>Sections 5.3(a), (b), (c), (d), (e) and (f) </w:t>
      </w:r>
      <w:r>
        <w:rPr>
          <w:rFonts w:ascii="Times New Roman" w:hAnsi="Times New Roman"/>
          <w:b w:val="false"/>
          <w:sz w:val="17"/>
        </w:rPr>
        <w:t>hereof (the </w:t>
      </w:r>
      <w:r>
        <w:rPr>
          <w:rFonts w:ascii="Times New Roman" w:hAnsi="Times New Roman"/>
          <w:b/>
          <w:i/>
          <w:sz w:val="17"/>
        </w:rPr>
        <w:t>Regulatory Allocations</w:t>
      </w:r>
      <w:r>
        <w:rPr>
          <w:rFonts w:ascii="Times New Roman" w:hAnsi="Times New Roman"/>
          <w:b w:val="false"/>
          <w:sz w:val="17"/>
        </w:rPr>
        <w:t xml:space="preserve">) are intended to comply with certain requirements of the Regulations.  It is the intent of the Members that, to the extent possible, all Regulatory Allocations shall be offset either with other Regulatory Allocations or with special allocations of other items of Company income, gain, loss or deduction pursuant to this </w:t>
      </w:r>
      <w:r>
        <w:rPr>
          <w:rFonts w:ascii="Times New Roman" w:hAnsi="Times New Roman"/>
          <w:b w:val="false"/>
          <w:sz w:val="17"/>
          <w:u w:val="single"/>
        </w:rPr>
        <w:t>Section 5.3(g)</w:t>
      </w:r>
      <w:r>
        <w:rPr>
          <w:rFonts w:ascii="Times New Roman" w:hAnsi="Times New Roman"/>
          <w:b w:val="false"/>
          <w:sz w:val="17"/>
        </w:rPr>
        <w:t xml:space="preserve">.  Therefore, notwithstanding any other provision of this </w:t>
      </w:r>
      <w:r>
        <w:rPr>
          <w:rFonts w:ascii="Times New Roman" w:hAnsi="Times New Roman"/>
          <w:b w:val="false"/>
          <w:sz w:val="17"/>
          <w:u w:val="single"/>
        </w:rPr>
        <w:t>Article 5</w:t>
      </w:r>
      <w:r>
        <w:rPr>
          <w:rFonts w:ascii="Times New Roman" w:hAnsi="Times New Roman"/>
          <w:b w:val="false"/>
          <w:sz w:val="17"/>
        </w:rPr>
        <w:t xml:space="preserve"> (other than the Regulatory Allocations), the Board shall make such offsetting special allocations of income, gain, loss or deduction in whatever manner it determines appropriate so that, after such offsetting allocations are made, each Members Capital Account balance is, to the extent possible, equal to the Capital Account balance such Member would have had if the Regulatory Allocations were not part of this Agreement and all such items were allocated pursuant to </w:t>
      </w:r>
      <w:r>
        <w:rPr>
          <w:rFonts w:ascii="Times New Roman" w:hAnsi="Times New Roman"/>
          <w:b w:val="false"/>
          <w:sz w:val="17"/>
          <w:u w:val="single"/>
        </w:rPr>
        <w:t>Sections 5.1 and 5.2</w:t>
      </w:r>
      <w:r>
        <w:rPr>
          <w:rFonts w:ascii="Times New Roman" w:hAnsi="Times New Roman"/>
          <w:b w:val="false"/>
          <w:sz w:val="17"/>
        </w:rPr>
        <w:t xml:space="preserve"> without regard to the Regulatory Allocations.</w:t>
      </w:r>
    </w:p>
    <w:p>
      <w:pPr>
        <w:pStyle w:val="Heading3"/>
        <w:spacing w:before="0" w:after="0"/>
        <w:ind w:left="0" w:right="0" w:hanging="0"/>
        <w:rPr/>
      </w:pPr>
      <w:r>
        <w:rPr/>
        <w:t> </w:t>
      </w:r>
    </w:p>
    <w:p>
      <w:pPr>
        <w:pStyle w:val="TextBody"/>
        <w:spacing w:before="0" w:after="0"/>
        <w:ind w:left="0" w:right="0" w:hanging="0"/>
        <w:rPr>
          <w:rFonts w:ascii="Times New Roman" w:hAnsi="Times New Roman"/>
          <w:sz w:val="17"/>
        </w:rPr>
      </w:pPr>
      <w:bookmarkStart w:id="29" w:name="a5_4_222841"/>
      <w:bookmarkEnd w:id="29"/>
      <w:r>
        <w:rPr>
          <w:rFonts w:ascii="Times New Roman" w:hAnsi="Times New Roman"/>
          <w:sz w:val="17"/>
        </w:rPr>
        <w:t xml:space="preserve">5.4           </w:t>
      </w:r>
      <w:r>
        <w:rPr>
          <w:rFonts w:ascii="Times New Roman" w:hAnsi="Times New Roman"/>
          <w:sz w:val="17"/>
          <w:u w:val="single"/>
        </w:rPr>
        <w:t>Tax Allocations: Code Section 704(c)</w:t>
      </w:r>
      <w:r>
        <w:rPr>
          <w:rFonts w:ascii="Times New Roman" w:hAnsi="Times New Roman"/>
          <w:sz w:val="17"/>
        </w:rPr>
        <w:t>.</w:t>
      </w:r>
    </w:p>
    <w:p>
      <w:pPr>
        <w:pStyle w:val="TextBody"/>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(a)           Except as otherwise provided herein, for federal income tax purposes, (i) each item of income, gain, loss and deduction shall be allocated among the Members in the same manner as its correlative item of book income, gain, loss or deduction is allocated pursuant to this Article V, and (ii) each tax credit shall be allocated to the Members in the same manner as the receipt or expenditure giving rise to such credit is allocated pursuant to this Article V.</w:t>
      </w:r>
    </w:p>
    <w:p>
      <w:pPr>
        <w:pStyle w:val="Heading3"/>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(b)           In accordance with Code Section 704(c) and the Regulations thereunder, income, gain, loss and deduction with respect to any Property contributed to the capital of the Company shall, solely for tax purposes, be allocated among the Members so as to take account of any variation between the adjusted basis of such Property to the Company for federal income tax</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22</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 xml:space="preserve">purposes and its initial Gross Asset Value (computed in accordance with the definition herein of Gross Asset Value).  Any elections under Section 704(c) shall be made in accordance with </w:t>
      </w:r>
      <w:r>
        <w:rPr>
          <w:rFonts w:ascii="Times New Roman" w:hAnsi="Times New Roman"/>
          <w:b w:val="false"/>
          <w:sz w:val="17"/>
          <w:u w:val="single"/>
        </w:rPr>
        <w:t>Section 11.8</w:t>
      </w:r>
      <w:r>
        <w:rPr>
          <w:rFonts w:ascii="Times New Roman" w:hAnsi="Times New Roman"/>
          <w:b w:val="false"/>
          <w:sz w:val="17"/>
        </w:rPr>
        <w:t>.</w:t>
      </w:r>
    </w:p>
    <w:p>
      <w:pPr>
        <w:pStyle w:val="Heading3"/>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(c)           In the event the Gross Asset Value of any Company asset is adjusted pursuant to the definition herein of Gross Asset Value, subsequent allocations of income, gain, loss and deduction with respect to such asset shall take account of any variation between the adjusted basis of such asset for federal income tax purposes and its Gross Asset Value in the same manner as under Code Section 704(c) and the Regulations thereunder.</w:t>
      </w:r>
    </w:p>
    <w:p>
      <w:pPr>
        <w:pStyle w:val="Heading3"/>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 xml:space="preserve">(d)           Allocations pursuant to this </w:t>
      </w:r>
      <w:r>
        <w:rPr>
          <w:rFonts w:ascii="Times New Roman" w:hAnsi="Times New Roman"/>
          <w:b w:val="false"/>
          <w:sz w:val="17"/>
          <w:u w:val="single"/>
        </w:rPr>
        <w:t>Section 5.4</w:t>
      </w:r>
      <w:r>
        <w:rPr>
          <w:rFonts w:ascii="Times New Roman" w:hAnsi="Times New Roman"/>
          <w:b w:val="false"/>
          <w:sz w:val="17"/>
        </w:rPr>
        <w:t xml:space="preserve"> are solely for purposes of federal, state, and local taxes and shall not affect, or in any way be taken into account in computing, any Members Capital Account or share of Profits, Losses, other items, or distributions pursuant to any provision of this Agreement.</w:t>
      </w:r>
    </w:p>
    <w:p>
      <w:pPr>
        <w:pStyle w:val="Heading3"/>
        <w:spacing w:before="0" w:after="0"/>
        <w:ind w:left="0" w:right="0" w:hanging="0"/>
        <w:rPr/>
      </w:pPr>
      <w:r>
        <w:rPr/>
        <w:t> </w:t>
      </w:r>
    </w:p>
    <w:p>
      <w:pPr>
        <w:pStyle w:val="TextBody"/>
        <w:spacing w:before="0" w:after="0"/>
        <w:ind w:left="0" w:right="0" w:hanging="0"/>
        <w:rPr>
          <w:rFonts w:ascii="Times New Roman" w:hAnsi="Times New Roman"/>
          <w:sz w:val="17"/>
        </w:rPr>
      </w:pPr>
      <w:bookmarkStart w:id="30" w:name="a5_5_222843"/>
      <w:bookmarkEnd w:id="30"/>
      <w:r>
        <w:rPr>
          <w:rFonts w:ascii="Times New Roman" w:hAnsi="Times New Roman"/>
          <w:sz w:val="17"/>
        </w:rPr>
        <w:t xml:space="preserve">5.5           </w:t>
      </w:r>
      <w:r>
        <w:rPr>
          <w:rFonts w:ascii="Times New Roman" w:hAnsi="Times New Roman"/>
          <w:sz w:val="17"/>
          <w:u w:val="single"/>
        </w:rPr>
        <w:t>Change in Percentage Interests</w:t>
      </w:r>
      <w:r>
        <w:rPr>
          <w:rFonts w:ascii="Times New Roman" w:hAnsi="Times New Roman"/>
          <w:sz w:val="17"/>
        </w:rPr>
        <w:t>.  In the event that the Members Percentage Interests change during a Taxable Year, Profits and Losses shall be allocated taking into account the Members varying Percentage Interests for such Taxable Year, determined on a daily, monthly or other basis as determined by the Board, using any permissible method under Code Section 706 and the Regulations thereunder.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bookmarkStart w:id="31" w:name="a5_6_222845"/>
      <w:bookmarkEnd w:id="31"/>
      <w:r>
        <w:rPr>
          <w:rFonts w:ascii="Times New Roman" w:hAnsi="Times New Roman"/>
          <w:sz w:val="17"/>
        </w:rPr>
        <w:t xml:space="preserve">5.6           </w:t>
      </w:r>
      <w:r>
        <w:rPr>
          <w:rFonts w:ascii="Times New Roman" w:hAnsi="Times New Roman"/>
          <w:sz w:val="17"/>
          <w:u w:val="single"/>
        </w:rPr>
        <w:t>Withholding</w:t>
      </w:r>
      <w:r>
        <w:rPr>
          <w:rFonts w:ascii="Times New Roman" w:hAnsi="Times New Roman"/>
          <w:sz w:val="17"/>
        </w:rPr>
        <w:t xml:space="preserve">.  Each Member hereby authorizes the Company to withhold from income or distributions allocable to such Member and to pay over any taxes payable by the Company or any of its Affiliates as a result of such Members participation in the Company; if and to the extent that the Company shall be required to withhold any such taxes, such Member shall be deemed for all purposes of this Agreement to have received a distribution from the Company as of the time such withholding is required to be paid, which distribution shall be deemed to be a distribution to such Member to the extent that the Member is then entitled to receive a distribution.  To the extent that the aggregate of such withholdings in respect of a Member for any period exceeds the distributions to which such Member is entitled for such period, the amount of such excess shall be considered a demand loan from the Company to such Member, with interest at the rate of interest per annum that Citibank, N.A., or any successor entity thereto, announces from time to time as its prime lending rate, which interest shall be treated as an item of Company income, until discharged by such Member by repayment, which may be made in the sole discretion of the Board out of distributions to which such Member would otherwise be subsequently entitled.  The withholdings referred to in this </w:t>
      </w:r>
      <w:r>
        <w:rPr>
          <w:rFonts w:ascii="Times New Roman" w:hAnsi="Times New Roman"/>
          <w:sz w:val="17"/>
          <w:u w:val="single"/>
        </w:rPr>
        <w:t>Section 5.6</w:t>
      </w:r>
      <w:r>
        <w:rPr>
          <w:rFonts w:ascii="Times New Roman" w:hAnsi="Times New Roman"/>
          <w:sz w:val="17"/>
        </w:rPr>
        <w:t xml:space="preserve"> shall be made at the maximum applicable statutory rate under applicable tax law unless the Board shall have received an opinion of counsel or other evidence, satisfactory to the Board, to the effect that a lower rate is applicable, or that no withholding is applicable.</w:t>
      </w:r>
    </w:p>
    <w:p>
      <w:pPr>
        <w:pStyle w:val="TextBody"/>
        <w:spacing w:before="0" w:after="0"/>
        <w:ind w:left="0" w:right="0" w:hanging="0"/>
        <w:rPr/>
      </w:pPr>
      <w:r>
        <w:rPr/>
        <w:t> </w:t>
      </w:r>
    </w:p>
    <w:p>
      <w:pPr>
        <w:pStyle w:val="Heading1"/>
        <w:spacing w:before="0" w:after="0"/>
        <w:ind w:left="0" w:right="0" w:hanging="0"/>
        <w:rPr>
          <w:rFonts w:ascii="Times New Roman" w:hAnsi="Times New Roman"/>
          <w:b/>
          <w:sz w:val="17"/>
        </w:rPr>
      </w:pPr>
      <w:bookmarkStart w:id="32" w:name="Article6_222849"/>
      <w:bookmarkEnd w:id="32"/>
      <w:r>
        <w:rPr>
          <w:rFonts w:ascii="Times New Roman" w:hAnsi="Times New Roman"/>
          <w:b/>
          <w:sz w:val="17"/>
        </w:rPr>
        <w:t>ARTICLE 6</w:t>
        <w:br/>
        <w:t>MEMBERS MEETINGS</w:t>
      </w:r>
    </w:p>
    <w:p>
      <w:pPr>
        <w:pStyle w:val="Heading1"/>
        <w:spacing w:before="0" w:after="0"/>
        <w:ind w:left="0" w:right="0" w:hanging="0"/>
        <w:rPr/>
      </w:pPr>
      <w:r>
        <w:rPr/>
        <w:t> </w:t>
      </w:r>
    </w:p>
    <w:p>
      <w:pPr>
        <w:pStyle w:val="TextBody"/>
        <w:spacing w:before="0" w:after="0"/>
        <w:ind w:left="0" w:right="0" w:hanging="0"/>
        <w:rPr>
          <w:rFonts w:ascii="Times New Roman" w:hAnsi="Times New Roman"/>
          <w:sz w:val="17"/>
        </w:rPr>
      </w:pPr>
      <w:bookmarkStart w:id="33" w:name="a6_1_222851"/>
      <w:bookmarkEnd w:id="33"/>
      <w:r>
        <w:rPr>
          <w:rFonts w:ascii="Times New Roman" w:hAnsi="Times New Roman"/>
          <w:sz w:val="17"/>
        </w:rPr>
        <w:t xml:space="preserve">6.1           </w:t>
      </w:r>
      <w:r>
        <w:rPr>
          <w:rFonts w:ascii="Times New Roman" w:hAnsi="Times New Roman"/>
          <w:sz w:val="17"/>
          <w:u w:val="single"/>
        </w:rPr>
        <w:t>Meetings of Members; Place of Meetings</w:t>
      </w:r>
      <w:r>
        <w:rPr>
          <w:rFonts w:ascii="Times New Roman" w:hAnsi="Times New Roman"/>
          <w:sz w:val="17"/>
        </w:rPr>
        <w:t>.  Regular meetings of the Members shall be held as determined by the Initial Members.  All meetings of the Members shall be held at a location either within or outside the State of Delaware as designated from time to time by the Board and stated in the Notice of the meeting or in a duly executed waiver of the Notice thereof.</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23</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Special meetings of the Members may be held for any purpose or purposes, unless otherwise prohibited by law, and may be called by the Board or by either Initial Member.  A Member expecting to be absent from a meeting shall be entitled to designate in writing (or orally; </w:t>
      </w:r>
      <w:r>
        <w:rPr>
          <w:rFonts w:ascii="Times New Roman" w:hAnsi="Times New Roman"/>
          <w:i/>
          <w:sz w:val="17"/>
        </w:rPr>
        <w:t>provided</w:t>
      </w:r>
      <w:r>
        <w:rPr>
          <w:rFonts w:ascii="Times New Roman" w:hAnsi="Times New Roman"/>
          <w:sz w:val="17"/>
        </w:rPr>
        <w:t>, that such oral designation is later confirmed in writing) a proxy (an </w:t>
      </w:r>
      <w:r>
        <w:rPr>
          <w:rFonts w:ascii="Times New Roman" w:hAnsi="Times New Roman"/>
          <w:b/>
          <w:i/>
          <w:sz w:val="17"/>
        </w:rPr>
        <w:t>Authorized Representative</w:t>
      </w:r>
      <w:r>
        <w:rPr>
          <w:rFonts w:ascii="Times New Roman" w:hAnsi="Times New Roman"/>
          <w:sz w:val="17"/>
        </w:rPr>
        <w:t>) to act on behalf of such Member with respect to such meeting (to the same extent and with the same force and effect as the Member who has designated such Authorized Representative).  Such Authorized Representative shall have full power and authority to act and take actions or refrain from taking actions as the Member by whom such Authorized Representative has been designated.  Members and Authorized Representatives may participate in a meeting of the Members by means of conference telephone or other similar communication equipment whereby all Members or Authorized Representatives participating in the meeting can hear each other.  Participation in a meeting in this manner shall constitute presence in person at the meeting, except when a Member or Authorized Representative participates for the express purpose of objecting to the transaction of any business on the ground that the meeting was not lawfully called or convened.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bookmarkStart w:id="34" w:name="a6_2_222853"/>
      <w:bookmarkEnd w:id="34"/>
      <w:r>
        <w:rPr>
          <w:rFonts w:ascii="Times New Roman" w:hAnsi="Times New Roman"/>
          <w:sz w:val="17"/>
        </w:rPr>
        <w:t xml:space="preserve">6.2           </w:t>
      </w:r>
      <w:r>
        <w:rPr>
          <w:rFonts w:ascii="Times New Roman" w:hAnsi="Times New Roman"/>
          <w:sz w:val="17"/>
          <w:u w:val="single"/>
        </w:rPr>
        <w:t>Quorum; Voting Requirement</w:t>
      </w:r>
      <w:r>
        <w:rPr>
          <w:rFonts w:ascii="Times New Roman" w:hAnsi="Times New Roman"/>
          <w:sz w:val="17"/>
        </w:rPr>
        <w:t xml:space="preserve">.  The presence, in person or by proxy, of each of the Initial Members shall constitute a quorum for the transaction of business by the Members; </w:t>
      </w:r>
      <w:r>
        <w:rPr>
          <w:rFonts w:ascii="Times New Roman" w:hAnsi="Times New Roman"/>
          <w:i/>
          <w:sz w:val="17"/>
        </w:rPr>
        <w:t>provided, however</w:t>
      </w:r>
      <w:r>
        <w:rPr>
          <w:rFonts w:ascii="Times New Roman" w:hAnsi="Times New Roman"/>
          <w:sz w:val="17"/>
        </w:rPr>
        <w:t xml:space="preserve">, that notwithstanding the foregoing, (a) during any Vulcan Minority Interest Period, the presence of Vulcan shall only be required for a quorum if matters requiring the approval of Vulcan pursuant to </w:t>
      </w:r>
      <w:r>
        <w:rPr>
          <w:rFonts w:ascii="Times New Roman" w:hAnsi="Times New Roman"/>
          <w:sz w:val="17"/>
          <w:u w:val="single"/>
        </w:rPr>
        <w:t>Section 7.11</w:t>
      </w:r>
      <w:r>
        <w:rPr>
          <w:rFonts w:ascii="Times New Roman" w:hAnsi="Times New Roman"/>
          <w:sz w:val="17"/>
        </w:rPr>
        <w:t xml:space="preserve"> are to be decided at such meeting, and (b) during any PAA Minority Interest Period, the presence of PAA shall only be required for a quorum if matters requiring the approval of PAA pursuant to </w:t>
      </w:r>
      <w:r>
        <w:rPr>
          <w:rFonts w:ascii="Times New Roman" w:hAnsi="Times New Roman"/>
          <w:sz w:val="17"/>
          <w:u w:val="single"/>
        </w:rPr>
        <w:t>Section 7.11</w:t>
      </w:r>
      <w:r>
        <w:rPr>
          <w:rFonts w:ascii="Times New Roman" w:hAnsi="Times New Roman"/>
          <w:sz w:val="17"/>
        </w:rPr>
        <w:t xml:space="preserve"> are to be decided at such meeting.  The affirmative vote of each of the Initial Members shall constitute a valid decision of the Members, except that where a different vote is required by the Act or contemplated by this Agreement, such vote shall constitute a valid decision of the Members.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bookmarkStart w:id="35" w:name="a6_3_222854"/>
      <w:bookmarkEnd w:id="35"/>
      <w:r>
        <w:rPr>
          <w:rFonts w:ascii="Times New Roman" w:hAnsi="Times New Roman"/>
          <w:sz w:val="17"/>
        </w:rPr>
        <w:t>6.3           [Intentionally Omitted].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bookmarkStart w:id="36" w:name="a6_4_222856"/>
      <w:bookmarkEnd w:id="36"/>
      <w:r>
        <w:rPr>
          <w:rFonts w:ascii="Times New Roman" w:hAnsi="Times New Roman"/>
          <w:sz w:val="17"/>
        </w:rPr>
        <w:t xml:space="preserve">6.4           </w:t>
      </w:r>
      <w:r>
        <w:rPr>
          <w:rFonts w:ascii="Times New Roman" w:hAnsi="Times New Roman"/>
          <w:sz w:val="17"/>
          <w:u w:val="single"/>
        </w:rPr>
        <w:t>Action Without Meeting</w:t>
      </w:r>
      <w:r>
        <w:rPr>
          <w:rFonts w:ascii="Times New Roman" w:hAnsi="Times New Roman"/>
          <w:sz w:val="17"/>
        </w:rPr>
        <w:t xml:space="preserve">.  Any action required or permitted to be taken at any meeting of Members of the Company may be taken without a meeting, without prior notice and without a vote if a consent in writing setting forth the action so taken is signed by Members having not less than the minimum Percentage Interest that would be necessary to authorize or take such action at a meeting of the Members.  Prompt Notice of the taking of any action taken pursuant to this </w:t>
      </w:r>
      <w:r>
        <w:rPr>
          <w:rFonts w:ascii="Times New Roman" w:hAnsi="Times New Roman"/>
          <w:sz w:val="17"/>
          <w:u w:val="single"/>
        </w:rPr>
        <w:t>Section 6.4</w:t>
      </w:r>
      <w:r>
        <w:rPr>
          <w:rFonts w:ascii="Times New Roman" w:hAnsi="Times New Roman"/>
          <w:sz w:val="17"/>
        </w:rPr>
        <w:t xml:space="preserve"> by less than the unanimous written consent of the Members shall be given to those Members who have not consented in writing.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bookmarkStart w:id="37" w:name="a6_5_222901"/>
      <w:bookmarkEnd w:id="37"/>
      <w:r>
        <w:rPr>
          <w:rFonts w:ascii="Times New Roman" w:hAnsi="Times New Roman"/>
          <w:sz w:val="17"/>
        </w:rPr>
        <w:t xml:space="preserve">6.5           </w:t>
      </w:r>
      <w:r>
        <w:rPr>
          <w:rFonts w:ascii="Times New Roman" w:hAnsi="Times New Roman"/>
          <w:sz w:val="17"/>
          <w:u w:val="single"/>
        </w:rPr>
        <w:t>Notice</w:t>
      </w:r>
      <w:r>
        <w:rPr>
          <w:rFonts w:ascii="Times New Roman" w:hAnsi="Times New Roman"/>
          <w:sz w:val="17"/>
        </w:rPr>
        <w:t>.  Notice stating the place, day and hour of the meeting of Members and the purpose for which the meeting is called shall be delivered personally or sent by mail or by telecopier not less than two (2) Business Days nor more than sixty (60) days before the date of the meeting by or at the direction of the Board or other Persons calling the meeting, to each Member entitled to vote at such meeting.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bookmarkStart w:id="38" w:name="a6_6_222902"/>
      <w:bookmarkEnd w:id="38"/>
      <w:r>
        <w:rPr>
          <w:rFonts w:ascii="Times New Roman" w:hAnsi="Times New Roman"/>
          <w:sz w:val="17"/>
        </w:rPr>
        <w:t xml:space="preserve">6.6           </w:t>
      </w:r>
      <w:r>
        <w:rPr>
          <w:rFonts w:ascii="Times New Roman" w:hAnsi="Times New Roman"/>
          <w:sz w:val="17"/>
          <w:u w:val="single"/>
        </w:rPr>
        <w:t>Waiver of Notice</w:t>
      </w:r>
      <w:r>
        <w:rPr>
          <w:rFonts w:ascii="Times New Roman" w:hAnsi="Times New Roman"/>
          <w:sz w:val="17"/>
        </w:rPr>
        <w:t>.  When any Notice is required to be given to any Member hereunder, a waiver thereof in writing signed by the Member, whether before, at or after the time stated therein, shall be equivalent to the giving of such Notice.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24</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Heading1"/>
        <w:spacing w:before="0" w:after="0"/>
        <w:ind w:left="0" w:right="0" w:hanging="0"/>
        <w:rPr>
          <w:rFonts w:ascii="Times New Roman" w:hAnsi="Times New Roman"/>
          <w:b/>
          <w:sz w:val="17"/>
        </w:rPr>
      </w:pPr>
      <w:bookmarkStart w:id="39" w:name="Article7_222905"/>
      <w:bookmarkEnd w:id="39"/>
      <w:r>
        <w:rPr>
          <w:rFonts w:ascii="Times New Roman" w:hAnsi="Times New Roman"/>
          <w:b/>
          <w:sz w:val="17"/>
        </w:rPr>
        <w:t>ARTICLE 7</w:t>
        <w:br/>
        <w:t>MANAGEMENT AND CONTROL</w:t>
      </w:r>
    </w:p>
    <w:p>
      <w:pPr>
        <w:pStyle w:val="Heading1"/>
        <w:spacing w:before="0" w:after="0"/>
        <w:ind w:left="0" w:right="0" w:hanging="0"/>
        <w:rPr/>
      </w:pPr>
      <w:r>
        <w:rPr/>
        <w:t> </w:t>
      </w:r>
    </w:p>
    <w:p>
      <w:pPr>
        <w:pStyle w:val="TextBody"/>
        <w:spacing w:before="0" w:after="0"/>
        <w:ind w:left="0" w:right="0" w:hanging="0"/>
        <w:rPr>
          <w:rFonts w:ascii="Times New Roman" w:hAnsi="Times New Roman"/>
          <w:sz w:val="17"/>
        </w:rPr>
      </w:pPr>
      <w:bookmarkStart w:id="40" w:name="a7_1_222907"/>
      <w:bookmarkEnd w:id="40"/>
      <w:r>
        <w:rPr>
          <w:rFonts w:ascii="Times New Roman" w:hAnsi="Times New Roman"/>
          <w:sz w:val="17"/>
        </w:rPr>
        <w:t xml:space="preserve">7.1           </w:t>
      </w:r>
      <w:r>
        <w:rPr>
          <w:rFonts w:ascii="Times New Roman" w:hAnsi="Times New Roman"/>
          <w:sz w:val="17"/>
          <w:u w:val="single"/>
        </w:rPr>
        <w:t>Management</w:t>
      </w:r>
      <w:r>
        <w:rPr>
          <w:rFonts w:ascii="Times New Roman" w:hAnsi="Times New Roman"/>
          <w:sz w:val="17"/>
        </w:rPr>
        <w:t>.</w:t>
      </w:r>
    </w:p>
    <w:p>
      <w:pPr>
        <w:pStyle w:val="TextBody"/>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 xml:space="preserve">(a)           The management of the Company is fully vested in the Members.  To facilitate the orderly and efficient management of the Company, the Members shall act (a) through the Board pursuant to </w:t>
      </w:r>
      <w:r>
        <w:rPr>
          <w:rFonts w:ascii="Times New Roman" w:hAnsi="Times New Roman"/>
          <w:b w:val="false"/>
          <w:sz w:val="17"/>
          <w:u w:val="single"/>
        </w:rPr>
        <w:t>Section 7.3</w:t>
      </w:r>
      <w:r>
        <w:rPr>
          <w:rFonts w:ascii="Times New Roman" w:hAnsi="Times New Roman"/>
          <w:b w:val="false"/>
          <w:sz w:val="17"/>
        </w:rPr>
        <w:t xml:space="preserve"> and (b) through the delegation of certain responsibility and authority to the Manager pursuant to </w:t>
      </w:r>
      <w:r>
        <w:rPr>
          <w:rFonts w:ascii="Times New Roman" w:hAnsi="Times New Roman"/>
          <w:b w:val="false"/>
          <w:sz w:val="17"/>
          <w:u w:val="single"/>
        </w:rPr>
        <w:t>Section 7.1(b)</w:t>
      </w:r>
      <w:r>
        <w:rPr>
          <w:rFonts w:ascii="Times New Roman" w:hAnsi="Times New Roman"/>
          <w:b w:val="false"/>
          <w:sz w:val="17"/>
        </w:rPr>
        <w:t>.  Neither the Manager nor the Directors or Officers shall constitute a manager, as that term is used in the Act.</w:t>
      </w:r>
    </w:p>
    <w:p>
      <w:pPr>
        <w:pStyle w:val="Heading3"/>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 xml:space="preserve">(b)           Subject to the provisions of this Agreement, including </w:t>
      </w:r>
      <w:r>
        <w:rPr>
          <w:rFonts w:ascii="Times New Roman" w:hAnsi="Times New Roman"/>
          <w:b w:val="false"/>
          <w:sz w:val="17"/>
          <w:u w:val="single"/>
        </w:rPr>
        <w:t>Sections 7.10, 7.11, 7.12</w:t>
      </w:r>
      <w:r>
        <w:rPr>
          <w:rFonts w:ascii="Times New Roman" w:hAnsi="Times New Roman"/>
          <w:b w:val="false"/>
          <w:sz w:val="17"/>
        </w:rPr>
        <w:t xml:space="preserve"> and </w:t>
      </w:r>
      <w:r>
        <w:rPr>
          <w:rFonts w:ascii="Times New Roman" w:hAnsi="Times New Roman"/>
          <w:b w:val="false"/>
          <w:sz w:val="17"/>
          <w:u w:val="single"/>
        </w:rPr>
        <w:t>11.8</w:t>
      </w:r>
      <w:r>
        <w:rPr>
          <w:rFonts w:ascii="Times New Roman" w:hAnsi="Times New Roman"/>
          <w:b w:val="false"/>
          <w:sz w:val="17"/>
        </w:rPr>
        <w:t xml:space="preserve">, and to the strategies and policies established from time to time by the Board (which strategies and policies shall not diminish the authority delegated to the Manager under this Agreement without the unanimous approval of the Board), the Members hereby delegate to the Manager the authority to manage the business, property and affairs of the Company, and all powers of the Company shall be exercised by or under the direction of the Manager. Without limiting the generality of the foregoing, but subject to </w:t>
      </w:r>
      <w:r>
        <w:rPr>
          <w:rFonts w:ascii="Times New Roman" w:hAnsi="Times New Roman"/>
          <w:b w:val="false"/>
          <w:sz w:val="17"/>
          <w:u w:val="single"/>
        </w:rPr>
        <w:t>Sections 7.10, 7.11, 7.12</w:t>
      </w:r>
      <w:r>
        <w:rPr>
          <w:rFonts w:ascii="Times New Roman" w:hAnsi="Times New Roman"/>
          <w:b w:val="false"/>
          <w:sz w:val="17"/>
        </w:rPr>
        <w:t xml:space="preserve"> and </w:t>
      </w:r>
      <w:r>
        <w:rPr>
          <w:rFonts w:ascii="Times New Roman" w:hAnsi="Times New Roman"/>
          <w:b w:val="false"/>
          <w:sz w:val="17"/>
          <w:u w:val="single"/>
        </w:rPr>
        <w:t>11.8</w:t>
      </w:r>
      <w:r>
        <w:rPr>
          <w:rFonts w:ascii="Times New Roman" w:hAnsi="Times New Roman"/>
          <w:b w:val="false"/>
          <w:sz w:val="17"/>
        </w:rPr>
        <w:t>, and subject to the express limitations set forth elsewhere in this Agreement, the Manager shall have full authority and discretion and all necessary powers to (i) take any actions it deems necessary or advisable for the administration of the Companys affairs and (ii) manage and carry out the purposes, business, property, and affairs of the Company, including the power to exercise, on behalf and in the name of the Company, all of the powers described in the Act.</w:t>
      </w:r>
    </w:p>
    <w:p>
      <w:pPr>
        <w:pStyle w:val="Heading3"/>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 xml:space="preserve">(c)           Except as provided in </w:t>
      </w:r>
      <w:r>
        <w:rPr>
          <w:rFonts w:ascii="Times New Roman" w:hAnsi="Times New Roman"/>
          <w:b w:val="false"/>
          <w:sz w:val="17"/>
          <w:u w:val="single"/>
        </w:rPr>
        <w:t>Article 14</w:t>
      </w:r>
      <w:r>
        <w:rPr>
          <w:rFonts w:ascii="Times New Roman" w:hAnsi="Times New Roman"/>
          <w:b w:val="false"/>
          <w:sz w:val="17"/>
        </w:rPr>
        <w:t xml:space="preserve"> with respect to the Administrative Services and in </w:t>
      </w:r>
      <w:r>
        <w:rPr>
          <w:rFonts w:ascii="Times New Roman" w:hAnsi="Times New Roman"/>
          <w:b w:val="false"/>
          <w:sz w:val="17"/>
          <w:u w:val="single"/>
        </w:rPr>
        <w:t>Section 4.1</w:t>
      </w:r>
      <w:r>
        <w:rPr>
          <w:rFonts w:ascii="Times New Roman" w:hAnsi="Times New Roman"/>
          <w:b w:val="false"/>
          <w:sz w:val="17"/>
        </w:rPr>
        <w:t>, the Manager shall not be compensated for its services as Manager or as manager of any of the Subsidiaries of the Company.</w:t>
      </w:r>
    </w:p>
    <w:p>
      <w:pPr>
        <w:pStyle w:val="Heading3"/>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 xml:space="preserve">(d)           The Company hereby designates the Manager to manage and operate the BGS Project for so long as it is the Manager, and the Company agrees that the Manager shall be entitled to delegate such authority and responsibility to any of its Affiliates, </w:t>
      </w:r>
      <w:r>
        <w:rPr>
          <w:rFonts w:ascii="Times New Roman" w:hAnsi="Times New Roman"/>
          <w:b w:val="false"/>
          <w:i/>
          <w:sz w:val="17"/>
        </w:rPr>
        <w:t>provided</w:t>
      </w:r>
      <w:r>
        <w:rPr>
          <w:rFonts w:ascii="Times New Roman" w:hAnsi="Times New Roman"/>
          <w:b w:val="false"/>
          <w:sz w:val="17"/>
        </w:rPr>
        <w:t xml:space="preserve"> that no such delegation shall relieve the Manager from any of its obligations under this Agreement.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25</w:t>
      </w:r>
    </w:p>
    <w:p>
      <w:pPr>
        <w:pStyle w:val="HorizontalLine"/>
        <w:pBdr>
          <w:bottom w:val="single" w:sz="12" w:space="0" w:color="808080"/>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bookmarkStart w:id="41" w:name="a7_2_222927"/>
      <w:bookmarkEnd w:id="41"/>
      <w:r>
        <w:rPr>
          <w:rFonts w:ascii="Times New Roman" w:hAnsi="Times New Roman"/>
          <w:sz w:val="17"/>
        </w:rPr>
        <w:t xml:space="preserve">7.2           </w:t>
      </w:r>
      <w:r>
        <w:rPr>
          <w:rFonts w:ascii="Times New Roman" w:hAnsi="Times New Roman"/>
          <w:sz w:val="17"/>
          <w:u w:val="single"/>
        </w:rPr>
        <w:t>Officers</w:t>
      </w:r>
      <w:r>
        <w:rPr>
          <w:rFonts w:ascii="Times New Roman" w:hAnsi="Times New Roman"/>
          <w:sz w:val="17"/>
        </w:rPr>
        <w:t xml:space="preserve">.  Subject to </w:t>
      </w:r>
      <w:r>
        <w:rPr>
          <w:rFonts w:ascii="Times New Roman" w:hAnsi="Times New Roman"/>
          <w:sz w:val="17"/>
          <w:u w:val="single"/>
        </w:rPr>
        <w:t>Section 7.10(j)</w:t>
      </w:r>
      <w:r>
        <w:rPr>
          <w:rFonts w:ascii="Times New Roman" w:hAnsi="Times New Roman"/>
          <w:sz w:val="17"/>
        </w:rPr>
        <w:t>, the Manager shall have the power to appoint any Person or Persons as the Companys officers (the </w:t>
      </w:r>
      <w:r>
        <w:rPr>
          <w:rFonts w:ascii="Times New Roman" w:hAnsi="Times New Roman"/>
          <w:b/>
          <w:i/>
          <w:sz w:val="17"/>
        </w:rPr>
        <w:t>Officers</w:t>
      </w:r>
      <w:r>
        <w:rPr>
          <w:rFonts w:ascii="Times New Roman" w:hAnsi="Times New Roman"/>
          <w:sz w:val="17"/>
        </w:rPr>
        <w:t xml:space="preserve">) to act for the Company and to delegate to such Officers such of the powers as are granted to the Manager hereunder.  Any decision or act of an Officer within the scope of the Officers designated or delegated authority shall control and shall bind the Company (and any business entity for which the Company exercises direct or indirect executory authority).  Subject to </w:t>
      </w:r>
      <w:r>
        <w:rPr>
          <w:rFonts w:ascii="Times New Roman" w:hAnsi="Times New Roman"/>
          <w:sz w:val="17"/>
          <w:u w:val="single"/>
        </w:rPr>
        <w:t>Section 7.10(j)</w:t>
      </w:r>
      <w:r>
        <w:rPr>
          <w:rFonts w:ascii="Times New Roman" w:hAnsi="Times New Roman"/>
          <w:sz w:val="17"/>
        </w:rPr>
        <w:t xml:space="preserve">, the Officers may have such titles as the Manager shall deem appropriate, which may include (but need not be limited to) President, Chief Executive Officer, Executive Vice President, Vice President, Chief Operating Officer, Chief Financial Officer, Treasurer, Controller or Secretary.  A Director may be an Officer.  Unless the authority of an Officer is limited by the Manager, including any limits on spending authority, any Officer so appointed shall have the same authority to act for the Company as a corresponding officer of a Delaware corporation would have to act for a Delaware corporation in the absence of a specific delegation of authority.  The Officers shall hold office until their respective successors are chosen and qualify or until their earlier death, resignation or removal.  Subject to </w:t>
      </w:r>
      <w:r>
        <w:rPr>
          <w:rFonts w:ascii="Times New Roman" w:hAnsi="Times New Roman"/>
          <w:sz w:val="17"/>
          <w:u w:val="single"/>
        </w:rPr>
        <w:t>Section 7.10(j)</w:t>
      </w:r>
      <w:r>
        <w:rPr>
          <w:rFonts w:ascii="Times New Roman" w:hAnsi="Times New Roman"/>
          <w:sz w:val="17"/>
        </w:rPr>
        <w:t xml:space="preserve">, any Officer elected or appointed by the Manager may be removed at any time by the Manager.  Subject to </w:t>
      </w:r>
      <w:r>
        <w:rPr>
          <w:rFonts w:ascii="Times New Roman" w:hAnsi="Times New Roman"/>
          <w:sz w:val="17"/>
          <w:u w:val="single"/>
        </w:rPr>
        <w:t>Section 7.10(j)</w:t>
      </w:r>
      <w:r>
        <w:rPr>
          <w:rFonts w:ascii="Times New Roman" w:hAnsi="Times New Roman"/>
          <w:sz w:val="17"/>
        </w:rPr>
        <w:t>, any vacancy occurring in any office of the Company shall be filled by the Manager.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bookmarkStart w:id="42" w:name="a7_3_222929"/>
      <w:bookmarkEnd w:id="42"/>
      <w:r>
        <w:rPr>
          <w:rFonts w:ascii="Times New Roman" w:hAnsi="Times New Roman"/>
          <w:sz w:val="17"/>
        </w:rPr>
        <w:t xml:space="preserve">7.3           </w:t>
      </w:r>
      <w:r>
        <w:rPr>
          <w:rFonts w:ascii="Times New Roman" w:hAnsi="Times New Roman"/>
          <w:sz w:val="17"/>
          <w:u w:val="single"/>
        </w:rPr>
        <w:t>Board</w:t>
      </w:r>
      <w:r>
        <w:rPr>
          <w:rFonts w:ascii="Times New Roman" w:hAnsi="Times New Roman"/>
          <w:sz w:val="17"/>
        </w:rPr>
        <w:t>.</w:t>
      </w:r>
    </w:p>
    <w:p>
      <w:pPr>
        <w:pStyle w:val="TextBody"/>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(a)           The Board shall consist of four (4) individuals designated as directors of the Company (the </w:t>
      </w:r>
      <w:r>
        <w:rPr>
          <w:rFonts w:ascii="Times New Roman" w:hAnsi="Times New Roman"/>
          <w:b/>
          <w:i/>
          <w:sz w:val="17"/>
        </w:rPr>
        <w:t>Directors</w:t>
      </w:r>
      <w:r>
        <w:rPr>
          <w:rFonts w:ascii="Times New Roman" w:hAnsi="Times New Roman"/>
          <w:b w:val="false"/>
          <w:sz w:val="17"/>
        </w:rPr>
        <w:t xml:space="preserve">), and each Initial Member shall be entitled to designate two (2) Directors; </w:t>
      </w:r>
      <w:r>
        <w:rPr>
          <w:rFonts w:ascii="Times New Roman" w:hAnsi="Times New Roman"/>
          <w:b w:val="false"/>
          <w:i/>
          <w:sz w:val="17"/>
        </w:rPr>
        <w:t>provided, however</w:t>
      </w:r>
      <w:r>
        <w:rPr>
          <w:rFonts w:ascii="Times New Roman" w:hAnsi="Times New Roman"/>
          <w:b w:val="false"/>
          <w:sz w:val="17"/>
        </w:rPr>
        <w:t xml:space="preserve">, that notwithstanding the foregoing, (i) during any Vulcan Minority Interest Period, PAA shall be entitled to designate three (3) Directors and Vulcan shall be entitled to designate one (1) Director and (ii) during any PAA Minority Interest Period, Vulcan shall be entitled to designate three (3) Directors and PAA shall be entitled to designate one (1) Director.  The initial Directors are set forth on </w:t>
      </w:r>
      <w:r>
        <w:rPr>
          <w:rFonts w:ascii="Times New Roman" w:hAnsi="Times New Roman"/>
          <w:b w:val="false"/>
          <w:sz w:val="17"/>
          <w:u w:val="single"/>
        </w:rPr>
        <w:t>Schedule 7.3</w:t>
      </w:r>
      <w:r>
        <w:rPr>
          <w:rFonts w:ascii="Times New Roman" w:hAnsi="Times New Roman"/>
          <w:b w:val="false"/>
          <w:sz w:val="17"/>
        </w:rPr>
        <w:t>.</w:t>
      </w:r>
    </w:p>
    <w:p>
      <w:pPr>
        <w:pStyle w:val="Heading3"/>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(b)           Each Director shall hold office until his or her death, resignation or removal.</w:t>
      </w:r>
    </w:p>
    <w:p>
      <w:pPr>
        <w:pStyle w:val="Heading3"/>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(c)           Any individual designated by a Member as a Director may be removed at any time, with or without cause, only by such designating Member and the Members shall cooperate with respect to such removal, including voting in favor of such removal.  In the event of the death, resignation or removal of a Director, the Member that designated such Director may designate a replacement Director.</w:t>
      </w:r>
    </w:p>
    <w:p>
      <w:pPr>
        <w:pStyle w:val="Heading3"/>
        <w:spacing w:before="0" w:after="0"/>
        <w:ind w:left="0" w:right="0" w:hanging="0"/>
        <w:rPr/>
      </w:pPr>
      <w:r>
        <w:rPr/>
        <w:t> </w:t>
      </w:r>
    </w:p>
    <w:p>
      <w:pPr>
        <w:pStyle w:val="TextBody"/>
        <w:spacing w:before="0" w:after="0"/>
        <w:ind w:left="0" w:right="0" w:hanging="0"/>
        <w:rPr>
          <w:rFonts w:ascii="Times New Roman" w:hAnsi="Times New Roman"/>
          <w:sz w:val="17"/>
        </w:rPr>
      </w:pPr>
      <w:bookmarkStart w:id="43" w:name="a7_4_222931"/>
      <w:bookmarkEnd w:id="43"/>
      <w:r>
        <w:rPr>
          <w:rFonts w:ascii="Times New Roman" w:hAnsi="Times New Roman"/>
          <w:sz w:val="17"/>
        </w:rPr>
        <w:t xml:space="preserve">7.4           </w:t>
      </w:r>
      <w:r>
        <w:rPr>
          <w:rFonts w:ascii="Times New Roman" w:hAnsi="Times New Roman"/>
          <w:sz w:val="17"/>
          <w:u w:val="single"/>
        </w:rPr>
        <w:t>Meetings of the Board</w:t>
      </w:r>
      <w:r>
        <w:rPr>
          <w:rFonts w:ascii="Times New Roman" w:hAnsi="Times New Roman"/>
          <w:sz w:val="17"/>
        </w:rPr>
        <w:t>.  The Board may hold meetings, both regular and special, within or outside the State of Delaware.  Regular meetings of the Board may be called by any Director upon delivery of written or electronic mail Notice at least ten (10) days prior to the date of such meeting.  Special meetings of the Board may be called at the request of any Director upon delivery of written or electronic mail Notice sent to each other Director by the means most likely to reach such Director as may be determined by the Secretary in his best judgment so as to be received at least twenty-four (24) hours prior to the time of such meeting.  Notwithstanding anything contained herein to the contrary, such Notice may be telephonic if no other reasonable means are available.  Such Notices shall be accompanied by a proposed agenda or statement of purpose.  Regular meetings of the Board shall be held at least quarterly, and at each regular</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26</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Board meeting, the Manager shall report to the Board regarding the operating results of the Company and other material matters involving the Company or its Subsidiaries.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bookmarkStart w:id="44" w:name="a7_5_222935"/>
      <w:bookmarkEnd w:id="44"/>
      <w:r>
        <w:rPr>
          <w:rFonts w:ascii="Times New Roman" w:hAnsi="Times New Roman"/>
          <w:sz w:val="17"/>
        </w:rPr>
        <w:t xml:space="preserve">7.5           </w:t>
      </w:r>
      <w:r>
        <w:rPr>
          <w:rFonts w:ascii="Times New Roman" w:hAnsi="Times New Roman"/>
          <w:sz w:val="17"/>
          <w:u w:val="single"/>
        </w:rPr>
        <w:t>Quorum and Acts of the Board</w:t>
      </w:r>
      <w:r>
        <w:rPr>
          <w:rFonts w:ascii="Times New Roman" w:hAnsi="Times New Roman"/>
          <w:sz w:val="17"/>
        </w:rPr>
        <w:t xml:space="preserve">.  A majority of the Directors shall constitute a quorum for the transaction of business at all meetings of the Board, </w:t>
      </w:r>
      <w:r>
        <w:rPr>
          <w:rFonts w:ascii="Times New Roman" w:hAnsi="Times New Roman"/>
          <w:i/>
          <w:sz w:val="17"/>
        </w:rPr>
        <w:t>provided</w:t>
      </w:r>
      <w:r>
        <w:rPr>
          <w:rFonts w:ascii="Times New Roman" w:hAnsi="Times New Roman"/>
          <w:sz w:val="17"/>
        </w:rPr>
        <w:t xml:space="preserve"> that except during any Vulcan Minority Interest Period or PAA Minority Interest Period, such majority shall include at least one Director appointed by each Initial Member.  Except as otherwise provided in this Agreement, the act of a majority of the Directors present at any meeting at which there is a quorum shall be the act of the Board.  If a quorum shall not be present at any meeting of the Board, the Directors present thereat may adjourn the meeting from time to time, without notice other than announcement at the meeting, until a quorum shall be present.  Any action required or permitted to be taken at any meeting of the Board or of any committee thereof may be taken without a meeting, if all members of the Board or committee, as the case may be, consent thereto in writing, and the writing or writings are filed with the minutes of proceedings of the Board or committee.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bookmarkStart w:id="45" w:name="a7_6_222937"/>
      <w:bookmarkEnd w:id="45"/>
      <w:r>
        <w:rPr>
          <w:rFonts w:ascii="Times New Roman" w:hAnsi="Times New Roman"/>
          <w:sz w:val="17"/>
        </w:rPr>
        <w:t xml:space="preserve">7.6           </w:t>
      </w:r>
      <w:r>
        <w:rPr>
          <w:rFonts w:ascii="Times New Roman" w:hAnsi="Times New Roman"/>
          <w:sz w:val="17"/>
          <w:u w:val="single"/>
        </w:rPr>
        <w:t>Electronic Communications</w:t>
      </w:r>
      <w:r>
        <w:rPr>
          <w:rFonts w:ascii="Times New Roman" w:hAnsi="Times New Roman"/>
          <w:sz w:val="17"/>
        </w:rPr>
        <w:t>.  Members of the Board, or any committee designated by the Board, may participate in a meeting of the Board or any committee thereof by means of conference telephone or similar communications equipment through which all persons participating in the meeting can hear each other, and such participation in a meeting shall constitute presence in person at the meeting.  If all the participants are participating by conference telephone or similar communications equipment, the meeting shall be deemed to be held at the Companys principal place of business.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bookmarkStart w:id="46" w:name="a7_7_222938"/>
      <w:bookmarkEnd w:id="46"/>
      <w:r>
        <w:rPr>
          <w:rFonts w:ascii="Times New Roman" w:hAnsi="Times New Roman"/>
          <w:sz w:val="17"/>
        </w:rPr>
        <w:t xml:space="preserve">7.7           </w:t>
      </w:r>
      <w:r>
        <w:rPr>
          <w:rFonts w:ascii="Times New Roman" w:hAnsi="Times New Roman"/>
          <w:sz w:val="17"/>
          <w:u w:val="single"/>
        </w:rPr>
        <w:t>Committees of Directors</w:t>
      </w:r>
      <w:r>
        <w:rPr>
          <w:rFonts w:ascii="Times New Roman" w:hAnsi="Times New Roman"/>
          <w:sz w:val="17"/>
        </w:rPr>
        <w:t>.  The Board, by unanimous resolution of all Directors present and voting at a duly constituted meeting of the Board at which a quorum exists, or by unanimous written consent, may designate one or more committees, each committee to consist of one (1) or more of the Directors.  In the event of the disqualification or resignation of a committee member, the Board shall appoint another member of the Board to fill such vacancy.  Any such committee, to the extent provided in the Boards resolution, shall have and may exercise all the powers and authority of the Board subject to any limitations contained herein or in the Act.  Such committee or committees shall have such name or names as may be determined from time to time by resolution adopted by the Board.  Each committee shall keep regular minutes of its meetings and report the same to the Board when required.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bookmarkStart w:id="47" w:name="a7_8_222940"/>
      <w:bookmarkEnd w:id="47"/>
      <w:r>
        <w:rPr>
          <w:rFonts w:ascii="Times New Roman" w:hAnsi="Times New Roman"/>
          <w:sz w:val="17"/>
        </w:rPr>
        <w:t xml:space="preserve">7.8           </w:t>
      </w:r>
      <w:r>
        <w:rPr>
          <w:rFonts w:ascii="Times New Roman" w:hAnsi="Times New Roman"/>
          <w:sz w:val="17"/>
          <w:u w:val="single"/>
        </w:rPr>
        <w:t>Compensation of Directors</w:t>
      </w:r>
      <w:r>
        <w:rPr>
          <w:rFonts w:ascii="Times New Roman" w:hAnsi="Times New Roman"/>
          <w:sz w:val="17"/>
        </w:rPr>
        <w:t xml:space="preserve">.  Each Director shall be entitled to reimbursement from the Company for all reasonable direct out-of-pocket expenses incurred by such Director in connection with attending Board meetings and such reasonable compensation as may be approved by both of the Initial Members; </w:t>
      </w:r>
      <w:r>
        <w:rPr>
          <w:rFonts w:ascii="Times New Roman" w:hAnsi="Times New Roman"/>
          <w:i/>
          <w:sz w:val="17"/>
        </w:rPr>
        <w:t>provided, however,</w:t>
      </w:r>
      <w:r>
        <w:rPr>
          <w:rFonts w:ascii="Times New Roman" w:hAnsi="Times New Roman"/>
          <w:sz w:val="17"/>
        </w:rPr>
        <w:t xml:space="preserve"> that during any Vulcan Minority Interest Period or PAA Minority Interest Period, such compensation shall require only the approval of a majority of the Directors then in office.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bookmarkStart w:id="48" w:name="a7_9_222942"/>
      <w:bookmarkEnd w:id="48"/>
      <w:r>
        <w:rPr>
          <w:rFonts w:ascii="Times New Roman" w:hAnsi="Times New Roman"/>
          <w:sz w:val="17"/>
        </w:rPr>
        <w:t xml:space="preserve">7.9           </w:t>
      </w:r>
      <w:r>
        <w:rPr>
          <w:rFonts w:ascii="Times New Roman" w:hAnsi="Times New Roman"/>
          <w:sz w:val="17"/>
          <w:u w:val="single"/>
        </w:rPr>
        <w:t>Directors as Agents</w:t>
      </w:r>
      <w:r>
        <w:rPr>
          <w:rFonts w:ascii="Times New Roman" w:hAnsi="Times New Roman"/>
          <w:sz w:val="17"/>
        </w:rPr>
        <w:t>.  No Director, in such capacity, acting singly or with any other Director, shall have any authority or right to act on behalf of or bind the Company other than by exercising the Directors voting power as a member of the Board, unless specifically authorized by the Board in each instance.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27</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bookmarkStart w:id="49" w:name="a7_10_222944"/>
      <w:bookmarkEnd w:id="49"/>
      <w:r>
        <w:rPr>
          <w:rFonts w:ascii="Times New Roman" w:hAnsi="Times New Roman"/>
          <w:sz w:val="17"/>
        </w:rPr>
        <w:t xml:space="preserve">7.10         </w:t>
      </w:r>
      <w:r>
        <w:rPr>
          <w:rFonts w:ascii="Times New Roman" w:hAnsi="Times New Roman"/>
          <w:sz w:val="17"/>
          <w:u w:val="single"/>
        </w:rPr>
        <w:t>Matters Requiring Board Approval</w:t>
      </w:r>
      <w:r>
        <w:rPr>
          <w:rFonts w:ascii="Times New Roman" w:hAnsi="Times New Roman"/>
          <w:sz w:val="17"/>
        </w:rPr>
        <w:t xml:space="preserve">.  Subject to the provisions of this Agreement, including </w:t>
      </w:r>
      <w:r>
        <w:rPr>
          <w:rFonts w:ascii="Times New Roman" w:hAnsi="Times New Roman"/>
          <w:sz w:val="17"/>
          <w:u w:val="single"/>
        </w:rPr>
        <w:t>Section 7.11</w:t>
      </w:r>
      <w:r>
        <w:rPr>
          <w:rFonts w:ascii="Times New Roman" w:hAnsi="Times New Roman"/>
          <w:sz w:val="17"/>
        </w:rPr>
        <w:t xml:space="preserve">, without the prior approval of at least one Director designated by each Initial Member, the Company shall not, and, where applicable, shall not permit any of its Subsidiaries to, directly or indirectly, take or permit to be taken any of the following actions; </w:t>
      </w:r>
      <w:r>
        <w:rPr>
          <w:rFonts w:ascii="Times New Roman" w:hAnsi="Times New Roman"/>
          <w:i/>
          <w:sz w:val="17"/>
        </w:rPr>
        <w:t>provided, however,</w:t>
      </w:r>
      <w:r>
        <w:rPr>
          <w:rFonts w:ascii="Times New Roman" w:hAnsi="Times New Roman"/>
          <w:sz w:val="17"/>
        </w:rPr>
        <w:t xml:space="preserve"> that notwithstanding the foregoing, during any Vulcan Minority Interest Period or PAA Minority Interest Period, such matters shall require only the approval of a majority of the Directors then in office:</w:t>
      </w:r>
    </w:p>
    <w:p>
      <w:pPr>
        <w:pStyle w:val="TextBody"/>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 xml:space="preserve">(a)           Adopt or amend in any material respect the annual business plan, including the annual general and administrative budget and the capital expenditure budget; </w:t>
      </w:r>
      <w:r>
        <w:rPr>
          <w:rFonts w:ascii="Times New Roman" w:hAnsi="Times New Roman"/>
          <w:b w:val="false"/>
          <w:i/>
          <w:sz w:val="17"/>
        </w:rPr>
        <w:t>provided</w:t>
      </w:r>
      <w:r>
        <w:rPr>
          <w:rFonts w:ascii="Times New Roman" w:hAnsi="Times New Roman"/>
          <w:b w:val="false"/>
          <w:sz w:val="17"/>
        </w:rPr>
        <w:t xml:space="preserve"> that no such approval shall be required with respect to any expenditure to be funded pursuant to </w:t>
      </w:r>
      <w:r>
        <w:rPr>
          <w:rFonts w:ascii="Times New Roman" w:hAnsi="Times New Roman"/>
          <w:b w:val="false"/>
          <w:sz w:val="17"/>
          <w:u w:val="single"/>
        </w:rPr>
        <w:t>Section 3.2(c) </w:t>
      </w:r>
      <w:r>
        <w:rPr>
          <w:rFonts w:ascii="Times New Roman" w:hAnsi="Times New Roman"/>
          <w:b w:val="false"/>
          <w:sz w:val="17"/>
        </w:rPr>
        <w:t xml:space="preserve">or any capital expenditure to be funded pursuant to </w:t>
      </w:r>
      <w:r>
        <w:rPr>
          <w:rFonts w:ascii="Times New Roman" w:hAnsi="Times New Roman"/>
          <w:b w:val="false"/>
          <w:sz w:val="17"/>
          <w:u w:val="single"/>
        </w:rPr>
        <w:t>Section 3.2(d)(i)</w:t>
      </w:r>
      <w:r>
        <w:rPr>
          <w:rFonts w:ascii="Times New Roman" w:hAnsi="Times New Roman"/>
          <w:b w:val="false"/>
          <w:sz w:val="17"/>
        </w:rPr>
        <w:t>;</w:t>
      </w:r>
    </w:p>
    <w:p>
      <w:pPr>
        <w:pStyle w:val="Heading3"/>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 xml:space="preserve">(b)           Approve any capital expenditures that are not in the capital expenditure budget, or enter into a contract or commitment to incur any such capital expenditure, that in the aggregate exceed $10,000,000 in any fiscal year; </w:t>
      </w:r>
      <w:r>
        <w:rPr>
          <w:rFonts w:ascii="Times New Roman" w:hAnsi="Times New Roman"/>
          <w:b w:val="false"/>
          <w:i/>
          <w:sz w:val="17"/>
        </w:rPr>
        <w:t>provided</w:t>
      </w:r>
      <w:r>
        <w:rPr>
          <w:rFonts w:ascii="Times New Roman" w:hAnsi="Times New Roman"/>
          <w:b w:val="false"/>
          <w:sz w:val="17"/>
        </w:rPr>
        <w:t xml:space="preserve"> that no such approval shall be required with respect to any such expenditure to be funded pursuant to </w:t>
      </w:r>
      <w:r>
        <w:rPr>
          <w:rFonts w:ascii="Times New Roman" w:hAnsi="Times New Roman"/>
          <w:b w:val="false"/>
          <w:sz w:val="17"/>
          <w:u w:val="single"/>
        </w:rPr>
        <w:t>Section 3.2(c) </w:t>
      </w:r>
      <w:r>
        <w:rPr>
          <w:rFonts w:ascii="Times New Roman" w:hAnsi="Times New Roman"/>
          <w:b w:val="false"/>
          <w:sz w:val="17"/>
        </w:rPr>
        <w:t xml:space="preserve">or any capital expenditure to be funded pursuant to </w:t>
      </w:r>
      <w:r>
        <w:rPr>
          <w:rFonts w:ascii="Times New Roman" w:hAnsi="Times New Roman"/>
          <w:b w:val="false"/>
          <w:sz w:val="17"/>
          <w:u w:val="single"/>
        </w:rPr>
        <w:t>Section 3.2(d)(i)</w:t>
      </w:r>
      <w:r>
        <w:rPr>
          <w:rFonts w:ascii="Times New Roman" w:hAnsi="Times New Roman"/>
          <w:b w:val="false"/>
          <w:sz w:val="17"/>
        </w:rPr>
        <w:t>;</w:t>
      </w:r>
    </w:p>
    <w:p>
      <w:pPr>
        <w:pStyle w:val="Heading3"/>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(c)           Incur indebtedness for borrowed money (excluding intra-company borrowings, the BGS Debt and the PPEC Debt), where the amount of such indebtedness incurred, together with all other indebtedness for borrowed money of the Company and its Subsidiaries (other than intra-company borrowings, the BGS Debt and the PPEC Debt), exceeds $25,000,000;</w:t>
      </w:r>
    </w:p>
    <w:p>
      <w:pPr>
        <w:pStyle w:val="Heading3"/>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 xml:space="preserve">(d)           Sell, lease, transfer, pledge or otherwise dispose of any asset, including real property, in any transaction or series of related transactions for an amount (or having a book value) in excess of $5,000,000; </w:t>
      </w:r>
      <w:r>
        <w:rPr>
          <w:rFonts w:ascii="Times New Roman" w:hAnsi="Times New Roman"/>
          <w:b w:val="false"/>
          <w:i/>
          <w:sz w:val="17"/>
        </w:rPr>
        <w:t>provided</w:t>
      </w:r>
      <w:r>
        <w:rPr>
          <w:rFonts w:ascii="Times New Roman" w:hAnsi="Times New Roman"/>
          <w:b w:val="false"/>
          <w:sz w:val="17"/>
        </w:rPr>
        <w:t xml:space="preserve"> that no such approval shall be required with respect to any sale, transfer or other disposition of any surplus equipment;</w:t>
      </w:r>
    </w:p>
    <w:p>
      <w:pPr>
        <w:pStyle w:val="Heading3"/>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 xml:space="preserve">(e)           Commence or settle any litigation where the amount sought (in the case of commencement) or the amount to be paid or received by the Company or any of its Subsidiaries (in the case of settlement) exceeds US$200,000; </w:t>
      </w:r>
      <w:r>
        <w:rPr>
          <w:rFonts w:ascii="Times New Roman" w:hAnsi="Times New Roman"/>
          <w:b w:val="false"/>
          <w:i/>
          <w:sz w:val="17"/>
        </w:rPr>
        <w:t>provided, however</w:t>
      </w:r>
      <w:r>
        <w:rPr>
          <w:rFonts w:ascii="Times New Roman" w:hAnsi="Times New Roman"/>
          <w:b w:val="false"/>
          <w:sz w:val="17"/>
        </w:rPr>
        <w:t xml:space="preserve">, that in determining whether any such amount exceeds US$200,000, any amounts that are insured or subject to a third party indemnity shall be disregarded; </w:t>
      </w:r>
      <w:r>
        <w:rPr>
          <w:rFonts w:ascii="Times New Roman" w:hAnsi="Times New Roman"/>
          <w:b w:val="false"/>
          <w:i/>
          <w:sz w:val="17"/>
        </w:rPr>
        <w:t>provided, further, however</w:t>
      </w:r>
      <w:r>
        <w:rPr>
          <w:rFonts w:ascii="Times New Roman" w:hAnsi="Times New Roman"/>
          <w:b w:val="false"/>
          <w:sz w:val="17"/>
        </w:rPr>
        <w:t>, that the Board of Directors shall be given notice of any litigation or settlement (where the amount sought (in the case of commencement of litigation) or the amount to be paid or received by the Company or any of its Subsidiaries (in the case of settlement) exceeds $50,000;</w:t>
      </w:r>
    </w:p>
    <w:p>
      <w:pPr>
        <w:pStyle w:val="Heading3"/>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(f)            Change any accounting policy of the Company that has the effect of materially altering the reported results of the Company (other than changes required by GAAP);</w:t>
      </w:r>
    </w:p>
    <w:p>
      <w:pPr>
        <w:pStyle w:val="Heading3"/>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(g)           Engage in any material business activity outside the scope of the Business, other than activities reasonably related to the Business;</w:t>
      </w:r>
    </w:p>
    <w:p>
      <w:pPr>
        <w:pStyle w:val="Heading3"/>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 xml:space="preserve">(h)           Except for distributions of Available Cash pursuant to </w:t>
      </w:r>
      <w:r>
        <w:rPr>
          <w:rFonts w:ascii="Times New Roman" w:hAnsi="Times New Roman"/>
          <w:b w:val="false"/>
          <w:sz w:val="17"/>
          <w:u w:val="single"/>
        </w:rPr>
        <w:t>Section 4.1</w:t>
      </w:r>
      <w:r>
        <w:rPr>
          <w:rFonts w:ascii="Times New Roman" w:hAnsi="Times New Roman"/>
          <w:b w:val="false"/>
          <w:sz w:val="17"/>
        </w:rPr>
        <w:t xml:space="preserve"> and distributions pursuant to </w:t>
      </w:r>
      <w:r>
        <w:rPr>
          <w:rFonts w:ascii="Times New Roman" w:hAnsi="Times New Roman"/>
          <w:b w:val="false"/>
          <w:sz w:val="17"/>
          <w:u w:val="single"/>
        </w:rPr>
        <w:t>Section 10.3</w:t>
      </w:r>
      <w:r>
        <w:rPr>
          <w:rFonts w:ascii="Times New Roman" w:hAnsi="Times New Roman"/>
          <w:b w:val="false"/>
          <w:sz w:val="17"/>
        </w:rPr>
        <w:t>, declare or pay any dividends or other distributions on the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28</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Membership Interests or on the equity interests of any Subsidiary of the Company that is not a Wholly-owned Subsidiary;</w:t>
      </w:r>
    </w:p>
    <w:p>
      <w:pPr>
        <w:pStyle w:val="Heading3"/>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(i)            Acquire (whether by merger, consolidation, share or asset acquisition, joint venture or similar transaction) any business or assets in any calendar year where the consideration to be paid in such acquisition, together with the aggregate consideration paid for all such previous acquisitions completed during such calendar year, will exceed $50 million in the aggregate for such calendar year (other than pursuant to the Purchase Agreement);</w:t>
      </w:r>
    </w:p>
    <w:p>
      <w:pPr>
        <w:pStyle w:val="Heading3"/>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(j)            Appoint or remove any person as Chief Executive Officer or President;</w:t>
      </w:r>
    </w:p>
    <w:p>
      <w:pPr>
        <w:pStyle w:val="Heading3"/>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(k)           Appoint or remove an accounting firm to serve as an auditor for the purposes of preparing financial statements of the Company;</w:t>
      </w:r>
    </w:p>
    <w:p>
      <w:pPr>
        <w:pStyle w:val="Heading3"/>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(l)            Make any Company-initiated material change to the construction budget for the Project, other than as necessary for the Company to comply in respect of the Project with any applicable statute, law, rule, regulation, ordinance, order, judgment, injunction, determination or decree of any federal, state or local government or any subdivision, agency, instrumentality, authority, department, commission, board or bureau thereof or any federal, state or local court or tribunal; or</w:t>
      </w:r>
    </w:p>
    <w:p>
      <w:pPr>
        <w:pStyle w:val="Heading3"/>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(m)          If the Company or any Subsidiary has employees, adopt, enter into or amend any Company-sponsored incentive related employee compensation or benefit plan, program, agreement or arrangement.</w:t>
      </w:r>
    </w:p>
    <w:p>
      <w:pPr>
        <w:pStyle w:val="Heading3"/>
        <w:spacing w:before="0" w:after="0"/>
        <w:ind w:left="0" w:right="0" w:hanging="0"/>
        <w:rPr/>
      </w:pPr>
      <w:r>
        <w:rPr/>
        <w:t> </w:t>
      </w:r>
    </w:p>
    <w:p>
      <w:pPr>
        <w:pStyle w:val="TextBody"/>
        <w:spacing w:before="0" w:after="0"/>
        <w:ind w:left="0" w:right="0" w:hanging="0"/>
        <w:rPr>
          <w:rFonts w:ascii="Times New Roman" w:hAnsi="Times New Roman"/>
          <w:sz w:val="17"/>
        </w:rPr>
      </w:pPr>
      <w:bookmarkStart w:id="50" w:name="a7_11_222949"/>
      <w:bookmarkEnd w:id="50"/>
      <w:r>
        <w:rPr>
          <w:rFonts w:ascii="Times New Roman" w:hAnsi="Times New Roman"/>
          <w:sz w:val="17"/>
        </w:rPr>
        <w:t xml:space="preserve">7.11         </w:t>
      </w:r>
      <w:r>
        <w:rPr>
          <w:rFonts w:ascii="Times New Roman" w:hAnsi="Times New Roman"/>
          <w:sz w:val="17"/>
          <w:u w:val="single"/>
        </w:rPr>
        <w:t>Matters Requiring Member Approval</w:t>
      </w:r>
      <w:r>
        <w:rPr>
          <w:rFonts w:ascii="Times New Roman" w:hAnsi="Times New Roman"/>
          <w:sz w:val="17"/>
        </w:rPr>
        <w:t>.</w:t>
      </w:r>
    </w:p>
    <w:p>
      <w:pPr>
        <w:pStyle w:val="TextBody"/>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 xml:space="preserve">(a)           Notwithstanding anything in this Agreement to the contrary, without the prior written consent of each Initial Member, the Company shall not, and, where applicable, shall not permit any of its Subsidiaries to, directly or indirectly, take or permit to be taken any of the following actions; </w:t>
      </w:r>
      <w:r>
        <w:rPr>
          <w:rFonts w:ascii="Times New Roman" w:hAnsi="Times New Roman"/>
          <w:b w:val="false"/>
          <w:i/>
          <w:sz w:val="17"/>
        </w:rPr>
        <w:t>provided, however</w:t>
      </w:r>
      <w:r>
        <w:rPr>
          <w:rFonts w:ascii="Times New Roman" w:hAnsi="Times New Roman"/>
          <w:b w:val="false"/>
          <w:sz w:val="17"/>
        </w:rPr>
        <w:t>, that notwithstanding the foregoing, (A) during any Vulcan Minority Interest Period, the actions described in clauses (i), (iv), (v), (viii) and (x) below shall not require the prior written consent of Vulcan and (B) during any PAA Minority Interest Period, the actions described in clauses (i), (iv), (v), (viii) and (x) below shall not require the prior written consent of PAA:</w:t>
      </w:r>
    </w:p>
    <w:p>
      <w:pPr>
        <w:pStyle w:val="Heading3"/>
        <w:spacing w:before="0" w:after="0"/>
        <w:ind w:left="0" w:right="0" w:hanging="0"/>
        <w:rPr/>
      </w:pPr>
      <w:r>
        <w:rPr/>
        <w:t> </w:t>
      </w:r>
    </w:p>
    <w:p>
      <w:pPr>
        <w:pStyle w:val="Heading4"/>
        <w:spacing w:before="0" w:after="0"/>
        <w:ind w:left="0" w:right="0" w:hanging="0"/>
        <w:rPr>
          <w:rFonts w:ascii="Times New Roman" w:hAnsi="Times New Roman"/>
          <w:b w:val="false"/>
          <w:sz w:val="17"/>
        </w:rPr>
      </w:pPr>
      <w:r>
        <w:rPr>
          <w:rFonts w:ascii="Times New Roman" w:hAnsi="Times New Roman"/>
          <w:b w:val="false"/>
          <w:sz w:val="17"/>
        </w:rPr>
        <w:t xml:space="preserve">(i)            Authorize, sell and/or issue any Membership Interests, partnership interests, capital stock, or other equity interest in the Company or any of its Subsidiaries, whether in a private or public offering, including an initial public offering, or grant, sell or issue other securities (including rights, warrants and options) convertible into, exchangeable for or exercisable for any of Membership Interests or partnership interests, capital stock, or other equity interests in the Company or any of its Subsidiaries, whether or not presently convertible, exchangeable or exercisable; </w:t>
      </w:r>
      <w:r>
        <w:rPr>
          <w:rFonts w:ascii="Times New Roman" w:hAnsi="Times New Roman"/>
          <w:b w:val="false"/>
          <w:i/>
          <w:sz w:val="17"/>
        </w:rPr>
        <w:t>provided</w:t>
      </w:r>
      <w:r>
        <w:rPr>
          <w:rFonts w:ascii="Times New Roman" w:hAnsi="Times New Roman"/>
          <w:b w:val="false"/>
          <w:sz w:val="17"/>
        </w:rPr>
        <w:t xml:space="preserve">, that this clause (i) shall not apply to (x) Membership Interests issued pursuant to </w:t>
      </w:r>
      <w:r>
        <w:rPr>
          <w:rFonts w:ascii="Times New Roman" w:hAnsi="Times New Roman"/>
          <w:b w:val="false"/>
          <w:sz w:val="17"/>
          <w:u w:val="single"/>
        </w:rPr>
        <w:t>Section 3.2(c) </w:t>
      </w:r>
      <w:r>
        <w:rPr>
          <w:rFonts w:ascii="Times New Roman" w:hAnsi="Times New Roman"/>
          <w:b w:val="false"/>
          <w:sz w:val="17"/>
        </w:rPr>
        <w:t xml:space="preserve">or (y) the issuance of Additional Interests of the Company or a Subsidiary pursuant to and in compliance with the requirements of </w:t>
      </w:r>
      <w:r>
        <w:rPr>
          <w:rFonts w:ascii="Times New Roman" w:hAnsi="Times New Roman"/>
          <w:b w:val="false"/>
          <w:sz w:val="17"/>
          <w:u w:val="single"/>
        </w:rPr>
        <w:t>Section 3.2(d)</w:t>
      </w:r>
      <w:r>
        <w:rPr>
          <w:rFonts w:ascii="Times New Roman" w:hAnsi="Times New Roman"/>
          <w:b w:val="false"/>
          <w:sz w:val="17"/>
        </w:rPr>
        <w:t>;</w:t>
      </w:r>
    </w:p>
    <w:p>
      <w:pPr>
        <w:pStyle w:val="Heading4"/>
        <w:spacing w:before="0" w:after="0"/>
        <w:ind w:left="0" w:right="0" w:hanging="0"/>
        <w:rPr/>
      </w:pPr>
      <w:r>
        <w:rPr/>
        <w:t> </w:t>
      </w:r>
    </w:p>
    <w:p>
      <w:pPr>
        <w:pStyle w:val="Heading4"/>
        <w:spacing w:before="0" w:after="0"/>
        <w:ind w:left="0" w:right="0" w:hanging="0"/>
        <w:rPr>
          <w:rFonts w:ascii="Times New Roman" w:hAnsi="Times New Roman"/>
          <w:b w:val="false"/>
          <w:sz w:val="17"/>
        </w:rPr>
      </w:pPr>
      <w:r>
        <w:rPr>
          <w:rFonts w:ascii="Times New Roman" w:hAnsi="Times New Roman"/>
          <w:b w:val="false"/>
          <w:sz w:val="17"/>
        </w:rPr>
        <w:t>(ii)           Change, modify or amend this Agreement;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29</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Heading4"/>
        <w:spacing w:before="0" w:after="0"/>
        <w:ind w:left="0" w:right="0" w:hanging="0"/>
        <w:rPr>
          <w:rFonts w:ascii="Times New Roman" w:hAnsi="Times New Roman"/>
          <w:b w:val="false"/>
          <w:sz w:val="17"/>
        </w:rPr>
      </w:pPr>
      <w:r>
        <w:rPr>
          <w:rFonts w:ascii="Times New Roman" w:hAnsi="Times New Roman"/>
          <w:b w:val="false"/>
          <w:sz w:val="17"/>
        </w:rPr>
        <w:t>(iii)          (x) Enter into any transaction, agreement or arrangement with or for the benefit of any Member or any of its Affiliates, other than the Administrative Services, or (y) modify or amend, or waive any right under or with respect to, any transaction, agreement or arrangement with or for the benefit of any Member or any of its Affiliates;</w:t>
      </w:r>
    </w:p>
    <w:p>
      <w:pPr>
        <w:pStyle w:val="Heading4"/>
        <w:spacing w:before="0" w:after="0"/>
        <w:ind w:left="0" w:right="0" w:hanging="0"/>
        <w:rPr/>
      </w:pPr>
      <w:r>
        <w:rPr/>
        <w:t> </w:t>
      </w:r>
    </w:p>
    <w:p>
      <w:pPr>
        <w:pStyle w:val="Heading4"/>
        <w:spacing w:before="0" w:after="0"/>
        <w:ind w:left="0" w:right="0" w:hanging="0"/>
        <w:rPr>
          <w:rFonts w:ascii="Times New Roman" w:hAnsi="Times New Roman"/>
          <w:b w:val="false"/>
          <w:sz w:val="17"/>
        </w:rPr>
      </w:pPr>
      <w:r>
        <w:rPr>
          <w:rFonts w:ascii="Times New Roman" w:hAnsi="Times New Roman"/>
          <w:b w:val="false"/>
          <w:sz w:val="17"/>
        </w:rPr>
        <w:t>(iv)          Engage in any merger, consolidation, share exchange or any other similar business combination transaction (other than any such transaction entered into solely between the Company and any of its Wholly-owned Subsidiaries or among any of them);</w:t>
      </w:r>
    </w:p>
    <w:p>
      <w:pPr>
        <w:pStyle w:val="Heading4"/>
        <w:spacing w:before="0" w:after="0"/>
        <w:ind w:left="0" w:right="0" w:hanging="0"/>
        <w:rPr/>
      </w:pPr>
      <w:r>
        <w:rPr/>
        <w:t> </w:t>
      </w:r>
    </w:p>
    <w:p>
      <w:pPr>
        <w:pStyle w:val="Heading4"/>
        <w:spacing w:before="0" w:after="0"/>
        <w:ind w:left="0" w:right="0" w:hanging="0"/>
        <w:rPr>
          <w:rFonts w:ascii="Times New Roman" w:hAnsi="Times New Roman"/>
          <w:b w:val="false"/>
          <w:sz w:val="17"/>
        </w:rPr>
      </w:pPr>
      <w:r>
        <w:rPr>
          <w:rFonts w:ascii="Times New Roman" w:hAnsi="Times New Roman"/>
          <w:b w:val="false"/>
          <w:sz w:val="17"/>
        </w:rPr>
        <w:t>(v)           Sell, lease, transfer, pledge or otherwise dispose of all or substantially all of the properties or assets of the Company or any of its Subsidiaries;</w:t>
      </w:r>
    </w:p>
    <w:p>
      <w:pPr>
        <w:pStyle w:val="Heading4"/>
        <w:spacing w:before="0" w:after="0"/>
        <w:ind w:left="0" w:right="0" w:hanging="0"/>
        <w:rPr/>
      </w:pPr>
      <w:r>
        <w:rPr/>
        <w:t> </w:t>
      </w:r>
    </w:p>
    <w:p>
      <w:pPr>
        <w:pStyle w:val="Heading4"/>
        <w:spacing w:before="0" w:after="0"/>
        <w:ind w:left="0" w:right="0" w:hanging="0"/>
        <w:rPr>
          <w:rFonts w:ascii="Times New Roman" w:hAnsi="Times New Roman"/>
          <w:b w:val="false"/>
          <w:sz w:val="17"/>
        </w:rPr>
      </w:pPr>
      <w:r>
        <w:rPr>
          <w:rFonts w:ascii="Times New Roman" w:hAnsi="Times New Roman"/>
          <w:b w:val="false"/>
          <w:sz w:val="17"/>
        </w:rPr>
        <w:t>(vi)          Voluntarily file for bankruptcy, liquidation, dissolution or winding up of the Company or any of its Subsidiaries or any event that would cause a dissolution or winding up of the Company or any of its Subsidiaries or any consent to any action brought by any other Person relating to any of the foregoing, or make any assignment for the benefit of creditors;</w:t>
      </w:r>
    </w:p>
    <w:p>
      <w:pPr>
        <w:pStyle w:val="Heading4"/>
        <w:spacing w:before="0" w:after="0"/>
        <w:ind w:left="0" w:right="0" w:hanging="0"/>
        <w:rPr/>
      </w:pPr>
      <w:r>
        <w:rPr/>
        <w:t> </w:t>
      </w:r>
    </w:p>
    <w:p>
      <w:pPr>
        <w:pStyle w:val="Heading4"/>
        <w:spacing w:before="0" w:after="0"/>
        <w:ind w:left="0" w:right="0" w:hanging="0"/>
        <w:rPr>
          <w:rFonts w:ascii="Times New Roman" w:hAnsi="Times New Roman"/>
          <w:b w:val="false"/>
          <w:sz w:val="17"/>
        </w:rPr>
      </w:pPr>
      <w:r>
        <w:rPr>
          <w:rFonts w:ascii="Times New Roman" w:hAnsi="Times New Roman"/>
          <w:b w:val="false"/>
          <w:sz w:val="17"/>
        </w:rPr>
        <w:t xml:space="preserve">(vii)         Redeem, repurchase or retire any equity interest in the Company or any Subsidiary of the Company that is not a Wholly-owned Subsidiary, except as otherwise provided in </w:t>
      </w:r>
      <w:r>
        <w:rPr>
          <w:rFonts w:ascii="Times New Roman" w:hAnsi="Times New Roman"/>
          <w:b w:val="false"/>
          <w:sz w:val="17"/>
          <w:u w:val="single"/>
        </w:rPr>
        <w:t>Section 9.2(a)</w:t>
      </w:r>
      <w:r>
        <w:rPr>
          <w:rFonts w:ascii="Times New Roman" w:hAnsi="Times New Roman"/>
          <w:b w:val="false"/>
          <w:sz w:val="17"/>
        </w:rPr>
        <w:t>;</w:t>
      </w:r>
    </w:p>
    <w:p>
      <w:pPr>
        <w:pStyle w:val="Heading4"/>
        <w:spacing w:before="0" w:after="0"/>
        <w:ind w:left="0" w:right="0" w:hanging="0"/>
        <w:rPr/>
      </w:pPr>
      <w:r>
        <w:rPr/>
        <w:t> </w:t>
      </w:r>
    </w:p>
    <w:p>
      <w:pPr>
        <w:pStyle w:val="Heading4"/>
        <w:spacing w:before="0" w:after="0"/>
        <w:ind w:left="0" w:right="0" w:hanging="0"/>
        <w:rPr>
          <w:rFonts w:ascii="Times New Roman" w:hAnsi="Times New Roman"/>
          <w:b w:val="false"/>
          <w:sz w:val="17"/>
        </w:rPr>
      </w:pPr>
      <w:r>
        <w:rPr>
          <w:rFonts w:ascii="Times New Roman" w:hAnsi="Times New Roman"/>
          <w:b w:val="false"/>
          <w:sz w:val="17"/>
        </w:rPr>
        <w:t>(viii)        Authorize the filing of any registration statement with the Securities and Exchange Commission with respect to any securities of the Company or any of its Subsidiaries;</w:t>
      </w:r>
    </w:p>
    <w:p>
      <w:pPr>
        <w:pStyle w:val="Heading4"/>
        <w:spacing w:before="0" w:after="0"/>
        <w:ind w:left="0" w:right="0" w:hanging="0"/>
        <w:rPr/>
      </w:pPr>
      <w:r>
        <w:rPr/>
        <w:t> </w:t>
      </w:r>
    </w:p>
    <w:p>
      <w:pPr>
        <w:pStyle w:val="Heading4"/>
        <w:spacing w:before="0" w:after="0"/>
        <w:ind w:left="0" w:right="0" w:hanging="0"/>
        <w:rPr>
          <w:rFonts w:ascii="Times New Roman" w:hAnsi="Times New Roman"/>
          <w:b w:val="false"/>
          <w:sz w:val="17"/>
        </w:rPr>
      </w:pPr>
      <w:r>
        <w:rPr>
          <w:rFonts w:ascii="Times New Roman" w:hAnsi="Times New Roman"/>
          <w:b w:val="false"/>
          <w:sz w:val="17"/>
        </w:rPr>
        <w:t xml:space="preserve">(ix)           Require any additional capital contribution from any Member (other than pursuant to </w:t>
      </w:r>
      <w:r>
        <w:rPr>
          <w:rFonts w:ascii="Times New Roman" w:hAnsi="Times New Roman"/>
          <w:b w:val="false"/>
          <w:sz w:val="17"/>
          <w:u w:val="single"/>
        </w:rPr>
        <w:t>Section 3.2(c)</w:t>
      </w:r>
      <w:r>
        <w:rPr>
          <w:rFonts w:ascii="Times New Roman" w:hAnsi="Times New Roman"/>
          <w:b w:val="false"/>
          <w:sz w:val="17"/>
        </w:rPr>
        <w:t>);</w:t>
      </w:r>
    </w:p>
    <w:p>
      <w:pPr>
        <w:pStyle w:val="Heading4"/>
        <w:spacing w:before="0" w:after="0"/>
        <w:ind w:left="0" w:right="0" w:hanging="0"/>
        <w:rPr/>
      </w:pPr>
      <w:r>
        <w:rPr/>
        <w:t> </w:t>
      </w:r>
    </w:p>
    <w:p>
      <w:pPr>
        <w:pStyle w:val="Heading4"/>
        <w:spacing w:before="0" w:after="0"/>
        <w:ind w:left="0" w:right="0" w:hanging="0"/>
        <w:rPr>
          <w:rFonts w:ascii="Times New Roman" w:hAnsi="Times New Roman"/>
          <w:b w:val="false"/>
          <w:sz w:val="17"/>
        </w:rPr>
      </w:pPr>
      <w:r>
        <w:rPr>
          <w:rFonts w:ascii="Times New Roman" w:hAnsi="Times New Roman"/>
          <w:b w:val="false"/>
          <w:sz w:val="17"/>
        </w:rPr>
        <w:t xml:space="preserve">(x)            Admit any additional Members; </w:t>
      </w:r>
      <w:r>
        <w:rPr>
          <w:rFonts w:ascii="Times New Roman" w:hAnsi="Times New Roman"/>
          <w:b w:val="false"/>
          <w:i/>
          <w:sz w:val="17"/>
        </w:rPr>
        <w:t>provided</w:t>
      </w:r>
      <w:r>
        <w:rPr>
          <w:rFonts w:ascii="Times New Roman" w:hAnsi="Times New Roman"/>
          <w:b w:val="false"/>
          <w:sz w:val="17"/>
        </w:rPr>
        <w:t xml:space="preserve">, that this clause (x) shall not apply to the admission of any additional Member in connection with any Membership Interest issued pursuant to and in compliance with the requirements of </w:t>
      </w:r>
      <w:r>
        <w:rPr>
          <w:rFonts w:ascii="Times New Roman" w:hAnsi="Times New Roman"/>
          <w:b w:val="false"/>
          <w:sz w:val="17"/>
          <w:u w:val="single"/>
        </w:rPr>
        <w:t>Section 3.2(d)</w:t>
      </w:r>
      <w:r>
        <w:rPr>
          <w:rFonts w:ascii="Times New Roman" w:hAnsi="Times New Roman"/>
          <w:b w:val="false"/>
          <w:sz w:val="17"/>
        </w:rPr>
        <w:t>; or</w:t>
      </w:r>
    </w:p>
    <w:p>
      <w:pPr>
        <w:pStyle w:val="Heading4"/>
        <w:spacing w:before="0" w:after="0"/>
        <w:ind w:left="0" w:right="0" w:hanging="0"/>
        <w:rPr/>
      </w:pPr>
      <w:r>
        <w:rPr/>
        <w:t> </w:t>
      </w:r>
    </w:p>
    <w:p>
      <w:pPr>
        <w:pStyle w:val="Heading4"/>
        <w:spacing w:before="0" w:after="0"/>
        <w:ind w:left="0" w:right="0" w:hanging="0"/>
        <w:rPr>
          <w:rFonts w:ascii="Times New Roman" w:hAnsi="Times New Roman"/>
          <w:b w:val="false"/>
          <w:sz w:val="17"/>
        </w:rPr>
      </w:pPr>
      <w:r>
        <w:rPr>
          <w:rFonts w:ascii="Times New Roman" w:hAnsi="Times New Roman"/>
          <w:b w:val="false"/>
          <w:sz w:val="17"/>
        </w:rPr>
        <w:t>(xi)           any amendment to the Purchase Agreement, or any waiver by the Company under the Purchase Agreement that would increase the liability of the Company with respect to any Company Guarantee (as defined in the Purchase Agreement).</w:t>
      </w:r>
    </w:p>
    <w:p>
      <w:pPr>
        <w:pStyle w:val="Heading4"/>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(b)           Notwithstanding anything in this Agreement to the contrary, (i) during any Vulcan Minority Interest Period, without the prior written consent of Vulcan, and (ii) during any PAA Minority Interest Period, without the prior written consent of PAA, the Company shall not, and, where applicable, shall not permit any of its Subsidiaries to, directly or indirectly, take or permit to be taken any of the following actions:</w:t>
      </w:r>
    </w:p>
    <w:p>
      <w:pPr>
        <w:pStyle w:val="Heading3"/>
        <w:spacing w:before="0" w:after="0"/>
        <w:ind w:left="0" w:right="0" w:hanging="0"/>
        <w:rPr/>
      </w:pPr>
      <w:r>
        <w:rPr/>
        <w:t> </w:t>
      </w:r>
    </w:p>
    <w:p>
      <w:pPr>
        <w:pStyle w:val="Heading4"/>
        <w:spacing w:before="0" w:after="0"/>
        <w:ind w:left="0" w:right="0" w:hanging="0"/>
        <w:rPr>
          <w:rFonts w:ascii="Times New Roman" w:hAnsi="Times New Roman"/>
          <w:b w:val="false"/>
          <w:sz w:val="17"/>
        </w:rPr>
      </w:pPr>
      <w:r>
        <w:rPr>
          <w:rFonts w:ascii="Times New Roman" w:hAnsi="Times New Roman"/>
          <w:b w:val="false"/>
          <w:sz w:val="17"/>
        </w:rPr>
        <w:t>(i)            Engage in any material business activity outside the scope of the Business, other than activities reasonably related to the Business; or</w:t>
      </w:r>
    </w:p>
    <w:p>
      <w:pPr>
        <w:pStyle w:val="Heading4"/>
        <w:spacing w:before="0" w:after="0"/>
        <w:ind w:left="0" w:right="0" w:hanging="0"/>
        <w:rPr/>
      </w:pPr>
      <w:r>
        <w:rPr/>
        <w:t> </w:t>
      </w:r>
    </w:p>
    <w:p>
      <w:pPr>
        <w:pStyle w:val="Heading4"/>
        <w:spacing w:before="0" w:after="0"/>
        <w:ind w:left="0" w:right="0" w:hanging="0"/>
        <w:rPr>
          <w:rFonts w:ascii="Times New Roman" w:hAnsi="Times New Roman"/>
          <w:b w:val="false"/>
          <w:sz w:val="17"/>
        </w:rPr>
      </w:pPr>
      <w:r>
        <w:rPr>
          <w:rFonts w:ascii="Times New Roman" w:hAnsi="Times New Roman"/>
          <w:b w:val="false"/>
          <w:sz w:val="17"/>
        </w:rPr>
        <w:t xml:space="preserve">(ii)           Except for distributions of Available Cash pursuant to </w:t>
      </w:r>
      <w:r>
        <w:rPr>
          <w:rFonts w:ascii="Times New Roman" w:hAnsi="Times New Roman"/>
          <w:b w:val="false"/>
          <w:sz w:val="17"/>
          <w:u w:val="single"/>
        </w:rPr>
        <w:t>Section 4.1</w:t>
      </w:r>
      <w:r>
        <w:rPr>
          <w:rFonts w:ascii="Times New Roman" w:hAnsi="Times New Roman"/>
          <w:b w:val="false"/>
          <w:sz w:val="17"/>
        </w:rPr>
        <w:t xml:space="preserve"> and distributions pursuant to </w:t>
      </w:r>
      <w:r>
        <w:rPr>
          <w:rFonts w:ascii="Times New Roman" w:hAnsi="Times New Roman"/>
          <w:b w:val="false"/>
          <w:sz w:val="17"/>
          <w:u w:val="single"/>
        </w:rPr>
        <w:t>Section 10.3</w:t>
      </w:r>
      <w:r>
        <w:rPr>
          <w:rFonts w:ascii="Times New Roman" w:hAnsi="Times New Roman"/>
          <w:b w:val="false"/>
          <w:sz w:val="17"/>
        </w:rPr>
        <w:t>, declare or pay any dividends or other distributions on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30</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Heading4"/>
        <w:spacing w:before="0" w:after="0"/>
        <w:ind w:left="0" w:right="0" w:hanging="0"/>
        <w:rPr>
          <w:rFonts w:ascii="Times New Roman" w:hAnsi="Times New Roman"/>
          <w:b w:val="false"/>
          <w:sz w:val="17"/>
        </w:rPr>
      </w:pPr>
      <w:r>
        <w:rPr>
          <w:rFonts w:ascii="Times New Roman" w:hAnsi="Times New Roman"/>
          <w:b w:val="false"/>
          <w:sz w:val="17"/>
        </w:rPr>
        <w:t>the Membership Interests or on the equity interests of any Subsidiary of the Company that is not a Wholly-owned Subsidiary.</w:t>
      </w:r>
    </w:p>
    <w:p>
      <w:pPr>
        <w:pStyle w:val="Heading4"/>
        <w:spacing w:before="0" w:after="0"/>
        <w:ind w:left="0" w:right="0" w:hanging="0"/>
        <w:rPr/>
      </w:pPr>
      <w:r>
        <w:rPr/>
        <w:t> </w:t>
      </w:r>
    </w:p>
    <w:p>
      <w:pPr>
        <w:pStyle w:val="TextBody"/>
        <w:spacing w:before="0" w:after="0"/>
        <w:ind w:left="0" w:right="0" w:hanging="0"/>
        <w:rPr>
          <w:rFonts w:ascii="Times New Roman" w:hAnsi="Times New Roman"/>
          <w:sz w:val="17"/>
        </w:rPr>
      </w:pPr>
      <w:bookmarkStart w:id="51" w:name="a7_12_222953"/>
      <w:bookmarkEnd w:id="51"/>
      <w:r>
        <w:rPr>
          <w:rFonts w:ascii="Times New Roman" w:hAnsi="Times New Roman"/>
          <w:sz w:val="17"/>
        </w:rPr>
        <w:t xml:space="preserve">7.12         </w:t>
      </w:r>
      <w:r>
        <w:rPr>
          <w:rFonts w:ascii="Times New Roman" w:hAnsi="Times New Roman"/>
          <w:sz w:val="17"/>
          <w:u w:val="single"/>
        </w:rPr>
        <w:t>Disputes between a Member and the Company</w:t>
      </w:r>
      <w:r>
        <w:rPr>
          <w:rFonts w:ascii="Times New Roman" w:hAnsi="Times New Roman"/>
          <w:sz w:val="17"/>
        </w:rPr>
        <w:t>. Notwithstanding anything in this Agreement to the contrary, in the event of any claim or dispute between the Manager or any of its Affiliates, on the one hand, and the Company or any of its Subsidiaries, on the other hand, or the exercise of any right of the Company under this Agreement in respect of the Manager or any of its Affiliates, the Initial Member that is not the Manager (or an Affiliate of the Manager) shall have the right to direct and control the Companys or such Subsidiarys prosecution or defense of any litigation or claim with, by or against, or exercise of the rights of the Company under this Agreement in respect of, the Manager or any of its Affiliates.</w:t>
      </w:r>
    </w:p>
    <w:p>
      <w:pPr>
        <w:pStyle w:val="TextBody"/>
        <w:spacing w:before="0" w:after="0"/>
        <w:ind w:left="0" w:right="0" w:hanging="0"/>
        <w:rPr/>
      </w:pPr>
      <w:r>
        <w:rPr/>
        <w:t> </w:t>
      </w:r>
    </w:p>
    <w:p>
      <w:pPr>
        <w:pStyle w:val="Heading1"/>
        <w:spacing w:before="0" w:after="0"/>
        <w:ind w:left="0" w:right="0" w:hanging="0"/>
        <w:rPr>
          <w:rFonts w:ascii="Times New Roman" w:hAnsi="Times New Roman"/>
          <w:b/>
          <w:sz w:val="17"/>
        </w:rPr>
      </w:pPr>
      <w:bookmarkStart w:id="52" w:name="Article8_222955"/>
      <w:bookmarkEnd w:id="52"/>
      <w:r>
        <w:rPr>
          <w:rFonts w:ascii="Times New Roman" w:hAnsi="Times New Roman"/>
          <w:b/>
          <w:sz w:val="17"/>
        </w:rPr>
        <w:t>ARTICLE 8</w:t>
        <w:br/>
        <w:t>DUTIES; LIABILITY AND INDEMNIFICATION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bookmarkStart w:id="53" w:name="a8_1_222959"/>
      <w:bookmarkEnd w:id="53"/>
      <w:r>
        <w:rPr>
          <w:rFonts w:ascii="Times New Roman" w:hAnsi="Times New Roman"/>
          <w:sz w:val="17"/>
        </w:rPr>
        <w:t xml:space="preserve">8.1           </w:t>
      </w:r>
      <w:r>
        <w:rPr>
          <w:rFonts w:ascii="Times New Roman" w:hAnsi="Times New Roman"/>
          <w:sz w:val="17"/>
          <w:u w:val="single"/>
        </w:rPr>
        <w:t xml:space="preserve">Duties of Managers, Members and Directors </w:t>
      </w:r>
    </w:p>
    <w:p>
      <w:pPr>
        <w:pStyle w:val="TextBody"/>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 xml:space="preserve">(a)           </w:t>
      </w:r>
      <w:r>
        <w:rPr>
          <w:rFonts w:ascii="Times New Roman" w:hAnsi="Times New Roman"/>
          <w:b w:val="false"/>
          <w:i/>
          <w:sz w:val="17"/>
        </w:rPr>
        <w:t>Duty of Loyalty</w:t>
      </w:r>
      <w:r>
        <w:rPr>
          <w:rFonts w:ascii="Times New Roman" w:hAnsi="Times New Roman"/>
          <w:b w:val="false"/>
          <w:sz w:val="17"/>
        </w:rPr>
        <w:t xml:space="preserve">.  The Members agree that except as expressly provided in </w:t>
      </w:r>
      <w:r>
        <w:rPr>
          <w:rFonts w:ascii="Times New Roman" w:hAnsi="Times New Roman"/>
          <w:b w:val="false"/>
          <w:sz w:val="17"/>
          <w:u w:val="single"/>
        </w:rPr>
        <w:t>Article 13</w:t>
      </w:r>
      <w:r>
        <w:rPr>
          <w:rFonts w:ascii="Times New Roman" w:hAnsi="Times New Roman"/>
          <w:b w:val="false"/>
          <w:sz w:val="17"/>
        </w:rPr>
        <w:t xml:space="preserve">, nothing in this Agreement (or in the Act as it applies to this Agreement) shall restrict the Members and their Affiliates (including, if applicable, the Manager) from engaging or investing in, independently or with others, any business activity of any type or description, including those that might be the same as or similar to the Companys business and that might be in direct or indirect competition with the Company.  Except as expressly provided in </w:t>
      </w:r>
      <w:r>
        <w:rPr>
          <w:rFonts w:ascii="Times New Roman" w:hAnsi="Times New Roman"/>
          <w:b w:val="false"/>
          <w:sz w:val="17"/>
          <w:u w:val="single"/>
        </w:rPr>
        <w:t>Article 13</w:t>
      </w:r>
      <w:r>
        <w:rPr>
          <w:rFonts w:ascii="Times New Roman" w:hAnsi="Times New Roman"/>
          <w:b w:val="false"/>
          <w:sz w:val="17"/>
        </w:rPr>
        <w:t xml:space="preserve">, neither the Company nor any other Member shall have any right in or to such other ventures or activities or to the income or proceeds derived therefrom.  Except as expressly provided in </w:t>
      </w:r>
      <w:r>
        <w:rPr>
          <w:rFonts w:ascii="Times New Roman" w:hAnsi="Times New Roman"/>
          <w:b w:val="false"/>
          <w:sz w:val="17"/>
          <w:u w:val="single"/>
        </w:rPr>
        <w:t>Article 13</w:t>
      </w:r>
      <w:r>
        <w:rPr>
          <w:rFonts w:ascii="Times New Roman" w:hAnsi="Times New Roman"/>
          <w:b w:val="false"/>
          <w:sz w:val="17"/>
        </w:rPr>
        <w:t xml:space="preserve">, neither any Member nor the Manager shall be obligated to present any investment opportunity or prospective economic advantage to the Company, even if the opportunity is of the character that, if presented to the Company, could be taken by the Company.  Except as expressly provided in </w:t>
      </w:r>
      <w:r>
        <w:rPr>
          <w:rFonts w:ascii="Times New Roman" w:hAnsi="Times New Roman"/>
          <w:b w:val="false"/>
          <w:sz w:val="17"/>
          <w:u w:val="single"/>
        </w:rPr>
        <w:t>Article 13</w:t>
      </w:r>
      <w:r>
        <w:rPr>
          <w:rFonts w:ascii="Times New Roman" w:hAnsi="Times New Roman"/>
          <w:b w:val="false"/>
          <w:sz w:val="17"/>
        </w:rPr>
        <w:t>, the Members and the Manager shall have the right to hold any investment opportunity or prospective economic advantage for their own account or to recommend such opportunity to Persons other than the Company.  Each Member acknowledges that the other Members and their Affiliates (including, if applicable, the Manager) conduct other businesses, including businesses that may compete with the Company and for the Members time.  Each Member hereby waives any and all rights and claims that it may otherwise have under this Agreement (or the Act as it applies to this Agreement) against the other Members and their Affiliates (including, if applicable, the Manager) as a result of any of such activities.  No Member of the Company shall be required to manage the Company as such Members sole and exclusive function.  The parties hereby agree and acknowledge that the members of the Board shall be entitled to act solely in the interest of the Member that appointed them.</w:t>
      </w:r>
    </w:p>
    <w:p>
      <w:pPr>
        <w:pStyle w:val="Heading3"/>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 xml:space="preserve">(b)           </w:t>
      </w:r>
      <w:r>
        <w:rPr>
          <w:rFonts w:ascii="Times New Roman" w:hAnsi="Times New Roman"/>
          <w:b w:val="false"/>
          <w:i/>
          <w:sz w:val="17"/>
        </w:rPr>
        <w:t>Duty of Care</w:t>
      </w:r>
      <w:r>
        <w:rPr>
          <w:rFonts w:ascii="Times New Roman" w:hAnsi="Times New Roman"/>
          <w:b w:val="false"/>
          <w:sz w:val="17"/>
        </w:rPr>
        <w:t xml:space="preserve">.  The purpose of this </w:t>
      </w:r>
      <w:r>
        <w:rPr>
          <w:rFonts w:ascii="Times New Roman" w:hAnsi="Times New Roman"/>
          <w:b w:val="false"/>
          <w:sz w:val="17"/>
          <w:u w:val="single"/>
        </w:rPr>
        <w:t>Section 8.1(b) </w:t>
      </w:r>
      <w:r>
        <w:rPr>
          <w:rFonts w:ascii="Times New Roman" w:hAnsi="Times New Roman"/>
          <w:b w:val="false"/>
          <w:sz w:val="17"/>
        </w:rPr>
        <w:t xml:space="preserve">is to set forth the agreement between the Members with respect to the duty of care that the Manager owes to the Members and to the Company.  The Members hereby agree that such duty of care consists solely of the duty to act with such care as would not constitute gross negligence, willful misconduct or actual fraud.  THE MANAGER SHALL BE LIABLE TO THE COMPANY AND THE OTHER MEMBERS AND THEIR RESPECTIVE AFFILIATES FOR ITS (OR IF IT SHALL HAVE MADE A DELEGATION TO ANY OF ITS AFFILIATES PURSUANT TO </w:t>
      </w:r>
      <w:r>
        <w:rPr>
          <w:rFonts w:ascii="Times New Roman" w:hAnsi="Times New Roman"/>
          <w:b w:val="false"/>
          <w:sz w:val="17"/>
          <w:u w:val="single"/>
        </w:rPr>
        <w:t>SECTION 7.1(d)</w:t>
      </w:r>
      <w:r>
        <w:rPr>
          <w:rFonts w:ascii="Times New Roman" w:hAnsi="Times New Roman"/>
          <w:b w:val="false"/>
          <w:sz w:val="17"/>
        </w:rPr>
        <w: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31</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SUCH AFFILIATES) GROSS NEGLIGENCE, WILLFUL MISCONDUCT OR ACTUAL FRAUD IN THE PERFORMANCE OF THE ADMINISTRATIVE SERVICES AND THE DUTIES DELEGATED TO IT IN THIS AGREEMENT; BUT THE MANAGER, ITS REPRESENTATIVE, ITS AFFILIATES AND THEIR RESPECTIVE DIRECTORS, OFFICERS, EMPLOYEES AND AGENTS (THE </w:t>
      </w:r>
      <w:r>
        <w:rPr>
          <w:rFonts w:ascii="Times New Roman" w:hAnsi="Times New Roman"/>
          <w:b/>
          <w:i/>
          <w:sz w:val="17"/>
        </w:rPr>
        <w:t>MANAGER INDEMNIFIED PARTIES</w:t>
      </w:r>
      <w:r>
        <w:rPr>
          <w:rFonts w:ascii="Times New Roman" w:hAnsi="Times New Roman"/>
          <w:b w:val="false"/>
          <w:sz w:val="17"/>
        </w:rPr>
        <w:t>) SHALL NOT BE LIABLE TO THE COMPANY, ANY OTHER MEMBER OR REPRESENTATIVE, OR ANY OFFICER OR EMPLOYEE OF THE COMPANY FOR ANY ACTS OR OMISSIONS THAT DO NOT CONSTITUTE GROSS NEGLIGENCE, WILLFUL MISCONDUCT OR ACTUAL FRAUD, INCLUDING THE ORDINARY NEGLIGENCE, STRICT LIABILITY OR OTHER FAULT OR RESPONSIBILITY (SHORT OF GROSS NEGLIGENCE, WILLFUL MISCONDUCT OR ACTUAL FRAUD) OF THE MANAGER OR ITS REPRESENTATIVE (THE </w:t>
      </w:r>
      <w:r>
        <w:rPr>
          <w:rFonts w:ascii="Times New Roman" w:hAnsi="Times New Roman"/>
          <w:b/>
          <w:i/>
          <w:sz w:val="17"/>
        </w:rPr>
        <w:t>MANAGER INDEMNIFIED ACTS</w:t>
      </w:r>
      <w:r>
        <w:rPr>
          <w:rFonts w:ascii="Times New Roman" w:hAnsi="Times New Roman"/>
          <w:b w:val="false"/>
          <w:sz w:val="17"/>
        </w:rPr>
        <w:t>); AND THE COMPANY SHALL INDEMNIFY, PROTECT, DEFEND, RELEASE AND HOLD HARMLESS EACH MANAGER INDEMNIFIED PARTY FROM AND AGAINST ANY CLAIMS ASSERTED BY OR ON BEHALF OF ANY PERSON (INCLUDING ANOTHER MEMBER) THAT ARISE OUT OF, RELATE TO OR ARE OTHERWISE ATTRIBUTABLE TO, DIRECTLY OR INDIRECTLY, THE MANAGER INDEMNIFIED ACTS.</w:t>
      </w:r>
    </w:p>
    <w:p>
      <w:pPr>
        <w:pStyle w:val="Heading3"/>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 xml:space="preserve">(c)           </w:t>
      </w:r>
      <w:r>
        <w:rPr>
          <w:rFonts w:ascii="Times New Roman" w:hAnsi="Times New Roman"/>
          <w:b w:val="false"/>
          <w:i/>
          <w:sz w:val="17"/>
        </w:rPr>
        <w:t>Disclaimer of Duties</w:t>
      </w:r>
      <w:r>
        <w:rPr>
          <w:rFonts w:ascii="Times New Roman" w:hAnsi="Times New Roman"/>
          <w:b w:val="false"/>
          <w:sz w:val="17"/>
        </w:rPr>
        <w:t xml:space="preserve">.  WITH RESPECT TO ANY VOTE, CONSENT OR APPROVAL AT ANY MEETING OF THE MEMBERS OR THE BOARD OR OTHERWISE UNDER THIS AGREEMENT (OTHER THAN ACTIONS OF THE MANAGER IN ITS CAPACITY AS SUCH), EACH MEMBER (AND ITS DIRECTORS AND AUTHORIZED REPRESENTATIVES ACTING ON ITS BEHALF) MAY GRANT OR WITHHOLD SUCH VOTE, CONSENT OR APPROVAL (A) IN ITS SOLE AND ABSOLUTE DISCRETION, (B) WITH OR WITHOUT CAUSE, (C) SUBJECT TO SUCH CONDITIONS AS IT SHALL DEEM APPROPRIATE, AND (D) WITHOUT TAKING INTO ACCOUNT THE INTERESTS OF, AND WITHOUT INCURRING LIABILITY TO, THE COMPANY, ANY OTHER MEMBER, DIRECTOR OR AUTHORIZED REPRESENTATIVE, OR ANY OFFICER OR EMPLOYEE OF THE COMPANY.  THE PROVISIONS OF THIS </w:t>
      </w:r>
      <w:r>
        <w:rPr>
          <w:rFonts w:ascii="Times New Roman" w:hAnsi="Times New Roman"/>
          <w:b w:val="false"/>
          <w:sz w:val="17"/>
          <w:u w:val="single"/>
        </w:rPr>
        <w:t>SECTION 8.1(c) </w:t>
      </w:r>
      <w:r>
        <w:rPr>
          <w:rFonts w:ascii="Times New Roman" w:hAnsi="Times New Roman"/>
          <w:b w:val="false"/>
          <w:sz w:val="17"/>
        </w:rPr>
        <w:t>SHALL APPLY NOTWITHSTANDING THE NEGLIGENCE, GROSS NEGLIGENCE, WILLFUL MISCONDUCT, STRICT LIABILITY OR OTHER FAULT OR RESPONSIBILITY OF A MEMBER OR ITS DIRECTOR OR AUTHORIZED REPRESENTATIVE.</w:t>
      </w:r>
    </w:p>
    <w:p>
      <w:pPr>
        <w:pStyle w:val="Heading3"/>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 xml:space="preserve">(d)           </w:t>
      </w:r>
      <w:r>
        <w:rPr>
          <w:rFonts w:ascii="Times New Roman" w:hAnsi="Times New Roman"/>
          <w:b w:val="false"/>
          <w:i/>
          <w:sz w:val="17"/>
        </w:rPr>
        <w:t>Totality of Duties</w:t>
      </w:r>
      <w:r>
        <w:rPr>
          <w:rFonts w:ascii="Times New Roman" w:hAnsi="Times New Roman"/>
          <w:b w:val="false"/>
          <w:sz w:val="17"/>
        </w:rPr>
        <w:t>.  Without limiting the generality of the foregoing, to the fullest extent permitted by Section 18-1101(c) of the Act, the Members agree that the foregoing subsections (a) and (b) describe in totality the fiduciary duties of the Manager to the Company and its Members, and of the Members to each other, and that the fiduciary duties of the Manager to the Company and its Members, or the Members to each other, shall not be those of a director to a corporation and its shareholders under the Delaware General Corporation Law or those of a partner to a partnership and its partners.</w:t>
      </w:r>
    </w:p>
    <w:p>
      <w:pPr>
        <w:pStyle w:val="Heading3"/>
        <w:spacing w:before="0" w:after="0"/>
        <w:ind w:left="0" w:right="0" w:hanging="0"/>
        <w:rPr/>
      </w:pPr>
      <w:r>
        <w:rPr/>
        <w:t> </w:t>
      </w:r>
    </w:p>
    <w:p>
      <w:pPr>
        <w:pStyle w:val="TextBody"/>
        <w:spacing w:before="0" w:after="0"/>
        <w:ind w:left="0" w:right="0" w:hanging="0"/>
        <w:rPr>
          <w:rFonts w:ascii="Times New Roman" w:hAnsi="Times New Roman"/>
          <w:sz w:val="17"/>
        </w:rPr>
      </w:pPr>
      <w:bookmarkStart w:id="54" w:name="a8_2_223007"/>
      <w:bookmarkEnd w:id="54"/>
      <w:r>
        <w:rPr>
          <w:rFonts w:ascii="Times New Roman" w:hAnsi="Times New Roman"/>
          <w:sz w:val="17"/>
        </w:rPr>
        <w:t xml:space="preserve">8.2           </w:t>
      </w:r>
      <w:r>
        <w:rPr>
          <w:rFonts w:ascii="Times New Roman" w:hAnsi="Times New Roman"/>
          <w:sz w:val="17"/>
          <w:u w:val="single"/>
        </w:rPr>
        <w:t>Limitation on Liability of Directors and Officers</w:t>
      </w:r>
      <w:r>
        <w:rPr>
          <w:rFonts w:ascii="Times New Roman" w:hAnsi="Times New Roman"/>
          <w:sz w:val="17"/>
        </w:rPr>
        <w:t>.  No Director, Authorized Representative or Officer shall have any liability to the Company or the Members for any losses sustained or liabilities incurred as a result of any act or omission of such Director, Authorized Representative or Officer in connection with the conduct of the business of the Company if, (i) in the case of an Officer (other than an Officer that also is an officer of the Manager), the Officer acted in good faith in a manner he or she reasonably believed to be in, or not opposed to, the best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32</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interests of the Company or applicable law and to be within the scope of his or her authority and (ii) in the case of a Director, Authorized Representative or Officer, the conduct did not constitute bad faith, actual fraud, gross negligence or willful misconduct.  To the fullest extent permitted by Section 18-1101(c) of the Act, a Director or Authorized Representative, in performing his or her obligations under this Agreement, shall be entitled to act or omit to act at the direction of the Member who designated such Director or Authorized Representative, considering only such factors, including the separate interests of the designating Member, as such Director or Authorized Representative or the designating Member chooses to consider, and any action of a Director or Authorized Representative or failure to act, taken or omitted in good faith reliance on the foregoing provisions of this </w:t>
      </w:r>
      <w:r>
        <w:rPr>
          <w:rFonts w:ascii="Times New Roman" w:hAnsi="Times New Roman"/>
          <w:sz w:val="17"/>
          <w:u w:val="single"/>
        </w:rPr>
        <w:t>Section 8.2</w:t>
      </w:r>
      <w:r>
        <w:rPr>
          <w:rFonts w:ascii="Times New Roman" w:hAnsi="Times New Roman"/>
          <w:sz w:val="17"/>
        </w:rPr>
        <w:t xml:space="preserve"> shall not constitute a breach of any duty including any fiduciary duty on the part of the Director or Authorized Representative or designating Member to the Company or any other Member, Director or Authorized Representative.  Except as required by the Act, the Companys debts, obligations, and liabilities, whether arising in contract, tort or otherwise, shall be solely the debts, obligations and liabilities of the Company, and no Officer, Member, Director or Authorized Representative shall be personally responsible for any such debt, obligation or liability of the Company solely by reason of being an Officer, Member, Director or Authorized Representative.  The Members shall be liable to the Company for the Capital Contributions specified in </w:t>
      </w:r>
      <w:r>
        <w:rPr>
          <w:rFonts w:ascii="Times New Roman" w:hAnsi="Times New Roman"/>
          <w:sz w:val="17"/>
          <w:u w:val="single"/>
        </w:rPr>
        <w:t>Section 3.1</w:t>
      </w:r>
      <w:r>
        <w:rPr>
          <w:rFonts w:ascii="Times New Roman" w:hAnsi="Times New Roman"/>
          <w:sz w:val="17"/>
        </w:rPr>
        <w:t xml:space="preserve"> and </w:t>
      </w:r>
      <w:r>
        <w:rPr>
          <w:rFonts w:ascii="Times New Roman" w:hAnsi="Times New Roman"/>
          <w:sz w:val="17"/>
          <w:u w:val="single"/>
        </w:rPr>
        <w:t>Section 3.2(c)</w:t>
      </w:r>
      <w:r>
        <w:rPr>
          <w:rFonts w:ascii="Times New Roman" w:hAnsi="Times New Roman"/>
          <w:sz w:val="17"/>
        </w:rPr>
        <w:t>.  No Member shall be responsible for any debts, obligations or liabilities, whether arising in contract, tort or otherwise, of any other Member.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bookmarkStart w:id="55" w:name="a8_3_223009"/>
      <w:bookmarkEnd w:id="55"/>
      <w:r>
        <w:rPr>
          <w:rFonts w:ascii="Times New Roman" w:hAnsi="Times New Roman"/>
          <w:sz w:val="17"/>
        </w:rPr>
        <w:t xml:space="preserve">8.3           </w:t>
      </w:r>
      <w:r>
        <w:rPr>
          <w:rFonts w:ascii="Times New Roman" w:hAnsi="Times New Roman"/>
          <w:sz w:val="17"/>
          <w:u w:val="single"/>
        </w:rPr>
        <w:t>Indemnification</w:t>
      </w:r>
      <w:r>
        <w:rPr>
          <w:rFonts w:ascii="Times New Roman" w:hAnsi="Times New Roman"/>
          <w:sz w:val="17"/>
        </w:rPr>
        <w:t>.</w:t>
      </w:r>
    </w:p>
    <w:p>
      <w:pPr>
        <w:pStyle w:val="TextBody"/>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(a)           The Company shall indemnify and hold harmless the Members (when not acting in violation of this Agreement or applicable law), Directors, Officers and Authorized Representatives (individually a </w:t>
      </w:r>
      <w:r>
        <w:rPr>
          <w:rFonts w:ascii="Times New Roman" w:hAnsi="Times New Roman"/>
          <w:b/>
          <w:i/>
          <w:sz w:val="17"/>
        </w:rPr>
        <w:t>Company Affiliate</w:t>
      </w:r>
      <w:r>
        <w:rPr>
          <w:rFonts w:ascii="Times New Roman" w:hAnsi="Times New Roman"/>
          <w:b w:val="false"/>
          <w:sz w:val="17"/>
        </w:rPr>
        <w:t xml:space="preserve">) from and against any and all losses, claims, demands, costs, damages, liabilities, expenses of any nature (including reasonable attorneys fees and disbursements), judgments, fines, settlements and other amounts arising from any and all claims, demands, actions, suits or proceedings, civil, criminal, administrative or investigative, in which a Company Affiliate may be involved, or threatened to be involved, as a party or otherwise, by reason of his, her or its status as a Company Affiliate, regardless of whether a Company Affiliate continues to be a Company Affiliate at the time any such liability or expense is paid or incurred, if such Company Affiliate acted in a manner consistent with its obligations under this Agreement (including this </w:t>
      </w:r>
      <w:r>
        <w:rPr>
          <w:rFonts w:ascii="Times New Roman" w:hAnsi="Times New Roman"/>
          <w:b w:val="false"/>
          <w:sz w:val="17"/>
          <w:u w:val="single"/>
        </w:rPr>
        <w:t>Article 8</w:t>
      </w:r>
      <w:r>
        <w:rPr>
          <w:rFonts w:ascii="Times New Roman" w:hAnsi="Times New Roman"/>
          <w:b w:val="false"/>
          <w:sz w:val="17"/>
        </w:rPr>
        <w:t>) and with respect to any criminal proceeding, had no reason to believe his, her or its conduct was unlawful.</w:t>
      </w:r>
    </w:p>
    <w:p>
      <w:pPr>
        <w:pStyle w:val="Heading3"/>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 xml:space="preserve">(b)           Expenses incurred by a Company Affiliate in defending any claim, demand, action, suit or proceeding subject to </w:t>
      </w:r>
      <w:r>
        <w:rPr>
          <w:rFonts w:ascii="Times New Roman" w:hAnsi="Times New Roman"/>
          <w:b w:val="false"/>
          <w:sz w:val="17"/>
          <w:u w:val="single"/>
        </w:rPr>
        <w:t>Section 8.3(a) </w:t>
      </w:r>
      <w:r>
        <w:rPr>
          <w:rFonts w:ascii="Times New Roman" w:hAnsi="Times New Roman"/>
          <w:b w:val="false"/>
          <w:sz w:val="17"/>
        </w:rPr>
        <w:t xml:space="preserve">shall, from time to time, be advanced by the Company prior to the final disposition of such claim, demand, action, suit or proceeding upon receipt by the Company of an undertaking by or on behalf of the Company Affiliate to repay such amounts if it is ultimately determined that the Company Affiliate is not entitled to be indemnified as authorized in this </w:t>
      </w:r>
      <w:r>
        <w:rPr>
          <w:rFonts w:ascii="Times New Roman" w:hAnsi="Times New Roman"/>
          <w:b w:val="false"/>
          <w:sz w:val="17"/>
          <w:u w:val="single"/>
        </w:rPr>
        <w:t>Section 8.3</w:t>
      </w:r>
      <w:r>
        <w:rPr>
          <w:rFonts w:ascii="Times New Roman" w:hAnsi="Times New Roman"/>
          <w:b w:val="false"/>
          <w:sz w:val="17"/>
        </w:rPr>
        <w:t>.</w:t>
      </w:r>
    </w:p>
    <w:p>
      <w:pPr>
        <w:pStyle w:val="Heading3"/>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 xml:space="preserve">(c)           The indemnification provided by this </w:t>
      </w:r>
      <w:r>
        <w:rPr>
          <w:rFonts w:ascii="Times New Roman" w:hAnsi="Times New Roman"/>
          <w:b w:val="false"/>
          <w:sz w:val="17"/>
          <w:u w:val="single"/>
        </w:rPr>
        <w:t>Section 8.3</w:t>
      </w:r>
      <w:r>
        <w:rPr>
          <w:rFonts w:ascii="Times New Roman" w:hAnsi="Times New Roman"/>
          <w:b w:val="false"/>
          <w:sz w:val="17"/>
        </w:rPr>
        <w:t xml:space="preserve"> shall be in addition to any other rights to which a Company Affiliate may be entitled pursuant to any approval of each of the Initial Members, as a matter of law or equity, or otherwise, and shall continue as to a Company Affiliate who has ceased to serve in such capacity and shall inure to the benefit of the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33</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heirs, successors, assigns, and administrators of such Company Affiliate.  The Company shall not be required to indemnify any Member in connection with any losses, claims, demands, actions, disputes, suits or proceedings, of any Member against any other Member.</w:t>
      </w:r>
    </w:p>
    <w:p>
      <w:pPr>
        <w:pStyle w:val="Heading3"/>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(d)           The Company may purchase and maintain directors and officers insurance or similar coverage for its Directors and Officers in such amounts and with such deductibles or self-insured retentions as determined in the sole discretion of the Manager.</w:t>
      </w:r>
    </w:p>
    <w:p>
      <w:pPr>
        <w:pStyle w:val="Heading3"/>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 xml:space="preserve">(e)           Any indemnification hereunder shall be satisfied only out of the assets of the Company, and the Members shall not be subject to personal liability by reason of the indemnification provisions under this </w:t>
      </w:r>
      <w:r>
        <w:rPr>
          <w:rFonts w:ascii="Times New Roman" w:hAnsi="Times New Roman"/>
          <w:b w:val="false"/>
          <w:sz w:val="17"/>
          <w:u w:val="single"/>
        </w:rPr>
        <w:t>Section 8.3</w:t>
      </w:r>
      <w:r>
        <w:rPr>
          <w:rFonts w:ascii="Times New Roman" w:hAnsi="Times New Roman"/>
          <w:b w:val="false"/>
          <w:sz w:val="17"/>
        </w:rPr>
        <w:t>.</w:t>
      </w:r>
    </w:p>
    <w:p>
      <w:pPr>
        <w:pStyle w:val="Heading3"/>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 xml:space="preserve">(f)            A Company Affiliate shall not be denied indemnification in whole or in part under this </w:t>
      </w:r>
      <w:r>
        <w:rPr>
          <w:rFonts w:ascii="Times New Roman" w:hAnsi="Times New Roman"/>
          <w:b w:val="false"/>
          <w:sz w:val="17"/>
          <w:u w:val="single"/>
        </w:rPr>
        <w:t>Section 8.3</w:t>
      </w:r>
      <w:r>
        <w:rPr>
          <w:rFonts w:ascii="Times New Roman" w:hAnsi="Times New Roman"/>
          <w:b w:val="false"/>
          <w:sz w:val="17"/>
        </w:rPr>
        <w:t xml:space="preserve"> because the Company Affiliate had an interest in the transaction with respect to which the indemnification applies if the transaction was otherwise permitted by the terms of this Agreement and all material facts relating to such indemnitees interest were adequately disclosed to the Board at the time the transaction was consummated.</w:t>
      </w:r>
    </w:p>
    <w:p>
      <w:pPr>
        <w:pStyle w:val="Heading3"/>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 xml:space="preserve">(g)           Subject to </w:t>
      </w:r>
      <w:r>
        <w:rPr>
          <w:rFonts w:ascii="Times New Roman" w:hAnsi="Times New Roman"/>
          <w:b w:val="false"/>
          <w:sz w:val="17"/>
          <w:u w:val="single"/>
        </w:rPr>
        <w:t>Section 8.3(c)</w:t>
      </w:r>
      <w:r>
        <w:rPr>
          <w:rFonts w:ascii="Times New Roman" w:hAnsi="Times New Roman"/>
          <w:b w:val="false"/>
          <w:sz w:val="17"/>
        </w:rPr>
        <w:t xml:space="preserve">, the provisions of this </w:t>
      </w:r>
      <w:r>
        <w:rPr>
          <w:rFonts w:ascii="Times New Roman" w:hAnsi="Times New Roman"/>
          <w:b w:val="false"/>
          <w:sz w:val="17"/>
          <w:u w:val="single"/>
        </w:rPr>
        <w:t>Section 8.3</w:t>
      </w:r>
      <w:r>
        <w:rPr>
          <w:rFonts w:ascii="Times New Roman" w:hAnsi="Times New Roman"/>
          <w:b w:val="false"/>
          <w:sz w:val="17"/>
        </w:rPr>
        <w:t xml:space="preserve"> are for the benefit of the Company Affiliates and the heirs, successors, assigns and administrators of the Company Affiliates and shall not be deemed to create any rights for the benefit of any other Persons.</w:t>
      </w:r>
    </w:p>
    <w:p>
      <w:pPr>
        <w:pStyle w:val="Heading3"/>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 xml:space="preserve">(h)           Any repeal or amendment of any provisions of this </w:t>
      </w:r>
      <w:r>
        <w:rPr>
          <w:rFonts w:ascii="Times New Roman" w:hAnsi="Times New Roman"/>
          <w:b w:val="false"/>
          <w:sz w:val="17"/>
          <w:u w:val="single"/>
        </w:rPr>
        <w:t>Section 8.3</w:t>
      </w:r>
      <w:r>
        <w:rPr>
          <w:rFonts w:ascii="Times New Roman" w:hAnsi="Times New Roman"/>
          <w:b w:val="false"/>
          <w:sz w:val="17"/>
        </w:rPr>
        <w:t xml:space="preserve"> shall be prospective only and shall not adversely affect any Company Affiliates rights existing at the time of such repeal or amendment.</w:t>
      </w:r>
    </w:p>
    <w:p>
      <w:pPr>
        <w:pStyle w:val="Heading3"/>
        <w:spacing w:before="0" w:after="0"/>
        <w:ind w:left="0" w:right="0" w:hanging="0"/>
        <w:rPr/>
      </w:pPr>
      <w:r>
        <w:rPr/>
        <w:t> </w:t>
      </w:r>
    </w:p>
    <w:p>
      <w:pPr>
        <w:pStyle w:val="Heading1"/>
        <w:spacing w:before="0" w:after="0"/>
        <w:ind w:left="0" w:right="0" w:hanging="0"/>
        <w:rPr>
          <w:rFonts w:ascii="Times New Roman" w:hAnsi="Times New Roman"/>
          <w:b/>
          <w:sz w:val="17"/>
        </w:rPr>
      </w:pPr>
      <w:bookmarkStart w:id="56" w:name="Article9_223015"/>
      <w:bookmarkEnd w:id="56"/>
      <w:r>
        <w:rPr>
          <w:rFonts w:ascii="Times New Roman" w:hAnsi="Times New Roman"/>
          <w:b/>
          <w:sz w:val="17"/>
        </w:rPr>
        <w:t>ARTICLE 9</w:t>
        <w:br/>
        <w:t>TRANSFERS OF MEMBERSHIP INTERESTS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bookmarkStart w:id="57" w:name="a9_1_223017"/>
      <w:bookmarkEnd w:id="57"/>
      <w:r>
        <w:rPr>
          <w:rFonts w:ascii="Times New Roman" w:hAnsi="Times New Roman"/>
          <w:sz w:val="17"/>
        </w:rPr>
        <w:t xml:space="preserve">9.1           </w:t>
      </w:r>
      <w:r>
        <w:rPr>
          <w:rFonts w:ascii="Times New Roman" w:hAnsi="Times New Roman"/>
          <w:sz w:val="17"/>
          <w:u w:val="single"/>
        </w:rPr>
        <w:t>General Restrictions</w:t>
      </w:r>
      <w:r>
        <w:rPr>
          <w:rFonts w:ascii="Times New Roman" w:hAnsi="Times New Roman"/>
          <w:sz w:val="17"/>
        </w:rPr>
        <w:t>.</w:t>
      </w:r>
    </w:p>
    <w:p>
      <w:pPr>
        <w:pStyle w:val="TextBody"/>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 xml:space="preserve">(a)           Prior to substantial completion of construction of the Project (as determined under the principal engineering, procurement and construction contract for the Project), no Member may Transfer all or any part of such Members Membership Interest to any Person other than a Transfer of all of such Membership Interest to a Permitted Transferee pursuant to </w:t>
      </w:r>
      <w:r>
        <w:rPr>
          <w:rFonts w:ascii="Times New Roman" w:hAnsi="Times New Roman"/>
          <w:b w:val="false"/>
          <w:sz w:val="17"/>
          <w:u w:val="single"/>
        </w:rPr>
        <w:t xml:space="preserve">Section 9.2 </w:t>
      </w:r>
      <w:r>
        <w:rPr>
          <w:rFonts w:ascii="Times New Roman" w:hAnsi="Times New Roman"/>
          <w:b w:val="false"/>
          <w:sz w:val="17"/>
        </w:rPr>
        <w:t xml:space="preserve">without the prior written consent of each Initial Member.  Thereafter, no Member may Transfer all or any part of such Members Membership Interest to any Person except (i) for a Transfer of all of such Membership Interest to a Permitted Transferee pursuant to </w:t>
      </w:r>
      <w:r>
        <w:rPr>
          <w:rFonts w:ascii="Times New Roman" w:hAnsi="Times New Roman"/>
          <w:b w:val="false"/>
          <w:sz w:val="17"/>
          <w:u w:val="single"/>
        </w:rPr>
        <w:t>Section 9.2</w:t>
      </w:r>
      <w:r>
        <w:rPr>
          <w:rFonts w:ascii="Times New Roman" w:hAnsi="Times New Roman"/>
          <w:b w:val="false"/>
          <w:sz w:val="17"/>
        </w:rPr>
        <w:t xml:space="preserve">, (ii) in accordance with the terms of </w:t>
      </w:r>
      <w:r>
        <w:rPr>
          <w:rFonts w:ascii="Times New Roman" w:hAnsi="Times New Roman"/>
          <w:b w:val="false"/>
          <w:sz w:val="17"/>
          <w:u w:val="single"/>
        </w:rPr>
        <w:t>Section 9.8</w:t>
      </w:r>
      <w:r>
        <w:rPr>
          <w:rFonts w:ascii="Times New Roman" w:hAnsi="Times New Roman"/>
          <w:b w:val="false"/>
          <w:sz w:val="17"/>
        </w:rPr>
        <w:t xml:space="preserve"> or (iii) pursuant to </w:t>
      </w:r>
      <w:r>
        <w:rPr>
          <w:rFonts w:ascii="Times New Roman" w:hAnsi="Times New Roman"/>
          <w:b w:val="false"/>
          <w:sz w:val="17"/>
          <w:u w:val="single"/>
        </w:rPr>
        <w:t>Section 9.9</w:t>
      </w:r>
      <w:r>
        <w:rPr>
          <w:rFonts w:ascii="Times New Roman" w:hAnsi="Times New Roman"/>
          <w:b w:val="false"/>
          <w:sz w:val="17"/>
        </w:rPr>
        <w:t xml:space="preserve">.  Any purported Transfer of a Membership Interest or a portion thereof in violation of the terms of this Agreement shall be null and void and of no force and effect.  Except upon a Transfer of all of a Members Membership Interest in accordance with this </w:t>
      </w:r>
      <w:r>
        <w:rPr>
          <w:rFonts w:ascii="Times New Roman" w:hAnsi="Times New Roman"/>
          <w:b w:val="false"/>
          <w:sz w:val="17"/>
          <w:u w:val="single"/>
        </w:rPr>
        <w:t>Section 9.1</w:t>
      </w:r>
      <w:r>
        <w:rPr>
          <w:rFonts w:ascii="Times New Roman" w:hAnsi="Times New Roman"/>
          <w:b w:val="false"/>
          <w:sz w:val="17"/>
        </w:rPr>
        <w:t>, no Member shall have the right to withdraw as a Member of the Company.</w:t>
      </w:r>
    </w:p>
    <w:p>
      <w:pPr>
        <w:pStyle w:val="Heading3"/>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(b)           No Member shall be entitled to Transfer less than all of its Membership Interest.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34</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bookmarkStart w:id="58" w:name="a9_2_223019"/>
      <w:bookmarkEnd w:id="58"/>
      <w:r>
        <w:rPr>
          <w:rFonts w:ascii="Times New Roman" w:hAnsi="Times New Roman"/>
          <w:sz w:val="17"/>
        </w:rPr>
        <w:t xml:space="preserve">9.2           </w:t>
      </w:r>
      <w:r>
        <w:rPr>
          <w:rFonts w:ascii="Times New Roman" w:hAnsi="Times New Roman"/>
          <w:sz w:val="17"/>
          <w:u w:val="single"/>
        </w:rPr>
        <w:t>Permitted Transferees</w:t>
      </w:r>
      <w:r>
        <w:rPr>
          <w:rFonts w:ascii="Times New Roman" w:hAnsi="Times New Roman"/>
          <w:sz w:val="17"/>
        </w:rPr>
        <w:t>.</w:t>
      </w:r>
    </w:p>
    <w:p>
      <w:pPr>
        <w:pStyle w:val="TextBody"/>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 xml:space="preserve">(a)           Notwithstanding the provisions of </w:t>
      </w:r>
      <w:r>
        <w:rPr>
          <w:rFonts w:ascii="Times New Roman" w:hAnsi="Times New Roman"/>
          <w:b w:val="false"/>
          <w:sz w:val="17"/>
          <w:u w:val="single"/>
        </w:rPr>
        <w:t>Section 9.8</w:t>
      </w:r>
      <w:r>
        <w:rPr>
          <w:rFonts w:ascii="Times New Roman" w:hAnsi="Times New Roman"/>
          <w:b w:val="false"/>
          <w:sz w:val="17"/>
        </w:rPr>
        <w:t xml:space="preserve">, each Member shall have the right to Transfer (but not to substitute the transferee as a substitute Member in such Members place, except in accordance with </w:t>
      </w:r>
      <w:r>
        <w:rPr>
          <w:rFonts w:ascii="Times New Roman" w:hAnsi="Times New Roman"/>
          <w:b w:val="false"/>
          <w:sz w:val="17"/>
          <w:u w:val="single"/>
        </w:rPr>
        <w:t>Section 9.3</w:t>
      </w:r>
      <w:r>
        <w:rPr>
          <w:rFonts w:ascii="Times New Roman" w:hAnsi="Times New Roman"/>
          <w:b w:val="false"/>
          <w:sz w:val="17"/>
        </w:rPr>
        <w:t>), by a written instrument, all of a Members Membership Interest to a Permitted Transferee.  Notwithstanding the previous sentence, if the Permitted Transferee is such because it was an Affiliate of the transferring Member (the </w:t>
      </w:r>
      <w:r>
        <w:rPr>
          <w:rFonts w:ascii="Times New Roman" w:hAnsi="Times New Roman"/>
          <w:b/>
          <w:i/>
          <w:sz w:val="17"/>
        </w:rPr>
        <w:t>Base Member</w:t>
      </w:r>
      <w:r>
        <w:rPr>
          <w:rFonts w:ascii="Times New Roman" w:hAnsi="Times New Roman"/>
          <w:b w:val="false"/>
          <w:sz w:val="17"/>
        </w:rPr>
        <w:t xml:space="preserve">) at the time of such Transfer or the Transfer was a Permitted Transfer under clause (a) of the definition of Permitted Transfer and, at any time after such Transfer, such Permitted Transferee ceases to be an Affiliate of such Base Member or such Transfer or such Permitted Transferee ceases to qualify under such clause (a), then unless such transaction complies with </w:t>
      </w:r>
      <w:r>
        <w:rPr>
          <w:rFonts w:ascii="Times New Roman" w:hAnsi="Times New Roman"/>
          <w:b w:val="false"/>
          <w:sz w:val="17"/>
          <w:u w:val="single"/>
        </w:rPr>
        <w:t>Section 9.8</w:t>
      </w:r>
      <w:r>
        <w:rPr>
          <w:rFonts w:ascii="Times New Roman" w:hAnsi="Times New Roman"/>
          <w:b w:val="false"/>
          <w:sz w:val="17"/>
        </w:rPr>
        <w:t>, such Transfer shall be deemed to not be a Permitted Transfer and any Membership Interest beneficially owned by such former Affiliate or Permitted Transferee (a </w:t>
      </w:r>
      <w:r>
        <w:rPr>
          <w:rFonts w:ascii="Times New Roman" w:hAnsi="Times New Roman"/>
          <w:b/>
          <w:i/>
          <w:sz w:val="17"/>
        </w:rPr>
        <w:t>Non-Qualifying Transferee</w:t>
      </w:r>
      <w:r>
        <w:rPr>
          <w:rFonts w:ascii="Times New Roman" w:hAnsi="Times New Roman"/>
          <w:b w:val="false"/>
          <w:sz w:val="17"/>
        </w:rPr>
        <w:t xml:space="preserve">) must be transferred to such Base Member or an Affiliate of such Base Member who would be a Permitted Transferee prior to such Non-Qualifying Transferees loss of Affiliate status in respect of such Base Member or such Permitted Transferee ceasing to qualify under such clause (a), </w:t>
      </w:r>
      <w:r>
        <w:rPr>
          <w:rFonts w:ascii="Times New Roman" w:hAnsi="Times New Roman"/>
          <w:b w:val="false"/>
          <w:i/>
          <w:sz w:val="17"/>
        </w:rPr>
        <w:t>provided</w:t>
      </w:r>
      <w:r>
        <w:rPr>
          <w:rFonts w:ascii="Times New Roman" w:hAnsi="Times New Roman"/>
          <w:b w:val="false"/>
          <w:sz w:val="17"/>
        </w:rPr>
        <w:t xml:space="preserve"> that if such Transfer does not occur prior to such loss of such Affiliate or Permitted Transferee status, in addition to any remedy available to the Company for the breach of this Agreement resulting therefrom, at the election of the Company (which election, and all other rights of the Company related thereto as set forth herein, may be made and exercised at the sole discretion of the Initial Member that is not the Base Member) either (i) the Transfer to the Non-Qualifying Transferee shall be null and void and of no force and effect, such Non-Qualifying Transferee shall automatically cease to be a Member, and the Company shall be entitled to treat the Base Member (or such other Person as the Board shall reasonably determine to be the rightful owner thereof) as the holder of the Membership Interest held by such Non-Qualifying Transferee for all purposes hereunder, notwithstanding any prior registration or recognition of the transfer of such Membership Interest to such Non-Qualifying Transferee or (ii) the Company shall have the right and option to purchase all, but not less than all, of the Membership Interest owned by such Non-Qualifying Transferee for a price equal to the Called Interest Value of such Membership Interests (determined in accordance with </w:t>
      </w:r>
      <w:r>
        <w:rPr>
          <w:rFonts w:ascii="Times New Roman" w:hAnsi="Times New Roman"/>
          <w:b w:val="false"/>
          <w:sz w:val="17"/>
          <w:u w:val="single"/>
        </w:rPr>
        <w:t>Section 3.6</w:t>
      </w:r>
      <w:r>
        <w:rPr>
          <w:rFonts w:ascii="Times New Roman" w:hAnsi="Times New Roman"/>
          <w:b w:val="false"/>
          <w:sz w:val="17"/>
        </w:rPr>
        <w:t xml:space="preserve">) and on the terms and conditions contained in </w:t>
      </w:r>
      <w:r>
        <w:rPr>
          <w:rFonts w:ascii="Times New Roman" w:hAnsi="Times New Roman"/>
          <w:b w:val="false"/>
          <w:sz w:val="17"/>
          <w:u w:val="single"/>
        </w:rPr>
        <w:t>Section 9.2(d) </w:t>
      </w:r>
      <w:r>
        <w:rPr>
          <w:rFonts w:ascii="Times New Roman" w:hAnsi="Times New Roman"/>
          <w:b w:val="false"/>
          <w:sz w:val="17"/>
        </w:rPr>
        <w:t xml:space="preserve">and </w:t>
      </w:r>
      <w:r>
        <w:rPr>
          <w:rFonts w:ascii="Times New Roman" w:hAnsi="Times New Roman"/>
          <w:b w:val="false"/>
          <w:sz w:val="17"/>
          <w:u w:val="single"/>
        </w:rPr>
        <w:t>(e)</w:t>
      </w:r>
      <w:r>
        <w:rPr>
          <w:rFonts w:ascii="Times New Roman" w:hAnsi="Times New Roman"/>
          <w:b w:val="false"/>
          <w:sz w:val="17"/>
        </w:rPr>
        <w:t xml:space="preserve">; </w:t>
      </w:r>
      <w:r>
        <w:rPr>
          <w:rFonts w:ascii="Times New Roman" w:hAnsi="Times New Roman"/>
          <w:b w:val="false"/>
          <w:i/>
          <w:sz w:val="17"/>
        </w:rPr>
        <w:t>provided</w:t>
      </w:r>
      <w:r>
        <w:rPr>
          <w:rFonts w:ascii="Times New Roman" w:hAnsi="Times New Roman"/>
          <w:b w:val="false"/>
          <w:sz w:val="17"/>
        </w:rPr>
        <w:t xml:space="preserve"> that the Company exercises such right and option by giving written notice of such exercise to the Non-Qualifying Transferee and the Initial Members no later than the 90th day after the Company first receives notice from the Base Member of such Non-Qualifying Transferees loss of Affiliate or Permitted Transferee status; and </w:t>
      </w:r>
      <w:r>
        <w:rPr>
          <w:rFonts w:ascii="Times New Roman" w:hAnsi="Times New Roman"/>
          <w:b w:val="false"/>
          <w:i/>
          <w:sz w:val="17"/>
        </w:rPr>
        <w:t xml:space="preserve">provided further </w:t>
      </w:r>
      <w:r>
        <w:rPr>
          <w:rFonts w:ascii="Times New Roman" w:hAnsi="Times New Roman"/>
          <w:b w:val="false"/>
          <w:sz w:val="17"/>
        </w:rPr>
        <w:t xml:space="preserve">that if the Non-Qualifying Transferee is an Initial Member, such purchase shall not require the approval of such Initial Member pursuant to </w:t>
      </w:r>
      <w:r>
        <w:rPr>
          <w:rFonts w:ascii="Times New Roman" w:hAnsi="Times New Roman"/>
          <w:b w:val="false"/>
          <w:sz w:val="17"/>
          <w:u w:val="single"/>
        </w:rPr>
        <w:t>Section 7.11(a)(vii)</w:t>
      </w:r>
      <w:r>
        <w:rPr>
          <w:rFonts w:ascii="Times New Roman" w:hAnsi="Times New Roman"/>
          <w:b w:val="false"/>
          <w:sz w:val="17"/>
        </w:rPr>
        <w:t>.</w:t>
      </w:r>
    </w:p>
    <w:p>
      <w:pPr>
        <w:pStyle w:val="Heading3"/>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 xml:space="preserve">(b)           Unless and until admitted as a substitute Member pursuant to </w:t>
      </w:r>
      <w:r>
        <w:rPr>
          <w:rFonts w:ascii="Times New Roman" w:hAnsi="Times New Roman"/>
          <w:b w:val="false"/>
          <w:sz w:val="17"/>
          <w:u w:val="single"/>
        </w:rPr>
        <w:t>Section 9.3</w:t>
      </w:r>
      <w:r>
        <w:rPr>
          <w:rFonts w:ascii="Times New Roman" w:hAnsi="Times New Roman"/>
          <w:b w:val="false"/>
          <w:sz w:val="17"/>
        </w:rPr>
        <w:t>, a transferee of a Members Membership Interest shall be an assignee with respect to such Transferred Membership Interest and shall not be entitled to participate in the management of the business and affairs of the Company or to become, or to exercise the rights of, a Member, including the right to appoint Directors, the right to vote, the right to require any information or accounting of the Companys business, or the right to inspect the Companys books and records.  Such transferee shall only be entitled to receive the share of distributions and profits, including distributions representing the return of Capital Contributions, to which the transferor would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35</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otherwise be entitled.  The transferor shall have the right to vote such Transferred Membership Interest until the transferee is admitted to the Company as a substitute Member.</w:t>
      </w:r>
    </w:p>
    <w:p>
      <w:pPr>
        <w:pStyle w:val="Heading3"/>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 xml:space="preserve">(c)           If a Change of Control occurs with respect to Vulcan, then Vulcan shall notify the Company and PAA, and, unless all of Vulcans Membership Interest is transferred to an Affiliate of Vulcan Capital Private Equity I LLC within 30 days of such notice, the Company shall have the right and option (which option, and all other rights of the Company related thereto as set forth herein, may be made and exercised at the sole discretion of PAA) to purchase all, but not less than all, of Vulcans Membership Interest for a price equal to the Called Interest Value of such Membership Interest (determined in accordance with </w:t>
      </w:r>
      <w:r>
        <w:rPr>
          <w:rFonts w:ascii="Times New Roman" w:hAnsi="Times New Roman"/>
          <w:b w:val="false"/>
          <w:sz w:val="17"/>
          <w:u w:val="single"/>
        </w:rPr>
        <w:t>Section 3.6</w:t>
      </w:r>
      <w:r>
        <w:rPr>
          <w:rFonts w:ascii="Times New Roman" w:hAnsi="Times New Roman"/>
          <w:b w:val="false"/>
          <w:sz w:val="17"/>
        </w:rPr>
        <w:t xml:space="preserve">) and on the terms and conditions contained in </w:t>
      </w:r>
      <w:r>
        <w:rPr>
          <w:rFonts w:ascii="Times New Roman" w:hAnsi="Times New Roman"/>
          <w:b w:val="false"/>
          <w:sz w:val="17"/>
          <w:u w:val="single"/>
        </w:rPr>
        <w:t>Section 9.2(d) </w:t>
      </w:r>
      <w:r>
        <w:rPr>
          <w:rFonts w:ascii="Times New Roman" w:hAnsi="Times New Roman"/>
          <w:b w:val="false"/>
          <w:sz w:val="17"/>
        </w:rPr>
        <w:t xml:space="preserve">and </w:t>
      </w:r>
      <w:r>
        <w:rPr>
          <w:rFonts w:ascii="Times New Roman" w:hAnsi="Times New Roman"/>
          <w:b w:val="false"/>
          <w:sz w:val="17"/>
          <w:u w:val="single"/>
        </w:rPr>
        <w:t>(e)</w:t>
      </w:r>
      <w:r>
        <w:rPr>
          <w:rFonts w:ascii="Times New Roman" w:hAnsi="Times New Roman"/>
          <w:b w:val="false"/>
          <w:sz w:val="17"/>
        </w:rPr>
        <w:t xml:space="preserve">; </w:t>
      </w:r>
      <w:r>
        <w:rPr>
          <w:rFonts w:ascii="Times New Roman" w:hAnsi="Times New Roman"/>
          <w:b w:val="false"/>
          <w:i/>
          <w:sz w:val="17"/>
        </w:rPr>
        <w:t>provided</w:t>
      </w:r>
      <w:r>
        <w:rPr>
          <w:rFonts w:ascii="Times New Roman" w:hAnsi="Times New Roman"/>
          <w:b w:val="false"/>
          <w:sz w:val="17"/>
        </w:rPr>
        <w:t xml:space="preserve"> that the Company exercises such right and option by giving written notice to Vulcan no later than the 90th day after the Company first receives notice of such Change of Control from Vulcan; and </w:t>
      </w:r>
      <w:r>
        <w:rPr>
          <w:rFonts w:ascii="Times New Roman" w:hAnsi="Times New Roman"/>
          <w:b w:val="false"/>
          <w:i/>
          <w:sz w:val="17"/>
        </w:rPr>
        <w:t xml:space="preserve">provided further </w:t>
      </w:r>
      <w:r>
        <w:rPr>
          <w:rFonts w:ascii="Times New Roman" w:hAnsi="Times New Roman"/>
          <w:b w:val="false"/>
          <w:sz w:val="17"/>
        </w:rPr>
        <w:t xml:space="preserve">that such purchase shall not require the approval of Vulcan pursuant to </w:t>
      </w:r>
      <w:r>
        <w:rPr>
          <w:rFonts w:ascii="Times New Roman" w:hAnsi="Times New Roman"/>
          <w:b w:val="false"/>
          <w:sz w:val="17"/>
          <w:u w:val="single"/>
        </w:rPr>
        <w:t>Section 7.11(a)(vii)</w:t>
      </w:r>
      <w:r>
        <w:rPr>
          <w:rFonts w:ascii="Times New Roman" w:hAnsi="Times New Roman"/>
          <w:b w:val="false"/>
          <w:sz w:val="17"/>
        </w:rPr>
        <w:t>.</w:t>
      </w:r>
    </w:p>
    <w:p>
      <w:pPr>
        <w:pStyle w:val="Heading3"/>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 xml:space="preserve">(d)           Any purchase of Membership Interest pursuant to this </w:t>
      </w:r>
      <w:r>
        <w:rPr>
          <w:rFonts w:ascii="Times New Roman" w:hAnsi="Times New Roman"/>
          <w:b w:val="false"/>
          <w:sz w:val="17"/>
          <w:u w:val="single"/>
        </w:rPr>
        <w:t>Section 9.2</w:t>
      </w:r>
      <w:r>
        <w:rPr>
          <w:rFonts w:ascii="Times New Roman" w:hAnsi="Times New Roman"/>
          <w:b w:val="false"/>
          <w:sz w:val="17"/>
        </w:rPr>
        <w:t xml:space="preserve"> shall be consummated (the </w:t>
      </w:r>
      <w:r>
        <w:rPr>
          <w:rFonts w:ascii="Times New Roman" w:hAnsi="Times New Roman"/>
          <w:b/>
          <w:i/>
          <w:sz w:val="17"/>
        </w:rPr>
        <w:t>Transfer Closing</w:t>
      </w:r>
      <w:r>
        <w:rPr>
          <w:rFonts w:ascii="Times New Roman" w:hAnsi="Times New Roman"/>
          <w:b w:val="false"/>
          <w:sz w:val="17"/>
        </w:rPr>
        <w:t>) at the Companys principal office at 10:00 a.m., prevailing business time, on the date (the </w:t>
      </w:r>
      <w:r>
        <w:rPr>
          <w:rFonts w:ascii="Times New Roman" w:hAnsi="Times New Roman"/>
          <w:b/>
          <w:i/>
          <w:sz w:val="17"/>
        </w:rPr>
        <w:t>Transfer Closing Date</w:t>
      </w:r>
      <w:r>
        <w:rPr>
          <w:rFonts w:ascii="Times New Roman" w:hAnsi="Times New Roman"/>
          <w:b w:val="false"/>
          <w:sz w:val="17"/>
        </w:rPr>
        <w:t xml:space="preserve">) specified in the notice from the Company provided pursuant to </w:t>
      </w:r>
      <w:r>
        <w:rPr>
          <w:rFonts w:ascii="Times New Roman" w:hAnsi="Times New Roman"/>
          <w:b w:val="false"/>
          <w:sz w:val="17"/>
          <w:u w:val="single"/>
        </w:rPr>
        <w:t>Section 9.2(a) or (c)</w:t>
      </w:r>
      <w:r>
        <w:rPr>
          <w:rFonts w:ascii="Times New Roman" w:hAnsi="Times New Roman"/>
          <w:b w:val="false"/>
          <w:sz w:val="17"/>
        </w:rPr>
        <w:t>, as applicable, which shall be no later than the 90th day after the date of such notice.  If such date is not a Business Day, the Transfer Closing shall occur at the same time and place on and the Transfer Closing Date shall be, the next succeeding Business Day.  At the Transfer Closing, (i) the selling Initial Member shall deliver its Membership Interest duly endorsed, or accompanied by written instruments of transfer, in form and substance reasonably satisfactory to the Company, free and clear of any Encumbrances, and shall furnish such other evidence as may reasonably be necessary to effect the transfers of such Membership Interest, and (ii) the Company shall cause its books and records to reflect the Transfer.</w:t>
      </w:r>
    </w:p>
    <w:p>
      <w:pPr>
        <w:pStyle w:val="Heading3"/>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 xml:space="preserve">(e)           In the event the Company exercises its purchase right pursuant to this </w:t>
      </w:r>
      <w:r>
        <w:rPr>
          <w:rFonts w:ascii="Times New Roman" w:hAnsi="Times New Roman"/>
          <w:b w:val="false"/>
          <w:sz w:val="17"/>
          <w:u w:val="single"/>
        </w:rPr>
        <w:t>Section 9.2</w:t>
      </w:r>
      <w:r>
        <w:rPr>
          <w:rFonts w:ascii="Times New Roman" w:hAnsi="Times New Roman"/>
          <w:b w:val="false"/>
          <w:sz w:val="17"/>
        </w:rPr>
        <w:t xml:space="preserve"> and in the event a selling Initial Member fails to designate an account to receive a wire transfer or fails to deliver such Membership Interest, in proper form for transfer, on the Transfer Closing Date, the Company may elect to deposit the cash representing the purchase price (minus any escrow fees) with an escrow agent.  From and after the deposit of such adjusted purchase price, such Membership Interest shall be deemed for all purposes (including the right to vote, receive distributions and exercise rights under this Agreement) to have been transferred to the Company, the Company shall cause its books and records to reflect the Transfer, and thereafter the only right of the Initial Member shall be the right to receive payment of the purchase price (minus any escrow fees), without interest, from the escrow account.  If the proceeds of sale have not been claimed by such selling Initial Member prior to the third anniversary of the Transfer Closing Date, the escrow deposits, and all interest earned thereon, shall be returned to the Company, and such selling Initial Member shall look solely to the Company for payment of the purchase price.  The escrow agent shall not be liable for any action or inaction taken by him in good faith.</w:t>
      </w:r>
    </w:p>
    <w:p>
      <w:pPr>
        <w:pStyle w:val="Heading3"/>
        <w:spacing w:before="0" w:after="0"/>
        <w:ind w:left="0" w:right="0" w:hanging="0"/>
        <w:rPr/>
      </w:pPr>
      <w:r>
        <w:rPr/>
        <w:t> </w:t>
      </w:r>
    </w:p>
    <w:p>
      <w:pPr>
        <w:pStyle w:val="TextBody"/>
        <w:spacing w:before="0" w:after="0"/>
        <w:ind w:left="0" w:right="0" w:hanging="0"/>
        <w:rPr>
          <w:rFonts w:ascii="Times New Roman" w:hAnsi="Times New Roman"/>
          <w:sz w:val="17"/>
        </w:rPr>
      </w:pPr>
      <w:bookmarkStart w:id="59" w:name="a9_3_223023"/>
      <w:bookmarkEnd w:id="59"/>
      <w:r>
        <w:rPr>
          <w:rFonts w:ascii="Times New Roman" w:hAnsi="Times New Roman"/>
          <w:sz w:val="17"/>
        </w:rPr>
        <w:t xml:space="preserve">9.3           </w:t>
      </w:r>
      <w:r>
        <w:rPr>
          <w:rFonts w:ascii="Times New Roman" w:hAnsi="Times New Roman"/>
          <w:sz w:val="17"/>
          <w:u w:val="single"/>
        </w:rPr>
        <w:t>Substitute Members</w:t>
      </w:r>
      <w:r>
        <w:rPr>
          <w:rFonts w:ascii="Times New Roman" w:hAnsi="Times New Roman"/>
          <w:sz w:val="17"/>
        </w:rPr>
        <w:t>.  No transferee of a Members Membership Interest who is not already a Member shall become a substitute Member in place of the transferor unless and until:</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36</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 xml:space="preserve">(a)           Such Transfer is in compliance with the terms of </w:t>
      </w:r>
      <w:r>
        <w:rPr>
          <w:rFonts w:ascii="Times New Roman" w:hAnsi="Times New Roman"/>
          <w:b w:val="false"/>
          <w:sz w:val="17"/>
          <w:u w:val="single"/>
        </w:rPr>
        <w:t>Section 9.1</w:t>
      </w:r>
      <w:r>
        <w:rPr>
          <w:rFonts w:ascii="Times New Roman" w:hAnsi="Times New Roman"/>
          <w:b w:val="false"/>
          <w:sz w:val="17"/>
        </w:rPr>
        <w:t>;</w:t>
      </w:r>
    </w:p>
    <w:p>
      <w:pPr>
        <w:pStyle w:val="Heading3"/>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(b)           the transferee has executed an instrument in form and substance reasonably satisfactory to the Board accepting and adopting, and agreeing to be bound by, the terms and provisions of the Certificate and this Agreement; and</w:t>
      </w:r>
    </w:p>
    <w:p>
      <w:pPr>
        <w:pStyle w:val="Heading3"/>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(c)           the transferee has caused to be paid all reasonable expenses of the Company in connection with the admission of the transferee as a substitute Member.</w:t>
      </w:r>
    </w:p>
    <w:p>
      <w:pPr>
        <w:pStyle w:val="Heading3"/>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Upon satisfaction of all the foregoing conditions with respect to a particular transferee, the Company shall cause its books and records to reflect the admission of the transferee as a substitute Member.  If a Membership Interest is transferred to an existing Member, the Company will adjust its books and records to reflect the Percentage Interest attributable to the Membership Interest so transferred.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bookmarkStart w:id="60" w:name="a9_4_223025"/>
      <w:bookmarkEnd w:id="60"/>
      <w:r>
        <w:rPr>
          <w:rFonts w:ascii="Times New Roman" w:hAnsi="Times New Roman"/>
          <w:sz w:val="17"/>
        </w:rPr>
        <w:t xml:space="preserve">9.4           </w:t>
      </w:r>
      <w:r>
        <w:rPr>
          <w:rFonts w:ascii="Times New Roman" w:hAnsi="Times New Roman"/>
          <w:sz w:val="17"/>
          <w:u w:val="single"/>
        </w:rPr>
        <w:t>Effect of Admission as a Substitute Member</w:t>
      </w:r>
      <w:r>
        <w:rPr>
          <w:rFonts w:ascii="Times New Roman" w:hAnsi="Times New Roman"/>
          <w:sz w:val="17"/>
        </w:rPr>
        <w:t xml:space="preserve">.  A transferee who has become a substitute Member has all the rights, powers and benefits of, and is subject to the obligations, restrictions and liabilities of the transferor Member under, the Certificate, this Agreement and the Act.  Upon admission of a transferee as a substitute Member, the transferor of the Membership Interest so held by the substitute Member shall cease to be a Member of the Company; </w:t>
      </w:r>
      <w:r>
        <w:rPr>
          <w:rFonts w:ascii="Times New Roman" w:hAnsi="Times New Roman"/>
          <w:i/>
          <w:sz w:val="17"/>
        </w:rPr>
        <w:t>provided, however,</w:t>
      </w:r>
      <w:r>
        <w:rPr>
          <w:rFonts w:ascii="Times New Roman" w:hAnsi="Times New Roman"/>
          <w:sz w:val="17"/>
        </w:rPr>
        <w:t xml:space="preserve"> that the transferor of the Membership Interest shall continue to be bound by the provisions of </w:t>
      </w:r>
      <w:r>
        <w:rPr>
          <w:rFonts w:ascii="Times New Roman" w:hAnsi="Times New Roman"/>
          <w:sz w:val="17"/>
          <w:u w:val="single"/>
        </w:rPr>
        <w:t>Section 12.6</w:t>
      </w:r>
      <w:r>
        <w:rPr>
          <w:rFonts w:ascii="Times New Roman" w:hAnsi="Times New Roman"/>
          <w:sz w:val="17"/>
        </w:rPr>
        <w:t xml:space="preserve"> for a period of two years following such transfer.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bookmarkStart w:id="61" w:name="a9_5_223026"/>
      <w:bookmarkEnd w:id="61"/>
      <w:r>
        <w:rPr>
          <w:rFonts w:ascii="Times New Roman" w:hAnsi="Times New Roman"/>
          <w:sz w:val="17"/>
        </w:rPr>
        <w:t xml:space="preserve">9.5           </w:t>
      </w:r>
      <w:r>
        <w:rPr>
          <w:rFonts w:ascii="Times New Roman" w:hAnsi="Times New Roman"/>
          <w:sz w:val="17"/>
          <w:u w:val="single"/>
        </w:rPr>
        <w:t>Consent</w:t>
      </w:r>
      <w:r>
        <w:rPr>
          <w:rFonts w:ascii="Times New Roman" w:hAnsi="Times New Roman"/>
          <w:sz w:val="17"/>
        </w:rPr>
        <w:t xml:space="preserve">.  Each Member hereby agrees that upon satisfaction of the terms and conditions of </w:t>
      </w:r>
      <w:r>
        <w:rPr>
          <w:rFonts w:ascii="Times New Roman" w:hAnsi="Times New Roman"/>
          <w:sz w:val="17"/>
          <w:u w:val="single"/>
        </w:rPr>
        <w:t>Section 9.3</w:t>
      </w:r>
      <w:r>
        <w:rPr>
          <w:rFonts w:ascii="Times New Roman" w:hAnsi="Times New Roman"/>
          <w:sz w:val="17"/>
        </w:rPr>
        <w:t xml:space="preserve"> with respect to any proposed Transfer, the transferee may be admitted as a Member without any further action by a Member hereunder.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bookmarkStart w:id="62" w:name="a9_6_223028"/>
      <w:bookmarkEnd w:id="62"/>
      <w:r>
        <w:rPr>
          <w:rFonts w:ascii="Times New Roman" w:hAnsi="Times New Roman"/>
          <w:sz w:val="17"/>
        </w:rPr>
        <w:t xml:space="preserve">9.6           </w:t>
      </w:r>
      <w:r>
        <w:rPr>
          <w:rFonts w:ascii="Times New Roman" w:hAnsi="Times New Roman"/>
          <w:sz w:val="17"/>
          <w:u w:val="single"/>
        </w:rPr>
        <w:t>No Dissolution</w:t>
      </w:r>
      <w:r>
        <w:rPr>
          <w:rFonts w:ascii="Times New Roman" w:hAnsi="Times New Roman"/>
          <w:sz w:val="17"/>
        </w:rPr>
        <w:t xml:space="preserve">.  If a Member Transfers all of its Membership Interest pursuant to this </w:t>
      </w:r>
      <w:r>
        <w:rPr>
          <w:rFonts w:ascii="Times New Roman" w:hAnsi="Times New Roman"/>
          <w:sz w:val="17"/>
          <w:u w:val="single"/>
        </w:rPr>
        <w:t>Article 9</w:t>
      </w:r>
      <w:r>
        <w:rPr>
          <w:rFonts w:ascii="Times New Roman" w:hAnsi="Times New Roman"/>
          <w:sz w:val="17"/>
        </w:rPr>
        <w:t xml:space="preserve"> and the transferee of such Membership Interest is admitted as a Member pursuant to </w:t>
      </w:r>
      <w:r>
        <w:rPr>
          <w:rFonts w:ascii="Times New Roman" w:hAnsi="Times New Roman"/>
          <w:sz w:val="17"/>
          <w:u w:val="single"/>
        </w:rPr>
        <w:t>Section 9.3</w:t>
      </w:r>
      <w:r>
        <w:rPr>
          <w:rFonts w:ascii="Times New Roman" w:hAnsi="Times New Roman"/>
          <w:sz w:val="17"/>
        </w:rPr>
        <w:t xml:space="preserve">, such Person shall be admitted to the Company as a Member effective on the effective date of the Transfer and the Company shall not dissolve pursuant to </w:t>
      </w:r>
      <w:r>
        <w:rPr>
          <w:rFonts w:ascii="Times New Roman" w:hAnsi="Times New Roman"/>
          <w:sz w:val="17"/>
          <w:u w:val="single"/>
        </w:rPr>
        <w:t>Section 10.1</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bookmarkStart w:id="63" w:name="a9_7_223030"/>
      <w:bookmarkEnd w:id="63"/>
      <w:r>
        <w:rPr>
          <w:rFonts w:ascii="Times New Roman" w:hAnsi="Times New Roman"/>
          <w:sz w:val="17"/>
        </w:rPr>
        <w:t xml:space="preserve">9.7           </w:t>
      </w:r>
      <w:r>
        <w:rPr>
          <w:rFonts w:ascii="Times New Roman" w:hAnsi="Times New Roman"/>
          <w:sz w:val="17"/>
          <w:u w:val="single"/>
        </w:rPr>
        <w:t>Additional Members</w:t>
      </w:r>
      <w:r>
        <w:rPr>
          <w:rFonts w:ascii="Times New Roman" w:hAnsi="Times New Roman"/>
          <w:sz w:val="17"/>
        </w:rPr>
        <w:t xml:space="preserve">.  Subject to </w:t>
      </w:r>
      <w:r>
        <w:rPr>
          <w:rFonts w:ascii="Times New Roman" w:hAnsi="Times New Roman"/>
          <w:sz w:val="17"/>
          <w:u w:val="single"/>
        </w:rPr>
        <w:t>Section 3.2</w:t>
      </w:r>
      <w:r>
        <w:rPr>
          <w:rFonts w:ascii="Times New Roman" w:hAnsi="Times New Roman"/>
          <w:sz w:val="17"/>
        </w:rPr>
        <w:t xml:space="preserve"> and </w:t>
      </w:r>
      <w:r>
        <w:rPr>
          <w:rFonts w:ascii="Times New Roman" w:hAnsi="Times New Roman"/>
          <w:sz w:val="17"/>
          <w:u w:val="single"/>
        </w:rPr>
        <w:t>Section 7.11</w:t>
      </w:r>
      <w:r>
        <w:rPr>
          <w:rFonts w:ascii="Times New Roman" w:hAnsi="Times New Roman"/>
          <w:sz w:val="17"/>
        </w:rPr>
        <w:t xml:space="preserve">, any Person acquiring Membership Interests from the Company may become an additional Member of the Company for such consideration as the Board (or, in the circumstances specified in </w:t>
      </w:r>
      <w:r>
        <w:rPr>
          <w:rFonts w:ascii="Times New Roman" w:hAnsi="Times New Roman"/>
          <w:sz w:val="17"/>
          <w:u w:val="single"/>
        </w:rPr>
        <w:t>Section 3.2(d)</w:t>
      </w:r>
      <w:r>
        <w:rPr>
          <w:rFonts w:ascii="Times New Roman" w:hAnsi="Times New Roman"/>
          <w:sz w:val="17"/>
        </w:rPr>
        <w:t xml:space="preserve">, as the requesting Party) shall determine, and such Person shall have such Percentage Interest as shall be determined in accordance with </w:t>
      </w:r>
      <w:r>
        <w:rPr>
          <w:rFonts w:ascii="Times New Roman" w:hAnsi="Times New Roman"/>
          <w:sz w:val="17"/>
          <w:u w:val="single"/>
        </w:rPr>
        <w:t>Section 3.2</w:t>
      </w:r>
      <w:r>
        <w:rPr>
          <w:rFonts w:ascii="Times New Roman" w:hAnsi="Times New Roman"/>
          <w:sz w:val="17"/>
        </w:rPr>
        <w:t xml:space="preserve">, </w:t>
      </w:r>
      <w:r>
        <w:rPr>
          <w:rFonts w:ascii="Times New Roman" w:hAnsi="Times New Roman"/>
          <w:i/>
          <w:sz w:val="17"/>
        </w:rPr>
        <w:t>provided</w:t>
      </w:r>
      <w:r>
        <w:rPr>
          <w:rFonts w:ascii="Times New Roman" w:hAnsi="Times New Roman"/>
          <w:sz w:val="17"/>
        </w:rPr>
        <w:t xml:space="preserve"> that such additional Member complies with all the requirements of a transferee under </w:t>
      </w:r>
      <w:r>
        <w:rPr>
          <w:rFonts w:ascii="Times New Roman" w:hAnsi="Times New Roman"/>
          <w:sz w:val="17"/>
          <w:u w:val="single"/>
        </w:rPr>
        <w:t>Section 9.3(b) </w:t>
      </w:r>
      <w:r>
        <w:rPr>
          <w:rFonts w:ascii="Times New Roman" w:hAnsi="Times New Roman"/>
          <w:sz w:val="17"/>
        </w:rPr>
        <w:t xml:space="preserve">and </w:t>
      </w:r>
      <w:r>
        <w:rPr>
          <w:rFonts w:ascii="Times New Roman" w:hAnsi="Times New Roman"/>
          <w:sz w:val="17"/>
          <w:u w:val="single"/>
        </w:rPr>
        <w:t>(c)</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bookmarkStart w:id="64" w:name="a9_8_223031"/>
      <w:bookmarkEnd w:id="64"/>
      <w:r>
        <w:rPr>
          <w:rFonts w:ascii="Times New Roman" w:hAnsi="Times New Roman"/>
          <w:sz w:val="17"/>
        </w:rPr>
        <w:t xml:space="preserve">9.8           </w:t>
      </w:r>
      <w:r>
        <w:rPr>
          <w:rFonts w:ascii="Times New Roman" w:hAnsi="Times New Roman"/>
          <w:sz w:val="17"/>
          <w:u w:val="single"/>
        </w:rPr>
        <w:t>Right of First Offer</w:t>
      </w:r>
      <w:r>
        <w:rPr>
          <w:rFonts w:ascii="Times New Roman" w:hAnsi="Times New Roman"/>
          <w:sz w:val="17"/>
        </w:rPr>
        <w:t>.  If an Initial Member desires to Transfer its Membership Interest in whole but not in part (the </w:t>
      </w:r>
      <w:r>
        <w:rPr>
          <w:rFonts w:ascii="Times New Roman" w:hAnsi="Times New Roman"/>
          <w:b/>
          <w:i/>
          <w:sz w:val="17"/>
        </w:rPr>
        <w:t>Selling Member</w:t>
      </w:r>
      <w:r>
        <w:rPr>
          <w:rFonts w:ascii="Times New Roman" w:hAnsi="Times New Roman"/>
          <w:sz w:val="17"/>
        </w:rPr>
        <w:t>) to any third party (other than to a Permitted Transferee of the Selling Member), the Selling Member shall invite the other Initial Member (the </w:t>
      </w:r>
      <w:r>
        <w:rPr>
          <w:rFonts w:ascii="Times New Roman" w:hAnsi="Times New Roman"/>
          <w:b/>
          <w:i/>
          <w:sz w:val="17"/>
        </w:rPr>
        <w:t>Other Initial Member</w:t>
      </w:r>
      <w:r>
        <w:rPr>
          <w:rFonts w:ascii="Times New Roman" w:hAnsi="Times New Roman"/>
          <w:sz w:val="17"/>
        </w:rPr>
        <w:t>) to make a firm offer to purchase such Membership Interest by promptly notifying the Other Initial Member in writing of such desire to Transfer such Membership Interest (such notice, the </w:t>
      </w:r>
      <w:r>
        <w:rPr>
          <w:rFonts w:ascii="Times New Roman" w:hAnsi="Times New Roman"/>
          <w:b/>
          <w:i/>
          <w:sz w:val="17"/>
        </w:rPr>
        <w:t>Offer Notice</w:t>
      </w:r>
      <w:r>
        <w:rPr>
          <w:rFonts w:ascii="Times New Roman" w:hAnsi="Times New Roman"/>
          <w:sz w:val="17"/>
        </w:rPr>
        <w:t>).  The Other Initial Member shall have a period of 45 days after delivery of the Offer Notice to provide the Selling Member with a Qualifying Offer.  A </w:t>
      </w:r>
      <w:r>
        <w:rPr>
          <w:rFonts w:ascii="Times New Roman" w:hAnsi="Times New Roman"/>
          <w:b/>
          <w:i/>
          <w:sz w:val="17"/>
        </w:rPr>
        <w:t>Qualifying Offer</w:t>
      </w:r>
      <w:r>
        <w:rPr>
          <w:rFonts w:ascii="Times New Roman" w:hAnsi="Times New Roman"/>
          <w:sz w:val="17"/>
        </w:rPr>
        <w:t> means a bona fide firm written offer by the Other Initial Member to purchase all (but not less than all) of the Selling Members then outstanding</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37</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Membership Interest, which offer shall (w) be for a fixed dollar amount, payable solely in cash and/or Acceptable Marketable Securities, (x) set forth the material terms and conditions of such offer and the price or method of determining such price (the </w:t>
      </w:r>
      <w:r>
        <w:rPr>
          <w:rFonts w:ascii="Times New Roman" w:hAnsi="Times New Roman"/>
          <w:b/>
          <w:i/>
          <w:sz w:val="17"/>
        </w:rPr>
        <w:t>Offer Price</w:t>
      </w:r>
      <w:r>
        <w:rPr>
          <w:rFonts w:ascii="Times New Roman" w:hAnsi="Times New Roman"/>
          <w:sz w:val="17"/>
        </w:rPr>
        <w:t>), (y) by its terms be open and irrevocable within the Offer Option Period and (z) accompanied by either written firm, binding commitments from reputable financial institutions to provide financing for such offer or a representation by the Other Initial Member that it has sufficient funds on hand (or available through committed, undrawn borrowing capacity) to consummate the transactions contemplated by such offer, in each case to the Selling Members reasonable satisfaction.  The Selling Member shall have a period of up to 90 days (the </w:t>
      </w:r>
      <w:r>
        <w:rPr>
          <w:rFonts w:ascii="Times New Roman" w:hAnsi="Times New Roman"/>
          <w:b/>
          <w:i/>
          <w:sz w:val="17"/>
        </w:rPr>
        <w:t>Offer Option Period</w:t>
      </w:r>
      <w:r>
        <w:rPr>
          <w:rFonts w:ascii="Times New Roman" w:hAnsi="Times New Roman"/>
          <w:sz w:val="17"/>
        </w:rPr>
        <w:t xml:space="preserve">) after the receipt of a Qualifying Offer within which to notify the Other Initial Member in writing that it accepts the Qualifying Offer.  If the Selling Member gives such written notice accepting the Qualifying Offer within the Offer Option Period then the Other Initial Member shall have up to an additional 60 days after the Selling Member gives such notice to do all things necessary to consummate the transaction, including receiving consents and entering into agreements, and for the avoidance of doubt during such time the Qualifying Offer shall remain irrevocable by the Other Initial Member.  If the Other Initial Member does not make a Qualifying Offer within the requisite 45-day period after delivery of the Offer Notice, or if, having made such an offer (which has been accepted by the Selling Member), the Other Initial Member fails to consummate such transaction within the 60-day period provided above, the Selling Member may secure a bona fide offer for such Membership Interest from a third party and Transfer such Membership Interest to such third party at any price and on any terms, </w:t>
      </w:r>
      <w:r>
        <w:rPr>
          <w:rFonts w:ascii="Times New Roman" w:hAnsi="Times New Roman"/>
          <w:i/>
          <w:sz w:val="17"/>
        </w:rPr>
        <w:t>provided</w:t>
      </w:r>
      <w:r>
        <w:rPr>
          <w:rFonts w:ascii="Times New Roman" w:hAnsi="Times New Roman"/>
          <w:sz w:val="17"/>
        </w:rPr>
        <w:t xml:space="preserve"> that such Transfer to the bona fide third party is consummated within 180 days after delivery of a Qualifying Offer or the end of such 60-day period, as applicable.  In addition, following delivery of a Qualifying Offer, the Selling Member may secure a bona fide offer for such Membership Interest from a third party and Transfer such Membership Interest to such third party at a price greater than the Offer Price contained in, or is on terms which are otherwise, in the Selling Members reasonable judgment, in the aggregate superior to the terms of, the Qualifying Offer, </w:t>
      </w:r>
      <w:r>
        <w:rPr>
          <w:rFonts w:ascii="Times New Roman" w:hAnsi="Times New Roman"/>
          <w:i/>
          <w:sz w:val="17"/>
        </w:rPr>
        <w:t>provided</w:t>
      </w:r>
      <w:r>
        <w:rPr>
          <w:rFonts w:ascii="Times New Roman" w:hAnsi="Times New Roman"/>
          <w:sz w:val="17"/>
        </w:rPr>
        <w:t xml:space="preserve"> that (i) to the extent that the Qualifying Offer and/or such other bona fide offer contemplates the issuance of Acceptable Marketable Securities, then for purposes of determining the price thereof, a reasonable discount shall be applied to such Acceptable Marketable Securities based on the costs associated with liquidating such securities, and (ii) such Transfer to the bona fide third party is consummated within 180 days after the date on which such Qualifying Offer is delivered.  To the extent the Selling Member accepts a Qualifying Offer under this </w:t>
      </w:r>
      <w:r>
        <w:rPr>
          <w:rFonts w:ascii="Times New Roman" w:hAnsi="Times New Roman"/>
          <w:sz w:val="17"/>
          <w:u w:val="single"/>
        </w:rPr>
        <w:t>Section 9.8</w:t>
      </w:r>
      <w:r>
        <w:rPr>
          <w:rFonts w:ascii="Times New Roman" w:hAnsi="Times New Roman"/>
          <w:sz w:val="17"/>
        </w:rPr>
        <w:t xml:space="preserve"> and the Other Initial Member fails to consummate such transaction in breach of the obligation created by the acceptance of such offer, the foregoing shall not preclude the Selling Member from seeking from the Other Initial Member money damages and suitable relief to which it may be entitled as a result of the Other Initial Members breach.</w:t>
      </w:r>
    </w:p>
    <w:p>
      <w:pPr>
        <w:pStyle w:val="Heading3"/>
        <w:spacing w:before="0" w:after="0"/>
        <w:ind w:left="0" w:right="0" w:hanging="0"/>
        <w:rPr/>
      </w:pPr>
      <w:r>
        <w:rPr/>
        <w:t> </w:t>
      </w:r>
    </w:p>
    <w:p>
      <w:pPr>
        <w:pStyle w:val="TextBody"/>
        <w:spacing w:before="0" w:after="0"/>
        <w:ind w:left="0" w:right="0" w:hanging="0"/>
        <w:rPr>
          <w:rFonts w:ascii="Times New Roman" w:hAnsi="Times New Roman"/>
          <w:sz w:val="17"/>
        </w:rPr>
      </w:pPr>
      <w:bookmarkStart w:id="65" w:name="a9_9_223036"/>
      <w:bookmarkEnd w:id="65"/>
      <w:r>
        <w:rPr>
          <w:rFonts w:ascii="Times New Roman" w:hAnsi="Times New Roman"/>
          <w:sz w:val="17"/>
        </w:rPr>
        <w:t xml:space="preserve">9.9           </w:t>
      </w:r>
      <w:r>
        <w:rPr>
          <w:rFonts w:ascii="Times New Roman" w:hAnsi="Times New Roman"/>
          <w:sz w:val="17"/>
          <w:u w:val="single"/>
        </w:rPr>
        <w:t>Tag-Along Rights</w:t>
      </w:r>
      <w:r>
        <w:rPr>
          <w:rFonts w:ascii="Times New Roman" w:hAnsi="Times New Roman"/>
          <w:sz w:val="17"/>
        </w:rPr>
        <w:t xml:space="preserve"> </w:t>
      </w:r>
    </w:p>
    <w:p>
      <w:pPr>
        <w:pStyle w:val="TextBody"/>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 xml:space="preserve">(a)           </w:t>
      </w:r>
      <w:r>
        <w:rPr>
          <w:rFonts w:ascii="Times New Roman" w:hAnsi="Times New Roman"/>
          <w:b w:val="false"/>
          <w:i/>
          <w:sz w:val="17"/>
        </w:rPr>
        <w:t>General</w:t>
      </w:r>
      <w:r>
        <w:rPr>
          <w:rFonts w:ascii="Times New Roman" w:hAnsi="Times New Roman"/>
          <w:b w:val="false"/>
          <w:sz w:val="17"/>
        </w:rPr>
        <w:t xml:space="preserve">.  If a Selling Member proposes to Transfer its Membership Interest following compliance with </w:t>
      </w:r>
      <w:r>
        <w:rPr>
          <w:rFonts w:ascii="Times New Roman" w:hAnsi="Times New Roman"/>
          <w:b w:val="false"/>
          <w:sz w:val="17"/>
          <w:u w:val="single"/>
        </w:rPr>
        <w:t>Section 9.8</w:t>
      </w:r>
      <w:r>
        <w:rPr>
          <w:rFonts w:ascii="Times New Roman" w:hAnsi="Times New Roman"/>
          <w:b w:val="false"/>
          <w:sz w:val="17"/>
        </w:rPr>
        <w:t xml:space="preserve"> to any Person other than to a Permitted Transferee of the Selling Member or to the Other Initial Member (a </w:t>
      </w:r>
      <w:r>
        <w:rPr>
          <w:rFonts w:ascii="Times New Roman" w:hAnsi="Times New Roman"/>
          <w:b/>
          <w:i/>
          <w:sz w:val="17"/>
        </w:rPr>
        <w:t>Proposed Purchaser</w:t>
      </w:r>
      <w:r>
        <w:rPr>
          <w:rFonts w:ascii="Times New Roman" w:hAnsi="Times New Roman"/>
          <w:b w:val="false"/>
          <w:sz w:val="17"/>
        </w:rPr>
        <w:t>), then the Selling Member will promptly provide the other Members (including the Other Initial Member) written notice (a </w:t>
      </w:r>
      <w:r>
        <w:rPr>
          <w:rFonts w:ascii="Times New Roman" w:hAnsi="Times New Roman"/>
          <w:b/>
          <w:i/>
          <w:sz w:val="17"/>
        </w:rPr>
        <w:t>Transfer Notice</w:t>
      </w:r>
      <w:r>
        <w:rPr>
          <w:rFonts w:ascii="Times New Roman" w:hAnsi="Times New Roman"/>
          <w:b w:val="false"/>
          <w:sz w:val="17"/>
        </w:rPr>
        <w:t>) of such proposed Transfer (a </w:t>
      </w:r>
      <w:r>
        <w:rPr>
          <w:rFonts w:ascii="Times New Roman" w:hAnsi="Times New Roman"/>
          <w:b/>
          <w:i/>
          <w:sz w:val="17"/>
        </w:rPr>
        <w:t>Proposed Transfer</w:t>
      </w:r>
      <w:r>
        <w:rPr>
          <w:rFonts w:ascii="Times New Roman" w:hAnsi="Times New Roman"/>
          <w:b w:val="false"/>
          <w:sz w:val="17"/>
        </w:rPr>
        <w:t>) and all of the terms of the Proposed Transfer as of the date of such Transfer Notice.  If within twenty Business Days of the receipt of the Transfer Notice, the Selling Member receives a written request (a</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38</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Heading3"/>
        <w:spacing w:before="0" w:after="0"/>
        <w:ind w:left="0" w:right="0" w:hanging="0"/>
        <w:rPr>
          <w:rFonts w:ascii="Times New Roman" w:hAnsi="Times New Roman"/>
          <w:b w:val="false"/>
          <w:sz w:val="20"/>
        </w:rPr>
      </w:pPr>
      <w:r>
        <w:rPr>
          <w:rFonts w:ascii="Times New Roman" w:hAnsi="Times New Roman"/>
          <w:b w:val="false"/>
          <w:sz w:val="17"/>
        </w:rPr>
        <w:t></w:t>
      </w:r>
      <w:r>
        <w:rPr>
          <w:rFonts w:ascii="Times New Roman" w:hAnsi="Times New Roman"/>
          <w:b/>
          <w:i/>
          <w:sz w:val="17"/>
        </w:rPr>
        <w:t>Transfer Request</w:t>
      </w:r>
      <w:r>
        <w:rPr>
          <w:rFonts w:ascii="Times New Roman" w:hAnsi="Times New Roman"/>
          <w:b w:val="false"/>
          <w:sz w:val="20"/>
        </w:rPr>
        <w:t xml:space="preserve">) to include all of the Membership Interest held, directly or indirectly, by any of the other Members in the Proposed Transfer, each of the other Members shall have the right to Transfer, at the same price, on the same terms and pursuant to the same conditions as the Proposed Transfer, all of the Membership Interests owned by such Member.  If any other Member has not accepted the offer contained in the Transfer Notice by delivering a Transfer Request to the Selling Member in the required time, such other Member shall be deemed to have irrevocably waived its rights under this </w:t>
      </w:r>
      <w:r>
        <w:rPr>
          <w:rFonts w:ascii="Times New Roman" w:hAnsi="Times New Roman"/>
          <w:b w:val="false"/>
          <w:sz w:val="20"/>
          <w:u w:val="single"/>
        </w:rPr>
        <w:t>Section 9.9(a) </w:t>
      </w:r>
      <w:r>
        <w:rPr>
          <w:rFonts w:ascii="Times New Roman" w:hAnsi="Times New Roman"/>
          <w:b w:val="false"/>
          <w:sz w:val="20"/>
        </w:rPr>
        <w:t xml:space="preserve">with respect to such Proposed Transfer, and the Selling Member shall thereafter be free, for a period of 180 days from the date of the Transfer Notice (or such shorter period as may be permitted in </w:t>
      </w:r>
      <w:r>
        <w:rPr>
          <w:rFonts w:ascii="Times New Roman" w:hAnsi="Times New Roman"/>
          <w:b w:val="false"/>
          <w:sz w:val="20"/>
          <w:u w:val="single"/>
        </w:rPr>
        <w:t>Section 9.8</w:t>
      </w:r>
      <w:r>
        <w:rPr>
          <w:rFonts w:ascii="Times New Roman" w:hAnsi="Times New Roman"/>
          <w:b w:val="false"/>
          <w:sz w:val="20"/>
        </w:rPr>
        <w:t xml:space="preserve">), to transfer the Membership Interest specified in the Transfer Notice upon the same terms and conditions set forth in the Transfer Notice.  Any Transfer Request shall be irrevocable, and once received by the Selling Member, the Member making such Transfer Request shall be obligated to Transfer to the Proposed Purchaser such Members Membership Interest in accordance with this </w:t>
      </w:r>
      <w:r>
        <w:rPr>
          <w:rFonts w:ascii="Times New Roman" w:hAnsi="Times New Roman"/>
          <w:b w:val="false"/>
          <w:sz w:val="20"/>
          <w:u w:val="single"/>
        </w:rPr>
        <w:t>Section 9.9(a)</w:t>
      </w:r>
      <w:r>
        <w:rPr>
          <w:rFonts w:ascii="Times New Roman" w:hAnsi="Times New Roman"/>
          <w:b w:val="false"/>
          <w:sz w:val="20"/>
        </w:rPr>
        <w:t xml:space="preserve">.  In connection with the delivery of the Transfer Request, the Company shall cause its books and records to show that such Membership Interests are bound by the provisions of this </w:t>
      </w:r>
      <w:r>
        <w:rPr>
          <w:rFonts w:ascii="Times New Roman" w:hAnsi="Times New Roman"/>
          <w:b w:val="false"/>
          <w:sz w:val="20"/>
          <w:u w:val="single"/>
        </w:rPr>
        <w:t>Section 9.9(a) </w:t>
      </w:r>
      <w:r>
        <w:rPr>
          <w:rFonts w:ascii="Times New Roman" w:hAnsi="Times New Roman"/>
          <w:b w:val="false"/>
          <w:sz w:val="20"/>
        </w:rPr>
        <w:t xml:space="preserve">and that such Membership Interests shall be Transferred to the Proposed Purchaser identified in the Transfer Notice immediately upon surrender for Transfer by such holder.  The Selling Member shall not consummate any Proposed Transfer without compliance with this </w:t>
      </w:r>
      <w:r>
        <w:rPr>
          <w:rFonts w:ascii="Times New Roman" w:hAnsi="Times New Roman"/>
          <w:b w:val="false"/>
          <w:sz w:val="20"/>
          <w:u w:val="single"/>
        </w:rPr>
        <w:t>Section 9.9(a)</w:t>
      </w:r>
      <w:r>
        <w:rPr>
          <w:rFonts w:ascii="Times New Roman" w:hAnsi="Times New Roman"/>
          <w:b w:val="false"/>
          <w:sz w:val="20"/>
        </w:rPr>
        <w:t xml:space="preserve">, and the Company shall not recognize or give effect to any purported Transfer of any Membership Interest not made in compliance with this </w:t>
      </w:r>
      <w:r>
        <w:rPr>
          <w:rFonts w:ascii="Times New Roman" w:hAnsi="Times New Roman"/>
          <w:b w:val="false"/>
          <w:sz w:val="20"/>
          <w:u w:val="single"/>
        </w:rPr>
        <w:t>Section 9.9(a)</w:t>
      </w:r>
      <w:r>
        <w:rPr>
          <w:rFonts w:ascii="Times New Roman" w:hAnsi="Times New Roman"/>
          <w:b w:val="false"/>
          <w:sz w:val="20"/>
        </w:rPr>
        <w:t>.</w:t>
      </w:r>
    </w:p>
    <w:p>
      <w:pPr>
        <w:pStyle w:val="Heading3"/>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 xml:space="preserve">(b)           </w:t>
      </w:r>
      <w:r>
        <w:rPr>
          <w:rFonts w:ascii="Times New Roman" w:hAnsi="Times New Roman"/>
          <w:b w:val="false"/>
          <w:i/>
          <w:sz w:val="17"/>
        </w:rPr>
        <w:t>Terms</w:t>
      </w:r>
      <w:r>
        <w:rPr>
          <w:rFonts w:ascii="Times New Roman" w:hAnsi="Times New Roman"/>
          <w:b w:val="false"/>
          <w:sz w:val="17"/>
        </w:rPr>
        <w:t xml:space="preserve">.  Membership Interests subject to a Transfer Request will be included in a Proposed Transfer pursuant hereto and to any agreement with the Proposed Purchaser relating thereto, on the same terms and subject to the same conditions applicable to the Membership Interests which the Selling Member proposes to Transfer in the Proposed Transfer, subject to clause (c) below.  Such terms and conditions shall be determined in the sole discretion of the Selling Member, and shall include (i) the Transfer consideration (subject in the case of a Member making a Transfer Request, to clause (c) below) and (ii) the provision of information, representations, warranties, covenants and requisite indemnifications; </w:t>
      </w:r>
      <w:r>
        <w:rPr>
          <w:rFonts w:ascii="Times New Roman" w:hAnsi="Times New Roman"/>
          <w:b w:val="false"/>
          <w:i/>
          <w:sz w:val="17"/>
        </w:rPr>
        <w:t>provided</w:t>
      </w:r>
      <w:r>
        <w:rPr>
          <w:rFonts w:ascii="Times New Roman" w:hAnsi="Times New Roman"/>
          <w:b w:val="false"/>
          <w:sz w:val="17"/>
        </w:rPr>
        <w:t xml:space="preserve">, </w:t>
      </w:r>
      <w:r>
        <w:rPr>
          <w:rFonts w:ascii="Times New Roman" w:hAnsi="Times New Roman"/>
          <w:b w:val="false"/>
          <w:i/>
          <w:sz w:val="17"/>
        </w:rPr>
        <w:t>however</w:t>
      </w:r>
      <w:r>
        <w:rPr>
          <w:rFonts w:ascii="Times New Roman" w:hAnsi="Times New Roman"/>
          <w:b w:val="false"/>
          <w:sz w:val="17"/>
        </w:rPr>
        <w:t xml:space="preserve">, that (x) if the terms set forth in such definitive documents differ in any material adverse respect (including any decrease in the economic terms) from the material terms set forth in the Transfer Notice with respect to such Proposed Transfer, then notwithstanding the delivery of a Transfer Request with respect to such Proposed Transfer, the Members who submitted such Transfer Request shall have the right to rescind such Transfer Request by delivering written notice of such rescission to the Selling Member within two Business Days of receipt of such definitive documents, and (y) any representations and warranties relating specifically to any Member shall only be made by that Member and any indemnification provided by the Members shall be on a several, not joint, basis and shall be based on the Percentage Interest being Transferred by each Member in the Proposed Transfer.  In addition, each participating Member shall reimburse the Selling Member for its proportionate share (based on consideration received) of the reasonable out-of-pocket costs and expenses incurred by the Selling Member in connection with any such Proposed Transfer.  Notwithstanding anything in this Agreement to the contrary, no Selling Member shall be permitted to engage in any Proposed Transfer that would otherwise be subject to this </w:t>
      </w:r>
      <w:r>
        <w:rPr>
          <w:rFonts w:ascii="Times New Roman" w:hAnsi="Times New Roman"/>
          <w:b w:val="false"/>
          <w:sz w:val="17"/>
          <w:u w:val="single"/>
        </w:rPr>
        <w:t>Section 9.9</w:t>
      </w:r>
      <w:r>
        <w:rPr>
          <w:rFonts w:ascii="Times New Roman" w:hAnsi="Times New Roman"/>
          <w:b w:val="false"/>
          <w:sz w:val="17"/>
        </w:rPr>
        <w:t xml:space="preserve"> unless the consideration to be paid in such Proposed Transfer consists solely of (i) cash, (ii) Acceptable Marketable Securities or (iii) a combination of cash and Acceptable Marketable Securities.  </w:t>
      </w:r>
      <w:r>
        <w:rPr>
          <w:rFonts w:ascii="Times New Roman" w:hAnsi="Times New Roman"/>
          <w:b/>
          <w:i/>
          <w:sz w:val="17"/>
        </w:rPr>
        <w:t>Acceptable Marketable Securities</w:t>
      </w:r>
      <w:r>
        <w:rPr>
          <w:rFonts w:ascii="Times New Roman" w:hAnsi="Times New Roman"/>
          <w:b w:val="false"/>
          <w:sz w:val="17"/>
        </w:rPr>
        <w:t> means marketable equity securities (i) that are listed on a national securities exchange or NASDAQ, (ii) the issuer of which has an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39</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equity market capitalization held by Persons who are not (or are not deemed to be) affiliates under the Securities Act of 1933, as amended, of the issuer (prior to giving effect to the Proposed Transfer), based on the average closing price of such equity securities during the ten trading days ending on the trading day immediately preceding the date of delivery of the Transfer Notice, that is at least five times the aggregate purchase price to be paid in such Proposed Transfer and (iii) the resale of which by the recipient thereof will not be subject to any restriction under the federal securities laws (other than the anti-fraud provisions thereof).</w:t>
      </w:r>
    </w:p>
    <w:p>
      <w:pPr>
        <w:pStyle w:val="Heading3"/>
        <w:spacing w:before="0" w:after="0"/>
        <w:ind w:left="0" w:right="0" w:hanging="0"/>
        <w:rPr/>
      </w:pPr>
      <w:r>
        <w:rPr/>
        <w:t> </w:t>
      </w:r>
    </w:p>
    <w:p>
      <w:pPr>
        <w:pStyle w:val="TextBody"/>
        <w:spacing w:before="0" w:after="0"/>
        <w:ind w:left="0" w:right="0" w:hanging="0"/>
        <w:rPr>
          <w:rFonts w:ascii="Times New Roman" w:hAnsi="Times New Roman"/>
          <w:sz w:val="17"/>
        </w:rPr>
      </w:pPr>
      <w:bookmarkStart w:id="66" w:name="a9_10_223039"/>
      <w:bookmarkEnd w:id="66"/>
      <w:r>
        <w:rPr>
          <w:rFonts w:ascii="Times New Roman" w:hAnsi="Times New Roman"/>
          <w:sz w:val="17"/>
        </w:rPr>
        <w:t xml:space="preserve">9.10         </w:t>
      </w:r>
      <w:r>
        <w:rPr>
          <w:rFonts w:ascii="Times New Roman" w:hAnsi="Times New Roman"/>
          <w:sz w:val="17"/>
          <w:u w:val="single"/>
        </w:rPr>
        <w:t>Remedies</w:t>
      </w:r>
      <w:r>
        <w:rPr>
          <w:rFonts w:ascii="Times New Roman" w:hAnsi="Times New Roman"/>
          <w:sz w:val="17"/>
        </w:rPr>
        <w:t xml:space="preserve">.  Each of the Members acknowledges that damages may not be an adequate compensation for the losses which may be suffered by the Company or the other Member as a result of the breach by a Member of the covenants contained in this </w:t>
      </w:r>
      <w:r>
        <w:rPr>
          <w:rFonts w:ascii="Times New Roman" w:hAnsi="Times New Roman"/>
          <w:sz w:val="17"/>
          <w:u w:val="single"/>
        </w:rPr>
        <w:t>Article 9</w:t>
      </w:r>
      <w:r>
        <w:rPr>
          <w:rFonts w:ascii="Times New Roman" w:hAnsi="Times New Roman"/>
          <w:sz w:val="17"/>
        </w:rPr>
        <w:t xml:space="preserve"> and that the Company and the other Member shall be entitled to seek specific performance or injunctive relief with respect to any such breach in lieu of or in addition to any recourse in damages without the posting of a bond or other security.</w:t>
      </w:r>
    </w:p>
    <w:p>
      <w:pPr>
        <w:pStyle w:val="TextBody"/>
        <w:spacing w:before="0" w:after="0"/>
        <w:ind w:left="0" w:right="0" w:hanging="0"/>
        <w:rPr/>
      </w:pPr>
      <w:r>
        <w:rPr/>
        <w:t> </w:t>
      </w:r>
    </w:p>
    <w:p>
      <w:pPr>
        <w:pStyle w:val="Heading1"/>
        <w:spacing w:before="0" w:after="0"/>
        <w:ind w:left="0" w:right="0" w:hanging="0"/>
        <w:rPr>
          <w:rFonts w:ascii="Times New Roman" w:hAnsi="Times New Roman"/>
          <w:b/>
          <w:sz w:val="17"/>
        </w:rPr>
      </w:pPr>
      <w:bookmarkStart w:id="67" w:name="Article10_223043"/>
      <w:bookmarkEnd w:id="67"/>
      <w:r>
        <w:rPr>
          <w:rFonts w:ascii="Times New Roman" w:hAnsi="Times New Roman"/>
          <w:b/>
          <w:sz w:val="17"/>
        </w:rPr>
        <w:t>ARTICLE 10</w:t>
        <w:br/>
        <w:t>DISSOLUTION AND TERMINATION</w:t>
      </w:r>
    </w:p>
    <w:p>
      <w:pPr>
        <w:pStyle w:val="Heading1"/>
        <w:spacing w:before="0" w:after="0"/>
        <w:ind w:left="0" w:right="0" w:hanging="0"/>
        <w:rPr/>
      </w:pPr>
      <w:r>
        <w:rPr/>
        <w:t> </w:t>
      </w:r>
    </w:p>
    <w:p>
      <w:pPr>
        <w:pStyle w:val="TextBody"/>
        <w:spacing w:before="0" w:after="0"/>
        <w:ind w:left="0" w:right="0" w:hanging="0"/>
        <w:rPr>
          <w:rFonts w:ascii="Times New Roman" w:hAnsi="Times New Roman"/>
          <w:sz w:val="17"/>
        </w:rPr>
      </w:pPr>
      <w:bookmarkStart w:id="68" w:name="a10_1_223044"/>
      <w:bookmarkEnd w:id="68"/>
      <w:r>
        <w:rPr>
          <w:rFonts w:ascii="Times New Roman" w:hAnsi="Times New Roman"/>
          <w:sz w:val="17"/>
        </w:rPr>
        <w:t xml:space="preserve">10.1         </w:t>
      </w:r>
      <w:r>
        <w:rPr>
          <w:rFonts w:ascii="Times New Roman" w:hAnsi="Times New Roman"/>
          <w:sz w:val="17"/>
          <w:u w:val="single"/>
        </w:rPr>
        <w:t>Events Causing Dissolution</w:t>
      </w:r>
      <w:r>
        <w:rPr>
          <w:rFonts w:ascii="Times New Roman" w:hAnsi="Times New Roman"/>
          <w:sz w:val="17"/>
        </w:rPr>
        <w:t>.</w:t>
      </w:r>
    </w:p>
    <w:p>
      <w:pPr>
        <w:pStyle w:val="TextBody"/>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(a)           The Company shall be dissolved and its affairs wound up upon the first to occur of the following events:</w:t>
      </w:r>
    </w:p>
    <w:p>
      <w:pPr>
        <w:pStyle w:val="Heading3"/>
        <w:spacing w:before="0" w:after="0"/>
        <w:ind w:left="0" w:right="0" w:hanging="0"/>
        <w:rPr/>
      </w:pPr>
      <w:r>
        <w:rPr/>
        <w:t> </w:t>
      </w:r>
    </w:p>
    <w:p>
      <w:pPr>
        <w:pStyle w:val="Heading4"/>
        <w:spacing w:before="0" w:after="0"/>
        <w:ind w:left="0" w:right="0" w:hanging="0"/>
        <w:rPr>
          <w:rFonts w:ascii="Times New Roman" w:hAnsi="Times New Roman"/>
          <w:b w:val="false"/>
          <w:sz w:val="17"/>
        </w:rPr>
      </w:pPr>
      <w:r>
        <w:rPr>
          <w:rFonts w:ascii="Times New Roman" w:hAnsi="Times New Roman"/>
          <w:b w:val="false"/>
          <w:sz w:val="17"/>
        </w:rPr>
        <w:t>(i)            The written consent of the Initial Members to dissolve;</w:t>
      </w:r>
    </w:p>
    <w:p>
      <w:pPr>
        <w:pStyle w:val="Heading4"/>
        <w:spacing w:before="0" w:after="0"/>
        <w:ind w:left="0" w:right="0" w:hanging="0"/>
        <w:rPr/>
      </w:pPr>
      <w:r>
        <w:rPr/>
        <w:t> </w:t>
      </w:r>
    </w:p>
    <w:p>
      <w:pPr>
        <w:pStyle w:val="Heading4"/>
        <w:spacing w:before="0" w:after="0"/>
        <w:ind w:left="0" w:right="0" w:hanging="0"/>
        <w:rPr>
          <w:rFonts w:ascii="Times New Roman" w:hAnsi="Times New Roman"/>
          <w:b w:val="false"/>
          <w:sz w:val="17"/>
        </w:rPr>
      </w:pPr>
      <w:r>
        <w:rPr>
          <w:rFonts w:ascii="Times New Roman" w:hAnsi="Times New Roman"/>
          <w:b w:val="false"/>
          <w:sz w:val="17"/>
        </w:rPr>
        <w:t>(ii)           The Transfer of all or substantially all of the assets of the Company and the receipt and distribution of all the proceeds therefrom; or</w:t>
      </w:r>
    </w:p>
    <w:p>
      <w:pPr>
        <w:pStyle w:val="Heading4"/>
        <w:spacing w:before="0" w:after="0"/>
        <w:ind w:left="0" w:right="0" w:hanging="0"/>
        <w:rPr/>
      </w:pPr>
      <w:r>
        <w:rPr/>
        <w:t> </w:t>
      </w:r>
    </w:p>
    <w:p>
      <w:pPr>
        <w:pStyle w:val="Heading4"/>
        <w:spacing w:before="0" w:after="0"/>
        <w:ind w:left="0" w:right="0" w:hanging="0"/>
        <w:rPr>
          <w:rFonts w:ascii="Times New Roman" w:hAnsi="Times New Roman"/>
          <w:b w:val="false"/>
          <w:sz w:val="17"/>
        </w:rPr>
      </w:pPr>
      <w:r>
        <w:rPr>
          <w:rFonts w:ascii="Times New Roman" w:hAnsi="Times New Roman"/>
          <w:b w:val="false"/>
          <w:sz w:val="17"/>
        </w:rPr>
        <w:t>(iii)          The entry of a decree of judicial dissolution pursuant to Section 18-802 of the Act.</w:t>
      </w:r>
    </w:p>
    <w:p>
      <w:pPr>
        <w:pStyle w:val="Heading4"/>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(b)           The withdrawal, death, retirement, resignation, expulsion, bankruptcy or dissolution of any Member or the occurrence of any other event that terminates the continued membership of any Member in the Company shall not, in and of itself, cause the Companys dissolution.</w:t>
      </w:r>
    </w:p>
    <w:p>
      <w:pPr>
        <w:pStyle w:val="Heading3"/>
        <w:spacing w:before="0" w:after="0"/>
        <w:ind w:left="0" w:right="0" w:hanging="0"/>
        <w:rPr/>
      </w:pPr>
      <w:r>
        <w:rPr/>
        <w:t> </w:t>
      </w:r>
    </w:p>
    <w:p>
      <w:pPr>
        <w:pStyle w:val="TextBody"/>
        <w:spacing w:before="0" w:after="0"/>
        <w:ind w:left="0" w:right="0" w:hanging="0"/>
        <w:rPr>
          <w:rFonts w:ascii="Times New Roman" w:hAnsi="Times New Roman"/>
          <w:sz w:val="17"/>
        </w:rPr>
      </w:pPr>
      <w:bookmarkStart w:id="69" w:name="a10_2_223047"/>
      <w:bookmarkEnd w:id="69"/>
      <w:r>
        <w:rPr>
          <w:rFonts w:ascii="Times New Roman" w:hAnsi="Times New Roman"/>
          <w:sz w:val="17"/>
        </w:rPr>
        <w:t xml:space="preserve">10.2         </w:t>
      </w:r>
      <w:r>
        <w:rPr>
          <w:rFonts w:ascii="Times New Roman" w:hAnsi="Times New Roman"/>
          <w:sz w:val="17"/>
          <w:u w:val="single"/>
        </w:rPr>
        <w:t>Final Accounting</w:t>
      </w:r>
      <w:r>
        <w:rPr>
          <w:rFonts w:ascii="Times New Roman" w:hAnsi="Times New Roman"/>
          <w:sz w:val="17"/>
        </w:rPr>
        <w:t>.  Upon dissolution and winding up of the Company, an accounting will be made of the accounts of the Company and each Member and of the Companys assets, liabilities and operations from the date of the last previous accounting to the date of such dissolution.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bookmarkStart w:id="70" w:name="a10_3_223048"/>
      <w:bookmarkEnd w:id="70"/>
      <w:r>
        <w:rPr>
          <w:rFonts w:ascii="Times New Roman" w:hAnsi="Times New Roman"/>
          <w:sz w:val="17"/>
        </w:rPr>
        <w:t xml:space="preserve">10.3         </w:t>
      </w:r>
      <w:r>
        <w:rPr>
          <w:rFonts w:ascii="Times New Roman" w:hAnsi="Times New Roman"/>
          <w:sz w:val="17"/>
          <w:u w:val="single"/>
        </w:rPr>
        <w:t>Distributions Following Dissolution and Termination</w:t>
      </w:r>
      <w:r>
        <w:rPr>
          <w:rFonts w:ascii="Times New Roman" w:hAnsi="Times New Roman"/>
          <w:sz w:val="17"/>
        </w:rPr>
        <w:t>.</w:t>
      </w:r>
    </w:p>
    <w:p>
      <w:pPr>
        <w:pStyle w:val="TextBody"/>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 xml:space="preserve">(a)           </w:t>
      </w:r>
      <w:r>
        <w:rPr>
          <w:rFonts w:ascii="Times New Roman" w:hAnsi="Times New Roman"/>
          <w:b w:val="false"/>
          <w:sz w:val="17"/>
          <w:u w:val="single"/>
        </w:rPr>
        <w:t>Liquidating Trustee</w:t>
      </w:r>
      <w:r>
        <w:rPr>
          <w:rFonts w:ascii="Times New Roman" w:hAnsi="Times New Roman"/>
          <w:b w:val="false"/>
          <w:sz w:val="17"/>
        </w:rPr>
        <w:t xml:space="preserve">.  Upon the dissolution of the Company, such party as is designated by a Majority in Interest will act as liquidating trustee of the Company (the </w:t>
      </w:r>
      <w:r>
        <w:rPr>
          <w:rFonts w:ascii="Times New Roman" w:hAnsi="Times New Roman"/>
          <w:b w:val="false"/>
          <w:i/>
          <w:sz w:val="17"/>
        </w:rPr>
        <w:t></w:t>
      </w:r>
      <w:r>
        <w:rPr>
          <w:rFonts w:ascii="Times New Roman" w:hAnsi="Times New Roman"/>
          <w:b/>
          <w:i/>
          <w:sz w:val="17"/>
        </w:rPr>
        <w:t>Liquidating Trustee</w:t>
      </w:r>
      <w:r>
        <w:rPr>
          <w:rFonts w:ascii="Times New Roman" w:hAnsi="Times New Roman"/>
          <w:b w:val="false"/>
          <w:i/>
          <w:sz w:val="17"/>
        </w:rPr>
        <w:t></w:t>
      </w:r>
      <w:r>
        <w:rPr>
          <w:rFonts w:ascii="Times New Roman" w:hAnsi="Times New Roman"/>
          <w:b w:val="false"/>
          <w:sz w:val="17"/>
        </w:rPr>
        <w:t>) and proceed to wind up the business and affairs of the Company in accordance with the terms of this Agreement and applicable law.  The Liquidating Trustee will use its reasonable best efforts to sell all Company assets (except cash) in the exercise of its best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40</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 xml:space="preserve">judgment under the circumstances then presented, that it deems in the best interest of the Members.  The Liquidating Trustee will attempt to convert all assets of the Company to cash so long as it can do so consistently with prudent business practice.  The Members and their respective designees will have the right to purchase any Company property to be sold on liquidation, </w:t>
      </w:r>
      <w:r>
        <w:rPr>
          <w:rFonts w:ascii="Times New Roman" w:hAnsi="Times New Roman"/>
          <w:b w:val="false"/>
          <w:i/>
          <w:sz w:val="17"/>
        </w:rPr>
        <w:t>provided</w:t>
      </w:r>
      <w:r>
        <w:rPr>
          <w:rFonts w:ascii="Times New Roman" w:hAnsi="Times New Roman"/>
          <w:b w:val="false"/>
          <w:sz w:val="17"/>
        </w:rPr>
        <w:t xml:space="preserve"> that the terms on which such sale is made are no less favorable than would otherwise be available from third parties.  The gains and losses from the sale of the Company assets, together with all other revenue, income, gain, deduction, expense, loss and credit during the period, will be allocated in accordance with </w:t>
      </w:r>
      <w:r>
        <w:rPr>
          <w:rFonts w:ascii="Times New Roman" w:hAnsi="Times New Roman"/>
          <w:b w:val="false"/>
          <w:sz w:val="17"/>
          <w:u w:val="single"/>
        </w:rPr>
        <w:t>Article 5</w:t>
      </w:r>
      <w:r>
        <w:rPr>
          <w:rFonts w:ascii="Times New Roman" w:hAnsi="Times New Roman"/>
          <w:b w:val="false"/>
          <w:sz w:val="17"/>
        </w:rPr>
        <w:t>.  A reasonable amount of time shall be allowed for the period of winding up in light of prevailing market conditions and so as to avoid undue loss in connection with any sale of Company assets.  This Agreement shall remain in full force and effect during the period of winding up.  In addition, upon request of the Board and if the Liquidating Trustee determines that it would be imprudent to dispose of any non-cash assets of the Company, such assets may be distributed in kind to the Members in lieu of cash, proportionately to their right to receive cash distributions hereunder.</w:t>
      </w:r>
    </w:p>
    <w:p>
      <w:pPr>
        <w:pStyle w:val="Heading3"/>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 xml:space="preserve">(b)           </w:t>
      </w:r>
      <w:r>
        <w:rPr>
          <w:rFonts w:ascii="Times New Roman" w:hAnsi="Times New Roman"/>
          <w:b w:val="false"/>
          <w:sz w:val="17"/>
          <w:u w:val="single"/>
        </w:rPr>
        <w:t>Accounting</w:t>
      </w:r>
      <w:r>
        <w:rPr>
          <w:rFonts w:ascii="Times New Roman" w:hAnsi="Times New Roman"/>
          <w:b w:val="false"/>
          <w:sz w:val="17"/>
        </w:rPr>
        <w:t>.  The Liquidating Trustee will then cause proper accounting to be made of the Capital Account of each Member, including recognition of gain or loss on any asset to be distributed in kind as if such asset had been sold for consideration equal to the fair market value of the asset at the time of the distribution.  The Members intend that the allocations provided herein shall result in Capital Account balances in proportion to the Percentage Interests of the Members.</w:t>
      </w:r>
    </w:p>
    <w:p>
      <w:pPr>
        <w:pStyle w:val="Heading3"/>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 xml:space="preserve">(c)           </w:t>
      </w:r>
      <w:r>
        <w:rPr>
          <w:rFonts w:ascii="Times New Roman" w:hAnsi="Times New Roman"/>
          <w:b w:val="false"/>
          <w:sz w:val="17"/>
          <w:u w:val="single"/>
        </w:rPr>
        <w:t>Liquidating Distributions</w:t>
      </w:r>
      <w:r>
        <w:rPr>
          <w:rFonts w:ascii="Times New Roman" w:hAnsi="Times New Roman"/>
          <w:b w:val="false"/>
          <w:sz w:val="17"/>
        </w:rPr>
        <w:t>.  In settling accounts after dissolution of the Company, the assets of the Company shall be paid to creditors of the Company and to the Members in the following order:</w:t>
      </w:r>
    </w:p>
    <w:p>
      <w:pPr>
        <w:pStyle w:val="Heading3"/>
        <w:spacing w:before="0" w:after="0"/>
        <w:ind w:left="0" w:right="0" w:hanging="0"/>
        <w:rPr/>
      </w:pPr>
      <w:r>
        <w:rPr/>
        <w:t> </w:t>
      </w:r>
    </w:p>
    <w:p>
      <w:pPr>
        <w:pStyle w:val="Heading4"/>
        <w:spacing w:before="0" w:after="0"/>
        <w:ind w:left="0" w:right="0" w:hanging="0"/>
        <w:rPr>
          <w:rFonts w:ascii="Times New Roman" w:hAnsi="Times New Roman"/>
          <w:b w:val="false"/>
          <w:sz w:val="17"/>
        </w:rPr>
      </w:pPr>
      <w:r>
        <w:rPr>
          <w:rFonts w:ascii="Times New Roman" w:hAnsi="Times New Roman"/>
          <w:b w:val="false"/>
          <w:sz w:val="17"/>
        </w:rPr>
        <w:t xml:space="preserve">(i)            to creditors of the Company (including Members) in the order of priority as provided by law whether by payment or the making of reasonable provision for payment thereof, and in connection therewith there shall be withheld such reasonable reserves for contingent, conditioned or unconditioned liabilities as the Liquidating Trustee in its reasonable discretion deems adequate, such reserves (or balances thereof) to be held and distributed in such manner and at such times as the Liquidating Trustee, in its discretion, deems reasonably advisable; </w:t>
      </w:r>
      <w:r>
        <w:rPr>
          <w:rFonts w:ascii="Times New Roman" w:hAnsi="Times New Roman"/>
          <w:b w:val="false"/>
          <w:i/>
          <w:sz w:val="17"/>
        </w:rPr>
        <w:t>provided, however</w:t>
      </w:r>
      <w:r>
        <w:rPr>
          <w:rFonts w:ascii="Times New Roman" w:hAnsi="Times New Roman"/>
          <w:b w:val="false"/>
          <w:sz w:val="17"/>
        </w:rPr>
        <w:t xml:space="preserve">, that such amounts be maintained in a separate bank account and that any amounts in such bank account remaining after three years be distributed to the Members or their successors and assigns as if such amount had been available for distribution under </w:t>
      </w:r>
      <w:r>
        <w:rPr>
          <w:rFonts w:ascii="Times New Roman" w:hAnsi="Times New Roman"/>
          <w:b w:val="false"/>
          <w:sz w:val="17"/>
          <w:u w:val="single"/>
        </w:rPr>
        <w:t>Section 10.3(c)(ii);</w:t>
      </w:r>
      <w:r>
        <w:rPr>
          <w:rFonts w:ascii="Times New Roman" w:hAnsi="Times New Roman"/>
          <w:b w:val="false"/>
          <w:sz w:val="17"/>
        </w:rPr>
        <w:t xml:space="preserve"> and then</w:t>
      </w:r>
    </w:p>
    <w:p>
      <w:pPr>
        <w:pStyle w:val="Heading4"/>
        <w:spacing w:before="0" w:after="0"/>
        <w:ind w:left="0" w:right="0" w:hanging="0"/>
        <w:rPr/>
      </w:pPr>
      <w:r>
        <w:rPr/>
        <w:t> </w:t>
      </w:r>
    </w:p>
    <w:p>
      <w:pPr>
        <w:pStyle w:val="Heading4"/>
        <w:spacing w:before="0" w:after="0"/>
        <w:ind w:left="0" w:right="0" w:hanging="0"/>
        <w:rPr>
          <w:rFonts w:ascii="Times New Roman" w:hAnsi="Times New Roman"/>
          <w:b w:val="false"/>
          <w:sz w:val="17"/>
        </w:rPr>
      </w:pPr>
      <w:r>
        <w:rPr>
          <w:rFonts w:ascii="Times New Roman" w:hAnsi="Times New Roman"/>
          <w:b w:val="false"/>
          <w:sz w:val="17"/>
        </w:rPr>
        <w:t>(ii)           to the Members in proportion to the positive balances of their Capital Accounts after taking into account all Capital Account adjustments for the Companys Fiscal Period in which the liquidation occurs.</w:t>
      </w:r>
    </w:p>
    <w:p>
      <w:pPr>
        <w:pStyle w:val="Heading4"/>
        <w:spacing w:before="0" w:after="0"/>
        <w:ind w:left="0" w:right="0" w:hanging="0"/>
        <w:rPr/>
      </w:pPr>
      <w:r>
        <w:rPr/>
        <w:t> </w:t>
      </w:r>
    </w:p>
    <w:p>
      <w:pPr>
        <w:pStyle w:val="Heading4"/>
        <w:spacing w:before="0" w:after="0"/>
        <w:ind w:left="0" w:right="0" w:hanging="0"/>
        <w:rPr>
          <w:rFonts w:ascii="Times New Roman" w:hAnsi="Times New Roman"/>
          <w:b w:val="false"/>
          <w:sz w:val="17"/>
        </w:rPr>
      </w:pPr>
      <w:r>
        <w:rPr>
          <w:rFonts w:ascii="Times New Roman" w:hAnsi="Times New Roman"/>
          <w:b w:val="false"/>
          <w:sz w:val="17"/>
        </w:rPr>
        <w:t>(iii)          Any distribution to the Members in liquidation of the Company shall be made by the later of the end of the taxable year in which the liquidation occurs or 90 days after the date of such liquidation.  For purposes of the preceding sentence, the term liquidation shall have the same meaning as set forth in Regulations Section 1.704-1(b)(2)(ii).</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41</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 xml:space="preserve">(d)           The provisions of this Agreement, including this </w:t>
      </w:r>
      <w:r>
        <w:rPr>
          <w:rFonts w:ascii="Times New Roman" w:hAnsi="Times New Roman"/>
          <w:b w:val="false"/>
          <w:sz w:val="17"/>
          <w:u w:val="single"/>
        </w:rPr>
        <w:t>Section 10.3</w:t>
      </w:r>
      <w:r>
        <w:rPr>
          <w:rFonts w:ascii="Times New Roman" w:hAnsi="Times New Roman"/>
          <w:b w:val="false"/>
          <w:sz w:val="17"/>
        </w:rPr>
        <w:t>, are intended solely to benefit the Members and, to the fullest extent permitted by law, shall not be construed as conferring any benefit upon any creditor of the Company, and no such creditor of the Company shall be a third-party beneficiary of this Agreement, and no Member or Director shall have any duty or obligation to any creditor of the Company to issue any call for capital pursuant to this Agreement.</w:t>
      </w:r>
    </w:p>
    <w:p>
      <w:pPr>
        <w:pStyle w:val="Heading3"/>
        <w:spacing w:before="0" w:after="0"/>
        <w:ind w:left="0" w:right="0" w:hanging="0"/>
        <w:rPr/>
      </w:pPr>
      <w:r>
        <w:rPr/>
        <w:t> </w:t>
      </w:r>
    </w:p>
    <w:p>
      <w:pPr>
        <w:pStyle w:val="TextBody"/>
        <w:spacing w:before="0" w:after="0"/>
        <w:ind w:left="0" w:right="0" w:hanging="0"/>
        <w:rPr>
          <w:rFonts w:ascii="Times New Roman" w:hAnsi="Times New Roman"/>
          <w:sz w:val="17"/>
        </w:rPr>
      </w:pPr>
      <w:bookmarkStart w:id="71" w:name="a10_4_223055"/>
      <w:bookmarkEnd w:id="71"/>
      <w:r>
        <w:rPr>
          <w:rFonts w:ascii="Times New Roman" w:hAnsi="Times New Roman"/>
          <w:sz w:val="17"/>
        </w:rPr>
        <w:t xml:space="preserve">10.4         </w:t>
      </w:r>
      <w:r>
        <w:rPr>
          <w:rFonts w:ascii="Times New Roman" w:hAnsi="Times New Roman"/>
          <w:sz w:val="17"/>
          <w:u w:val="single"/>
        </w:rPr>
        <w:t>Termination of the Company</w:t>
      </w:r>
      <w:r>
        <w:rPr>
          <w:rFonts w:ascii="Times New Roman" w:hAnsi="Times New Roman"/>
          <w:sz w:val="17"/>
        </w:rPr>
        <w:t xml:space="preserve">.  The Company shall terminate when all assets of the Company, after payment or due provision for all debts, liabilities and obligations of the Company, shall have been distributed to the Members in the manner provided for in this </w:t>
      </w:r>
      <w:r>
        <w:rPr>
          <w:rFonts w:ascii="Times New Roman" w:hAnsi="Times New Roman"/>
          <w:sz w:val="17"/>
          <w:u w:val="single"/>
        </w:rPr>
        <w:t>Article 10</w:t>
      </w:r>
      <w:r>
        <w:rPr>
          <w:rFonts w:ascii="Times New Roman" w:hAnsi="Times New Roman"/>
          <w:sz w:val="17"/>
        </w:rPr>
        <w:t>, and the Certificate shall have been canceled in the manner required by the Act.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bookmarkStart w:id="72" w:name="a10_5_223056"/>
      <w:bookmarkEnd w:id="72"/>
      <w:r>
        <w:rPr>
          <w:rFonts w:ascii="Times New Roman" w:hAnsi="Times New Roman"/>
          <w:sz w:val="17"/>
        </w:rPr>
        <w:t xml:space="preserve">10.5         </w:t>
      </w:r>
      <w:r>
        <w:rPr>
          <w:rFonts w:ascii="Times New Roman" w:hAnsi="Times New Roman"/>
          <w:sz w:val="17"/>
          <w:u w:val="single"/>
        </w:rPr>
        <w:t>No Action for Dissolution</w:t>
      </w:r>
      <w:r>
        <w:rPr>
          <w:rFonts w:ascii="Times New Roman" w:hAnsi="Times New Roman"/>
          <w:sz w:val="17"/>
        </w:rPr>
        <w:t xml:space="preserve">.  The Members acknowledge that irreparable damage would be done to the goodwill and reputation of the Company if any Member should bring an action in court to dissolve the Company under circumstances where dissolution is not required by </w:t>
      </w:r>
      <w:r>
        <w:rPr>
          <w:rFonts w:ascii="Times New Roman" w:hAnsi="Times New Roman"/>
          <w:sz w:val="17"/>
          <w:u w:val="single"/>
        </w:rPr>
        <w:t>Section 10.1</w:t>
      </w:r>
      <w:r>
        <w:rPr>
          <w:rFonts w:ascii="Times New Roman" w:hAnsi="Times New Roman"/>
          <w:sz w:val="17"/>
        </w:rPr>
        <w:t xml:space="preserve">.  Accordingly, except where the Board has failed to cause the liquidation of the Company as required by </w:t>
      </w:r>
      <w:r>
        <w:rPr>
          <w:rFonts w:ascii="Times New Roman" w:hAnsi="Times New Roman"/>
          <w:sz w:val="17"/>
          <w:u w:val="single"/>
        </w:rPr>
        <w:t>Section 10.1</w:t>
      </w:r>
      <w:r>
        <w:rPr>
          <w:rFonts w:ascii="Times New Roman" w:hAnsi="Times New Roman"/>
          <w:sz w:val="17"/>
        </w:rPr>
        <w:t xml:space="preserve"> and except as specifically provided in Section 18-802 of the Act, each Member hereby to the fullest extent permitted by law waives and renounces his right to initiate legal action to seek dissolution of the Company or to seek the appointment of a receiver or trustee to wind up the affairs of the Company, except in the cases of fraud, violation of law, bad faith, gross negligence, willful misconduct or willful violation of this Agreement.</w:t>
      </w:r>
    </w:p>
    <w:p>
      <w:pPr>
        <w:pStyle w:val="TextBody"/>
        <w:spacing w:before="0" w:after="0"/>
        <w:ind w:left="0" w:right="0" w:hanging="0"/>
        <w:rPr/>
      </w:pPr>
      <w:r>
        <w:rPr/>
        <w:t> </w:t>
      </w:r>
    </w:p>
    <w:p>
      <w:pPr>
        <w:pStyle w:val="Heading1"/>
        <w:spacing w:before="0" w:after="0"/>
        <w:ind w:left="0" w:right="0" w:hanging="0"/>
        <w:rPr>
          <w:rFonts w:ascii="Times New Roman" w:hAnsi="Times New Roman"/>
          <w:b/>
          <w:sz w:val="17"/>
        </w:rPr>
      </w:pPr>
      <w:bookmarkStart w:id="73" w:name="Article11_223100"/>
      <w:bookmarkEnd w:id="73"/>
      <w:r>
        <w:rPr>
          <w:rFonts w:ascii="Times New Roman" w:hAnsi="Times New Roman"/>
          <w:b/>
          <w:sz w:val="17"/>
        </w:rPr>
        <w:t>ARTICLE 11</w:t>
        <w:br/>
        <w:t>TAX MATTERS</w:t>
      </w:r>
    </w:p>
    <w:p>
      <w:pPr>
        <w:pStyle w:val="Heading1"/>
        <w:spacing w:before="0" w:after="0"/>
        <w:ind w:left="0" w:right="0" w:hanging="0"/>
        <w:rPr/>
      </w:pPr>
      <w:r>
        <w:rPr/>
        <w:t> </w:t>
      </w:r>
    </w:p>
    <w:p>
      <w:pPr>
        <w:pStyle w:val="TextBody"/>
        <w:spacing w:before="0" w:after="0"/>
        <w:ind w:left="0" w:right="0" w:hanging="0"/>
        <w:rPr>
          <w:rFonts w:ascii="Times New Roman" w:hAnsi="Times New Roman"/>
          <w:sz w:val="17"/>
        </w:rPr>
      </w:pPr>
      <w:bookmarkStart w:id="74" w:name="a11_1_223103"/>
      <w:bookmarkEnd w:id="74"/>
      <w:r>
        <w:rPr>
          <w:rFonts w:ascii="Times New Roman" w:hAnsi="Times New Roman"/>
          <w:sz w:val="17"/>
        </w:rPr>
        <w:t xml:space="preserve">11.1         </w:t>
      </w:r>
      <w:r>
        <w:rPr>
          <w:rFonts w:ascii="Times New Roman" w:hAnsi="Times New Roman"/>
          <w:sz w:val="17"/>
          <w:u w:val="single"/>
        </w:rPr>
        <w:t>Tax Matters Member</w:t>
      </w:r>
      <w:r>
        <w:rPr>
          <w:rFonts w:ascii="Times New Roman" w:hAnsi="Times New Roman"/>
          <w:sz w:val="17"/>
        </w:rPr>
        <w:t xml:space="preserve">.  Manager shall be the Tax Matters Member of the Company as provided in the Regulations under Section 6231 of the Code and analogous provisions of state law.  A Majority in Interest shall have the authority to remove or replace the Tax Matters Member of the Company and designate its successor; </w:t>
      </w:r>
      <w:r>
        <w:rPr>
          <w:rFonts w:ascii="Times New Roman" w:hAnsi="Times New Roman"/>
          <w:i/>
          <w:sz w:val="17"/>
        </w:rPr>
        <w:t>provided</w:t>
      </w:r>
      <w:r>
        <w:rPr>
          <w:rFonts w:ascii="Times New Roman" w:hAnsi="Times New Roman"/>
          <w:sz w:val="17"/>
        </w:rPr>
        <w:t xml:space="preserve"> that such Majority in Interest shall include each Initial Member.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bookmarkStart w:id="75" w:name="a11_2_223104"/>
      <w:bookmarkEnd w:id="75"/>
      <w:r>
        <w:rPr>
          <w:rFonts w:ascii="Times New Roman" w:hAnsi="Times New Roman"/>
          <w:sz w:val="17"/>
        </w:rPr>
        <w:t xml:space="preserve">11.2         </w:t>
      </w:r>
      <w:r>
        <w:rPr>
          <w:rFonts w:ascii="Times New Roman" w:hAnsi="Times New Roman"/>
          <w:sz w:val="17"/>
          <w:u w:val="single"/>
        </w:rPr>
        <w:t>Certain Authorizations</w:t>
      </w:r>
      <w:r>
        <w:rPr>
          <w:rFonts w:ascii="Times New Roman" w:hAnsi="Times New Roman"/>
          <w:sz w:val="17"/>
        </w:rPr>
        <w:t>.  The Tax Matters Member shall represent the Company, at the Companys expense, in connection with all examinations of the Companys affairs by tax authorities including any resulting administrative or judicial proceedings.  Without limiting the generality of the foregoing, and subject to the restrictions set forth herein, the Tax Matters Member, but only with the consent of each Initial Member, is hereby authorized:</w:t>
      </w:r>
    </w:p>
    <w:p>
      <w:pPr>
        <w:pStyle w:val="TextBody"/>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(a)           to enter into any settlement agreement with respect to any tax audit or judicial review, in which agreement the Tax Matters Member may expressly state that such agreement shall bind the other Members except that such settlement agreement shall not bind any Member that has not approved such settlement agreement in writing;</w:t>
      </w:r>
    </w:p>
    <w:p>
      <w:pPr>
        <w:pStyle w:val="Heading3"/>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(b)           if a notice of a final administrative adjustment at the Company level of any item required to be taken into account by a Member for tax purposes is mailed to the Tax Matters Member, to seek judicial review of such final adjustment, including the filing of a petition for readjustment with the Tax Court, the District Court of the United States for the district in which</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42</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the Companys principal place of business is located, or elsewhere as allowed by law, or the United States Claims Court;</w:t>
      </w:r>
    </w:p>
    <w:p>
      <w:pPr>
        <w:pStyle w:val="Heading3"/>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(c)           to intervene in any action brought by any other Member for judicial review of a final adjustment;</w:t>
      </w:r>
    </w:p>
    <w:p>
      <w:pPr>
        <w:pStyle w:val="Heading3"/>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(d)           to file a request for an administrative adjustment at any time and, if any part of such request is not allowed, to file a petition for judicial review with respect to such request;</w:t>
      </w:r>
    </w:p>
    <w:p>
      <w:pPr>
        <w:pStyle w:val="Heading3"/>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(e)           to enter into an agreement with the Internal Revenue Service to extend the period for assessing any tax that is attributable to any item required to be taken into account by a Member for tax purposes, or an item affected by such item; and</w:t>
      </w:r>
    </w:p>
    <w:p>
      <w:pPr>
        <w:pStyle w:val="Heading3"/>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(f)            to take any other action on behalf of the Members (with respect to the Company) or the Company in connection with any administrative or judicial tax proceeding to the extent permitted by applicable law or the Regulations.</w:t>
      </w:r>
    </w:p>
    <w:p>
      <w:pPr>
        <w:pStyle w:val="Heading3"/>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Each Member shall have the right to participate in any such actions and proceedings to the extent provided for under the Code and Regulations.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bookmarkStart w:id="76" w:name="a11_3_223112"/>
      <w:bookmarkEnd w:id="76"/>
      <w:r>
        <w:rPr>
          <w:rFonts w:ascii="Times New Roman" w:hAnsi="Times New Roman"/>
          <w:sz w:val="17"/>
        </w:rPr>
        <w:t xml:space="preserve">11.3         </w:t>
      </w:r>
      <w:r>
        <w:rPr>
          <w:rFonts w:ascii="Times New Roman" w:hAnsi="Times New Roman"/>
          <w:sz w:val="17"/>
          <w:u w:val="single"/>
        </w:rPr>
        <w:t>Indemnity of Tax Matters Member</w:t>
      </w:r>
      <w:r>
        <w:rPr>
          <w:rFonts w:ascii="Times New Roman" w:hAnsi="Times New Roman"/>
          <w:sz w:val="17"/>
        </w:rPr>
        <w:t xml:space="preserve">.  To the maximum extent permitted by applicable law and without limiting </w:t>
      </w:r>
      <w:r>
        <w:rPr>
          <w:rFonts w:ascii="Times New Roman" w:hAnsi="Times New Roman"/>
          <w:sz w:val="17"/>
          <w:u w:val="single"/>
        </w:rPr>
        <w:t>Article 8</w:t>
      </w:r>
      <w:r>
        <w:rPr>
          <w:rFonts w:ascii="Times New Roman" w:hAnsi="Times New Roman"/>
          <w:sz w:val="17"/>
        </w:rPr>
        <w:t xml:space="preserve">, the Company shall indemnify and reimburse the Tax Matters Member for all expenses (including reasonable legal and accounting fees) incurred as Tax Matters Member pursuant to this </w:t>
      </w:r>
      <w:r>
        <w:rPr>
          <w:rFonts w:ascii="Times New Roman" w:hAnsi="Times New Roman"/>
          <w:sz w:val="17"/>
          <w:u w:val="single"/>
        </w:rPr>
        <w:t>Article 11</w:t>
      </w:r>
      <w:r>
        <w:rPr>
          <w:rFonts w:ascii="Times New Roman" w:hAnsi="Times New Roman"/>
          <w:sz w:val="17"/>
        </w:rPr>
        <w:t xml:space="preserve"> in connection with any administrative or judicial proceeding with respect to the tax liability of the Members as long as the Tax Matters Member has determined in good faith that the Tax Matters Members course of conduct was in, or not opposed to, the best interest of the Company.  The taking of any action and the incurring of any expense by the Tax Matters Member in connection with any such proceeding, except to the extent provided herein or required by law, is a matter in the sole discretion of the Tax Matters Member.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bookmarkStart w:id="77" w:name="a11_4_223113"/>
      <w:bookmarkEnd w:id="77"/>
      <w:r>
        <w:rPr>
          <w:rFonts w:ascii="Times New Roman" w:hAnsi="Times New Roman"/>
          <w:sz w:val="17"/>
        </w:rPr>
        <w:t xml:space="preserve">11.4         </w:t>
      </w:r>
      <w:r>
        <w:rPr>
          <w:rFonts w:ascii="Times New Roman" w:hAnsi="Times New Roman"/>
          <w:sz w:val="17"/>
          <w:u w:val="single"/>
        </w:rPr>
        <w:t>Information Furnished</w:t>
      </w:r>
      <w:r>
        <w:rPr>
          <w:rFonts w:ascii="Times New Roman" w:hAnsi="Times New Roman"/>
          <w:sz w:val="17"/>
        </w:rPr>
        <w:t>.  To the extent and in the manner provided by applicable law and Regulations, the Tax Matters Member shall furnish the name, address, profits and loss interest, and taxpayer identification number of each Member to the Internal Revenue Service.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bookmarkStart w:id="78" w:name="a11_5_223114"/>
      <w:bookmarkEnd w:id="78"/>
      <w:r>
        <w:rPr>
          <w:rFonts w:ascii="Times New Roman" w:hAnsi="Times New Roman"/>
          <w:sz w:val="17"/>
        </w:rPr>
        <w:t xml:space="preserve">11.5         </w:t>
      </w:r>
      <w:r>
        <w:rPr>
          <w:rFonts w:ascii="Times New Roman" w:hAnsi="Times New Roman"/>
          <w:sz w:val="17"/>
          <w:u w:val="single"/>
        </w:rPr>
        <w:t>Notice of Proceedings, etc.</w:t>
      </w:r>
      <w:r>
        <w:rPr>
          <w:rFonts w:ascii="Times New Roman" w:hAnsi="Times New Roman"/>
          <w:sz w:val="17"/>
        </w:rPr>
        <w:t>  The Tax Matters Member shall use its reasonable best efforts to keep each Member informed of any administrative and judicial proceedings for the adjustment at the Company level of any item required to be taken into account by a Member for income tax purposes or any extension of the period of limitations for making assessments of any tax against a Member with respect to any Company item, or of any agreement with the Internal Revenue Service that would result in any material change either in Profits or Losses as previously reported.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bookmarkStart w:id="79" w:name="a11_6_223118"/>
      <w:bookmarkEnd w:id="79"/>
      <w:r>
        <w:rPr>
          <w:rFonts w:ascii="Times New Roman" w:hAnsi="Times New Roman"/>
          <w:sz w:val="17"/>
        </w:rPr>
        <w:t xml:space="preserve">11.6         </w:t>
      </w:r>
      <w:r>
        <w:rPr>
          <w:rFonts w:ascii="Times New Roman" w:hAnsi="Times New Roman"/>
          <w:sz w:val="17"/>
          <w:u w:val="single"/>
        </w:rPr>
        <w:t>Notices to Tax Matters Member</w:t>
      </w:r>
      <w:r>
        <w:rPr>
          <w:rFonts w:ascii="Times New Roman" w:hAnsi="Times New Roman"/>
          <w:sz w:val="17"/>
        </w:rPr>
        <w:t>.  Any Member that receives a notice of an administrative proceeding under Section 6233 of the Code relating to the Company shall promptly provide Notice to the Tax Matters Member of the treatment of any Company item on such Members Federal income tax return that is or may be inconsistent with the treatment of that item on the Companys return.  Any Member that enters into a settlement agreement with</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43</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the Internal Revenue Service or any other government agency or official with respect to any Company item shall provide Notice to the Tax Matters Member of such agreement and its terms within sixty (60) days after the date of such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bookmarkStart w:id="80" w:name="a11_7_223124"/>
      <w:bookmarkEnd w:id="80"/>
      <w:r>
        <w:rPr>
          <w:rFonts w:ascii="Times New Roman" w:hAnsi="Times New Roman"/>
          <w:sz w:val="17"/>
        </w:rPr>
        <w:t xml:space="preserve">11.7         </w:t>
      </w:r>
      <w:r>
        <w:rPr>
          <w:rFonts w:ascii="Times New Roman" w:hAnsi="Times New Roman"/>
          <w:sz w:val="17"/>
          <w:u w:val="single"/>
        </w:rPr>
        <w:t>Preparation of Tax Returns</w:t>
      </w:r>
      <w:r>
        <w:rPr>
          <w:rFonts w:ascii="Times New Roman" w:hAnsi="Times New Roman"/>
          <w:sz w:val="17"/>
        </w:rPr>
        <w:t>.  The Tax Matters Member shall arrange for the preparation and timely filing of all returns of Company income, gains, deductions, losses and other items necessary for Federal, state and local income tax purposes and shall use all reasonable efforts to furnish to the Members within ninety (90) days of the close of the taxable year a Schedule K-1 and such other tax information reasonably required for Federal, state and local income tax reporting purposes.  The classification, realization and recognition of income, gain, losses and deductions and other items shall be on the cash or accrual method of accounting for Federal income tax purposes, as the Board shall determine in its sole discretion in accordance with applicable law.</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bookmarkStart w:id="81" w:name="a11_8_223126"/>
      <w:bookmarkEnd w:id="81"/>
      <w:r>
        <w:rPr>
          <w:rFonts w:ascii="Times New Roman" w:hAnsi="Times New Roman"/>
          <w:sz w:val="17"/>
        </w:rPr>
        <w:t xml:space="preserve">11.8         </w:t>
      </w:r>
      <w:r>
        <w:rPr>
          <w:rFonts w:ascii="Times New Roman" w:hAnsi="Times New Roman"/>
          <w:sz w:val="17"/>
          <w:u w:val="single"/>
        </w:rPr>
        <w:t>Tax Elections</w:t>
      </w:r>
      <w:r>
        <w:rPr>
          <w:rFonts w:ascii="Times New Roman" w:hAnsi="Times New Roman"/>
          <w:sz w:val="17"/>
        </w:rPr>
        <w:t xml:space="preserve">.  Subject to </w:t>
      </w:r>
      <w:r>
        <w:rPr>
          <w:rFonts w:ascii="Times New Roman" w:hAnsi="Times New Roman"/>
          <w:sz w:val="17"/>
          <w:u w:val="single"/>
        </w:rPr>
        <w:t>Section 11.9</w:t>
      </w:r>
      <w:r>
        <w:rPr>
          <w:rFonts w:ascii="Times New Roman" w:hAnsi="Times New Roman"/>
          <w:sz w:val="17"/>
        </w:rPr>
        <w:t xml:space="preserve">, a Majority in Interest shall, in its sole discretion, determine whether to make any available election; </w:t>
      </w:r>
      <w:r>
        <w:rPr>
          <w:rFonts w:ascii="Times New Roman" w:hAnsi="Times New Roman"/>
          <w:i/>
          <w:sz w:val="17"/>
        </w:rPr>
        <w:t>provided</w:t>
      </w:r>
      <w:r>
        <w:rPr>
          <w:rFonts w:ascii="Times New Roman" w:hAnsi="Times New Roman"/>
          <w:sz w:val="17"/>
        </w:rPr>
        <w:t>, that such Majority in Interest shall include each Initial Member.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bookmarkStart w:id="82" w:name="a11_9_223127"/>
      <w:bookmarkEnd w:id="82"/>
      <w:r>
        <w:rPr>
          <w:rFonts w:ascii="Times New Roman" w:hAnsi="Times New Roman"/>
          <w:sz w:val="17"/>
        </w:rPr>
        <w:t xml:space="preserve">11.9         </w:t>
      </w:r>
      <w:r>
        <w:rPr>
          <w:rFonts w:ascii="Times New Roman" w:hAnsi="Times New Roman"/>
          <w:sz w:val="17"/>
          <w:u w:val="single"/>
        </w:rPr>
        <w:t>Taxation as a Partnership</w:t>
      </w:r>
      <w:r>
        <w:rPr>
          <w:rFonts w:ascii="Times New Roman" w:hAnsi="Times New Roman"/>
          <w:sz w:val="17"/>
        </w:rPr>
        <w:t>.  No election shall be made by the Company or any Member for the Company to be excluded from the application of any of the provisions of Subchapter K, Chapter I of Subtitle A of the Code or from any similar provisions of any state tax laws or to be treated as a corporation for federal tax purposes.</w:t>
      </w:r>
    </w:p>
    <w:p>
      <w:pPr>
        <w:pStyle w:val="TextBody"/>
        <w:spacing w:before="0" w:after="0"/>
        <w:ind w:left="0" w:right="0" w:hanging="0"/>
        <w:rPr/>
      </w:pPr>
      <w:r>
        <w:rPr/>
        <w:t> </w:t>
      </w:r>
    </w:p>
    <w:p>
      <w:pPr>
        <w:pStyle w:val="Heading1"/>
        <w:spacing w:before="0" w:after="0"/>
        <w:ind w:left="0" w:right="0" w:hanging="0"/>
        <w:rPr>
          <w:rFonts w:ascii="Times New Roman" w:hAnsi="Times New Roman"/>
          <w:b/>
          <w:sz w:val="17"/>
        </w:rPr>
      </w:pPr>
      <w:bookmarkStart w:id="83" w:name="Article12_223140"/>
      <w:bookmarkEnd w:id="83"/>
      <w:r>
        <w:rPr>
          <w:rFonts w:ascii="Times New Roman" w:hAnsi="Times New Roman"/>
          <w:b/>
          <w:sz w:val="17"/>
        </w:rPr>
        <w:t>ARTICLE 12</w:t>
        <w:br/>
        <w:t>ACCOUNTING AND BANK ACCOUNTS</w:t>
      </w:r>
    </w:p>
    <w:p>
      <w:pPr>
        <w:pStyle w:val="Heading1"/>
        <w:spacing w:before="0" w:after="0"/>
        <w:ind w:left="0" w:right="0" w:hanging="0"/>
        <w:rPr/>
      </w:pPr>
      <w:r>
        <w:rPr/>
        <w:t> </w:t>
      </w:r>
    </w:p>
    <w:p>
      <w:pPr>
        <w:pStyle w:val="TextBody"/>
        <w:spacing w:before="0" w:after="0"/>
        <w:ind w:left="0" w:right="0" w:hanging="0"/>
        <w:rPr>
          <w:rFonts w:ascii="Times New Roman" w:hAnsi="Times New Roman"/>
          <w:sz w:val="17"/>
        </w:rPr>
      </w:pPr>
      <w:bookmarkStart w:id="84" w:name="a12_1_223129"/>
      <w:bookmarkEnd w:id="84"/>
      <w:r>
        <w:rPr>
          <w:rFonts w:ascii="Times New Roman" w:hAnsi="Times New Roman"/>
          <w:sz w:val="17"/>
        </w:rPr>
        <w:t xml:space="preserve">12.1         </w:t>
      </w:r>
      <w:r>
        <w:rPr>
          <w:rFonts w:ascii="Times New Roman" w:hAnsi="Times New Roman"/>
          <w:sz w:val="17"/>
          <w:u w:val="single"/>
        </w:rPr>
        <w:t>Fiscal Year and Accounting Method</w:t>
      </w:r>
      <w:r>
        <w:rPr>
          <w:rFonts w:ascii="Times New Roman" w:hAnsi="Times New Roman"/>
          <w:sz w:val="17"/>
        </w:rPr>
        <w:t>.  The fiscal year and taxable year of the Company shall be the calendar year.  The Company shall use an accrual method of accounting.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bookmarkStart w:id="85" w:name="a12_2_223142"/>
      <w:bookmarkEnd w:id="85"/>
      <w:r>
        <w:rPr>
          <w:rFonts w:ascii="Times New Roman" w:hAnsi="Times New Roman"/>
          <w:sz w:val="17"/>
        </w:rPr>
        <w:t xml:space="preserve">12.2         </w:t>
      </w:r>
      <w:r>
        <w:rPr>
          <w:rFonts w:ascii="Times New Roman" w:hAnsi="Times New Roman"/>
          <w:sz w:val="17"/>
          <w:u w:val="single"/>
        </w:rPr>
        <w:t>Books and Records</w:t>
      </w:r>
      <w:r>
        <w:rPr>
          <w:rFonts w:ascii="Times New Roman" w:hAnsi="Times New Roman"/>
          <w:sz w:val="17"/>
        </w:rPr>
        <w:t>.  The Company shall maintain at its principal office, or such other office as may be determined by the Board, all the following:</w:t>
      </w:r>
    </w:p>
    <w:p>
      <w:pPr>
        <w:pStyle w:val="TextBody"/>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(a)           A current list of the full name and last known business or residence address of each Member, and of each member of the Board, together with information regarding the amount of cash and a description and statement of the agreed value of any other property or services contributed by each Member and which each Member has agreed to contribute in the future, and the date on which each Member became a Member of the Company;</w:t>
      </w:r>
    </w:p>
    <w:p>
      <w:pPr>
        <w:pStyle w:val="Heading3"/>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(b)           A copy of the Certificate and this Agreement, including any and all amendments to either thereof, together with executed copies of any powers of attorney pursuant to which the Certificate, this Agreement, or any amendments have been executed;</w:t>
      </w:r>
    </w:p>
    <w:p>
      <w:pPr>
        <w:pStyle w:val="Heading3"/>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(c)           Copies of the Companys Federal, state, and local income tax or information returns and reports, if any, which shall be retained for at least six fiscal years;</w:t>
      </w:r>
    </w:p>
    <w:p>
      <w:pPr>
        <w:pStyle w:val="Heading3"/>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(d)           The financial statements of the Company; and</w:t>
      </w:r>
    </w:p>
    <w:p>
      <w:pPr>
        <w:pStyle w:val="Heading3"/>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(e)           The Companys books and records.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44</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bookmarkStart w:id="86" w:name="a12_3_223146"/>
      <w:bookmarkEnd w:id="86"/>
      <w:r>
        <w:rPr>
          <w:rFonts w:ascii="Times New Roman" w:hAnsi="Times New Roman"/>
          <w:sz w:val="17"/>
        </w:rPr>
        <w:t xml:space="preserve">12.3         </w:t>
      </w:r>
      <w:r>
        <w:rPr>
          <w:rFonts w:ascii="Times New Roman" w:hAnsi="Times New Roman"/>
          <w:sz w:val="17"/>
          <w:u w:val="single"/>
        </w:rPr>
        <w:t>Delivery to Members; Inspection</w:t>
      </w:r>
      <w:r>
        <w:rPr>
          <w:rFonts w:ascii="Times New Roman" w:hAnsi="Times New Roman"/>
          <w:sz w:val="17"/>
        </w:rPr>
        <w:t xml:space="preserve">.  Upon the request of any Member, for any purpose reasonably related to such Members interest as a member of the Company, the Board shall cause to be made available to the requesting Member the information required to be maintained by clauses (a) through (e) of </w:t>
      </w:r>
      <w:r>
        <w:rPr>
          <w:rFonts w:ascii="Times New Roman" w:hAnsi="Times New Roman"/>
          <w:sz w:val="17"/>
          <w:u w:val="single"/>
        </w:rPr>
        <w:t>Section 12.2</w:t>
      </w:r>
      <w:r>
        <w:rPr>
          <w:rFonts w:ascii="Times New Roman" w:hAnsi="Times New Roman"/>
          <w:sz w:val="17"/>
        </w:rPr>
        <w:t xml:space="preserve"> and such other information regarding the business and affairs and financial condition of the Company as any Member may reasonably request.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bookmarkStart w:id="87" w:name="a12_4_223147"/>
      <w:bookmarkEnd w:id="87"/>
      <w:r>
        <w:rPr>
          <w:rFonts w:ascii="Times New Roman" w:hAnsi="Times New Roman"/>
          <w:sz w:val="17"/>
        </w:rPr>
        <w:t xml:space="preserve">12.4         </w:t>
      </w:r>
      <w:r>
        <w:rPr>
          <w:rFonts w:ascii="Times New Roman" w:hAnsi="Times New Roman"/>
          <w:sz w:val="17"/>
          <w:u w:val="single"/>
        </w:rPr>
        <w:t>Financial Statements</w:t>
      </w:r>
      <w:r>
        <w:rPr>
          <w:rFonts w:ascii="Times New Roman" w:hAnsi="Times New Roman"/>
          <w:sz w:val="17"/>
        </w:rPr>
        <w:t xml:space="preserve">.  The Company shall cause to be prepared for the Members at least annually, at the Companys expense, financial statements of the Company, and its Subsidiaries, prepared in accordance with generally accepted accounting principles and audited by a nationally recognized accounting firm.  The financial statements so furnished shall include a balance sheet, statement of income or loss, statement of cash flows, and statement of Members equity.  In addition, the Company shall provide on a timely basis to the Members monthly and quarterly financials, statements of cash flow, any available internal budgets or forecast or other available financial reports, as well as any reports or notices as are provided by the Company, or any of its Subsidiaries to any financial institution; </w:t>
      </w:r>
      <w:r>
        <w:rPr>
          <w:rFonts w:ascii="Times New Roman" w:hAnsi="Times New Roman"/>
          <w:i/>
          <w:sz w:val="17"/>
        </w:rPr>
        <w:t>provided, however</w:t>
      </w:r>
      <w:r>
        <w:rPr>
          <w:rFonts w:ascii="Times New Roman" w:hAnsi="Times New Roman"/>
          <w:sz w:val="17"/>
        </w:rPr>
        <w:t>, that during the first six months following the Closing Date, the requirement for monthly financial statements shall be satisfied by the provision of monthly estimates.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bookmarkStart w:id="88" w:name="a12_5_223149"/>
      <w:bookmarkEnd w:id="88"/>
      <w:r>
        <w:rPr>
          <w:rFonts w:ascii="Times New Roman" w:hAnsi="Times New Roman"/>
          <w:sz w:val="17"/>
        </w:rPr>
        <w:t xml:space="preserve">12.5         </w:t>
      </w:r>
      <w:r>
        <w:rPr>
          <w:rFonts w:ascii="Times New Roman" w:hAnsi="Times New Roman"/>
          <w:sz w:val="17"/>
          <w:u w:val="single"/>
        </w:rPr>
        <w:t>Filings</w:t>
      </w:r>
      <w:r>
        <w:rPr>
          <w:rFonts w:ascii="Times New Roman" w:hAnsi="Times New Roman"/>
          <w:sz w:val="17"/>
        </w:rPr>
        <w:t>.  At the Companys expense, the Board shall cause the income tax returns for the Company to be prepared and timely filed with the appropriate authorities and to have prepared and to furnish to each Member such information with respect to the Company as is necessary (or as may be reasonably requested by a Member) to enable the Members to prepare their Federal, state and local income tax returns.  The Board, at the Companys expense, shall also cause to be prepared and timely filed, with appropriate Federal, state and local regulatory and administrative bodies, all reports required to be filed by the Company with those entities under then current applicable laws, rules, and regulations.  The reports shall be prepared on the accounting or reporting basis required by the regulatory bodies.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bookmarkStart w:id="89" w:name="a12_6_223150"/>
      <w:bookmarkEnd w:id="89"/>
      <w:r>
        <w:rPr>
          <w:rFonts w:ascii="Times New Roman" w:hAnsi="Times New Roman"/>
          <w:sz w:val="17"/>
        </w:rPr>
        <w:t xml:space="preserve">12.6         </w:t>
      </w:r>
      <w:r>
        <w:rPr>
          <w:rFonts w:ascii="Times New Roman" w:hAnsi="Times New Roman"/>
          <w:sz w:val="17"/>
          <w:u w:val="single"/>
        </w:rPr>
        <w:t>Non-Disclosure</w:t>
      </w:r>
      <w:r>
        <w:rPr>
          <w:rFonts w:ascii="Times New Roman" w:hAnsi="Times New Roman"/>
          <w:sz w:val="17"/>
        </w:rPr>
        <w:t>.  Each Member agrees that, except as otherwise consented to by the Board in writing, all non-public and confidential information furnished to it pursuant to this Agreement will be kept confidential and will not be disclosed by such Member, or by any of its agents, representatives, or employees, in any manner whatsoever, in whole or in part, except that (a) each Member shall be permitted to disclose such information to those of its agents, representatives, and employees who need to be familiar with such information in connection with such Members investment in the Company (collectively, </w:t>
      </w:r>
      <w:r>
        <w:rPr>
          <w:rFonts w:ascii="Times New Roman" w:hAnsi="Times New Roman"/>
          <w:b/>
          <w:i/>
          <w:sz w:val="17"/>
        </w:rPr>
        <w:t>Representatives</w:t>
      </w:r>
      <w:r>
        <w:rPr>
          <w:rFonts w:ascii="Times New Roman" w:hAnsi="Times New Roman"/>
          <w:sz w:val="17"/>
        </w:rPr>
        <w:t xml:space="preserve">) and are apprised of the confidential nature of such information, (b) each Member shall be permitted to disclose information to the extent required by law, legal process, regulatory requirements or applicable stock exchange requirements, so long as (in the case of legal process) such Member shall have used its reasonable efforts to first afford the other Initial Member with a reasonable opportunity to contest the necessity of disclosing such information, (c) each Member shall be permitted to disclose such information to possible purchasers of all or a portion of the Members Membership Interest, </w:t>
      </w:r>
      <w:r>
        <w:rPr>
          <w:rFonts w:ascii="Times New Roman" w:hAnsi="Times New Roman"/>
          <w:i/>
          <w:sz w:val="17"/>
        </w:rPr>
        <w:t>provided</w:t>
      </w:r>
      <w:r>
        <w:rPr>
          <w:rFonts w:ascii="Times New Roman" w:hAnsi="Times New Roman"/>
          <w:sz w:val="17"/>
        </w:rPr>
        <w:t xml:space="preserve"> that such prospective purchaser shall execute a suitable confidentiality agreement in a form approved by the Company containing terms not less restrictive than the terms set forth herein, and (d) each Member shall be permitted to disclose information to the extent necessary for the enforcement of any right of such Member arising under this Agreement.  Each Member shall be responsible for any breach of this </w:t>
      </w:r>
      <w:r>
        <w:rPr>
          <w:rFonts w:ascii="Times New Roman" w:hAnsi="Times New Roman"/>
          <w:sz w:val="17"/>
          <w:u w:val="single"/>
        </w:rPr>
        <w:t>Section 12.6</w:t>
      </w:r>
      <w:r>
        <w:rPr>
          <w:rFonts w:ascii="Times New Roman" w:hAnsi="Times New Roman"/>
          <w:sz w:val="17"/>
        </w:rPr>
        <w:t xml:space="preserve"> by its Representatives.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45</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Heading1"/>
        <w:spacing w:before="0" w:after="0"/>
        <w:ind w:left="0" w:right="0" w:hanging="0"/>
        <w:rPr>
          <w:rFonts w:ascii="Times New Roman" w:hAnsi="Times New Roman"/>
          <w:b/>
          <w:sz w:val="17"/>
        </w:rPr>
      </w:pPr>
      <w:bookmarkStart w:id="90" w:name="Article13_223156"/>
      <w:bookmarkEnd w:id="90"/>
      <w:r>
        <w:rPr>
          <w:rFonts w:ascii="Times New Roman" w:hAnsi="Times New Roman"/>
          <w:b/>
          <w:sz w:val="17"/>
        </w:rPr>
        <w:t>ARTICLE 13</w:t>
        <w:br/>
        <w:t>NON-COMPETITION</w:t>
      </w:r>
    </w:p>
    <w:p>
      <w:pPr>
        <w:pStyle w:val="Heading1"/>
        <w:spacing w:before="0" w:after="0"/>
        <w:ind w:left="0" w:right="0" w:hanging="0"/>
        <w:rPr/>
      </w:pPr>
      <w:r>
        <w:rPr/>
        <w:t> </w:t>
      </w:r>
    </w:p>
    <w:p>
      <w:pPr>
        <w:pStyle w:val="TextBody"/>
        <w:spacing w:before="0" w:after="0"/>
        <w:ind w:left="0" w:right="0" w:hanging="0"/>
        <w:rPr>
          <w:rFonts w:ascii="Times New Roman" w:hAnsi="Times New Roman"/>
          <w:sz w:val="17"/>
        </w:rPr>
      </w:pPr>
      <w:bookmarkStart w:id="91" w:name="a13_1_223157"/>
      <w:bookmarkEnd w:id="91"/>
      <w:r>
        <w:rPr>
          <w:rFonts w:ascii="Times New Roman" w:hAnsi="Times New Roman"/>
          <w:sz w:val="17"/>
        </w:rPr>
        <w:t xml:space="preserve">13.1         </w:t>
      </w:r>
      <w:r>
        <w:rPr>
          <w:rFonts w:ascii="Times New Roman" w:hAnsi="Times New Roman"/>
          <w:sz w:val="17"/>
          <w:u w:val="single"/>
        </w:rPr>
        <w:t>Non-Competition</w:t>
      </w:r>
      <w:r>
        <w:rPr>
          <w:rFonts w:ascii="Times New Roman" w:hAnsi="Times New Roman"/>
          <w:sz w:val="17"/>
        </w:rPr>
        <w:t xml:space="preserve">.  Each of the Members hereby acknowledges that the Company and its Subsidiaries operate in a competitive business and compete with other Persons operating in the Gas Storage Business in North America for acquisition opportunities.  Each of the Members agrees that during the period that it is a Member, except as permitted pursuant to </w:t>
      </w:r>
      <w:r>
        <w:rPr>
          <w:rFonts w:ascii="Times New Roman" w:hAnsi="Times New Roman"/>
          <w:sz w:val="17"/>
          <w:u w:val="single"/>
        </w:rPr>
        <w:t>Section 13.2</w:t>
      </w:r>
      <w:r>
        <w:rPr>
          <w:rFonts w:ascii="Times New Roman" w:hAnsi="Times New Roman"/>
          <w:sz w:val="17"/>
        </w:rPr>
        <w:t xml:space="preserve">, it shall not, directly or indirectly, compete, or engage in or become interested financially in as a principal, employee, partner, shareholder, agent, manager, owner, advisor, lender, guarantor of any Person that competes, in North America with the Gas Storage Business conducted by the Company or any of its Subsidiaries.  Each of the Members confirms that the restrictions in this </w:t>
      </w:r>
      <w:r>
        <w:rPr>
          <w:rFonts w:ascii="Times New Roman" w:hAnsi="Times New Roman"/>
          <w:sz w:val="17"/>
          <w:u w:val="single"/>
        </w:rPr>
        <w:t>Section 13.1</w:t>
      </w:r>
      <w:r>
        <w:rPr>
          <w:rFonts w:ascii="Times New Roman" w:hAnsi="Times New Roman"/>
          <w:sz w:val="17"/>
        </w:rPr>
        <w:t xml:space="preserve"> are reasonable and valid and all defenses to the strict enforcement thereof are hereby waived by each of the Members.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bookmarkStart w:id="92" w:name="a13_2_223159"/>
      <w:bookmarkEnd w:id="92"/>
      <w:r>
        <w:rPr>
          <w:rFonts w:ascii="Times New Roman" w:hAnsi="Times New Roman"/>
          <w:sz w:val="17"/>
        </w:rPr>
        <w:t xml:space="preserve">13.2         </w:t>
      </w:r>
      <w:r>
        <w:rPr>
          <w:rFonts w:ascii="Times New Roman" w:hAnsi="Times New Roman"/>
          <w:sz w:val="17"/>
          <w:u w:val="single"/>
        </w:rPr>
        <w:t>Restricted Business</w:t>
      </w:r>
    </w:p>
    <w:p>
      <w:pPr>
        <w:pStyle w:val="TextBody"/>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 xml:space="preserve">(a)           For so long as it is a Member, prior to any Member engaging in or acquiring control of, or causing any of its Affiliates to engage in or acquire control of, any Gas Storage Business, such Member shall notify the Board in writing of such engagement or acquisition and offer the Company in writing the opportunity to engage in or acquire control of such Gas Storage Business.  Each of the Members acknowledges and agrees that the foregoing (and the restrictions set forth in </w:t>
      </w:r>
      <w:r>
        <w:rPr>
          <w:rFonts w:ascii="Times New Roman" w:hAnsi="Times New Roman"/>
          <w:b w:val="false"/>
          <w:sz w:val="17"/>
          <w:u w:val="single"/>
        </w:rPr>
        <w:t>Section 13.1</w:t>
      </w:r>
      <w:r>
        <w:rPr>
          <w:rFonts w:ascii="Times New Roman" w:hAnsi="Times New Roman"/>
          <w:b w:val="false"/>
          <w:sz w:val="17"/>
        </w:rPr>
        <w:t xml:space="preserve">) shall not apply to Vulcan and its Affiliates making and managing investments in the ordinary course of business in securities of issuers engaged in the Gas Storage Business, </w:t>
      </w:r>
      <w:r>
        <w:rPr>
          <w:rFonts w:ascii="Times New Roman" w:hAnsi="Times New Roman"/>
          <w:b w:val="false"/>
          <w:i/>
          <w:sz w:val="17"/>
        </w:rPr>
        <w:t>provided</w:t>
      </w:r>
      <w:r>
        <w:rPr>
          <w:rFonts w:ascii="Times New Roman" w:hAnsi="Times New Roman"/>
          <w:b w:val="false"/>
          <w:sz w:val="17"/>
        </w:rPr>
        <w:t xml:space="preserve"> that such securities represent less than 15% of the equity ownership of the issuer on a fully diluted basis, or are convertible into less than 15% of the equity ownership of the issuer on a fully diluted basis (such investments </w:t>
      </w:r>
      <w:r>
        <w:rPr>
          <w:rFonts w:ascii="Times New Roman" w:hAnsi="Times New Roman"/>
          <w:b/>
          <w:i/>
          <w:sz w:val="17"/>
        </w:rPr>
        <w:t>Institutional</w:t>
      </w:r>
      <w:r>
        <w:rPr>
          <w:rFonts w:ascii="Times New Roman" w:hAnsi="Times New Roman"/>
          <w:b/>
          <w:sz w:val="17"/>
        </w:rPr>
        <w:t xml:space="preserve"> </w:t>
      </w:r>
      <w:r>
        <w:rPr>
          <w:rFonts w:ascii="Times New Roman" w:hAnsi="Times New Roman"/>
          <w:b/>
          <w:i/>
          <w:sz w:val="17"/>
        </w:rPr>
        <w:t>Investments</w:t>
      </w:r>
      <w:r>
        <w:rPr>
          <w:rFonts w:ascii="Times New Roman" w:hAnsi="Times New Roman"/>
          <w:b w:val="false"/>
          <w:sz w:val="17"/>
        </w:rPr>
        <w:t xml:space="preserve">), and so long as (i) such Institutional Investments are not in violation of the provisions of </w:t>
      </w:r>
      <w:r>
        <w:rPr>
          <w:rFonts w:ascii="Times New Roman" w:hAnsi="Times New Roman"/>
          <w:b w:val="false"/>
          <w:sz w:val="17"/>
          <w:u w:val="single"/>
        </w:rPr>
        <w:t>Section 12.6</w:t>
      </w:r>
      <w:r>
        <w:rPr>
          <w:rFonts w:ascii="Times New Roman" w:hAnsi="Times New Roman"/>
          <w:b w:val="false"/>
          <w:sz w:val="17"/>
        </w:rPr>
        <w:t>, (ii) Vulcan does not have voting or management rights with respect to the issuer that are materially greater than those granted to Vulcan in this Agreement during any Vulcan Minority Interest Period, and (iii) if such Institutional Investment involves the acquisition of more than 3% of the outstanding equity interest in the issuer thereof, Vulcan provides notice to the Company and PAA of such Institutional Investment promptly following its investment therein.</w:t>
      </w:r>
    </w:p>
    <w:p>
      <w:pPr>
        <w:pStyle w:val="Heading3"/>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 xml:space="preserve">(b)           As soon as practicable, but in any event, within 15 days after receipt of such notification pursuant to </w:t>
      </w:r>
      <w:r>
        <w:rPr>
          <w:rFonts w:ascii="Times New Roman" w:hAnsi="Times New Roman"/>
          <w:b w:val="false"/>
          <w:sz w:val="17"/>
          <w:u w:val="single"/>
        </w:rPr>
        <w:t>Section 13.2(a)</w:t>
      </w:r>
      <w:r>
        <w:rPr>
          <w:rFonts w:ascii="Times New Roman" w:hAnsi="Times New Roman"/>
          <w:b w:val="false"/>
          <w:sz w:val="17"/>
        </w:rPr>
        <w:t xml:space="preserve">, the Board shall notify such Member that either (x) the Board has determined, in accordance with </w:t>
      </w:r>
      <w:r>
        <w:rPr>
          <w:rFonts w:ascii="Times New Roman" w:hAnsi="Times New Roman"/>
          <w:b w:val="false"/>
          <w:sz w:val="17"/>
          <w:u w:val="single"/>
        </w:rPr>
        <w:t>Section 7.10</w:t>
      </w:r>
      <w:r>
        <w:rPr>
          <w:rFonts w:ascii="Times New Roman" w:hAnsi="Times New Roman"/>
          <w:b w:val="false"/>
          <w:sz w:val="17"/>
        </w:rPr>
        <w:t xml:space="preserve">, to cause the Company to pursue such Gas Storage Business or (y) the Board has failed to determine to cause the Company to pursue such Gas Storage Business (whether due to a vote of the Directors or the failure of the Board to achieve a quorum at a duly noticed meeting to consider such matter).  If the Board notifies such Member that it has failed to determine to cause the Company to pursue such opportunity, or if having provided the notice contemplated in clause (x) of the preceding sentence, the Company ceases to actively pursue such opportunity, such Member or its Affiliate shall be free to engage in or acquire control of such Gas Storage Business, </w:t>
      </w:r>
      <w:r>
        <w:rPr>
          <w:rFonts w:ascii="Times New Roman" w:hAnsi="Times New Roman"/>
          <w:b w:val="false"/>
          <w:i/>
          <w:sz w:val="17"/>
        </w:rPr>
        <w:t>provided</w:t>
      </w:r>
      <w:r>
        <w:rPr>
          <w:rFonts w:ascii="Times New Roman" w:hAnsi="Times New Roman"/>
          <w:b w:val="false"/>
          <w:sz w:val="17"/>
        </w:rPr>
        <w:t xml:space="preserve"> that if the opportunity was presented by an Initial Member (or an Initial Member or any of its Affiliates, other than the Company, is given the opportunity to participate in such opportunity) and either of the Directors appointed by such Initial Member voted against pursuit of such opportunity by the Company or any of its Subsidiaries (or if both of such Directors failed to attend a duly noticed meeting of the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46</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Board to consider such opportunity), then such Initial Member and its Affiliates (other than the Company) shall not be free to engage in or acquire control of such Gas Storage Business or participate in such opportunity unless the Directors appointed by the other Initial Member also voted against pursuit of such opportunity.  In addition to the foregoing, if an Initial Member identifies an opportunity to engage in or acquire control of a Gas Storage Business but does not want the Company to pursue such opportunity, the other Initial Member shall be free to engage in or acquire control of such Gas Storage Business.</w:t>
      </w:r>
    </w:p>
    <w:p>
      <w:pPr>
        <w:pStyle w:val="Heading3"/>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 xml:space="preserve">(c)           Notwithstanding </w:t>
      </w:r>
      <w:r>
        <w:rPr>
          <w:rFonts w:ascii="Times New Roman" w:hAnsi="Times New Roman"/>
          <w:b w:val="false"/>
          <w:sz w:val="17"/>
          <w:u w:val="single"/>
        </w:rPr>
        <w:t>Section 13.2(a)</w:t>
      </w:r>
      <w:r>
        <w:rPr>
          <w:rFonts w:ascii="Times New Roman" w:hAnsi="Times New Roman"/>
          <w:b w:val="false"/>
          <w:sz w:val="17"/>
        </w:rPr>
        <w:t xml:space="preserve">, a Member or its Affiliate may acquire control of a Person that is engaged in the Gas Storage Business (and shall not be deemed to be engaged in the Gas Storage Business with respect to the business of such Person) if no more than 50% of the consolidated revenues of such Person during the most recent calendar year were derived from such Gas Storage Business, </w:t>
      </w:r>
      <w:r>
        <w:rPr>
          <w:rFonts w:ascii="Times New Roman" w:hAnsi="Times New Roman"/>
          <w:b w:val="false"/>
          <w:i/>
          <w:sz w:val="17"/>
        </w:rPr>
        <w:t>provided</w:t>
      </w:r>
      <w:r>
        <w:rPr>
          <w:rFonts w:ascii="Times New Roman" w:hAnsi="Times New Roman"/>
          <w:b w:val="false"/>
          <w:sz w:val="17"/>
        </w:rPr>
        <w:t xml:space="preserve"> that not later than 30 days after the consummation of the acquisition by such Member or its Affiliate of control of such Person, such Member shall notify (the </w:t>
      </w:r>
      <w:r>
        <w:rPr>
          <w:rFonts w:ascii="Times New Roman" w:hAnsi="Times New Roman"/>
          <w:b/>
          <w:i/>
          <w:sz w:val="17"/>
        </w:rPr>
        <w:t>Section 13.2(c) Notice</w:t>
      </w:r>
      <w:r>
        <w:rPr>
          <w:rFonts w:ascii="Times New Roman" w:hAnsi="Times New Roman"/>
          <w:b w:val="false"/>
          <w:sz w:val="17"/>
        </w:rPr>
        <w:t xml:space="preserve">) the Board of such acquisition and offer the Company the opportunity to purchase such Gas Storage Business.  As soon as practicable, but in any event, within 30 days after receipt of the Section 13.2(c) Notice, the Board shall notify such Member that either (x) the Directors of the other Initial Member have failed to approve the Companys purchasing of such Gas Storage Business (whether due to a vote of the Directors or the failure of the Board to achieve a quorum at a duly noticed meeting to consider such matter due to the absence of any Director of such other Initial Member), in which event such Member or its Affiliate shall be free to continue to engage in such Gas Storage Business, or (y) the Board has elected to cause the Company to purchase such Gas Storage Business, in which event the acquiring Member and the Company shall negotiate in good faith regarding the sale of such Gas Storage Business to the Company.  The acquiring Member shall provide all information concerning the business, operations and finances of such Gas Storage Business as may be reasonably requested by the Company.  If the acquiring Member and the Company fail to reach an agreement regarding the sale of such Gas Storage Business to the Company within 90 days after receipt of the Section 13.2(c) Notice, or if having reached such an agreement during such period, the transaction contemplated by such agreement shall not have been consummated within 180 days after execution of such agreement (other than due to a breach thereof by the acquiring Member or its Affiliate), then the acquiring Member shall have satisfied its obligations under this </w:t>
      </w:r>
      <w:r>
        <w:rPr>
          <w:rFonts w:ascii="Times New Roman" w:hAnsi="Times New Roman"/>
          <w:b w:val="false"/>
          <w:sz w:val="17"/>
          <w:u w:val="single"/>
        </w:rPr>
        <w:t>Section 13.2(c) </w:t>
      </w:r>
      <w:r>
        <w:rPr>
          <w:rFonts w:ascii="Times New Roman" w:hAnsi="Times New Roman"/>
          <w:b w:val="false"/>
          <w:sz w:val="17"/>
        </w:rPr>
        <w:t>and the acquiring Member or its Affiliate shall be free to continue to engage in such Gas Storage Business.</w:t>
      </w:r>
    </w:p>
    <w:p>
      <w:pPr>
        <w:pStyle w:val="Heading3"/>
        <w:spacing w:before="0" w:after="0"/>
        <w:ind w:left="0" w:right="0" w:hanging="0"/>
        <w:rPr/>
      </w:pPr>
      <w:r>
        <w:rPr/>
        <w:t> </w:t>
      </w:r>
    </w:p>
    <w:p>
      <w:pPr>
        <w:pStyle w:val="TextBody"/>
        <w:spacing w:before="0" w:after="0"/>
        <w:ind w:left="0" w:right="0" w:hanging="0"/>
        <w:rPr>
          <w:rFonts w:ascii="Times New Roman" w:hAnsi="Times New Roman"/>
          <w:sz w:val="17"/>
        </w:rPr>
      </w:pPr>
      <w:bookmarkStart w:id="93" w:name="a13_3_223209"/>
      <w:bookmarkEnd w:id="93"/>
      <w:r>
        <w:rPr>
          <w:rFonts w:ascii="Times New Roman" w:hAnsi="Times New Roman"/>
          <w:sz w:val="17"/>
        </w:rPr>
        <w:t xml:space="preserve">13.3         </w:t>
      </w:r>
      <w:r>
        <w:rPr>
          <w:rFonts w:ascii="Times New Roman" w:hAnsi="Times New Roman"/>
          <w:sz w:val="17"/>
          <w:u w:val="single"/>
        </w:rPr>
        <w:t>Damages</w:t>
      </w:r>
      <w:r>
        <w:rPr>
          <w:rFonts w:ascii="Times New Roman" w:hAnsi="Times New Roman"/>
          <w:sz w:val="17"/>
        </w:rPr>
        <w:t xml:space="preserve">.  Each of the Members acknowledges that damages may not be an adequate compensation for the losses which may be suffered by the Company as a result of the breach by such Member of the covenants contained in this </w:t>
      </w:r>
      <w:r>
        <w:rPr>
          <w:rFonts w:ascii="Times New Roman" w:hAnsi="Times New Roman"/>
          <w:sz w:val="17"/>
          <w:u w:val="single"/>
        </w:rPr>
        <w:t>Article 13</w:t>
      </w:r>
      <w:r>
        <w:rPr>
          <w:rFonts w:ascii="Times New Roman" w:hAnsi="Times New Roman"/>
          <w:sz w:val="17"/>
        </w:rPr>
        <w:t xml:space="preserve"> and in </w:t>
      </w:r>
      <w:r>
        <w:rPr>
          <w:rFonts w:ascii="Times New Roman" w:hAnsi="Times New Roman"/>
          <w:sz w:val="17"/>
          <w:u w:val="single"/>
        </w:rPr>
        <w:t>Section 12.6</w:t>
      </w:r>
      <w:r>
        <w:rPr>
          <w:rFonts w:ascii="Times New Roman" w:hAnsi="Times New Roman"/>
          <w:sz w:val="17"/>
        </w:rPr>
        <w:t xml:space="preserve"> and that the Company shall be entitled to seek injunctive relief with respect to any such breach in lieu of or in addition to any recourse in damages without the posting of a bond or other security.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bookmarkStart w:id="94" w:name="a13_4_223210"/>
      <w:bookmarkEnd w:id="94"/>
      <w:r>
        <w:rPr>
          <w:rFonts w:ascii="Times New Roman" w:hAnsi="Times New Roman"/>
          <w:sz w:val="17"/>
        </w:rPr>
        <w:t xml:space="preserve">13.4         </w:t>
      </w:r>
      <w:r>
        <w:rPr>
          <w:rFonts w:ascii="Times New Roman" w:hAnsi="Times New Roman"/>
          <w:sz w:val="17"/>
          <w:u w:val="single"/>
        </w:rPr>
        <w:t>Limitations</w:t>
      </w:r>
      <w:r>
        <w:rPr>
          <w:rFonts w:ascii="Times New Roman" w:hAnsi="Times New Roman"/>
          <w:sz w:val="17"/>
        </w:rPr>
        <w:t xml:space="preserve">.  In the event that a court of competent jurisdiction decides that the limitations set forth in </w:t>
      </w:r>
      <w:r>
        <w:rPr>
          <w:rFonts w:ascii="Times New Roman" w:hAnsi="Times New Roman"/>
          <w:sz w:val="17"/>
          <w:u w:val="single"/>
        </w:rPr>
        <w:t>Section 13.1</w:t>
      </w:r>
      <w:r>
        <w:rPr>
          <w:rFonts w:ascii="Times New Roman" w:hAnsi="Times New Roman"/>
          <w:sz w:val="17"/>
        </w:rPr>
        <w:t xml:space="preserve"> or </w:t>
      </w:r>
      <w:r>
        <w:rPr>
          <w:rFonts w:ascii="Times New Roman" w:hAnsi="Times New Roman"/>
          <w:sz w:val="17"/>
          <w:u w:val="single"/>
        </w:rPr>
        <w:t>Section 13.2</w:t>
      </w:r>
      <w:r>
        <w:rPr>
          <w:rFonts w:ascii="Times New Roman" w:hAnsi="Times New Roman"/>
          <w:sz w:val="17"/>
        </w:rPr>
        <w:t xml:space="preserve"> hereof are too broad, such limitations shall be reduced to those limitations that such court deems reasonable.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47</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Heading1"/>
        <w:spacing w:before="0" w:after="0"/>
        <w:ind w:left="0" w:right="0" w:hanging="0"/>
        <w:rPr>
          <w:rFonts w:ascii="Times New Roman" w:hAnsi="Times New Roman"/>
          <w:b/>
          <w:sz w:val="17"/>
        </w:rPr>
      </w:pPr>
      <w:bookmarkStart w:id="95" w:name="Article14_223213"/>
      <w:bookmarkEnd w:id="95"/>
      <w:r>
        <w:rPr>
          <w:rFonts w:ascii="Times New Roman" w:hAnsi="Times New Roman"/>
          <w:b/>
          <w:sz w:val="17"/>
        </w:rPr>
        <w:t>ARTICLE 14</w:t>
        <w:br/>
        <w:t>ADMINISTRATIVE SERVICES</w:t>
      </w:r>
    </w:p>
    <w:p>
      <w:pPr>
        <w:pStyle w:val="Heading1"/>
        <w:spacing w:before="0" w:after="0"/>
        <w:ind w:left="0" w:right="0" w:hanging="0"/>
        <w:rPr/>
      </w:pPr>
      <w:r>
        <w:rPr/>
        <w:t> </w:t>
      </w:r>
    </w:p>
    <w:p>
      <w:pPr>
        <w:pStyle w:val="TextBody"/>
        <w:spacing w:before="0" w:after="0"/>
        <w:ind w:left="0" w:right="0" w:hanging="0"/>
        <w:rPr>
          <w:rFonts w:ascii="Times New Roman" w:hAnsi="Times New Roman"/>
          <w:sz w:val="17"/>
        </w:rPr>
      </w:pPr>
      <w:bookmarkStart w:id="96" w:name="a14_1_223215"/>
      <w:bookmarkEnd w:id="96"/>
      <w:r>
        <w:rPr>
          <w:rFonts w:ascii="Times New Roman" w:hAnsi="Times New Roman"/>
          <w:sz w:val="17"/>
        </w:rPr>
        <w:t xml:space="preserve">14.1         </w:t>
      </w:r>
      <w:r>
        <w:rPr>
          <w:rFonts w:ascii="Times New Roman" w:hAnsi="Times New Roman"/>
          <w:sz w:val="17"/>
          <w:u w:val="single"/>
        </w:rPr>
        <w:t>Administrative Services</w:t>
      </w:r>
      <w:r>
        <w:rPr>
          <w:rFonts w:ascii="Times New Roman" w:hAnsi="Times New Roman"/>
          <w:sz w:val="17"/>
        </w:rPr>
        <w:t>.  On the Closing Date, employees of Energy Center Investments, LLC and its subsidiaries shall become employees of Manager.  The costs associated with such employees, replacements and new hires considered necessary to manage the business shall be reimbursed to Manager by the Company as provided herein.  In addition, Manager hereby agrees to furnish to the Company and its Subsidiaries such additional administrative services reasonably necessary for the operation of the Companys business (the </w:t>
      </w:r>
      <w:r>
        <w:rPr>
          <w:rFonts w:ascii="Times New Roman" w:hAnsi="Times New Roman"/>
          <w:b/>
          <w:i/>
          <w:sz w:val="17"/>
        </w:rPr>
        <w:t>Administrative</w:t>
      </w:r>
      <w:r>
        <w:rPr>
          <w:rFonts w:ascii="Times New Roman" w:hAnsi="Times New Roman"/>
          <w:sz w:val="17"/>
        </w:rPr>
        <w:t xml:space="preserve"> </w:t>
      </w:r>
      <w:r>
        <w:rPr>
          <w:rFonts w:ascii="Times New Roman" w:hAnsi="Times New Roman"/>
          <w:b/>
          <w:i/>
          <w:sz w:val="17"/>
        </w:rPr>
        <w:t>Services</w:t>
      </w:r>
      <w:r>
        <w:rPr>
          <w:rFonts w:ascii="Times New Roman" w:hAnsi="Times New Roman"/>
          <w:sz w:val="17"/>
        </w:rPr>
        <w:t>).  It is the intent between the Members that Manager shall be reimbursed for such Administrative Services which, except as provided in Section 4.1, shall be provided at Managers cost (</w:t>
      </w:r>
      <w:r>
        <w:rPr>
          <w:rFonts w:ascii="Times New Roman" w:hAnsi="Times New Roman"/>
          <w:i/>
          <w:sz w:val="17"/>
        </w:rPr>
        <w:t>e.g.</w:t>
      </w:r>
      <w:r>
        <w:rPr>
          <w:rFonts w:ascii="Times New Roman" w:hAnsi="Times New Roman"/>
          <w:sz w:val="17"/>
        </w:rPr>
        <w:t>, with no mark-up or profit).  In determining the reimbursement amount, Manager shall be required to make reasonable allocations of shared services, facilities and business expenses, which allocations shall be made in good faith and documented.  Without Vulcans advance approval, such allocations shall not include an allocation of time or costs associated with PAAs senior officers (other than direct out-of-pocket expenses incurred by such officers), but as applicable shall include a reasonable allocation for management and staff positions below such levels.  For avoidance of doubt, Manager shall be entitled to obtain reimbursement for all costs, including benefits and incentive compensation arrangements, attributable to employees (other than PAAs senior officers) directly engaged in the Business on behalf of the Company.  Such reimbursements shall be made not less than quarterly.  If the Company does not have sufficient cash to pay the entire amount payable pursuant to this Section 14.1, the shortfall will be carried forward and paid by the Company as soon as such funds are available.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bookmarkStart w:id="97" w:name="a14_2_223217"/>
      <w:bookmarkEnd w:id="97"/>
      <w:r>
        <w:rPr>
          <w:rFonts w:ascii="Times New Roman" w:hAnsi="Times New Roman"/>
          <w:sz w:val="17"/>
        </w:rPr>
        <w:t xml:space="preserve">14.2         </w:t>
      </w:r>
      <w:r>
        <w:rPr>
          <w:rFonts w:ascii="Times New Roman" w:hAnsi="Times New Roman"/>
          <w:sz w:val="17"/>
          <w:u w:val="single"/>
        </w:rPr>
        <w:t>Services Standard</w:t>
      </w:r>
      <w:r>
        <w:rPr>
          <w:rFonts w:ascii="Times New Roman" w:hAnsi="Times New Roman"/>
          <w:sz w:val="17"/>
        </w:rPr>
        <w:t xml:space="preserve">.  Manager will provide the services of appropriately skilled and experienced persons in the performance of the Administrative Services.  The Administrative Services shall be substantially identical in nature and quality to the services of such type provided by Manager with respect to the business, properties and assets of it and its subsidiaries.  In performing the Administrative Services, Manager will take reasonable actions to comply with all federal, state, county and municipal laws, rules, regulations, ordinances, orders and other legally-enforceable requirements applicable to the provision of the Administrative Services Notwithstanding the foregoing, Manager will be liable to the Company in connection with the performance of the Administrative Services only as provided in </w:t>
      </w:r>
      <w:r>
        <w:rPr>
          <w:rFonts w:ascii="Times New Roman" w:hAnsi="Times New Roman"/>
          <w:sz w:val="17"/>
          <w:u w:val="single"/>
        </w:rPr>
        <w:t>Section 8.1</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bookmarkStart w:id="98" w:name="a14_3_223218"/>
      <w:bookmarkEnd w:id="98"/>
      <w:r>
        <w:rPr>
          <w:rFonts w:ascii="Times New Roman" w:hAnsi="Times New Roman"/>
          <w:sz w:val="17"/>
        </w:rPr>
        <w:t xml:space="preserve">14.3         </w:t>
      </w:r>
      <w:r>
        <w:rPr>
          <w:rFonts w:ascii="Times New Roman" w:hAnsi="Times New Roman"/>
          <w:sz w:val="17"/>
          <w:u w:val="single"/>
        </w:rPr>
        <w:t>Termination</w:t>
      </w:r>
      <w:r>
        <w:rPr>
          <w:rFonts w:ascii="Times New Roman" w:hAnsi="Times New Roman"/>
          <w:sz w:val="17"/>
        </w:rPr>
        <w:t>.  The obligation of PAA to provide the Administrative Services shall terminate at such time as PAA is replaced as Manager or it is no longer a Member.</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48</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Heading1"/>
        <w:spacing w:before="0" w:after="0"/>
        <w:ind w:left="0" w:right="0" w:hanging="0"/>
        <w:rPr>
          <w:rFonts w:ascii="Times New Roman" w:hAnsi="Times New Roman"/>
          <w:b/>
          <w:sz w:val="17"/>
        </w:rPr>
      </w:pPr>
      <w:bookmarkStart w:id="99" w:name="Article15_223221"/>
      <w:bookmarkEnd w:id="99"/>
      <w:r>
        <w:rPr>
          <w:rFonts w:ascii="Times New Roman" w:hAnsi="Times New Roman"/>
          <w:b/>
          <w:sz w:val="17"/>
        </w:rPr>
        <w:t>ARTICLE 15</w:t>
        <w:br/>
        <w:t>MISCELLANEOUS</w:t>
      </w:r>
    </w:p>
    <w:p>
      <w:pPr>
        <w:pStyle w:val="Heading1"/>
        <w:spacing w:before="0" w:after="0"/>
        <w:ind w:left="0" w:right="0" w:hanging="0"/>
        <w:rPr/>
      </w:pPr>
      <w:r>
        <w:rPr/>
        <w:t> </w:t>
      </w:r>
    </w:p>
    <w:p>
      <w:pPr>
        <w:pStyle w:val="TextBody"/>
        <w:spacing w:before="0" w:after="0"/>
        <w:ind w:left="0" w:right="0" w:hanging="0"/>
        <w:rPr>
          <w:rFonts w:ascii="Times New Roman" w:hAnsi="Times New Roman"/>
          <w:sz w:val="17"/>
        </w:rPr>
      </w:pPr>
      <w:bookmarkStart w:id="100" w:name="a15_1_223603"/>
      <w:bookmarkEnd w:id="100"/>
      <w:r>
        <w:rPr>
          <w:rFonts w:ascii="Times New Roman" w:hAnsi="Times New Roman"/>
          <w:sz w:val="17"/>
        </w:rPr>
        <w:t xml:space="preserve">15.1         </w:t>
      </w:r>
      <w:r>
        <w:rPr>
          <w:rFonts w:ascii="Times New Roman" w:hAnsi="Times New Roman"/>
          <w:sz w:val="17"/>
          <w:u w:val="single"/>
        </w:rPr>
        <w:t>Waiver of Default</w:t>
      </w:r>
      <w:r>
        <w:rPr>
          <w:rFonts w:ascii="Times New Roman" w:hAnsi="Times New Roman"/>
          <w:sz w:val="17"/>
        </w:rPr>
        <w:t>.  No consent or waiver, express or implied, by the Company or a Member with respect to any breach or default by the Company or a Member hereunder shall be deemed or construed to be a consent or waiver with respect to any other breach or default by any party of the same provision or any other provision of this Agreement.  Failure on the part of the Company or a Member to complain of any act or failure to act of the Company or a Member or to declare such party in default shall not be deemed or constitute a waiver by the Company or the Member of any rights hereunder.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bookmarkStart w:id="101" w:name="a15_2_223605"/>
      <w:bookmarkEnd w:id="101"/>
      <w:r>
        <w:rPr>
          <w:rFonts w:ascii="Times New Roman" w:hAnsi="Times New Roman"/>
          <w:sz w:val="17"/>
        </w:rPr>
        <w:t xml:space="preserve">15.2         </w:t>
      </w:r>
      <w:r>
        <w:rPr>
          <w:rFonts w:ascii="Times New Roman" w:hAnsi="Times New Roman"/>
          <w:sz w:val="17"/>
          <w:u w:val="single"/>
        </w:rPr>
        <w:t>Amendment</w:t>
      </w:r>
      <w:r>
        <w:rPr>
          <w:rFonts w:ascii="Times New Roman" w:hAnsi="Times New Roman"/>
          <w:sz w:val="17"/>
        </w:rPr>
        <w:t>.</w:t>
      </w:r>
    </w:p>
    <w:p>
      <w:pPr>
        <w:pStyle w:val="TextBody"/>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(a)           Except as otherwise expressly provided elsewhere in this Agreement, this Agreement shall not be altered, modified or changed except by an amendment approved by each of the Initial Members.</w:t>
      </w:r>
    </w:p>
    <w:p>
      <w:pPr>
        <w:pStyle w:val="Heading3"/>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(b)           In addition to any amendments otherwise authorized herein, the Board may make any amendments to any of the Schedules to this Agreement from time to time to reflect transfers of Membership Interests and issuances of additional Membership Interests.  Copies of such amendments shall be delivered to the Members upon execution thereof.</w:t>
      </w:r>
    </w:p>
    <w:p>
      <w:pPr>
        <w:pStyle w:val="Heading3"/>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(c)           The Board shall cause to be prepared and filed any amendment to the Certificate that may be required to be filed under the Act as a consequence of any amendment to this Agreement.</w:t>
      </w:r>
    </w:p>
    <w:p>
      <w:pPr>
        <w:pStyle w:val="Heading3"/>
        <w:spacing w:before="0" w:after="0"/>
        <w:ind w:left="0" w:right="0" w:hanging="0"/>
        <w:rPr/>
      </w:pPr>
      <w:r>
        <w:rPr/>
        <w:t> </w:t>
      </w:r>
    </w:p>
    <w:p>
      <w:pPr>
        <w:pStyle w:val="Heading3"/>
        <w:spacing w:before="0" w:after="0"/>
        <w:ind w:left="0" w:right="0" w:hanging="0"/>
        <w:rPr>
          <w:rFonts w:ascii="Times New Roman" w:hAnsi="Times New Roman"/>
          <w:b w:val="false"/>
          <w:sz w:val="17"/>
        </w:rPr>
      </w:pPr>
      <w:r>
        <w:rPr>
          <w:rFonts w:ascii="Times New Roman" w:hAnsi="Times New Roman"/>
          <w:b w:val="false"/>
          <w:sz w:val="17"/>
        </w:rPr>
        <w:t xml:space="preserve">(d)           Any modification or amendment to this Agreement or the Certificate made in accordance with this </w:t>
      </w:r>
      <w:r>
        <w:rPr>
          <w:rFonts w:ascii="Times New Roman" w:hAnsi="Times New Roman"/>
          <w:b w:val="false"/>
          <w:sz w:val="17"/>
          <w:u w:val="single"/>
        </w:rPr>
        <w:t>Section 15.2</w:t>
      </w:r>
      <w:r>
        <w:rPr>
          <w:rFonts w:ascii="Times New Roman" w:hAnsi="Times New Roman"/>
          <w:b w:val="false"/>
          <w:sz w:val="17"/>
        </w:rPr>
        <w:t xml:space="preserve"> shall be binding on all Members and the Board.</w:t>
      </w:r>
    </w:p>
    <w:p>
      <w:pPr>
        <w:pStyle w:val="Heading3"/>
        <w:spacing w:before="0" w:after="0"/>
        <w:ind w:left="0" w:right="0" w:hanging="0"/>
        <w:rPr/>
      </w:pPr>
      <w:r>
        <w:rPr/>
        <w:t> </w:t>
      </w:r>
    </w:p>
    <w:p>
      <w:pPr>
        <w:pStyle w:val="TextBody"/>
        <w:spacing w:before="0" w:after="0"/>
        <w:ind w:left="0" w:right="0" w:hanging="0"/>
        <w:rPr>
          <w:rFonts w:ascii="Times New Roman" w:hAnsi="Times New Roman"/>
          <w:sz w:val="17"/>
        </w:rPr>
      </w:pPr>
      <w:bookmarkStart w:id="102" w:name="a15_3_223609"/>
      <w:bookmarkEnd w:id="102"/>
      <w:r>
        <w:rPr>
          <w:rFonts w:ascii="Times New Roman" w:hAnsi="Times New Roman"/>
          <w:sz w:val="17"/>
        </w:rPr>
        <w:t xml:space="preserve">15.3         </w:t>
      </w:r>
      <w:r>
        <w:rPr>
          <w:rFonts w:ascii="Times New Roman" w:hAnsi="Times New Roman"/>
          <w:sz w:val="17"/>
          <w:u w:val="single"/>
        </w:rPr>
        <w:t>No Third Party Rights</w:t>
      </w:r>
      <w:r>
        <w:rPr>
          <w:rFonts w:ascii="Times New Roman" w:hAnsi="Times New Roman"/>
          <w:sz w:val="17"/>
        </w:rPr>
        <w:t xml:space="preserve">.  Except as provided in </w:t>
      </w:r>
      <w:r>
        <w:rPr>
          <w:rFonts w:ascii="Times New Roman" w:hAnsi="Times New Roman"/>
          <w:sz w:val="17"/>
          <w:u w:val="single"/>
        </w:rPr>
        <w:t>Article 8</w:t>
      </w:r>
      <w:r>
        <w:rPr>
          <w:rFonts w:ascii="Times New Roman" w:hAnsi="Times New Roman"/>
          <w:sz w:val="17"/>
        </w:rPr>
        <w:t>, none of the provisions contained in this Agreement shall be for the benefit of or enforceable by any third parties, including creditors of the Company.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bookmarkStart w:id="103" w:name="a15_4_223610"/>
      <w:bookmarkEnd w:id="103"/>
      <w:r>
        <w:rPr>
          <w:rFonts w:ascii="Times New Roman" w:hAnsi="Times New Roman"/>
          <w:sz w:val="17"/>
        </w:rPr>
        <w:t xml:space="preserve">15.4         </w:t>
      </w:r>
      <w:r>
        <w:rPr>
          <w:rFonts w:ascii="Times New Roman" w:hAnsi="Times New Roman"/>
          <w:sz w:val="17"/>
          <w:u w:val="single"/>
        </w:rPr>
        <w:t>Severability</w:t>
      </w:r>
      <w:r>
        <w:rPr>
          <w:rFonts w:ascii="Times New Roman" w:hAnsi="Times New Roman"/>
          <w:sz w:val="17"/>
        </w:rPr>
        <w:t>.  In the event any provision of this Agreement is held to be illegal, invalid or unenforceable to any extent, the legality, validity and enforceability of the remainder of this Agreement shall not be affected thereby and shall remain in full force and effect and shall be enforced to the greatest extent permitted by law.</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bookmarkStart w:id="104" w:name="a15_5_223611"/>
      <w:bookmarkEnd w:id="104"/>
      <w:r>
        <w:rPr>
          <w:rFonts w:ascii="Times New Roman" w:hAnsi="Times New Roman"/>
          <w:sz w:val="17"/>
        </w:rPr>
        <w:t xml:space="preserve">15.5         </w:t>
      </w:r>
      <w:r>
        <w:rPr>
          <w:rFonts w:ascii="Times New Roman" w:hAnsi="Times New Roman"/>
          <w:sz w:val="17"/>
          <w:u w:val="single"/>
        </w:rPr>
        <w:t>Nature of Interest in the Company</w:t>
      </w:r>
      <w:r>
        <w:rPr>
          <w:rFonts w:ascii="Times New Roman" w:hAnsi="Times New Roman"/>
          <w:sz w:val="17"/>
        </w:rPr>
        <w:t>.  A Members Membership Interest shall be personal property for all purposes.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bookmarkStart w:id="105" w:name="a15_6_223613"/>
      <w:bookmarkEnd w:id="105"/>
      <w:r>
        <w:rPr>
          <w:rFonts w:ascii="Times New Roman" w:hAnsi="Times New Roman"/>
          <w:sz w:val="17"/>
        </w:rPr>
        <w:t xml:space="preserve">15.6         </w:t>
      </w:r>
      <w:r>
        <w:rPr>
          <w:rFonts w:ascii="Times New Roman" w:hAnsi="Times New Roman"/>
          <w:sz w:val="17"/>
          <w:u w:val="single"/>
        </w:rPr>
        <w:t>Binding Agreement</w:t>
      </w:r>
      <w:r>
        <w:rPr>
          <w:rFonts w:ascii="Times New Roman" w:hAnsi="Times New Roman"/>
          <w:sz w:val="17"/>
        </w:rPr>
        <w:t>.  Subject to the restrictions on the disposition of Membership Interests herein contained, the provisions of this Agreement shall be binding upon, and inure to the benefit of, the parties hereto and their respective heirs, personal representatives, successors and permitted assigns.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49</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bookmarkStart w:id="106" w:name="a15_7_223616"/>
      <w:bookmarkEnd w:id="106"/>
      <w:r>
        <w:rPr>
          <w:rFonts w:ascii="Times New Roman" w:hAnsi="Times New Roman"/>
          <w:sz w:val="17"/>
        </w:rPr>
        <w:t xml:space="preserve">15.7         </w:t>
      </w:r>
      <w:r>
        <w:rPr>
          <w:rFonts w:ascii="Times New Roman" w:hAnsi="Times New Roman"/>
          <w:sz w:val="17"/>
          <w:u w:val="single"/>
        </w:rPr>
        <w:t>Headings</w:t>
      </w:r>
      <w:r>
        <w:rPr>
          <w:rFonts w:ascii="Times New Roman" w:hAnsi="Times New Roman"/>
          <w:sz w:val="17"/>
        </w:rPr>
        <w:t>.  The headings of the sections of this Agreement are for convenience only and shall not be considered in construing or interpreting any of the terms or provisions hereof.</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bookmarkStart w:id="107" w:name="a15_8_223618"/>
      <w:bookmarkEnd w:id="107"/>
      <w:r>
        <w:rPr>
          <w:rFonts w:ascii="Times New Roman" w:hAnsi="Times New Roman"/>
          <w:sz w:val="17"/>
        </w:rPr>
        <w:t xml:space="preserve">15.8         </w:t>
      </w:r>
      <w:r>
        <w:rPr>
          <w:rFonts w:ascii="Times New Roman" w:hAnsi="Times New Roman"/>
          <w:sz w:val="17"/>
          <w:u w:val="single"/>
        </w:rPr>
        <w:t>Word Meanings</w:t>
      </w:r>
      <w:r>
        <w:rPr>
          <w:rFonts w:ascii="Times New Roman" w:hAnsi="Times New Roman"/>
          <w:sz w:val="17"/>
        </w:rPr>
        <w:t>.  The words herein, hereinafter, hereof, and hereunder refer to this Agreement as a whole and not merely to a subdivision in which such words appear unless the context otherwise requires.  The singular shall include the plural, and vice versa, unless the context otherwise requires.  Whenever the words include, includes or including are used in this Agreement, they shall be deemed to be followed by the words without limitation.  When verbs are used as nouns, the nouns correspond to such verbs and vice versa.</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bookmarkStart w:id="108" w:name="a15_9_223619"/>
      <w:bookmarkEnd w:id="108"/>
      <w:r>
        <w:rPr>
          <w:rFonts w:ascii="Times New Roman" w:hAnsi="Times New Roman"/>
          <w:sz w:val="17"/>
        </w:rPr>
        <w:t xml:space="preserve">15.9         </w:t>
      </w:r>
      <w:r>
        <w:rPr>
          <w:rFonts w:ascii="Times New Roman" w:hAnsi="Times New Roman"/>
          <w:sz w:val="17"/>
          <w:u w:val="single"/>
        </w:rPr>
        <w:t>Counterparts</w:t>
      </w:r>
      <w:r>
        <w:rPr>
          <w:rFonts w:ascii="Times New Roman" w:hAnsi="Times New Roman"/>
          <w:sz w:val="17"/>
        </w:rPr>
        <w:t>.  This Agreement may be executed in several counterparts, all of which together shall constitute one agreement binding on all parties hereto, notwithstanding that all the parties have not signed the same counterpart.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bookmarkStart w:id="109" w:name="a15_10_223621"/>
      <w:bookmarkEnd w:id="109"/>
      <w:r>
        <w:rPr>
          <w:rFonts w:ascii="Times New Roman" w:hAnsi="Times New Roman"/>
          <w:sz w:val="17"/>
        </w:rPr>
        <w:t xml:space="preserve">15.10       </w:t>
      </w:r>
      <w:r>
        <w:rPr>
          <w:rFonts w:ascii="Times New Roman" w:hAnsi="Times New Roman"/>
          <w:sz w:val="17"/>
          <w:u w:val="single"/>
        </w:rPr>
        <w:t>Entire Agreement</w:t>
      </w:r>
      <w:r>
        <w:rPr>
          <w:rFonts w:ascii="Times New Roman" w:hAnsi="Times New Roman"/>
          <w:sz w:val="17"/>
        </w:rPr>
        <w:t>.  This Agreement contains the entire agreement between the parties hereto with respect to the subject matter hereof and supersedes all prior writings or agreements between the parties with respect to the subject matter hereof, including the Original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bookmarkStart w:id="110" w:name="a15_11_223623"/>
      <w:bookmarkEnd w:id="110"/>
      <w:r>
        <w:rPr>
          <w:rFonts w:ascii="Times New Roman" w:hAnsi="Times New Roman"/>
          <w:sz w:val="17"/>
        </w:rPr>
        <w:t xml:space="preserve">15.11       </w:t>
      </w:r>
      <w:r>
        <w:rPr>
          <w:rFonts w:ascii="Times New Roman" w:hAnsi="Times New Roman"/>
          <w:sz w:val="17"/>
          <w:u w:val="single"/>
        </w:rPr>
        <w:t>Partition</w:t>
      </w:r>
      <w:r>
        <w:rPr>
          <w:rFonts w:ascii="Times New Roman" w:hAnsi="Times New Roman"/>
          <w:sz w:val="17"/>
        </w:rPr>
        <w:t>.  The Members agree that the Property is not and will not be suitable for partition.  Accordingly, each of the Members hereby irrevocably waives any and all right such Member may have to maintain any action for partition of any of the Property.  No Member shall have any right to any specific assets of the Company upon the liquidation of, or any distribution from, the Company.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bookmarkStart w:id="111" w:name="a15_12_223625"/>
      <w:bookmarkEnd w:id="111"/>
      <w:r>
        <w:rPr>
          <w:rFonts w:ascii="Times New Roman" w:hAnsi="Times New Roman"/>
          <w:sz w:val="17"/>
        </w:rPr>
        <w:t xml:space="preserve">15.12       </w:t>
      </w:r>
      <w:r>
        <w:rPr>
          <w:rFonts w:ascii="Times New Roman" w:hAnsi="Times New Roman"/>
          <w:sz w:val="17"/>
          <w:u w:val="single"/>
        </w:rPr>
        <w:t>Governing Law; Consent to Jurisdiction and Venue</w:t>
      </w:r>
      <w:r>
        <w:rPr>
          <w:rFonts w:ascii="Times New Roman" w:hAnsi="Times New Roman"/>
          <w:sz w:val="17"/>
        </w:rPr>
        <w:t>.  This Agreement shall be construed according to and governed by the laws of the State of Delaware without regard to principles of conflict of laws.  The parties hereby submit to the exclusive jurisdiction and venue of the state courts of Harris County, Texas or to the Court of Chancery of the State of Delaware and the United States District Court for the Southern District of Texas and of the United States District Court for the District of Delaware, as the case may be, and agree that the Company or Members may, at their option, enforce their rights hereunder in such courts.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bookmarkStart w:id="112" w:name="a15_13_223628"/>
      <w:bookmarkEnd w:id="112"/>
      <w:r>
        <w:rPr>
          <w:rFonts w:ascii="Times New Roman" w:hAnsi="Times New Roman"/>
          <w:sz w:val="17"/>
        </w:rPr>
        <w:t xml:space="preserve">15.13       </w:t>
      </w:r>
      <w:r>
        <w:rPr>
          <w:rFonts w:ascii="Times New Roman" w:hAnsi="Times New Roman"/>
          <w:sz w:val="17"/>
          <w:u w:val="single"/>
        </w:rPr>
        <w:t>Expenses</w:t>
      </w:r>
      <w:r>
        <w:rPr>
          <w:rFonts w:ascii="Times New Roman" w:hAnsi="Times New Roman"/>
          <w:sz w:val="17"/>
        </w:rPr>
        <w:t>.  The Company shall pay (or reimburse) all documented out-of-pocket costs and expenses incurred by either Initial Member in connection with the transactions contemplated by the Purchase Agreement, and the negotiation, execution and delivery of this Agreement.</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[SIGNATURE PAGE FOLLOWS]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50</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IN WITNESS WHEREOF, the parties have caused this Agreement to be duly executed as of the date first written above.</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6205"/>
        <w:gridCol w:w="744"/>
        <w:gridCol w:w="620"/>
        <w:gridCol w:w="650"/>
        <w:gridCol w:w="1986"/>
      </w:tblGrid>
      <w:tr>
        <w:trPr/>
        <w:tc>
          <w:tcPr>
            <w:tcW w:w="6205" w:type="dxa"/>
            <w:tcBorders/>
            <w:shd w:fill="auto" w:val="clear"/>
          </w:tcPr>
          <w:p>
            <w:pPr>
              <w:pStyle w:val="TableContents"/>
              <w:spacing w:before="0" w:after="0"/>
              <w:ind w:left="0" w:right="0" w:hanging="0"/>
              <w:rPr/>
            </w:pPr>
            <w:r>
              <w:rPr/>
              <w:t> </w:t>
            </w:r>
          </w:p>
        </w:tc>
        <w:tc>
          <w:tcPr>
            <w:tcW w:w="4000" w:type="dxa"/>
            <w:gridSpan w:val="4"/>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PIPELINE, L.P.</w:t>
            </w:r>
          </w:p>
        </w:tc>
      </w:tr>
      <w:tr>
        <w:trPr/>
        <w:tc>
          <w:tcPr>
            <w:tcW w:w="6205" w:type="dxa"/>
            <w:tcBorders/>
            <w:shd w:fill="auto" w:val="clear"/>
          </w:tcPr>
          <w:p>
            <w:pPr>
              <w:pStyle w:val="TableContents"/>
              <w:spacing w:before="0" w:after="0"/>
              <w:ind w:left="0" w:right="0" w:hanging="0"/>
              <w:rPr/>
            </w:pPr>
            <w:r>
              <w:rPr/>
              <w:t> </w:t>
            </w:r>
          </w:p>
        </w:tc>
        <w:tc>
          <w:tcPr>
            <w:tcW w:w="744" w:type="dxa"/>
            <w:tcBorders/>
            <w:shd w:fill="auto" w:val="clear"/>
          </w:tcPr>
          <w:p>
            <w:pPr>
              <w:pStyle w:val="TableContents"/>
              <w:spacing w:before="0" w:after="0"/>
              <w:ind w:left="0" w:right="0" w:hanging="0"/>
              <w:rPr/>
            </w:pPr>
            <w:r>
              <w:rPr/>
              <w:t> </w:t>
            </w:r>
          </w:p>
        </w:tc>
        <w:tc>
          <w:tcPr>
            <w:tcW w:w="3256" w:type="dxa"/>
            <w:gridSpan w:val="3"/>
            <w:tcBorders/>
            <w:shd w:fill="auto" w:val="clear"/>
          </w:tcPr>
          <w:p>
            <w:pPr>
              <w:pStyle w:val="TableContents"/>
              <w:spacing w:before="0" w:after="0"/>
              <w:ind w:left="0" w:right="0" w:hanging="0"/>
              <w:rPr/>
            </w:pPr>
            <w:r>
              <w:rPr/>
              <w:t> </w:t>
            </w:r>
          </w:p>
        </w:tc>
      </w:tr>
      <w:tr>
        <w:trPr/>
        <w:tc>
          <w:tcPr>
            <w:tcW w:w="6205" w:type="dxa"/>
            <w:tcBorders/>
            <w:shd w:fill="auto" w:val="clear"/>
          </w:tcPr>
          <w:p>
            <w:pPr>
              <w:pStyle w:val="TableContents"/>
              <w:spacing w:before="0" w:after="0"/>
              <w:ind w:left="0" w:right="0" w:hanging="0"/>
              <w:rPr/>
            </w:pPr>
            <w:r>
              <w:rPr/>
              <w:t> </w:t>
            </w:r>
          </w:p>
        </w:tc>
        <w:tc>
          <w:tcPr>
            <w:tcW w:w="74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3256"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AAP, L.P.,</w:t>
            </w:r>
          </w:p>
        </w:tc>
      </w:tr>
      <w:tr>
        <w:trPr/>
        <w:tc>
          <w:tcPr>
            <w:tcW w:w="6205" w:type="dxa"/>
            <w:tcBorders/>
            <w:shd w:fill="auto" w:val="clear"/>
          </w:tcPr>
          <w:p>
            <w:pPr>
              <w:pStyle w:val="TableContents"/>
              <w:spacing w:before="0" w:after="0"/>
              <w:ind w:left="0" w:right="0" w:hanging="0"/>
              <w:rPr/>
            </w:pPr>
            <w:r>
              <w:rPr/>
              <w:t> </w:t>
            </w:r>
          </w:p>
        </w:tc>
        <w:tc>
          <w:tcPr>
            <w:tcW w:w="744" w:type="dxa"/>
            <w:tcBorders/>
            <w:shd w:fill="auto" w:val="clear"/>
          </w:tcPr>
          <w:p>
            <w:pPr>
              <w:pStyle w:val="TableContents"/>
              <w:spacing w:before="0" w:after="0"/>
              <w:ind w:left="0" w:right="0" w:hanging="0"/>
              <w:rPr/>
            </w:pPr>
            <w:r>
              <w:rPr/>
              <w:t> </w:t>
            </w:r>
          </w:p>
        </w:tc>
        <w:tc>
          <w:tcPr>
            <w:tcW w:w="3256"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its general partner</w:t>
            </w:r>
          </w:p>
        </w:tc>
      </w:tr>
      <w:tr>
        <w:trPr/>
        <w:tc>
          <w:tcPr>
            <w:tcW w:w="6205" w:type="dxa"/>
            <w:tcBorders/>
            <w:shd w:fill="auto" w:val="clear"/>
          </w:tcPr>
          <w:p>
            <w:pPr>
              <w:pStyle w:val="TableContents"/>
              <w:spacing w:before="0" w:after="0"/>
              <w:ind w:left="0" w:right="0" w:hanging="0"/>
              <w:rPr/>
            </w:pPr>
            <w:r>
              <w:rPr/>
              <w:t> </w:t>
            </w:r>
          </w:p>
        </w:tc>
        <w:tc>
          <w:tcPr>
            <w:tcW w:w="744" w:type="dxa"/>
            <w:tcBorders/>
            <w:shd w:fill="auto" w:val="clear"/>
          </w:tcPr>
          <w:p>
            <w:pPr>
              <w:pStyle w:val="TableContents"/>
              <w:spacing w:before="0" w:after="0"/>
              <w:ind w:left="0" w:right="0" w:hanging="0"/>
              <w:rPr/>
            </w:pPr>
            <w:r>
              <w:rPr/>
              <w:t> </w:t>
            </w:r>
          </w:p>
        </w:tc>
        <w:tc>
          <w:tcPr>
            <w:tcW w:w="3256" w:type="dxa"/>
            <w:gridSpan w:val="3"/>
            <w:tcBorders/>
            <w:shd w:fill="auto" w:val="clear"/>
          </w:tcPr>
          <w:p>
            <w:pPr>
              <w:pStyle w:val="TableContents"/>
              <w:spacing w:before="0" w:after="0"/>
              <w:ind w:left="0" w:right="0" w:hanging="0"/>
              <w:rPr/>
            </w:pPr>
            <w:r>
              <w:rPr/>
              <w:t> </w:t>
            </w:r>
          </w:p>
        </w:tc>
      </w:tr>
      <w:tr>
        <w:trPr/>
        <w:tc>
          <w:tcPr>
            <w:tcW w:w="6205" w:type="dxa"/>
            <w:tcBorders/>
            <w:shd w:fill="auto" w:val="clear"/>
          </w:tcPr>
          <w:p>
            <w:pPr>
              <w:pStyle w:val="TableContents"/>
              <w:spacing w:before="0" w:after="0"/>
              <w:ind w:left="0" w:right="0" w:hanging="0"/>
              <w:rPr/>
            </w:pPr>
            <w:r>
              <w:rPr/>
              <w:t> </w:t>
            </w:r>
          </w:p>
        </w:tc>
        <w:tc>
          <w:tcPr>
            <w:tcW w:w="74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3256"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GP LLC, its general</w:t>
              <w:br/>
              <w:t>partner</w:t>
            </w:r>
          </w:p>
        </w:tc>
      </w:tr>
      <w:tr>
        <w:trPr/>
        <w:tc>
          <w:tcPr>
            <w:tcW w:w="6205" w:type="dxa"/>
            <w:tcBorders/>
            <w:shd w:fill="auto" w:val="clear"/>
          </w:tcPr>
          <w:p>
            <w:pPr>
              <w:pStyle w:val="TableContents"/>
              <w:spacing w:before="0" w:after="0"/>
              <w:ind w:left="0" w:right="0" w:hanging="0"/>
              <w:rPr/>
            </w:pPr>
            <w:r>
              <w:rPr/>
              <w:t> </w:t>
            </w:r>
          </w:p>
        </w:tc>
        <w:tc>
          <w:tcPr>
            <w:tcW w:w="744" w:type="dxa"/>
            <w:tcBorders/>
            <w:shd w:fill="auto" w:val="clear"/>
          </w:tcPr>
          <w:p>
            <w:pPr>
              <w:pStyle w:val="TableContents"/>
              <w:spacing w:before="0" w:after="0"/>
              <w:ind w:left="0" w:right="0" w:hanging="0"/>
              <w:rPr/>
            </w:pPr>
            <w:r>
              <w:rPr/>
              <w:t> </w:t>
            </w:r>
          </w:p>
        </w:tc>
        <w:tc>
          <w:tcPr>
            <w:tcW w:w="3256" w:type="dxa"/>
            <w:gridSpan w:val="3"/>
            <w:tcBorders/>
            <w:shd w:fill="auto" w:val="clear"/>
          </w:tcPr>
          <w:p>
            <w:pPr>
              <w:pStyle w:val="TableContents"/>
              <w:spacing w:before="0" w:after="0"/>
              <w:ind w:left="0" w:right="0" w:hanging="0"/>
              <w:rPr/>
            </w:pPr>
            <w:r>
              <w:rPr/>
              <w:t> </w:t>
            </w:r>
          </w:p>
        </w:tc>
      </w:tr>
      <w:tr>
        <w:trPr/>
        <w:tc>
          <w:tcPr>
            <w:tcW w:w="6205" w:type="dxa"/>
            <w:tcBorders/>
            <w:shd w:fill="auto" w:val="clear"/>
          </w:tcPr>
          <w:p>
            <w:pPr>
              <w:pStyle w:val="TableContents"/>
              <w:spacing w:before="0" w:after="0"/>
              <w:ind w:left="0" w:right="0" w:hanging="0"/>
              <w:rPr/>
            </w:pPr>
            <w:r>
              <w:rPr/>
              <w:t> </w:t>
            </w:r>
          </w:p>
        </w:tc>
        <w:tc>
          <w:tcPr>
            <w:tcW w:w="74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1270" w:type="dxa"/>
            <w:gridSpan w:val="2"/>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Greg L. Armstrong</w:t>
            </w:r>
          </w:p>
        </w:tc>
        <w:tc>
          <w:tcPr>
            <w:tcW w:w="1986" w:type="dxa"/>
            <w:tcBorders/>
            <w:shd w:fill="auto" w:val="clear"/>
          </w:tcPr>
          <w:p>
            <w:pPr>
              <w:pStyle w:val="TableContents"/>
              <w:spacing w:before="0" w:after="0"/>
              <w:ind w:left="0" w:right="0" w:hanging="0"/>
              <w:rPr/>
            </w:pPr>
            <w:r>
              <w:rPr/>
              <w:t> </w:t>
            </w:r>
          </w:p>
        </w:tc>
      </w:tr>
      <w:tr>
        <w:trPr/>
        <w:tc>
          <w:tcPr>
            <w:tcW w:w="6205" w:type="dxa"/>
            <w:tcBorders/>
            <w:shd w:fill="auto" w:val="clear"/>
          </w:tcPr>
          <w:p>
            <w:pPr>
              <w:pStyle w:val="TableContents"/>
              <w:spacing w:before="0" w:after="0"/>
              <w:ind w:left="0" w:right="0" w:hanging="0"/>
              <w:rPr/>
            </w:pPr>
            <w:r>
              <w:rPr/>
              <w:t> </w:t>
            </w:r>
          </w:p>
        </w:tc>
        <w:tc>
          <w:tcPr>
            <w:tcW w:w="744" w:type="dxa"/>
            <w:tcBorders/>
            <w:shd w:fill="auto" w:val="clear"/>
          </w:tcPr>
          <w:p>
            <w:pPr>
              <w:pStyle w:val="TableContents"/>
              <w:spacing w:before="0" w:after="0"/>
              <w:ind w:left="0" w:right="0" w:hanging="0"/>
              <w:rPr/>
            </w:pPr>
            <w:r>
              <w:rPr/>
              <w:t> </w:t>
            </w:r>
          </w:p>
        </w:tc>
        <w:tc>
          <w:tcPr>
            <w:tcW w:w="3256"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 Greg L. Armstrong</w:t>
            </w:r>
          </w:p>
        </w:tc>
      </w:tr>
      <w:tr>
        <w:trPr/>
        <w:tc>
          <w:tcPr>
            <w:tcW w:w="6205" w:type="dxa"/>
            <w:tcBorders/>
            <w:shd w:fill="auto" w:val="clear"/>
          </w:tcPr>
          <w:p>
            <w:pPr>
              <w:pStyle w:val="TableContents"/>
              <w:spacing w:before="0" w:after="0"/>
              <w:ind w:left="0" w:right="0" w:hanging="0"/>
              <w:rPr/>
            </w:pPr>
            <w:r>
              <w:rPr/>
              <w:t> </w:t>
            </w:r>
          </w:p>
        </w:tc>
        <w:tc>
          <w:tcPr>
            <w:tcW w:w="744" w:type="dxa"/>
            <w:tcBorders/>
            <w:shd w:fill="auto" w:val="clear"/>
          </w:tcPr>
          <w:p>
            <w:pPr>
              <w:pStyle w:val="TableContents"/>
              <w:spacing w:before="0" w:after="0"/>
              <w:ind w:left="0" w:right="0" w:hanging="0"/>
              <w:rPr/>
            </w:pPr>
            <w:r>
              <w:rPr/>
              <w:t> </w:t>
            </w:r>
          </w:p>
        </w:tc>
        <w:tc>
          <w:tcPr>
            <w:tcW w:w="62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2636"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Chairman of the Board and Chief</w:t>
              <w:br/>
              <w:t>Executive Officer</w:t>
            </w:r>
          </w:p>
        </w:tc>
      </w:tr>
      <w:tr>
        <w:trPr/>
        <w:tc>
          <w:tcPr>
            <w:tcW w:w="6205" w:type="dxa"/>
            <w:tcBorders/>
            <w:shd w:fill="auto" w:val="clear"/>
          </w:tcPr>
          <w:p>
            <w:pPr>
              <w:pStyle w:val="TableContents"/>
              <w:spacing w:before="0" w:after="0"/>
              <w:ind w:left="0" w:right="0" w:hanging="0"/>
              <w:rPr/>
            </w:pPr>
            <w:r>
              <w:rPr/>
              <w:t> </w:t>
            </w:r>
          </w:p>
        </w:tc>
        <w:tc>
          <w:tcPr>
            <w:tcW w:w="744" w:type="dxa"/>
            <w:tcBorders/>
            <w:shd w:fill="auto" w:val="clear"/>
          </w:tcPr>
          <w:p>
            <w:pPr>
              <w:pStyle w:val="TableContents"/>
              <w:spacing w:before="0" w:after="0"/>
              <w:ind w:left="0" w:right="0" w:hanging="0"/>
              <w:rPr/>
            </w:pPr>
            <w:r>
              <w:rPr/>
              <w:t> </w:t>
            </w:r>
          </w:p>
        </w:tc>
        <w:tc>
          <w:tcPr>
            <w:tcW w:w="3256" w:type="dxa"/>
            <w:gridSpan w:val="3"/>
            <w:tcBorders/>
            <w:shd w:fill="auto" w:val="clear"/>
          </w:tcPr>
          <w:p>
            <w:pPr>
              <w:pStyle w:val="TableContents"/>
              <w:spacing w:before="0" w:after="0"/>
              <w:ind w:left="0" w:right="0" w:hanging="0"/>
              <w:rPr/>
            </w:pPr>
            <w:r>
              <w:rPr/>
              <w:t> </w:t>
            </w:r>
          </w:p>
        </w:tc>
      </w:tr>
      <w:tr>
        <w:trPr/>
        <w:tc>
          <w:tcPr>
            <w:tcW w:w="6205" w:type="dxa"/>
            <w:tcBorders/>
            <w:shd w:fill="auto" w:val="clear"/>
          </w:tcPr>
          <w:p>
            <w:pPr>
              <w:pStyle w:val="TableContents"/>
              <w:spacing w:before="0" w:after="0"/>
              <w:ind w:left="0" w:right="0" w:hanging="0"/>
              <w:rPr/>
            </w:pPr>
            <w:r>
              <w:rPr/>
              <w:t> </w:t>
            </w:r>
          </w:p>
        </w:tc>
        <w:tc>
          <w:tcPr>
            <w:tcW w:w="4000" w:type="dxa"/>
            <w:gridSpan w:val="4"/>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VULCAN GAS STORAGE LLC</w:t>
            </w:r>
          </w:p>
        </w:tc>
      </w:tr>
      <w:tr>
        <w:trPr/>
        <w:tc>
          <w:tcPr>
            <w:tcW w:w="6205" w:type="dxa"/>
            <w:tcBorders/>
            <w:shd w:fill="auto" w:val="clear"/>
          </w:tcPr>
          <w:p>
            <w:pPr>
              <w:pStyle w:val="TableContents"/>
              <w:spacing w:before="0" w:after="0"/>
              <w:ind w:left="0" w:right="0" w:hanging="0"/>
              <w:rPr/>
            </w:pPr>
            <w:r>
              <w:rPr/>
              <w:t> </w:t>
            </w:r>
          </w:p>
        </w:tc>
        <w:tc>
          <w:tcPr>
            <w:tcW w:w="744" w:type="dxa"/>
            <w:tcBorders/>
            <w:shd w:fill="auto" w:val="clear"/>
          </w:tcPr>
          <w:p>
            <w:pPr>
              <w:pStyle w:val="TableContents"/>
              <w:spacing w:before="0" w:after="0"/>
              <w:ind w:left="0" w:right="0" w:hanging="0"/>
              <w:rPr/>
            </w:pPr>
            <w:r>
              <w:rPr/>
              <w:t> </w:t>
            </w:r>
          </w:p>
        </w:tc>
        <w:tc>
          <w:tcPr>
            <w:tcW w:w="3256" w:type="dxa"/>
            <w:gridSpan w:val="3"/>
            <w:tcBorders/>
            <w:shd w:fill="auto" w:val="clear"/>
          </w:tcPr>
          <w:p>
            <w:pPr>
              <w:pStyle w:val="TableContents"/>
              <w:spacing w:before="0" w:after="0"/>
              <w:ind w:left="0" w:right="0" w:hanging="0"/>
              <w:rPr/>
            </w:pPr>
            <w:r>
              <w:rPr/>
              <w:t> </w:t>
            </w:r>
          </w:p>
        </w:tc>
      </w:tr>
      <w:tr>
        <w:trPr/>
        <w:tc>
          <w:tcPr>
            <w:tcW w:w="6205" w:type="dxa"/>
            <w:tcBorders/>
            <w:shd w:fill="auto" w:val="clear"/>
          </w:tcPr>
          <w:p>
            <w:pPr>
              <w:pStyle w:val="TableContents"/>
              <w:spacing w:before="0" w:after="0"/>
              <w:ind w:left="0" w:right="0" w:hanging="0"/>
              <w:rPr/>
            </w:pPr>
            <w:r>
              <w:rPr/>
              <w:t> </w:t>
            </w:r>
          </w:p>
        </w:tc>
        <w:tc>
          <w:tcPr>
            <w:tcW w:w="744" w:type="dxa"/>
            <w:tcBorders/>
            <w:shd w:fill="auto" w:val="clear"/>
          </w:tcPr>
          <w:p>
            <w:pPr>
              <w:pStyle w:val="TableContents"/>
              <w:spacing w:before="0" w:after="0"/>
              <w:ind w:left="0" w:right="0" w:hanging="0"/>
              <w:rPr/>
            </w:pPr>
            <w:r>
              <w:rPr/>
              <w:t> </w:t>
            </w:r>
          </w:p>
        </w:tc>
        <w:tc>
          <w:tcPr>
            <w:tcW w:w="3256" w:type="dxa"/>
            <w:gridSpan w:val="3"/>
            <w:tcBorders/>
            <w:shd w:fill="auto" w:val="clear"/>
          </w:tcPr>
          <w:p>
            <w:pPr>
              <w:pStyle w:val="TableContents"/>
              <w:spacing w:before="0" w:after="0"/>
              <w:ind w:left="0" w:right="0" w:hanging="0"/>
              <w:rPr/>
            </w:pPr>
            <w:r>
              <w:rPr/>
              <w:t> </w:t>
            </w:r>
          </w:p>
        </w:tc>
      </w:tr>
      <w:tr>
        <w:trPr/>
        <w:tc>
          <w:tcPr>
            <w:tcW w:w="6205" w:type="dxa"/>
            <w:tcBorders/>
            <w:shd w:fill="auto" w:val="clear"/>
          </w:tcPr>
          <w:p>
            <w:pPr>
              <w:pStyle w:val="TableContents"/>
              <w:spacing w:before="0" w:after="0"/>
              <w:ind w:left="0" w:right="0" w:hanging="0"/>
              <w:rPr/>
            </w:pPr>
            <w:r>
              <w:rPr/>
              <w:t> </w:t>
            </w:r>
          </w:p>
        </w:tc>
        <w:tc>
          <w:tcPr>
            <w:tcW w:w="74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3256" w:type="dxa"/>
            <w:gridSpan w:val="3"/>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David N. Capobianco</w:t>
            </w:r>
          </w:p>
        </w:tc>
      </w:tr>
      <w:tr>
        <w:trPr/>
        <w:tc>
          <w:tcPr>
            <w:tcW w:w="6205" w:type="dxa"/>
            <w:tcBorders/>
            <w:shd w:fill="auto" w:val="clear"/>
          </w:tcPr>
          <w:p>
            <w:pPr>
              <w:pStyle w:val="TableContents"/>
              <w:spacing w:before="0" w:after="0"/>
              <w:ind w:left="0" w:right="0" w:hanging="0"/>
              <w:rPr/>
            </w:pPr>
            <w:r>
              <w:rPr/>
              <w:t> </w:t>
            </w:r>
          </w:p>
        </w:tc>
        <w:tc>
          <w:tcPr>
            <w:tcW w:w="744" w:type="dxa"/>
            <w:tcBorders/>
            <w:shd w:fill="auto" w:val="clear"/>
          </w:tcPr>
          <w:p>
            <w:pPr>
              <w:pStyle w:val="TableContents"/>
              <w:spacing w:before="0" w:after="0"/>
              <w:ind w:left="0" w:right="0" w:hanging="0"/>
              <w:rPr/>
            </w:pPr>
            <w:r>
              <w:rPr/>
              <w:t> </w:t>
            </w:r>
          </w:p>
        </w:tc>
        <w:tc>
          <w:tcPr>
            <w:tcW w:w="3256"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 David N. Capobianco</w:t>
            </w:r>
          </w:p>
        </w:tc>
      </w:tr>
      <w:tr>
        <w:trPr/>
        <w:tc>
          <w:tcPr>
            <w:tcW w:w="6205" w:type="dxa"/>
            <w:tcBorders/>
            <w:shd w:fill="auto" w:val="clear"/>
          </w:tcPr>
          <w:p>
            <w:pPr>
              <w:pStyle w:val="TableContents"/>
              <w:spacing w:before="0" w:after="0"/>
              <w:ind w:left="0" w:right="0" w:hanging="0"/>
              <w:rPr/>
            </w:pPr>
            <w:r>
              <w:rPr/>
              <w:t> </w:t>
            </w:r>
          </w:p>
        </w:tc>
        <w:tc>
          <w:tcPr>
            <w:tcW w:w="744" w:type="dxa"/>
            <w:tcBorders/>
            <w:shd w:fill="auto" w:val="clear"/>
          </w:tcPr>
          <w:p>
            <w:pPr>
              <w:pStyle w:val="TableContents"/>
              <w:spacing w:before="0" w:after="0"/>
              <w:ind w:left="0" w:right="0" w:hanging="0"/>
              <w:rPr/>
            </w:pPr>
            <w:r>
              <w:rPr/>
              <w:t> </w:t>
            </w:r>
          </w:p>
        </w:tc>
        <w:tc>
          <w:tcPr>
            <w:tcW w:w="62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2636" w:type="dxa"/>
            <w:gridSpan w:val="2"/>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6205" w:type="dxa"/>
            <w:tcBorders/>
            <w:shd w:fill="auto" w:val="clear"/>
            <w:vAlign w:val="center"/>
          </w:tcPr>
          <w:p>
            <w:pPr>
              <w:pStyle w:val="TableContents"/>
              <w:spacing w:before="0" w:after="283"/>
              <w:rPr>
                <w:sz w:val="4"/>
                <w:szCs w:val="4"/>
              </w:rPr>
            </w:pPr>
            <w:r>
              <w:rPr>
                <w:sz w:val="4"/>
                <w:szCs w:val="4"/>
              </w:rPr>
            </w:r>
          </w:p>
        </w:tc>
        <w:tc>
          <w:tcPr>
            <w:tcW w:w="744"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rPr>
                <w:sz w:val="4"/>
                <w:szCs w:val="4"/>
              </w:rPr>
            </w:pPr>
            <w:r>
              <w:rPr>
                <w:sz w:val="4"/>
                <w:szCs w:val="4"/>
              </w:rPr>
            </w:r>
          </w:p>
        </w:tc>
        <w:tc>
          <w:tcPr>
            <w:tcW w:w="1986"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jc w:val="center"/>
        <w:rPr/>
      </w:pPr>
      <w:r>
        <w:rPr/>
        <w:t> </w:t>
      </w:r>
    </w:p>
    <w:p>
      <w:pPr>
        <w:pStyle w:val="HorizontalLine"/>
        <w:pBdr>
          <w:bottom w:val="single" w:sz="12" w:space="0" w:color="808080"/>
        </w:pBdr>
        <w:spacing w:before="0" w:after="0"/>
        <w:rPr/>
      </w:pPr>
      <w:r>
        <w:rPr/>
      </w:r>
      <w:r>
        <w:br w:type="page"/>
      </w:r>
    </w:p>
    <w:p>
      <w:pPr>
        <w:pStyle w:val="TextBody"/>
        <w:spacing w:before="0" w:after="0"/>
        <w:ind w:left="0" w:right="0" w:hanging="0"/>
        <w:jc w:val="right"/>
        <w:rPr>
          <w:rFonts w:ascii="Times New Roman" w:hAnsi="Times New Roman"/>
          <w:b/>
          <w:sz w:val="17"/>
        </w:rPr>
      </w:pPr>
      <w:bookmarkStart w:id="113" w:name="a05-16431_1ex1d2.htm"/>
      <w:bookmarkStart w:id="114" w:name="ksa0516431_1ex1d2"/>
      <w:bookmarkEnd w:id="113"/>
      <w:bookmarkEnd w:id="114"/>
      <w:r>
        <w:rPr>
          <w:rFonts w:ascii="Times New Roman" w:hAnsi="Times New Roman"/>
          <w:b/>
          <w:sz w:val="17"/>
        </w:rPr>
        <w:t>Exhibit 1.2</w:t>
      </w:r>
    </w:p>
    <w:p>
      <w:pPr>
        <w:pStyle w:val="TextBody"/>
        <w:spacing w:before="0" w:after="0"/>
        <w:ind w:left="0" w:right="0" w:hanging="0"/>
        <w:rPr/>
      </w:pPr>
      <w:r>
        <w:rPr/>
        <w:t> </w:t>
      </w:r>
    </w:p>
    <w:p>
      <w:pPr>
        <w:pStyle w:val="TextBody"/>
        <w:spacing w:before="0" w:after="0"/>
        <w:ind w:left="0" w:right="0" w:hanging="0"/>
        <w:jc w:val="right"/>
        <w:rPr>
          <w:rFonts w:ascii="Times New Roman" w:hAnsi="Times New Roman"/>
          <w:sz w:val="17"/>
          <w:u w:val="single"/>
        </w:rPr>
      </w:pPr>
      <w:r>
        <w:rPr>
          <w:rFonts w:ascii="Times New Roman" w:hAnsi="Times New Roman"/>
          <w:sz w:val="17"/>
          <w:u w:val="single"/>
        </w:rPr>
        <w:t>EXECUTION COPY</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MEMBERSHIP INTEREST PURCHASE AGREEMENT</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by and between</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SEMPRA ENERGY TRADING CORP.</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and</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PAA/VULCAN GAS STORAGE, LLC</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Dated as of August 19, 2005</w:t>
      </w:r>
    </w:p>
    <w:p>
      <w:pPr>
        <w:pStyle w:val="TextBody"/>
        <w:spacing w:before="0" w:after="0"/>
        <w:ind w:left="0" w:right="0" w:hanging="0"/>
        <w:rPr/>
      </w:pPr>
      <w:r>
        <w:rPr/>
        <w:t> </w:t>
      </w:r>
    </w:p>
    <w:p>
      <w:pPr>
        <w:pStyle w:val="HorizontalLine"/>
        <w:pBdr>
          <w:bottom w:val="single" w:sz="12" w:space="0" w:color="808080"/>
        </w:pBdr>
        <w:spacing w:before="0" w:after="0"/>
        <w:jc w:val="left"/>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TABLE OF CONTENTS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9794"/>
        <w:gridCol w:w="411"/>
      </w:tblGrid>
      <w:tr>
        <w:trPr/>
        <w:tc>
          <w:tcPr>
            <w:tcW w:w="9794" w:type="dxa"/>
            <w:tcBorders/>
            <w:shd w:fill="auto" w:val="clear"/>
          </w:tcPr>
          <w:p>
            <w:pPr>
              <w:pStyle w:val="TableContents"/>
              <w:spacing w:before="0" w:after="0"/>
              <w:ind w:left="0" w:right="0" w:hanging="0"/>
              <w:jc w:val="left"/>
              <w:rPr/>
            </w:pPr>
            <w:hyperlink w:anchor="Articlei_233506">
              <w:r>
                <w:rPr>
                  <w:rStyle w:val="InternetLink"/>
                  <w:rFonts w:ascii="Times New Roman" w:hAnsi="Times New Roman"/>
                  <w:sz w:val="17"/>
                </w:rPr>
                <w:t>ARTICLE I DEFINITIONS AND RULES OF CONSTRUCTION</w:t>
              </w:r>
            </w:hyperlink>
          </w:p>
        </w:tc>
        <w:tc>
          <w:tcPr>
            <w:tcW w:w="411" w:type="dxa"/>
            <w:tcBorders/>
            <w:shd w:fill="auto" w:val="clear"/>
          </w:tcPr>
          <w:p>
            <w:pPr>
              <w:pStyle w:val="TableContents"/>
              <w:spacing w:before="0" w:after="0"/>
              <w:ind w:left="0" w:right="0" w:hanging="0"/>
              <w:jc w:val="right"/>
              <w:rPr/>
            </w:pPr>
            <w:r>
              <w:rPr/>
              <w:t> </w:t>
            </w:r>
          </w:p>
        </w:tc>
      </w:tr>
      <w:tr>
        <w:trPr/>
        <w:tc>
          <w:tcPr>
            <w:tcW w:w="9794" w:type="dxa"/>
            <w:tcBorders/>
            <w:shd w:fill="auto" w:val="clear"/>
          </w:tcPr>
          <w:p>
            <w:pPr>
              <w:pStyle w:val="TableContents"/>
              <w:spacing w:before="0" w:after="0"/>
              <w:ind w:left="0" w:right="0" w:hanging="0"/>
              <w:jc w:val="left"/>
              <w:rPr/>
            </w:pPr>
            <w:r>
              <w:rPr/>
              <w:t> </w:t>
            </w:r>
          </w:p>
        </w:tc>
        <w:tc>
          <w:tcPr>
            <w:tcW w:w="411" w:type="dxa"/>
            <w:tcBorders/>
            <w:shd w:fill="auto" w:val="clear"/>
          </w:tcPr>
          <w:p>
            <w:pPr>
              <w:pStyle w:val="TableContents"/>
              <w:spacing w:before="0" w:after="0"/>
              <w:ind w:left="0" w:right="0" w:hanging="0"/>
              <w:jc w:val="right"/>
              <w:rPr/>
            </w:pPr>
            <w:r>
              <w:rPr/>
              <w:t> </w:t>
            </w:r>
          </w:p>
        </w:tc>
      </w:tr>
      <w:tr>
        <w:trPr/>
        <w:tc>
          <w:tcPr>
            <w:tcW w:w="9794" w:type="dxa"/>
            <w:tcBorders/>
            <w:shd w:fill="auto" w:val="clear"/>
          </w:tcPr>
          <w:p>
            <w:pPr>
              <w:pStyle w:val="TableContents"/>
              <w:spacing w:before="0" w:after="0"/>
              <w:ind w:left="0" w:right="0" w:hanging="0"/>
              <w:jc w:val="left"/>
              <w:rPr/>
            </w:pPr>
            <w:hyperlink w:anchor="Section1_1_233518">
              <w:r>
                <w:rPr>
                  <w:rStyle w:val="InternetLink"/>
                  <w:rFonts w:ascii="Times New Roman" w:hAnsi="Times New Roman"/>
                  <w:sz w:val="17"/>
                </w:rPr>
                <w:t>Section 1.1 Definitions</w:t>
              </w:r>
            </w:hyperlink>
          </w:p>
        </w:tc>
        <w:tc>
          <w:tcPr>
            <w:tcW w:w="411" w:type="dxa"/>
            <w:tcBorders/>
            <w:shd w:fill="auto" w:val="clear"/>
          </w:tcPr>
          <w:p>
            <w:pPr>
              <w:pStyle w:val="TableContents"/>
              <w:spacing w:before="0" w:after="0"/>
              <w:ind w:left="0" w:right="0" w:hanging="0"/>
              <w:jc w:val="right"/>
              <w:rPr/>
            </w:pPr>
            <w:r>
              <w:rPr/>
              <w:t> </w:t>
            </w:r>
          </w:p>
        </w:tc>
      </w:tr>
      <w:tr>
        <w:trPr/>
        <w:tc>
          <w:tcPr>
            <w:tcW w:w="9794" w:type="dxa"/>
            <w:tcBorders/>
            <w:shd w:fill="auto" w:val="clear"/>
          </w:tcPr>
          <w:p>
            <w:pPr>
              <w:pStyle w:val="TableContents"/>
              <w:spacing w:before="0" w:after="0"/>
              <w:ind w:left="0" w:right="0" w:hanging="0"/>
              <w:jc w:val="left"/>
              <w:rPr/>
            </w:pPr>
            <w:hyperlink w:anchor="Section1_2_233523">
              <w:r>
                <w:rPr>
                  <w:rStyle w:val="InternetLink"/>
                  <w:rFonts w:ascii="Times New Roman" w:hAnsi="Times New Roman"/>
                  <w:sz w:val="17"/>
                </w:rPr>
                <w:t>Section 1.2 Rules of Construction</w:t>
              </w:r>
            </w:hyperlink>
          </w:p>
        </w:tc>
        <w:tc>
          <w:tcPr>
            <w:tcW w:w="411" w:type="dxa"/>
            <w:tcBorders/>
            <w:shd w:fill="auto" w:val="clear"/>
          </w:tcPr>
          <w:p>
            <w:pPr>
              <w:pStyle w:val="TableContents"/>
              <w:spacing w:before="0" w:after="0"/>
              <w:ind w:left="0" w:right="0" w:hanging="0"/>
              <w:jc w:val="right"/>
              <w:rPr/>
            </w:pPr>
            <w:r>
              <w:rPr/>
              <w:t> </w:t>
            </w:r>
          </w:p>
        </w:tc>
      </w:tr>
      <w:tr>
        <w:trPr/>
        <w:tc>
          <w:tcPr>
            <w:tcW w:w="9794" w:type="dxa"/>
            <w:tcBorders/>
            <w:shd w:fill="auto" w:val="clear"/>
          </w:tcPr>
          <w:p>
            <w:pPr>
              <w:pStyle w:val="TableContents"/>
              <w:spacing w:before="0" w:after="0"/>
              <w:ind w:left="0" w:right="0" w:hanging="0"/>
              <w:jc w:val="left"/>
              <w:rPr/>
            </w:pPr>
            <w:r>
              <w:rPr/>
              <w:t> </w:t>
            </w:r>
          </w:p>
        </w:tc>
        <w:tc>
          <w:tcPr>
            <w:tcW w:w="411" w:type="dxa"/>
            <w:tcBorders/>
            <w:shd w:fill="auto" w:val="clear"/>
          </w:tcPr>
          <w:p>
            <w:pPr>
              <w:pStyle w:val="TableContents"/>
              <w:spacing w:before="0" w:after="0"/>
              <w:ind w:left="0" w:right="0" w:hanging="0"/>
              <w:jc w:val="right"/>
              <w:rPr/>
            </w:pPr>
            <w:r>
              <w:rPr/>
              <w:t> </w:t>
            </w:r>
          </w:p>
        </w:tc>
      </w:tr>
      <w:tr>
        <w:trPr/>
        <w:tc>
          <w:tcPr>
            <w:tcW w:w="9794" w:type="dxa"/>
            <w:tcBorders/>
            <w:shd w:fill="auto" w:val="clear"/>
          </w:tcPr>
          <w:p>
            <w:pPr>
              <w:pStyle w:val="TableContents"/>
              <w:spacing w:before="0" w:after="0"/>
              <w:ind w:left="0" w:right="0" w:hanging="0"/>
              <w:jc w:val="left"/>
              <w:rPr/>
            </w:pPr>
            <w:hyperlink w:anchor="Articleii_233529">
              <w:r>
                <w:rPr>
                  <w:rStyle w:val="InternetLink"/>
                  <w:rFonts w:ascii="Times New Roman" w:hAnsi="Times New Roman"/>
                  <w:sz w:val="17"/>
                </w:rPr>
                <w:t>ARTICLE II PURCHASE AND SALE; CLOSING</w:t>
              </w:r>
            </w:hyperlink>
          </w:p>
        </w:tc>
        <w:tc>
          <w:tcPr>
            <w:tcW w:w="411" w:type="dxa"/>
            <w:tcBorders/>
            <w:shd w:fill="auto" w:val="clear"/>
          </w:tcPr>
          <w:p>
            <w:pPr>
              <w:pStyle w:val="TableContents"/>
              <w:spacing w:before="0" w:after="0"/>
              <w:ind w:left="0" w:right="0" w:hanging="0"/>
              <w:jc w:val="right"/>
              <w:rPr/>
            </w:pPr>
            <w:r>
              <w:rPr/>
              <w:t> </w:t>
            </w:r>
          </w:p>
        </w:tc>
      </w:tr>
      <w:tr>
        <w:trPr/>
        <w:tc>
          <w:tcPr>
            <w:tcW w:w="9794" w:type="dxa"/>
            <w:tcBorders/>
            <w:shd w:fill="auto" w:val="clear"/>
          </w:tcPr>
          <w:p>
            <w:pPr>
              <w:pStyle w:val="TableContents"/>
              <w:spacing w:before="0" w:after="0"/>
              <w:ind w:left="0" w:right="0" w:hanging="0"/>
              <w:jc w:val="left"/>
              <w:rPr/>
            </w:pPr>
            <w:r>
              <w:rPr/>
              <w:t> </w:t>
            </w:r>
          </w:p>
        </w:tc>
        <w:tc>
          <w:tcPr>
            <w:tcW w:w="411" w:type="dxa"/>
            <w:tcBorders/>
            <w:shd w:fill="auto" w:val="clear"/>
          </w:tcPr>
          <w:p>
            <w:pPr>
              <w:pStyle w:val="TableContents"/>
              <w:spacing w:before="0" w:after="0"/>
              <w:ind w:left="0" w:right="0" w:hanging="0"/>
              <w:jc w:val="right"/>
              <w:rPr/>
            </w:pPr>
            <w:r>
              <w:rPr/>
              <w:t> </w:t>
            </w:r>
          </w:p>
        </w:tc>
      </w:tr>
      <w:tr>
        <w:trPr/>
        <w:tc>
          <w:tcPr>
            <w:tcW w:w="9794" w:type="dxa"/>
            <w:tcBorders/>
            <w:shd w:fill="auto" w:val="clear"/>
          </w:tcPr>
          <w:p>
            <w:pPr>
              <w:pStyle w:val="TableContents"/>
              <w:spacing w:before="0" w:after="0"/>
              <w:ind w:left="0" w:right="0" w:hanging="0"/>
              <w:jc w:val="left"/>
              <w:rPr/>
            </w:pPr>
            <w:hyperlink w:anchor="Section2_1_233532">
              <w:r>
                <w:rPr>
                  <w:rStyle w:val="InternetLink"/>
                  <w:rFonts w:ascii="Times New Roman" w:hAnsi="Times New Roman"/>
                  <w:sz w:val="17"/>
                </w:rPr>
                <w:t>Section 2.1 Purchase and Sale of Membership Interests</w:t>
              </w:r>
            </w:hyperlink>
          </w:p>
        </w:tc>
        <w:tc>
          <w:tcPr>
            <w:tcW w:w="411" w:type="dxa"/>
            <w:tcBorders/>
            <w:shd w:fill="auto" w:val="clear"/>
          </w:tcPr>
          <w:p>
            <w:pPr>
              <w:pStyle w:val="TableContents"/>
              <w:spacing w:before="0" w:after="0"/>
              <w:ind w:left="0" w:right="0" w:hanging="0"/>
              <w:jc w:val="right"/>
              <w:rPr/>
            </w:pPr>
            <w:r>
              <w:rPr/>
              <w:t> </w:t>
            </w:r>
          </w:p>
        </w:tc>
      </w:tr>
      <w:tr>
        <w:trPr/>
        <w:tc>
          <w:tcPr>
            <w:tcW w:w="9794" w:type="dxa"/>
            <w:tcBorders/>
            <w:shd w:fill="auto" w:val="clear"/>
          </w:tcPr>
          <w:p>
            <w:pPr>
              <w:pStyle w:val="TableContents"/>
              <w:spacing w:before="0" w:after="0"/>
              <w:ind w:left="0" w:right="0" w:hanging="0"/>
              <w:jc w:val="left"/>
              <w:rPr/>
            </w:pPr>
            <w:hyperlink w:anchor="Section2_2_233534">
              <w:r>
                <w:rPr>
                  <w:rStyle w:val="InternetLink"/>
                  <w:rFonts w:ascii="Times New Roman" w:hAnsi="Times New Roman"/>
                  <w:sz w:val="17"/>
                </w:rPr>
                <w:t>Section 2.2 Purchase Price</w:t>
              </w:r>
            </w:hyperlink>
          </w:p>
        </w:tc>
        <w:tc>
          <w:tcPr>
            <w:tcW w:w="411" w:type="dxa"/>
            <w:tcBorders/>
            <w:shd w:fill="auto" w:val="clear"/>
          </w:tcPr>
          <w:p>
            <w:pPr>
              <w:pStyle w:val="TableContents"/>
              <w:spacing w:before="0" w:after="0"/>
              <w:ind w:left="0" w:right="0" w:hanging="0"/>
              <w:jc w:val="right"/>
              <w:rPr/>
            </w:pPr>
            <w:r>
              <w:rPr/>
              <w:t> </w:t>
            </w:r>
          </w:p>
        </w:tc>
      </w:tr>
      <w:tr>
        <w:trPr/>
        <w:tc>
          <w:tcPr>
            <w:tcW w:w="9794" w:type="dxa"/>
            <w:tcBorders/>
            <w:shd w:fill="auto" w:val="clear"/>
          </w:tcPr>
          <w:p>
            <w:pPr>
              <w:pStyle w:val="TableContents"/>
              <w:spacing w:before="0" w:after="0"/>
              <w:ind w:left="0" w:right="0" w:hanging="0"/>
              <w:jc w:val="left"/>
              <w:rPr/>
            </w:pPr>
            <w:hyperlink w:anchor="Section2_3_233538">
              <w:r>
                <w:rPr>
                  <w:rStyle w:val="InternetLink"/>
                  <w:rFonts w:ascii="Times New Roman" w:hAnsi="Times New Roman"/>
                  <w:sz w:val="17"/>
                </w:rPr>
                <w:t>Section 2.3 The Closing</w:t>
              </w:r>
            </w:hyperlink>
          </w:p>
        </w:tc>
        <w:tc>
          <w:tcPr>
            <w:tcW w:w="411" w:type="dxa"/>
            <w:tcBorders/>
            <w:shd w:fill="auto" w:val="clear"/>
          </w:tcPr>
          <w:p>
            <w:pPr>
              <w:pStyle w:val="TableContents"/>
              <w:spacing w:before="0" w:after="0"/>
              <w:ind w:left="0" w:right="0" w:hanging="0"/>
              <w:jc w:val="right"/>
              <w:rPr/>
            </w:pPr>
            <w:r>
              <w:rPr/>
              <w:t> </w:t>
            </w:r>
          </w:p>
        </w:tc>
      </w:tr>
      <w:tr>
        <w:trPr/>
        <w:tc>
          <w:tcPr>
            <w:tcW w:w="9794" w:type="dxa"/>
            <w:tcBorders/>
            <w:shd w:fill="auto" w:val="clear"/>
          </w:tcPr>
          <w:p>
            <w:pPr>
              <w:pStyle w:val="TableContents"/>
              <w:spacing w:before="0" w:after="0"/>
              <w:ind w:left="0" w:right="0" w:hanging="0"/>
              <w:jc w:val="left"/>
              <w:rPr/>
            </w:pPr>
            <w:hyperlink w:anchor="Section2_4_233545">
              <w:r>
                <w:rPr>
                  <w:rStyle w:val="InternetLink"/>
                  <w:rFonts w:ascii="Times New Roman" w:hAnsi="Times New Roman"/>
                  <w:sz w:val="17"/>
                </w:rPr>
                <w:t>Section 2.4 Net Working Capital Reconciliation</w:t>
              </w:r>
            </w:hyperlink>
          </w:p>
        </w:tc>
        <w:tc>
          <w:tcPr>
            <w:tcW w:w="411" w:type="dxa"/>
            <w:tcBorders/>
            <w:shd w:fill="auto" w:val="clear"/>
          </w:tcPr>
          <w:p>
            <w:pPr>
              <w:pStyle w:val="TableContents"/>
              <w:spacing w:before="0" w:after="0"/>
              <w:ind w:left="0" w:right="0" w:hanging="0"/>
              <w:jc w:val="right"/>
              <w:rPr/>
            </w:pPr>
            <w:r>
              <w:rPr/>
              <w:t> </w:t>
            </w:r>
          </w:p>
        </w:tc>
      </w:tr>
      <w:tr>
        <w:trPr/>
        <w:tc>
          <w:tcPr>
            <w:tcW w:w="9794" w:type="dxa"/>
            <w:tcBorders/>
            <w:shd w:fill="auto" w:val="clear"/>
          </w:tcPr>
          <w:p>
            <w:pPr>
              <w:pStyle w:val="TableContents"/>
              <w:spacing w:before="0" w:after="0"/>
              <w:ind w:left="0" w:right="0" w:hanging="0"/>
              <w:jc w:val="left"/>
              <w:rPr/>
            </w:pPr>
            <w:hyperlink w:anchor="Section2_5_233549">
              <w:r>
                <w:rPr>
                  <w:rStyle w:val="InternetLink"/>
                  <w:rFonts w:ascii="Times New Roman" w:hAnsi="Times New Roman"/>
                  <w:sz w:val="17"/>
                </w:rPr>
                <w:t>Section 2.5 PPEC and BGS Expenditure Adjustments</w:t>
              </w:r>
            </w:hyperlink>
          </w:p>
        </w:tc>
        <w:tc>
          <w:tcPr>
            <w:tcW w:w="411" w:type="dxa"/>
            <w:tcBorders/>
            <w:shd w:fill="auto" w:val="clear"/>
          </w:tcPr>
          <w:p>
            <w:pPr>
              <w:pStyle w:val="TableContents"/>
              <w:spacing w:before="0" w:after="0"/>
              <w:ind w:left="0" w:right="0" w:hanging="0"/>
              <w:jc w:val="right"/>
              <w:rPr/>
            </w:pPr>
            <w:r>
              <w:rPr/>
              <w:t> </w:t>
            </w:r>
          </w:p>
        </w:tc>
      </w:tr>
      <w:tr>
        <w:trPr/>
        <w:tc>
          <w:tcPr>
            <w:tcW w:w="9794" w:type="dxa"/>
            <w:tcBorders/>
            <w:shd w:fill="auto" w:val="clear"/>
          </w:tcPr>
          <w:p>
            <w:pPr>
              <w:pStyle w:val="TableContents"/>
              <w:spacing w:before="0" w:after="0"/>
              <w:ind w:left="0" w:right="0" w:hanging="0"/>
              <w:jc w:val="left"/>
              <w:rPr/>
            </w:pPr>
            <w:hyperlink w:anchor="Section2_6_233556">
              <w:r>
                <w:rPr>
                  <w:rStyle w:val="InternetLink"/>
                  <w:rFonts w:ascii="Times New Roman" w:hAnsi="Times New Roman"/>
                  <w:sz w:val="17"/>
                </w:rPr>
                <w:t>Section 2.6 Bluewater Reserves</w:t>
              </w:r>
            </w:hyperlink>
          </w:p>
        </w:tc>
        <w:tc>
          <w:tcPr>
            <w:tcW w:w="411" w:type="dxa"/>
            <w:tcBorders/>
            <w:shd w:fill="auto" w:val="clear"/>
          </w:tcPr>
          <w:p>
            <w:pPr>
              <w:pStyle w:val="TableContents"/>
              <w:spacing w:before="0" w:after="0"/>
              <w:ind w:left="0" w:right="0" w:hanging="0"/>
              <w:jc w:val="right"/>
              <w:rPr/>
            </w:pPr>
            <w:r>
              <w:rPr/>
              <w:t> </w:t>
            </w:r>
          </w:p>
        </w:tc>
      </w:tr>
      <w:tr>
        <w:trPr/>
        <w:tc>
          <w:tcPr>
            <w:tcW w:w="9794" w:type="dxa"/>
            <w:tcBorders/>
            <w:shd w:fill="auto" w:val="clear"/>
          </w:tcPr>
          <w:p>
            <w:pPr>
              <w:pStyle w:val="TableContents"/>
              <w:spacing w:before="0" w:after="0"/>
              <w:ind w:left="0" w:right="0" w:hanging="0"/>
              <w:jc w:val="left"/>
              <w:rPr/>
            </w:pPr>
            <w:r>
              <w:rPr/>
              <w:t> </w:t>
            </w:r>
          </w:p>
        </w:tc>
        <w:tc>
          <w:tcPr>
            <w:tcW w:w="411" w:type="dxa"/>
            <w:tcBorders/>
            <w:shd w:fill="auto" w:val="clear"/>
          </w:tcPr>
          <w:p>
            <w:pPr>
              <w:pStyle w:val="TableContents"/>
              <w:spacing w:before="0" w:after="0"/>
              <w:ind w:left="0" w:right="0" w:hanging="0"/>
              <w:jc w:val="right"/>
              <w:rPr/>
            </w:pPr>
            <w:r>
              <w:rPr/>
              <w:t> </w:t>
            </w:r>
          </w:p>
        </w:tc>
      </w:tr>
      <w:tr>
        <w:trPr/>
        <w:tc>
          <w:tcPr>
            <w:tcW w:w="9794" w:type="dxa"/>
            <w:tcBorders/>
            <w:shd w:fill="auto" w:val="clear"/>
          </w:tcPr>
          <w:p>
            <w:pPr>
              <w:pStyle w:val="TableContents"/>
              <w:spacing w:before="0" w:after="0"/>
              <w:ind w:left="0" w:right="0" w:hanging="0"/>
              <w:jc w:val="left"/>
              <w:rPr/>
            </w:pPr>
            <w:hyperlink w:anchor="Articleiii_233559">
              <w:r>
                <w:rPr>
                  <w:rStyle w:val="InternetLink"/>
                  <w:rFonts w:ascii="Times New Roman" w:hAnsi="Times New Roman"/>
                  <w:sz w:val="17"/>
                </w:rPr>
                <w:t>ARTICLE III REPRESENTATIONS AND WARRANTIES REGARDING SELLER</w:t>
              </w:r>
            </w:hyperlink>
          </w:p>
        </w:tc>
        <w:tc>
          <w:tcPr>
            <w:tcW w:w="411" w:type="dxa"/>
            <w:tcBorders/>
            <w:shd w:fill="auto" w:val="clear"/>
          </w:tcPr>
          <w:p>
            <w:pPr>
              <w:pStyle w:val="TableContents"/>
              <w:spacing w:before="0" w:after="0"/>
              <w:ind w:left="0" w:right="0" w:hanging="0"/>
              <w:jc w:val="right"/>
              <w:rPr/>
            </w:pPr>
            <w:r>
              <w:rPr/>
              <w:t> </w:t>
            </w:r>
          </w:p>
        </w:tc>
      </w:tr>
      <w:tr>
        <w:trPr/>
        <w:tc>
          <w:tcPr>
            <w:tcW w:w="9794" w:type="dxa"/>
            <w:tcBorders/>
            <w:shd w:fill="auto" w:val="clear"/>
          </w:tcPr>
          <w:p>
            <w:pPr>
              <w:pStyle w:val="TableContents"/>
              <w:spacing w:before="0" w:after="0"/>
              <w:ind w:left="0" w:right="0" w:hanging="0"/>
              <w:jc w:val="left"/>
              <w:rPr/>
            </w:pPr>
            <w:r>
              <w:rPr/>
              <w:t> </w:t>
            </w:r>
          </w:p>
        </w:tc>
        <w:tc>
          <w:tcPr>
            <w:tcW w:w="411" w:type="dxa"/>
            <w:tcBorders/>
            <w:shd w:fill="auto" w:val="clear"/>
          </w:tcPr>
          <w:p>
            <w:pPr>
              <w:pStyle w:val="TableContents"/>
              <w:spacing w:before="0" w:after="0"/>
              <w:ind w:left="0" w:right="0" w:hanging="0"/>
              <w:jc w:val="right"/>
              <w:rPr/>
            </w:pPr>
            <w:r>
              <w:rPr/>
              <w:t> </w:t>
            </w:r>
          </w:p>
        </w:tc>
      </w:tr>
      <w:tr>
        <w:trPr/>
        <w:tc>
          <w:tcPr>
            <w:tcW w:w="9794" w:type="dxa"/>
            <w:tcBorders/>
            <w:shd w:fill="auto" w:val="clear"/>
          </w:tcPr>
          <w:p>
            <w:pPr>
              <w:pStyle w:val="TableContents"/>
              <w:spacing w:before="0" w:after="0"/>
              <w:ind w:left="0" w:right="0" w:hanging="0"/>
              <w:jc w:val="left"/>
              <w:rPr/>
            </w:pPr>
            <w:hyperlink w:anchor="Section3_1_233602">
              <w:r>
                <w:rPr>
                  <w:rStyle w:val="InternetLink"/>
                  <w:rFonts w:ascii="Times New Roman" w:hAnsi="Times New Roman"/>
                  <w:sz w:val="17"/>
                </w:rPr>
                <w:t>Section 3.1 Organization of Seller; Authority</w:t>
              </w:r>
            </w:hyperlink>
          </w:p>
        </w:tc>
        <w:tc>
          <w:tcPr>
            <w:tcW w:w="411" w:type="dxa"/>
            <w:tcBorders/>
            <w:shd w:fill="auto" w:val="clear"/>
          </w:tcPr>
          <w:p>
            <w:pPr>
              <w:pStyle w:val="TableContents"/>
              <w:spacing w:before="0" w:after="0"/>
              <w:ind w:left="0" w:right="0" w:hanging="0"/>
              <w:jc w:val="right"/>
              <w:rPr/>
            </w:pPr>
            <w:r>
              <w:rPr/>
              <w:t> </w:t>
            </w:r>
          </w:p>
        </w:tc>
      </w:tr>
      <w:tr>
        <w:trPr/>
        <w:tc>
          <w:tcPr>
            <w:tcW w:w="9794" w:type="dxa"/>
            <w:tcBorders/>
            <w:shd w:fill="auto" w:val="clear"/>
          </w:tcPr>
          <w:p>
            <w:pPr>
              <w:pStyle w:val="TableContents"/>
              <w:spacing w:before="0" w:after="0"/>
              <w:ind w:left="0" w:right="0" w:hanging="0"/>
              <w:jc w:val="left"/>
              <w:rPr/>
            </w:pPr>
            <w:hyperlink w:anchor="Section3_2_233604">
              <w:r>
                <w:rPr>
                  <w:rStyle w:val="InternetLink"/>
                  <w:rFonts w:ascii="Times New Roman" w:hAnsi="Times New Roman"/>
                  <w:sz w:val="17"/>
                </w:rPr>
                <w:t>Section 3.2 Authorization; Enforceability</w:t>
              </w:r>
            </w:hyperlink>
          </w:p>
        </w:tc>
        <w:tc>
          <w:tcPr>
            <w:tcW w:w="411" w:type="dxa"/>
            <w:tcBorders/>
            <w:shd w:fill="auto" w:val="clear"/>
          </w:tcPr>
          <w:p>
            <w:pPr>
              <w:pStyle w:val="TableContents"/>
              <w:spacing w:before="0" w:after="0"/>
              <w:ind w:left="0" w:right="0" w:hanging="0"/>
              <w:jc w:val="right"/>
              <w:rPr/>
            </w:pPr>
            <w:r>
              <w:rPr/>
              <w:t> </w:t>
            </w:r>
          </w:p>
        </w:tc>
      </w:tr>
      <w:tr>
        <w:trPr/>
        <w:tc>
          <w:tcPr>
            <w:tcW w:w="9794" w:type="dxa"/>
            <w:tcBorders/>
            <w:shd w:fill="auto" w:val="clear"/>
          </w:tcPr>
          <w:p>
            <w:pPr>
              <w:pStyle w:val="TableContents"/>
              <w:spacing w:before="0" w:after="0"/>
              <w:ind w:left="0" w:right="0" w:hanging="0"/>
              <w:jc w:val="left"/>
              <w:rPr/>
            </w:pPr>
            <w:hyperlink w:anchor="Section3_3_233607">
              <w:r>
                <w:rPr>
                  <w:rStyle w:val="InternetLink"/>
                  <w:rFonts w:ascii="Times New Roman" w:hAnsi="Times New Roman"/>
                  <w:sz w:val="17"/>
                </w:rPr>
                <w:t>Section 3.3 No Conflict</w:t>
              </w:r>
            </w:hyperlink>
          </w:p>
        </w:tc>
        <w:tc>
          <w:tcPr>
            <w:tcW w:w="411" w:type="dxa"/>
            <w:tcBorders/>
            <w:shd w:fill="auto" w:val="clear"/>
          </w:tcPr>
          <w:p>
            <w:pPr>
              <w:pStyle w:val="TableContents"/>
              <w:spacing w:before="0" w:after="0"/>
              <w:ind w:left="0" w:right="0" w:hanging="0"/>
              <w:jc w:val="right"/>
              <w:rPr/>
            </w:pPr>
            <w:r>
              <w:rPr/>
              <w:t> </w:t>
            </w:r>
          </w:p>
        </w:tc>
      </w:tr>
      <w:tr>
        <w:trPr/>
        <w:tc>
          <w:tcPr>
            <w:tcW w:w="9794" w:type="dxa"/>
            <w:tcBorders/>
            <w:shd w:fill="auto" w:val="clear"/>
          </w:tcPr>
          <w:p>
            <w:pPr>
              <w:pStyle w:val="TableContents"/>
              <w:spacing w:before="0" w:after="0"/>
              <w:ind w:left="0" w:right="0" w:hanging="0"/>
              <w:jc w:val="left"/>
              <w:rPr/>
            </w:pPr>
            <w:hyperlink w:anchor="Section3_4_233611">
              <w:r>
                <w:rPr>
                  <w:rStyle w:val="InternetLink"/>
                  <w:rFonts w:ascii="Times New Roman" w:hAnsi="Times New Roman"/>
                  <w:sz w:val="17"/>
                </w:rPr>
                <w:t>Section 3.4 Consents and Approvals</w:t>
              </w:r>
            </w:hyperlink>
          </w:p>
        </w:tc>
        <w:tc>
          <w:tcPr>
            <w:tcW w:w="411" w:type="dxa"/>
            <w:tcBorders/>
            <w:shd w:fill="auto" w:val="clear"/>
          </w:tcPr>
          <w:p>
            <w:pPr>
              <w:pStyle w:val="TableContents"/>
              <w:spacing w:before="0" w:after="0"/>
              <w:ind w:left="0" w:right="0" w:hanging="0"/>
              <w:jc w:val="right"/>
              <w:rPr/>
            </w:pPr>
            <w:r>
              <w:rPr/>
              <w:t> </w:t>
            </w:r>
          </w:p>
        </w:tc>
      </w:tr>
      <w:tr>
        <w:trPr/>
        <w:tc>
          <w:tcPr>
            <w:tcW w:w="9794" w:type="dxa"/>
            <w:tcBorders/>
            <w:shd w:fill="auto" w:val="clear"/>
          </w:tcPr>
          <w:p>
            <w:pPr>
              <w:pStyle w:val="TableContents"/>
              <w:spacing w:before="0" w:after="0"/>
              <w:ind w:left="0" w:right="0" w:hanging="0"/>
              <w:jc w:val="left"/>
              <w:rPr/>
            </w:pPr>
            <w:hyperlink w:anchor="Section3_5_233612">
              <w:r>
                <w:rPr>
                  <w:rStyle w:val="InternetLink"/>
                  <w:rFonts w:ascii="Times New Roman" w:hAnsi="Times New Roman"/>
                  <w:sz w:val="17"/>
                </w:rPr>
                <w:t>Section 3.5 Litigation</w:t>
              </w:r>
            </w:hyperlink>
          </w:p>
        </w:tc>
        <w:tc>
          <w:tcPr>
            <w:tcW w:w="411" w:type="dxa"/>
            <w:tcBorders/>
            <w:shd w:fill="auto" w:val="clear"/>
          </w:tcPr>
          <w:p>
            <w:pPr>
              <w:pStyle w:val="TableContents"/>
              <w:spacing w:before="0" w:after="0"/>
              <w:ind w:left="0" w:right="0" w:hanging="0"/>
              <w:jc w:val="right"/>
              <w:rPr/>
            </w:pPr>
            <w:r>
              <w:rPr/>
              <w:t> </w:t>
            </w:r>
          </w:p>
        </w:tc>
      </w:tr>
      <w:tr>
        <w:trPr/>
        <w:tc>
          <w:tcPr>
            <w:tcW w:w="9794" w:type="dxa"/>
            <w:tcBorders/>
            <w:shd w:fill="auto" w:val="clear"/>
          </w:tcPr>
          <w:p>
            <w:pPr>
              <w:pStyle w:val="TableContents"/>
              <w:spacing w:before="0" w:after="0"/>
              <w:ind w:left="0" w:right="0" w:hanging="0"/>
              <w:jc w:val="left"/>
              <w:rPr/>
            </w:pPr>
            <w:hyperlink w:anchor="Section3_6_233616">
              <w:r>
                <w:rPr>
                  <w:rStyle w:val="InternetLink"/>
                  <w:rFonts w:ascii="Times New Roman" w:hAnsi="Times New Roman"/>
                  <w:sz w:val="17"/>
                </w:rPr>
                <w:t>Section 3.6 Brokers Fees</w:t>
              </w:r>
            </w:hyperlink>
          </w:p>
        </w:tc>
        <w:tc>
          <w:tcPr>
            <w:tcW w:w="411" w:type="dxa"/>
            <w:tcBorders/>
            <w:shd w:fill="auto" w:val="clear"/>
          </w:tcPr>
          <w:p>
            <w:pPr>
              <w:pStyle w:val="TableContents"/>
              <w:spacing w:before="0" w:after="0"/>
              <w:ind w:left="0" w:right="0" w:hanging="0"/>
              <w:jc w:val="right"/>
              <w:rPr/>
            </w:pPr>
            <w:r>
              <w:rPr/>
              <w:t> </w:t>
            </w:r>
          </w:p>
        </w:tc>
      </w:tr>
      <w:tr>
        <w:trPr/>
        <w:tc>
          <w:tcPr>
            <w:tcW w:w="9794" w:type="dxa"/>
            <w:tcBorders/>
            <w:shd w:fill="auto" w:val="clear"/>
          </w:tcPr>
          <w:p>
            <w:pPr>
              <w:pStyle w:val="TableContents"/>
              <w:spacing w:before="0" w:after="0"/>
              <w:ind w:left="0" w:right="0" w:hanging="0"/>
              <w:jc w:val="left"/>
              <w:rPr/>
            </w:pPr>
            <w:r>
              <w:rPr/>
              <w:t> </w:t>
            </w:r>
          </w:p>
        </w:tc>
        <w:tc>
          <w:tcPr>
            <w:tcW w:w="411" w:type="dxa"/>
            <w:tcBorders/>
            <w:shd w:fill="auto" w:val="clear"/>
          </w:tcPr>
          <w:p>
            <w:pPr>
              <w:pStyle w:val="TableContents"/>
              <w:spacing w:before="0" w:after="0"/>
              <w:ind w:left="0" w:right="0" w:hanging="0"/>
              <w:jc w:val="right"/>
              <w:rPr/>
            </w:pPr>
            <w:r>
              <w:rPr/>
              <w:t> </w:t>
            </w:r>
          </w:p>
        </w:tc>
      </w:tr>
      <w:tr>
        <w:trPr/>
        <w:tc>
          <w:tcPr>
            <w:tcW w:w="9794" w:type="dxa"/>
            <w:tcBorders/>
            <w:shd w:fill="auto" w:val="clear"/>
          </w:tcPr>
          <w:p>
            <w:pPr>
              <w:pStyle w:val="TableContents"/>
              <w:spacing w:before="0" w:after="0"/>
              <w:ind w:left="0" w:right="0" w:hanging="0"/>
              <w:jc w:val="left"/>
              <w:rPr/>
            </w:pPr>
            <w:hyperlink w:anchor="Articleiv_233618">
              <w:r>
                <w:rPr>
                  <w:rStyle w:val="InternetLink"/>
                  <w:rFonts w:ascii="Times New Roman" w:hAnsi="Times New Roman"/>
                  <w:sz w:val="17"/>
                </w:rPr>
                <w:t>ARTICLE IV REPRESENTATIONS AND WARRANTIES REGARDING THE COMPANY AND THE SUBSIDIARIES</w:t>
              </w:r>
            </w:hyperlink>
          </w:p>
        </w:tc>
        <w:tc>
          <w:tcPr>
            <w:tcW w:w="411" w:type="dxa"/>
            <w:tcBorders/>
            <w:shd w:fill="auto" w:val="clear"/>
          </w:tcPr>
          <w:p>
            <w:pPr>
              <w:pStyle w:val="TableContents"/>
              <w:spacing w:before="0" w:after="0"/>
              <w:ind w:left="0" w:right="0" w:hanging="0"/>
              <w:jc w:val="right"/>
              <w:rPr/>
            </w:pPr>
            <w:r>
              <w:rPr/>
              <w:t> </w:t>
            </w:r>
          </w:p>
        </w:tc>
      </w:tr>
      <w:tr>
        <w:trPr/>
        <w:tc>
          <w:tcPr>
            <w:tcW w:w="9794" w:type="dxa"/>
            <w:tcBorders/>
            <w:shd w:fill="auto" w:val="clear"/>
          </w:tcPr>
          <w:p>
            <w:pPr>
              <w:pStyle w:val="TableContents"/>
              <w:spacing w:before="0" w:after="0"/>
              <w:ind w:left="0" w:right="0" w:hanging="0"/>
              <w:jc w:val="left"/>
              <w:rPr/>
            </w:pPr>
            <w:r>
              <w:rPr/>
              <w:t> </w:t>
            </w:r>
          </w:p>
        </w:tc>
        <w:tc>
          <w:tcPr>
            <w:tcW w:w="411" w:type="dxa"/>
            <w:tcBorders/>
            <w:shd w:fill="auto" w:val="clear"/>
          </w:tcPr>
          <w:p>
            <w:pPr>
              <w:pStyle w:val="TableContents"/>
              <w:spacing w:before="0" w:after="0"/>
              <w:ind w:left="0" w:right="0" w:hanging="0"/>
              <w:jc w:val="right"/>
              <w:rPr/>
            </w:pPr>
            <w:r>
              <w:rPr/>
              <w:t> </w:t>
            </w:r>
          </w:p>
        </w:tc>
      </w:tr>
      <w:tr>
        <w:trPr/>
        <w:tc>
          <w:tcPr>
            <w:tcW w:w="9794" w:type="dxa"/>
            <w:tcBorders/>
            <w:shd w:fill="auto" w:val="clear"/>
          </w:tcPr>
          <w:p>
            <w:pPr>
              <w:pStyle w:val="TableContents"/>
              <w:spacing w:before="0" w:after="0"/>
              <w:ind w:left="0" w:right="0" w:hanging="0"/>
              <w:jc w:val="left"/>
              <w:rPr/>
            </w:pPr>
            <w:hyperlink w:anchor="Section4_1_233621">
              <w:r>
                <w:rPr>
                  <w:rStyle w:val="InternetLink"/>
                  <w:rFonts w:ascii="Times New Roman" w:hAnsi="Times New Roman"/>
                  <w:sz w:val="17"/>
                </w:rPr>
                <w:t>Section 4.1 Organization of the Company and the Subsidiaries; Authority</w:t>
              </w:r>
            </w:hyperlink>
          </w:p>
        </w:tc>
        <w:tc>
          <w:tcPr>
            <w:tcW w:w="411" w:type="dxa"/>
            <w:tcBorders/>
            <w:shd w:fill="auto" w:val="clear"/>
          </w:tcPr>
          <w:p>
            <w:pPr>
              <w:pStyle w:val="TableContents"/>
              <w:spacing w:before="0" w:after="0"/>
              <w:ind w:left="0" w:right="0" w:hanging="0"/>
              <w:jc w:val="right"/>
              <w:rPr/>
            </w:pPr>
            <w:r>
              <w:rPr/>
              <w:t> </w:t>
            </w:r>
          </w:p>
        </w:tc>
      </w:tr>
      <w:tr>
        <w:trPr/>
        <w:tc>
          <w:tcPr>
            <w:tcW w:w="9794" w:type="dxa"/>
            <w:tcBorders/>
            <w:shd w:fill="auto" w:val="clear"/>
          </w:tcPr>
          <w:p>
            <w:pPr>
              <w:pStyle w:val="TableContents"/>
              <w:spacing w:before="0" w:after="0"/>
              <w:ind w:left="0" w:right="0" w:hanging="0"/>
              <w:jc w:val="left"/>
              <w:rPr/>
            </w:pPr>
            <w:hyperlink w:anchor="Section4_2_233625">
              <w:r>
                <w:rPr>
                  <w:rStyle w:val="InternetLink"/>
                  <w:rFonts w:ascii="Times New Roman" w:hAnsi="Times New Roman"/>
                  <w:sz w:val="17"/>
                </w:rPr>
                <w:t>Section 4.2 No Violation</w:t>
              </w:r>
            </w:hyperlink>
          </w:p>
        </w:tc>
        <w:tc>
          <w:tcPr>
            <w:tcW w:w="411" w:type="dxa"/>
            <w:tcBorders/>
            <w:shd w:fill="auto" w:val="clear"/>
          </w:tcPr>
          <w:p>
            <w:pPr>
              <w:pStyle w:val="TableContents"/>
              <w:spacing w:before="0" w:after="0"/>
              <w:ind w:left="0" w:right="0" w:hanging="0"/>
              <w:jc w:val="right"/>
              <w:rPr/>
            </w:pPr>
            <w:r>
              <w:rPr/>
              <w:t> </w:t>
            </w:r>
          </w:p>
        </w:tc>
      </w:tr>
      <w:tr>
        <w:trPr/>
        <w:tc>
          <w:tcPr>
            <w:tcW w:w="9794" w:type="dxa"/>
            <w:tcBorders/>
            <w:shd w:fill="auto" w:val="clear"/>
          </w:tcPr>
          <w:p>
            <w:pPr>
              <w:pStyle w:val="TableContents"/>
              <w:spacing w:before="0" w:after="0"/>
              <w:ind w:left="0" w:right="0" w:hanging="0"/>
              <w:jc w:val="left"/>
              <w:rPr/>
            </w:pPr>
            <w:hyperlink w:anchor="Section4_3_233629">
              <w:r>
                <w:rPr>
                  <w:rStyle w:val="InternetLink"/>
                  <w:rFonts w:ascii="Times New Roman" w:hAnsi="Times New Roman"/>
                  <w:sz w:val="17"/>
                </w:rPr>
                <w:t>Section 4.3 Capitalization of the Company</w:t>
              </w:r>
            </w:hyperlink>
          </w:p>
        </w:tc>
        <w:tc>
          <w:tcPr>
            <w:tcW w:w="411" w:type="dxa"/>
            <w:tcBorders/>
            <w:shd w:fill="auto" w:val="clear"/>
          </w:tcPr>
          <w:p>
            <w:pPr>
              <w:pStyle w:val="TableContents"/>
              <w:spacing w:before="0" w:after="0"/>
              <w:ind w:left="0" w:right="0" w:hanging="0"/>
              <w:jc w:val="right"/>
              <w:rPr/>
            </w:pPr>
            <w:r>
              <w:rPr/>
              <w:t> </w:t>
            </w:r>
          </w:p>
        </w:tc>
      </w:tr>
      <w:tr>
        <w:trPr/>
        <w:tc>
          <w:tcPr>
            <w:tcW w:w="9794" w:type="dxa"/>
            <w:tcBorders/>
            <w:shd w:fill="auto" w:val="clear"/>
          </w:tcPr>
          <w:p>
            <w:pPr>
              <w:pStyle w:val="TableContents"/>
              <w:spacing w:before="0" w:after="0"/>
              <w:ind w:left="0" w:right="0" w:hanging="0"/>
              <w:jc w:val="left"/>
              <w:rPr/>
            </w:pPr>
            <w:hyperlink w:anchor="Section4_4_233635">
              <w:r>
                <w:rPr>
                  <w:rStyle w:val="InternetLink"/>
                  <w:rFonts w:ascii="Times New Roman" w:hAnsi="Times New Roman"/>
                  <w:sz w:val="17"/>
                </w:rPr>
                <w:t>Section 4.4 Capitalization of the Subsidiaries</w:t>
              </w:r>
            </w:hyperlink>
          </w:p>
        </w:tc>
        <w:tc>
          <w:tcPr>
            <w:tcW w:w="411" w:type="dxa"/>
            <w:tcBorders/>
            <w:shd w:fill="auto" w:val="clear"/>
          </w:tcPr>
          <w:p>
            <w:pPr>
              <w:pStyle w:val="TableContents"/>
              <w:spacing w:before="0" w:after="0"/>
              <w:ind w:left="0" w:right="0" w:hanging="0"/>
              <w:jc w:val="right"/>
              <w:rPr/>
            </w:pPr>
            <w:r>
              <w:rPr/>
              <w:t> </w:t>
            </w:r>
          </w:p>
        </w:tc>
      </w:tr>
      <w:tr>
        <w:trPr/>
        <w:tc>
          <w:tcPr>
            <w:tcW w:w="9794" w:type="dxa"/>
            <w:tcBorders/>
            <w:shd w:fill="auto" w:val="clear"/>
          </w:tcPr>
          <w:p>
            <w:pPr>
              <w:pStyle w:val="TableContents"/>
              <w:spacing w:before="0" w:after="0"/>
              <w:ind w:left="0" w:right="0" w:hanging="0"/>
              <w:jc w:val="left"/>
              <w:rPr/>
            </w:pPr>
            <w:hyperlink w:anchor="Section4_5_233640">
              <w:r>
                <w:rPr>
                  <w:rStyle w:val="InternetLink"/>
                  <w:rFonts w:ascii="Times New Roman" w:hAnsi="Times New Roman"/>
                  <w:sz w:val="17"/>
                </w:rPr>
                <w:t>Section 4.5 Financial Statements</w:t>
              </w:r>
            </w:hyperlink>
          </w:p>
        </w:tc>
        <w:tc>
          <w:tcPr>
            <w:tcW w:w="411" w:type="dxa"/>
            <w:tcBorders/>
            <w:shd w:fill="auto" w:val="clear"/>
          </w:tcPr>
          <w:p>
            <w:pPr>
              <w:pStyle w:val="TableContents"/>
              <w:spacing w:before="0" w:after="0"/>
              <w:ind w:left="0" w:right="0" w:hanging="0"/>
              <w:jc w:val="right"/>
              <w:rPr/>
            </w:pPr>
            <w:r>
              <w:rPr/>
              <w:t> </w:t>
            </w:r>
          </w:p>
        </w:tc>
      </w:tr>
      <w:tr>
        <w:trPr/>
        <w:tc>
          <w:tcPr>
            <w:tcW w:w="9794" w:type="dxa"/>
            <w:tcBorders/>
            <w:shd w:fill="auto" w:val="clear"/>
          </w:tcPr>
          <w:p>
            <w:pPr>
              <w:pStyle w:val="TableContents"/>
              <w:spacing w:before="0" w:after="0"/>
              <w:ind w:left="0" w:right="0" w:hanging="0"/>
              <w:jc w:val="left"/>
              <w:rPr/>
            </w:pPr>
            <w:hyperlink w:anchor="Section4_6_233642">
              <w:r>
                <w:rPr>
                  <w:rStyle w:val="InternetLink"/>
                  <w:rFonts w:ascii="Times New Roman" w:hAnsi="Times New Roman"/>
                  <w:sz w:val="17"/>
                </w:rPr>
                <w:t>Section 4.6 Absence of Certain Changes</w:t>
              </w:r>
            </w:hyperlink>
          </w:p>
        </w:tc>
        <w:tc>
          <w:tcPr>
            <w:tcW w:w="411" w:type="dxa"/>
            <w:tcBorders/>
            <w:shd w:fill="auto" w:val="clear"/>
          </w:tcPr>
          <w:p>
            <w:pPr>
              <w:pStyle w:val="TableContents"/>
              <w:spacing w:before="0" w:after="0"/>
              <w:ind w:left="0" w:right="0" w:hanging="0"/>
              <w:jc w:val="right"/>
              <w:rPr/>
            </w:pPr>
            <w:r>
              <w:rPr/>
              <w:t> </w:t>
            </w:r>
          </w:p>
        </w:tc>
      </w:tr>
      <w:tr>
        <w:trPr/>
        <w:tc>
          <w:tcPr>
            <w:tcW w:w="9794" w:type="dxa"/>
            <w:tcBorders/>
            <w:shd w:fill="auto" w:val="clear"/>
          </w:tcPr>
          <w:p>
            <w:pPr>
              <w:pStyle w:val="TableContents"/>
              <w:spacing w:before="0" w:after="0"/>
              <w:ind w:left="0" w:right="0" w:hanging="0"/>
              <w:jc w:val="left"/>
              <w:rPr/>
            </w:pPr>
            <w:hyperlink w:anchor="Section4_7_233644">
              <w:r>
                <w:rPr>
                  <w:rStyle w:val="InternetLink"/>
                  <w:rFonts w:ascii="Times New Roman" w:hAnsi="Times New Roman"/>
                  <w:sz w:val="17"/>
                </w:rPr>
                <w:t>Section 4.7 Contracts</w:t>
              </w:r>
            </w:hyperlink>
          </w:p>
        </w:tc>
        <w:tc>
          <w:tcPr>
            <w:tcW w:w="411" w:type="dxa"/>
            <w:tcBorders/>
            <w:shd w:fill="auto" w:val="clear"/>
          </w:tcPr>
          <w:p>
            <w:pPr>
              <w:pStyle w:val="TableContents"/>
              <w:spacing w:before="0" w:after="0"/>
              <w:ind w:left="0" w:right="0" w:hanging="0"/>
              <w:jc w:val="right"/>
              <w:rPr/>
            </w:pPr>
            <w:r>
              <w:rPr/>
              <w:t> </w:t>
            </w:r>
          </w:p>
        </w:tc>
      </w:tr>
      <w:tr>
        <w:trPr/>
        <w:tc>
          <w:tcPr>
            <w:tcW w:w="9794" w:type="dxa"/>
            <w:tcBorders/>
            <w:shd w:fill="auto" w:val="clear"/>
          </w:tcPr>
          <w:p>
            <w:pPr>
              <w:pStyle w:val="TableContents"/>
              <w:spacing w:before="0" w:after="0"/>
              <w:ind w:left="0" w:right="0" w:hanging="0"/>
              <w:jc w:val="left"/>
              <w:rPr/>
            </w:pPr>
            <w:hyperlink w:anchor="Section4_8_233657">
              <w:r>
                <w:rPr>
                  <w:rStyle w:val="InternetLink"/>
                  <w:rFonts w:ascii="Times New Roman" w:hAnsi="Times New Roman"/>
                  <w:sz w:val="17"/>
                </w:rPr>
                <w:t>Section 4.8 Intellectual Property</w:t>
              </w:r>
            </w:hyperlink>
          </w:p>
        </w:tc>
        <w:tc>
          <w:tcPr>
            <w:tcW w:w="411" w:type="dxa"/>
            <w:tcBorders/>
            <w:shd w:fill="auto" w:val="clear"/>
          </w:tcPr>
          <w:p>
            <w:pPr>
              <w:pStyle w:val="TableContents"/>
              <w:spacing w:before="0" w:after="0"/>
              <w:ind w:left="0" w:right="0" w:hanging="0"/>
              <w:jc w:val="right"/>
              <w:rPr/>
            </w:pPr>
            <w:r>
              <w:rPr/>
              <w:t> </w:t>
            </w:r>
          </w:p>
        </w:tc>
      </w:tr>
      <w:tr>
        <w:trPr/>
        <w:tc>
          <w:tcPr>
            <w:tcW w:w="9794" w:type="dxa"/>
            <w:tcBorders/>
            <w:shd w:fill="auto" w:val="clear"/>
          </w:tcPr>
          <w:p>
            <w:pPr>
              <w:pStyle w:val="TableContents"/>
              <w:spacing w:before="0" w:after="0"/>
              <w:ind w:left="0" w:right="0" w:hanging="0"/>
              <w:jc w:val="left"/>
              <w:rPr/>
            </w:pPr>
            <w:hyperlink w:anchor="Section4_9_233701">
              <w:r>
                <w:rPr>
                  <w:rStyle w:val="InternetLink"/>
                  <w:rFonts w:ascii="Times New Roman" w:hAnsi="Times New Roman"/>
                  <w:sz w:val="17"/>
                </w:rPr>
                <w:t>Section 4.9 Litigation</w:t>
              </w:r>
            </w:hyperlink>
          </w:p>
        </w:tc>
        <w:tc>
          <w:tcPr>
            <w:tcW w:w="411" w:type="dxa"/>
            <w:tcBorders/>
            <w:shd w:fill="auto" w:val="clear"/>
          </w:tcPr>
          <w:p>
            <w:pPr>
              <w:pStyle w:val="TableContents"/>
              <w:spacing w:before="0" w:after="0"/>
              <w:ind w:left="0" w:right="0" w:hanging="0"/>
              <w:jc w:val="right"/>
              <w:rPr/>
            </w:pPr>
            <w:r>
              <w:rPr/>
              <w:t> </w:t>
            </w:r>
          </w:p>
        </w:tc>
      </w:tr>
      <w:tr>
        <w:trPr/>
        <w:tc>
          <w:tcPr>
            <w:tcW w:w="9794" w:type="dxa"/>
            <w:tcBorders/>
            <w:shd w:fill="auto" w:val="clear"/>
          </w:tcPr>
          <w:p>
            <w:pPr>
              <w:pStyle w:val="TableContents"/>
              <w:spacing w:before="0" w:after="0"/>
              <w:ind w:left="0" w:right="0" w:hanging="0"/>
              <w:jc w:val="left"/>
              <w:rPr/>
            </w:pPr>
            <w:hyperlink w:anchor="Section4_10_233704">
              <w:r>
                <w:rPr>
                  <w:rStyle w:val="InternetLink"/>
                  <w:rFonts w:ascii="Times New Roman" w:hAnsi="Times New Roman"/>
                  <w:sz w:val="17"/>
                </w:rPr>
                <w:t>Section 4.10 Employee Benefit Plans</w:t>
              </w:r>
            </w:hyperlink>
          </w:p>
        </w:tc>
        <w:tc>
          <w:tcPr>
            <w:tcW w:w="411" w:type="dxa"/>
            <w:tcBorders/>
            <w:shd w:fill="auto" w:val="clear"/>
          </w:tcPr>
          <w:p>
            <w:pPr>
              <w:pStyle w:val="TableContents"/>
              <w:spacing w:before="0" w:after="0"/>
              <w:ind w:left="0" w:right="0" w:hanging="0"/>
              <w:jc w:val="right"/>
              <w:rPr/>
            </w:pPr>
            <w:r>
              <w:rPr/>
              <w:t> </w:t>
            </w:r>
          </w:p>
        </w:tc>
      </w:tr>
      <w:tr>
        <w:trPr/>
        <w:tc>
          <w:tcPr>
            <w:tcW w:w="9794" w:type="dxa"/>
            <w:tcBorders/>
            <w:shd w:fill="auto" w:val="clear"/>
          </w:tcPr>
          <w:p>
            <w:pPr>
              <w:pStyle w:val="TableContents"/>
              <w:spacing w:before="0" w:after="0"/>
              <w:ind w:left="0" w:right="0" w:hanging="0"/>
              <w:jc w:val="left"/>
              <w:rPr/>
            </w:pPr>
            <w:hyperlink w:anchor="Section4_11_233708">
              <w:r>
                <w:rPr>
                  <w:rStyle w:val="InternetLink"/>
                  <w:rFonts w:ascii="Times New Roman" w:hAnsi="Times New Roman"/>
                  <w:sz w:val="17"/>
                </w:rPr>
                <w:t>Section 4.11 Taxes</w:t>
              </w:r>
            </w:hyperlink>
          </w:p>
        </w:tc>
        <w:tc>
          <w:tcPr>
            <w:tcW w:w="411" w:type="dxa"/>
            <w:tcBorders/>
            <w:shd w:fill="auto" w:val="clear"/>
          </w:tcPr>
          <w:p>
            <w:pPr>
              <w:pStyle w:val="TableContents"/>
              <w:spacing w:before="0" w:after="0"/>
              <w:ind w:left="0" w:right="0" w:hanging="0"/>
              <w:jc w:val="right"/>
              <w:rPr/>
            </w:pPr>
            <w:r>
              <w:rPr/>
              <w:t> </w:t>
            </w:r>
          </w:p>
        </w:tc>
      </w:tr>
      <w:tr>
        <w:trPr/>
        <w:tc>
          <w:tcPr>
            <w:tcW w:w="9794" w:type="dxa"/>
            <w:tcBorders/>
            <w:shd w:fill="auto" w:val="clear"/>
          </w:tcPr>
          <w:p>
            <w:pPr>
              <w:pStyle w:val="TableContents"/>
              <w:spacing w:before="0" w:after="0"/>
              <w:ind w:left="0" w:right="0" w:hanging="0"/>
              <w:jc w:val="left"/>
              <w:rPr/>
            </w:pPr>
            <w:hyperlink w:anchor="Section4_12_233718">
              <w:r>
                <w:rPr>
                  <w:rStyle w:val="InternetLink"/>
                  <w:rFonts w:ascii="Times New Roman" w:hAnsi="Times New Roman"/>
                  <w:sz w:val="17"/>
                </w:rPr>
                <w:t>Section 4.12 Environmental Matters</w:t>
              </w:r>
            </w:hyperlink>
          </w:p>
        </w:tc>
        <w:tc>
          <w:tcPr>
            <w:tcW w:w="411" w:type="dxa"/>
            <w:tcBorders/>
            <w:shd w:fill="auto" w:val="clear"/>
          </w:tcPr>
          <w:p>
            <w:pPr>
              <w:pStyle w:val="TableContents"/>
              <w:spacing w:before="0" w:after="0"/>
              <w:ind w:left="0" w:right="0" w:hanging="0"/>
              <w:jc w:val="right"/>
              <w:rPr/>
            </w:pPr>
            <w:r>
              <w:rPr/>
              <w:t> </w:t>
            </w:r>
          </w:p>
        </w:tc>
      </w:tr>
      <w:tr>
        <w:trPr/>
        <w:tc>
          <w:tcPr>
            <w:tcW w:w="9794" w:type="dxa"/>
            <w:tcBorders/>
            <w:shd w:fill="auto" w:val="clear"/>
          </w:tcPr>
          <w:p>
            <w:pPr>
              <w:pStyle w:val="TableContents"/>
              <w:spacing w:before="0" w:after="0"/>
              <w:ind w:left="0" w:right="0" w:hanging="0"/>
              <w:jc w:val="left"/>
              <w:rPr/>
            </w:pPr>
            <w:hyperlink w:anchor="Section4_13_233723">
              <w:r>
                <w:rPr>
                  <w:rStyle w:val="InternetLink"/>
                  <w:rFonts w:ascii="Times New Roman" w:hAnsi="Times New Roman"/>
                  <w:sz w:val="17"/>
                </w:rPr>
                <w:t>Section 4.13 Legal Compliance</w:t>
              </w:r>
            </w:hyperlink>
          </w:p>
        </w:tc>
        <w:tc>
          <w:tcPr>
            <w:tcW w:w="411" w:type="dxa"/>
            <w:tcBorders/>
            <w:shd w:fill="auto" w:val="clear"/>
          </w:tcPr>
          <w:p>
            <w:pPr>
              <w:pStyle w:val="TableContents"/>
              <w:spacing w:before="0" w:after="0"/>
              <w:ind w:left="0" w:right="0" w:hanging="0"/>
              <w:jc w:val="right"/>
              <w:rPr/>
            </w:pPr>
            <w:r>
              <w:rPr/>
              <w:t> </w:t>
            </w:r>
          </w:p>
        </w:tc>
      </w:tr>
      <w:tr>
        <w:trPr/>
        <w:tc>
          <w:tcPr>
            <w:tcW w:w="9794" w:type="dxa"/>
            <w:tcBorders/>
            <w:shd w:fill="auto" w:val="clear"/>
          </w:tcPr>
          <w:p>
            <w:pPr>
              <w:pStyle w:val="TableContents"/>
              <w:spacing w:before="0" w:after="0"/>
              <w:ind w:left="0" w:right="0" w:hanging="0"/>
              <w:jc w:val="left"/>
              <w:rPr/>
            </w:pPr>
            <w:hyperlink w:anchor="Section4_14_233725">
              <w:r>
                <w:rPr>
                  <w:rStyle w:val="InternetLink"/>
                  <w:rFonts w:ascii="Times New Roman" w:hAnsi="Times New Roman"/>
                  <w:sz w:val="17"/>
                </w:rPr>
                <w:t>Section 4.14 Permits</w:t>
              </w:r>
            </w:hyperlink>
          </w:p>
        </w:tc>
        <w:tc>
          <w:tcPr>
            <w:tcW w:w="411" w:type="dxa"/>
            <w:tcBorders/>
            <w:shd w:fill="auto" w:val="clear"/>
          </w:tcPr>
          <w:p>
            <w:pPr>
              <w:pStyle w:val="TableContents"/>
              <w:spacing w:before="0" w:after="0"/>
              <w:ind w:left="0" w:right="0" w:hanging="0"/>
              <w:jc w:val="right"/>
              <w:rPr/>
            </w:pPr>
            <w:r>
              <w:rPr/>
              <w:t> </w:t>
            </w:r>
          </w:p>
        </w:tc>
      </w:tr>
      <w:tr>
        <w:trPr/>
        <w:tc>
          <w:tcPr>
            <w:tcW w:w="9794" w:type="dxa"/>
            <w:tcBorders/>
            <w:shd w:fill="auto" w:val="clear"/>
          </w:tcPr>
          <w:p>
            <w:pPr>
              <w:pStyle w:val="TableContents"/>
              <w:spacing w:before="0" w:after="0"/>
              <w:ind w:left="0" w:right="0" w:hanging="0"/>
              <w:jc w:val="left"/>
              <w:rPr/>
            </w:pPr>
            <w:hyperlink w:anchor="Section4_15_233729">
              <w:r>
                <w:rPr>
                  <w:rStyle w:val="InternetLink"/>
                  <w:rFonts w:ascii="Times New Roman" w:hAnsi="Times New Roman"/>
                  <w:sz w:val="17"/>
                </w:rPr>
                <w:t>Section 4.15 Insurance</w:t>
              </w:r>
            </w:hyperlink>
          </w:p>
        </w:tc>
        <w:tc>
          <w:tcPr>
            <w:tcW w:w="411" w:type="dxa"/>
            <w:tcBorders/>
            <w:shd w:fill="auto" w:val="clear"/>
          </w:tcPr>
          <w:p>
            <w:pPr>
              <w:pStyle w:val="TableContents"/>
              <w:spacing w:before="0" w:after="0"/>
              <w:ind w:left="0" w:right="0" w:hanging="0"/>
              <w:jc w:val="right"/>
              <w:rPr/>
            </w:pPr>
            <w:r>
              <w:rPr/>
              <w:t> </w:t>
            </w:r>
          </w:p>
        </w:tc>
      </w:tr>
      <w:tr>
        <w:trPr/>
        <w:tc>
          <w:tcPr>
            <w:tcW w:w="9794" w:type="dxa"/>
            <w:tcBorders/>
            <w:shd w:fill="auto" w:val="clear"/>
          </w:tcPr>
          <w:p>
            <w:pPr>
              <w:pStyle w:val="TableContents"/>
              <w:spacing w:before="0" w:after="0"/>
              <w:ind w:left="0" w:right="0" w:hanging="0"/>
              <w:jc w:val="left"/>
              <w:rPr/>
            </w:pPr>
            <w:hyperlink w:anchor="Section4_16_233732">
              <w:r>
                <w:rPr>
                  <w:rStyle w:val="InternetLink"/>
                  <w:rFonts w:ascii="Times New Roman" w:hAnsi="Times New Roman"/>
                  <w:sz w:val="17"/>
                </w:rPr>
                <w:t>Section 4.16 Labor Relations and Employment Matters</w:t>
              </w:r>
            </w:hyperlink>
          </w:p>
        </w:tc>
        <w:tc>
          <w:tcPr>
            <w:tcW w:w="411" w:type="dxa"/>
            <w:tcBorders/>
            <w:shd w:fill="auto" w:val="clear"/>
          </w:tcPr>
          <w:p>
            <w:pPr>
              <w:pStyle w:val="TableContents"/>
              <w:spacing w:before="0" w:after="0"/>
              <w:ind w:left="0" w:right="0" w:hanging="0"/>
              <w:jc w:val="right"/>
              <w:rPr/>
            </w:pPr>
            <w:r>
              <w:rPr/>
              <w:t> </w:t>
            </w:r>
          </w:p>
        </w:tc>
      </w:tr>
      <w:tr>
        <w:trPr/>
        <w:tc>
          <w:tcPr>
            <w:tcW w:w="9794" w:type="dxa"/>
            <w:tcBorders/>
            <w:shd w:fill="auto" w:val="clear"/>
          </w:tcPr>
          <w:p>
            <w:pPr>
              <w:pStyle w:val="TableContents"/>
              <w:spacing w:before="0" w:after="0"/>
              <w:ind w:left="0" w:right="0" w:hanging="0"/>
              <w:jc w:val="left"/>
              <w:rPr/>
            </w:pPr>
            <w:hyperlink w:anchor="Section4_17_233736">
              <w:r>
                <w:rPr>
                  <w:rStyle w:val="InternetLink"/>
                  <w:rFonts w:ascii="Times New Roman" w:hAnsi="Times New Roman"/>
                  <w:sz w:val="17"/>
                </w:rPr>
                <w:t>Section 4.17 Assets</w:t>
              </w:r>
            </w:hyperlink>
          </w:p>
        </w:tc>
        <w:tc>
          <w:tcPr>
            <w:tcW w:w="411" w:type="dxa"/>
            <w:tcBorders/>
            <w:shd w:fill="auto" w:val="clear"/>
          </w:tcPr>
          <w:p>
            <w:pPr>
              <w:pStyle w:val="TableContents"/>
              <w:spacing w:before="0" w:after="0"/>
              <w:ind w:left="0" w:right="0" w:hanging="0"/>
              <w:jc w:val="right"/>
              <w:rPr/>
            </w:pPr>
            <w:r>
              <w:rPr/>
              <w:t> </w:t>
            </w:r>
          </w:p>
        </w:tc>
      </w:tr>
      <w:tr>
        <w:trPr/>
        <w:tc>
          <w:tcPr>
            <w:tcW w:w="9794" w:type="dxa"/>
            <w:tcBorders/>
            <w:shd w:fill="auto" w:val="clear"/>
          </w:tcPr>
          <w:p>
            <w:pPr>
              <w:pStyle w:val="TableContents"/>
              <w:spacing w:before="0" w:after="0"/>
              <w:ind w:left="0" w:right="0" w:hanging="0"/>
              <w:jc w:val="left"/>
              <w:rPr/>
            </w:pPr>
            <w:hyperlink w:anchor="Section4_18_233741">
              <w:r>
                <w:rPr>
                  <w:rStyle w:val="InternetLink"/>
                  <w:rFonts w:ascii="Times New Roman" w:hAnsi="Times New Roman"/>
                  <w:sz w:val="17"/>
                </w:rPr>
                <w:t>Section 4.18 Bank Accounts</w:t>
              </w:r>
            </w:hyperlink>
          </w:p>
        </w:tc>
        <w:tc>
          <w:tcPr>
            <w:tcW w:w="411" w:type="dxa"/>
            <w:tcBorders/>
            <w:shd w:fill="auto" w:val="clear"/>
          </w:tcPr>
          <w:p>
            <w:pPr>
              <w:pStyle w:val="TableContents"/>
              <w:spacing w:before="0" w:after="0"/>
              <w:ind w:left="0" w:right="0" w:hanging="0"/>
              <w:jc w:val="right"/>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i</w:t>
      </w:r>
    </w:p>
    <w:p>
      <w:pPr>
        <w:pStyle w:val="HorizontalLine"/>
        <w:pBdr>
          <w:bottom w:val="single" w:sz="12" w:space="0" w:color="808080"/>
        </w:pBdr>
        <w:spacing w:before="0" w:after="0"/>
        <w:jc w:val="left"/>
        <w:rPr/>
      </w:pPr>
      <w:r>
        <w:rPr/>
      </w:r>
      <w:r>
        <w:br w:type="page"/>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9794"/>
        <w:gridCol w:w="411"/>
      </w:tblGrid>
      <w:tr>
        <w:trPr/>
        <w:tc>
          <w:tcPr>
            <w:tcW w:w="9794" w:type="dxa"/>
            <w:tcBorders/>
            <w:shd w:fill="auto" w:val="clear"/>
          </w:tcPr>
          <w:p>
            <w:pPr>
              <w:pStyle w:val="TableContents"/>
              <w:spacing w:before="0" w:after="0"/>
              <w:ind w:left="0" w:right="0" w:hanging="0"/>
              <w:jc w:val="left"/>
              <w:rPr/>
            </w:pPr>
            <w:hyperlink w:anchor="Section4_19_233742">
              <w:r>
                <w:rPr>
                  <w:rStyle w:val="InternetLink"/>
                  <w:rFonts w:ascii="Times New Roman" w:hAnsi="Times New Roman"/>
                  <w:sz w:val="17"/>
                </w:rPr>
                <w:t>Section 4.19 Real Property</w:t>
              </w:r>
            </w:hyperlink>
          </w:p>
        </w:tc>
        <w:tc>
          <w:tcPr>
            <w:tcW w:w="411" w:type="dxa"/>
            <w:tcBorders/>
            <w:shd w:fill="auto" w:val="clear"/>
          </w:tcPr>
          <w:p>
            <w:pPr>
              <w:pStyle w:val="TableContents"/>
              <w:spacing w:before="0" w:after="0"/>
              <w:ind w:left="0" w:right="0" w:hanging="0"/>
              <w:jc w:val="right"/>
              <w:rPr/>
            </w:pPr>
            <w:r>
              <w:rPr/>
              <w:t> </w:t>
            </w:r>
          </w:p>
        </w:tc>
      </w:tr>
      <w:tr>
        <w:trPr/>
        <w:tc>
          <w:tcPr>
            <w:tcW w:w="9794" w:type="dxa"/>
            <w:tcBorders/>
            <w:shd w:fill="auto" w:val="clear"/>
          </w:tcPr>
          <w:p>
            <w:pPr>
              <w:pStyle w:val="TableContents"/>
              <w:spacing w:before="0" w:after="0"/>
              <w:ind w:left="0" w:right="0" w:hanging="0"/>
              <w:jc w:val="left"/>
              <w:rPr/>
            </w:pPr>
            <w:hyperlink w:anchor="Section4_20_234128">
              <w:r>
                <w:rPr>
                  <w:rStyle w:val="InternetLink"/>
                  <w:rFonts w:ascii="Times New Roman" w:hAnsi="Times New Roman"/>
                  <w:sz w:val="17"/>
                </w:rPr>
                <w:t>Section 4.20 No FERC Proceedings; Compliance With Pipeline Safety Act</w:t>
              </w:r>
            </w:hyperlink>
          </w:p>
        </w:tc>
        <w:tc>
          <w:tcPr>
            <w:tcW w:w="411" w:type="dxa"/>
            <w:tcBorders/>
            <w:shd w:fill="auto" w:val="clear"/>
          </w:tcPr>
          <w:p>
            <w:pPr>
              <w:pStyle w:val="TableContents"/>
              <w:spacing w:before="0" w:after="0"/>
              <w:ind w:left="0" w:right="0" w:hanging="0"/>
              <w:jc w:val="right"/>
              <w:rPr/>
            </w:pPr>
            <w:r>
              <w:rPr/>
              <w:t> </w:t>
            </w:r>
          </w:p>
        </w:tc>
      </w:tr>
      <w:tr>
        <w:trPr/>
        <w:tc>
          <w:tcPr>
            <w:tcW w:w="9794" w:type="dxa"/>
            <w:tcBorders/>
            <w:shd w:fill="auto" w:val="clear"/>
          </w:tcPr>
          <w:p>
            <w:pPr>
              <w:pStyle w:val="TableContents"/>
              <w:spacing w:before="0" w:after="0"/>
              <w:ind w:left="0" w:right="0" w:hanging="0"/>
              <w:jc w:val="left"/>
              <w:rPr/>
            </w:pPr>
            <w:hyperlink w:anchor="Section4_21_234131">
              <w:r>
                <w:rPr>
                  <w:rStyle w:val="InternetLink"/>
                  <w:rFonts w:ascii="Times New Roman" w:hAnsi="Times New Roman"/>
                  <w:sz w:val="17"/>
                </w:rPr>
                <w:t>Section 4.21 Regulatory Matters</w:t>
              </w:r>
            </w:hyperlink>
          </w:p>
        </w:tc>
        <w:tc>
          <w:tcPr>
            <w:tcW w:w="411" w:type="dxa"/>
            <w:tcBorders/>
            <w:shd w:fill="auto" w:val="clear"/>
          </w:tcPr>
          <w:p>
            <w:pPr>
              <w:pStyle w:val="TableContents"/>
              <w:spacing w:before="0" w:after="0"/>
              <w:ind w:left="0" w:right="0" w:hanging="0"/>
              <w:jc w:val="right"/>
              <w:rPr/>
            </w:pPr>
            <w:r>
              <w:rPr/>
              <w:t> </w:t>
            </w:r>
          </w:p>
        </w:tc>
      </w:tr>
      <w:tr>
        <w:trPr/>
        <w:tc>
          <w:tcPr>
            <w:tcW w:w="9794" w:type="dxa"/>
            <w:tcBorders/>
            <w:shd w:fill="auto" w:val="clear"/>
          </w:tcPr>
          <w:p>
            <w:pPr>
              <w:pStyle w:val="TableContents"/>
              <w:spacing w:before="0" w:after="0"/>
              <w:ind w:left="0" w:right="0" w:hanging="0"/>
              <w:jc w:val="left"/>
              <w:rPr/>
            </w:pPr>
            <w:hyperlink w:anchor="Section4_22_234133">
              <w:r>
                <w:rPr>
                  <w:rStyle w:val="InternetLink"/>
                  <w:rFonts w:ascii="Times New Roman" w:hAnsi="Times New Roman"/>
                  <w:sz w:val="17"/>
                </w:rPr>
                <w:t>Section 4.22 Transportation and Storage Contracts</w:t>
              </w:r>
            </w:hyperlink>
          </w:p>
        </w:tc>
        <w:tc>
          <w:tcPr>
            <w:tcW w:w="411" w:type="dxa"/>
            <w:tcBorders/>
            <w:shd w:fill="auto" w:val="clear"/>
          </w:tcPr>
          <w:p>
            <w:pPr>
              <w:pStyle w:val="TableContents"/>
              <w:spacing w:before="0" w:after="0"/>
              <w:ind w:left="0" w:right="0" w:hanging="0"/>
              <w:jc w:val="right"/>
              <w:rPr/>
            </w:pPr>
            <w:r>
              <w:rPr/>
              <w:t> </w:t>
            </w:r>
          </w:p>
        </w:tc>
      </w:tr>
      <w:tr>
        <w:trPr/>
        <w:tc>
          <w:tcPr>
            <w:tcW w:w="9794" w:type="dxa"/>
            <w:tcBorders/>
            <w:shd w:fill="auto" w:val="clear"/>
          </w:tcPr>
          <w:p>
            <w:pPr>
              <w:pStyle w:val="TableContents"/>
              <w:spacing w:before="0" w:after="0"/>
              <w:ind w:left="0" w:right="0" w:hanging="0"/>
              <w:jc w:val="left"/>
              <w:rPr/>
            </w:pPr>
            <w:hyperlink w:anchor="Section4_23_234136">
              <w:r>
                <w:rPr>
                  <w:rStyle w:val="InternetLink"/>
                  <w:rFonts w:ascii="Times New Roman" w:hAnsi="Times New Roman"/>
                  <w:sz w:val="17"/>
                </w:rPr>
                <w:t>Section 4.23 Effective and Pending Tariffs and Other Filings</w:t>
              </w:r>
            </w:hyperlink>
          </w:p>
        </w:tc>
        <w:tc>
          <w:tcPr>
            <w:tcW w:w="411" w:type="dxa"/>
            <w:tcBorders/>
            <w:shd w:fill="auto" w:val="clear"/>
          </w:tcPr>
          <w:p>
            <w:pPr>
              <w:pStyle w:val="TableContents"/>
              <w:spacing w:before="0" w:after="0"/>
              <w:ind w:left="0" w:right="0" w:hanging="0"/>
              <w:jc w:val="right"/>
              <w:rPr/>
            </w:pPr>
            <w:r>
              <w:rPr/>
              <w:t> </w:t>
            </w:r>
          </w:p>
        </w:tc>
      </w:tr>
      <w:tr>
        <w:trPr/>
        <w:tc>
          <w:tcPr>
            <w:tcW w:w="9794" w:type="dxa"/>
            <w:tcBorders/>
            <w:shd w:fill="auto" w:val="clear"/>
          </w:tcPr>
          <w:p>
            <w:pPr>
              <w:pStyle w:val="TableContents"/>
              <w:spacing w:before="0" w:after="0"/>
              <w:ind w:left="0" w:right="0" w:hanging="0"/>
              <w:jc w:val="left"/>
              <w:rPr/>
            </w:pPr>
            <w:hyperlink w:anchor="Section4_24_234138">
              <w:r>
                <w:rPr>
                  <w:rStyle w:val="InternetLink"/>
                  <w:rFonts w:ascii="Times New Roman" w:hAnsi="Times New Roman"/>
                  <w:sz w:val="17"/>
                </w:rPr>
                <w:t>Section 4.24 Personnel</w:t>
              </w:r>
            </w:hyperlink>
          </w:p>
        </w:tc>
        <w:tc>
          <w:tcPr>
            <w:tcW w:w="411" w:type="dxa"/>
            <w:tcBorders/>
            <w:shd w:fill="auto" w:val="clear"/>
          </w:tcPr>
          <w:p>
            <w:pPr>
              <w:pStyle w:val="TableContents"/>
              <w:spacing w:before="0" w:after="0"/>
              <w:ind w:left="0" w:right="0" w:hanging="0"/>
              <w:jc w:val="right"/>
              <w:rPr/>
            </w:pPr>
            <w:r>
              <w:rPr/>
              <w:t> </w:t>
            </w:r>
          </w:p>
        </w:tc>
      </w:tr>
      <w:tr>
        <w:trPr/>
        <w:tc>
          <w:tcPr>
            <w:tcW w:w="9794" w:type="dxa"/>
            <w:tcBorders/>
            <w:shd w:fill="auto" w:val="clear"/>
          </w:tcPr>
          <w:p>
            <w:pPr>
              <w:pStyle w:val="TableContents"/>
              <w:spacing w:before="0" w:after="0"/>
              <w:ind w:left="0" w:right="0" w:hanging="0"/>
              <w:jc w:val="left"/>
              <w:rPr/>
            </w:pPr>
            <w:hyperlink w:anchor="Section4_25_234143">
              <w:r>
                <w:rPr>
                  <w:rStyle w:val="InternetLink"/>
                  <w:rFonts w:ascii="Times New Roman" w:hAnsi="Times New Roman"/>
                  <w:sz w:val="17"/>
                </w:rPr>
                <w:t>Section 4.25 Books and Records</w:t>
              </w:r>
            </w:hyperlink>
          </w:p>
        </w:tc>
        <w:tc>
          <w:tcPr>
            <w:tcW w:w="411" w:type="dxa"/>
            <w:tcBorders/>
            <w:shd w:fill="auto" w:val="clear"/>
          </w:tcPr>
          <w:p>
            <w:pPr>
              <w:pStyle w:val="TableContents"/>
              <w:spacing w:before="0" w:after="0"/>
              <w:ind w:left="0" w:right="0" w:hanging="0"/>
              <w:jc w:val="right"/>
              <w:rPr/>
            </w:pPr>
            <w:r>
              <w:rPr/>
              <w:t> </w:t>
            </w:r>
          </w:p>
        </w:tc>
      </w:tr>
      <w:tr>
        <w:trPr/>
        <w:tc>
          <w:tcPr>
            <w:tcW w:w="9794" w:type="dxa"/>
            <w:tcBorders/>
            <w:shd w:fill="auto" w:val="clear"/>
          </w:tcPr>
          <w:p>
            <w:pPr>
              <w:pStyle w:val="TableContents"/>
              <w:spacing w:before="0" w:after="0"/>
              <w:ind w:left="0" w:right="0" w:hanging="0"/>
              <w:jc w:val="left"/>
              <w:rPr/>
            </w:pPr>
            <w:hyperlink w:anchor="Section4_26_234150">
              <w:r>
                <w:rPr>
                  <w:rStyle w:val="InternetLink"/>
                  <w:rFonts w:ascii="Times New Roman" w:hAnsi="Times New Roman"/>
                  <w:sz w:val="17"/>
                </w:rPr>
                <w:t>Section 4.26 Financial Derivatives/Hedging Agreements</w:t>
              </w:r>
            </w:hyperlink>
          </w:p>
        </w:tc>
        <w:tc>
          <w:tcPr>
            <w:tcW w:w="411" w:type="dxa"/>
            <w:tcBorders/>
            <w:shd w:fill="auto" w:val="clear"/>
          </w:tcPr>
          <w:p>
            <w:pPr>
              <w:pStyle w:val="TableContents"/>
              <w:spacing w:before="0" w:after="0"/>
              <w:ind w:left="0" w:right="0" w:hanging="0"/>
              <w:jc w:val="right"/>
              <w:rPr/>
            </w:pPr>
            <w:r>
              <w:rPr/>
              <w:t> </w:t>
            </w:r>
          </w:p>
        </w:tc>
      </w:tr>
      <w:tr>
        <w:trPr/>
        <w:tc>
          <w:tcPr>
            <w:tcW w:w="9794" w:type="dxa"/>
            <w:tcBorders/>
            <w:shd w:fill="auto" w:val="clear"/>
          </w:tcPr>
          <w:p>
            <w:pPr>
              <w:pStyle w:val="TableContents"/>
              <w:spacing w:before="0" w:after="0"/>
              <w:ind w:left="0" w:right="0" w:hanging="0"/>
              <w:jc w:val="left"/>
              <w:rPr/>
            </w:pPr>
            <w:hyperlink w:anchor="Section4_27_234152">
              <w:r>
                <w:rPr>
                  <w:rStyle w:val="InternetLink"/>
                  <w:rFonts w:ascii="Times New Roman" w:hAnsi="Times New Roman"/>
                  <w:sz w:val="17"/>
                </w:rPr>
                <w:t>Section 4.27 Bluewater PSA</w:t>
              </w:r>
            </w:hyperlink>
          </w:p>
        </w:tc>
        <w:tc>
          <w:tcPr>
            <w:tcW w:w="411" w:type="dxa"/>
            <w:tcBorders/>
            <w:shd w:fill="auto" w:val="clear"/>
          </w:tcPr>
          <w:p>
            <w:pPr>
              <w:pStyle w:val="TableContents"/>
              <w:spacing w:before="0" w:after="0"/>
              <w:ind w:left="0" w:right="0" w:hanging="0"/>
              <w:jc w:val="right"/>
              <w:rPr/>
            </w:pPr>
            <w:r>
              <w:rPr/>
              <w:t> </w:t>
            </w:r>
          </w:p>
        </w:tc>
      </w:tr>
      <w:tr>
        <w:trPr/>
        <w:tc>
          <w:tcPr>
            <w:tcW w:w="9794" w:type="dxa"/>
            <w:tcBorders/>
            <w:shd w:fill="auto" w:val="clear"/>
          </w:tcPr>
          <w:p>
            <w:pPr>
              <w:pStyle w:val="TableContents"/>
              <w:spacing w:before="0" w:after="0"/>
              <w:ind w:left="0" w:right="0" w:hanging="0"/>
              <w:jc w:val="left"/>
              <w:rPr/>
            </w:pPr>
            <w:hyperlink w:anchor="Section4_28_234157">
              <w:r>
                <w:rPr>
                  <w:rStyle w:val="InternetLink"/>
                  <w:rFonts w:ascii="Times New Roman" w:hAnsi="Times New Roman"/>
                  <w:sz w:val="17"/>
                </w:rPr>
                <w:t>Section 4.28 No Other Representations or Warranties</w:t>
              </w:r>
            </w:hyperlink>
          </w:p>
        </w:tc>
        <w:tc>
          <w:tcPr>
            <w:tcW w:w="411" w:type="dxa"/>
            <w:tcBorders/>
            <w:shd w:fill="auto" w:val="clear"/>
          </w:tcPr>
          <w:p>
            <w:pPr>
              <w:pStyle w:val="TableContents"/>
              <w:spacing w:before="0" w:after="0"/>
              <w:ind w:left="0" w:right="0" w:hanging="0"/>
              <w:jc w:val="right"/>
              <w:rPr/>
            </w:pPr>
            <w:r>
              <w:rPr/>
              <w:t> </w:t>
            </w:r>
          </w:p>
        </w:tc>
      </w:tr>
      <w:tr>
        <w:trPr/>
        <w:tc>
          <w:tcPr>
            <w:tcW w:w="9794" w:type="dxa"/>
            <w:tcBorders/>
            <w:shd w:fill="auto" w:val="clear"/>
          </w:tcPr>
          <w:p>
            <w:pPr>
              <w:pStyle w:val="TableContents"/>
              <w:spacing w:before="0" w:after="0"/>
              <w:ind w:left="0" w:right="0" w:hanging="0"/>
              <w:jc w:val="left"/>
              <w:rPr/>
            </w:pPr>
            <w:hyperlink w:anchor="Section4_29_234200">
              <w:r>
                <w:rPr>
                  <w:rStyle w:val="InternetLink"/>
                  <w:rFonts w:ascii="Times New Roman" w:hAnsi="Times New Roman"/>
                  <w:sz w:val="17"/>
                </w:rPr>
                <w:t>Section 4.29 No Undisclosed Liabilities</w:t>
              </w:r>
            </w:hyperlink>
          </w:p>
        </w:tc>
        <w:tc>
          <w:tcPr>
            <w:tcW w:w="411" w:type="dxa"/>
            <w:tcBorders/>
            <w:shd w:fill="auto" w:val="clear"/>
          </w:tcPr>
          <w:p>
            <w:pPr>
              <w:pStyle w:val="TableContents"/>
              <w:spacing w:before="0" w:after="0"/>
              <w:ind w:left="0" w:right="0" w:hanging="0"/>
              <w:jc w:val="right"/>
              <w:rPr/>
            </w:pPr>
            <w:r>
              <w:rPr/>
              <w:t> </w:t>
            </w:r>
          </w:p>
        </w:tc>
      </w:tr>
      <w:tr>
        <w:trPr/>
        <w:tc>
          <w:tcPr>
            <w:tcW w:w="9794" w:type="dxa"/>
            <w:tcBorders/>
            <w:shd w:fill="auto" w:val="clear"/>
          </w:tcPr>
          <w:p>
            <w:pPr>
              <w:pStyle w:val="TableContents"/>
              <w:spacing w:before="0" w:after="0"/>
              <w:ind w:left="0" w:right="0" w:hanging="0"/>
              <w:jc w:val="left"/>
              <w:rPr/>
            </w:pPr>
            <w:hyperlink w:anchor="Section4_30_234204">
              <w:r>
                <w:rPr>
                  <w:rStyle w:val="InternetLink"/>
                  <w:rFonts w:ascii="Times New Roman" w:hAnsi="Times New Roman"/>
                  <w:sz w:val="17"/>
                </w:rPr>
                <w:t>Section 4.30 Base Gas</w:t>
              </w:r>
            </w:hyperlink>
          </w:p>
        </w:tc>
        <w:tc>
          <w:tcPr>
            <w:tcW w:w="411" w:type="dxa"/>
            <w:tcBorders/>
            <w:shd w:fill="auto" w:val="clear"/>
          </w:tcPr>
          <w:p>
            <w:pPr>
              <w:pStyle w:val="TableContents"/>
              <w:spacing w:before="0" w:after="0"/>
              <w:ind w:left="0" w:right="0" w:hanging="0"/>
              <w:jc w:val="right"/>
              <w:rPr/>
            </w:pPr>
            <w:r>
              <w:rPr/>
              <w:t> </w:t>
            </w:r>
          </w:p>
        </w:tc>
      </w:tr>
      <w:tr>
        <w:trPr/>
        <w:tc>
          <w:tcPr>
            <w:tcW w:w="9794" w:type="dxa"/>
            <w:tcBorders/>
            <w:shd w:fill="auto" w:val="clear"/>
          </w:tcPr>
          <w:p>
            <w:pPr>
              <w:pStyle w:val="TableContents"/>
              <w:spacing w:before="0" w:after="0"/>
              <w:ind w:left="0" w:right="0" w:hanging="0"/>
              <w:jc w:val="left"/>
              <w:rPr/>
            </w:pPr>
            <w:hyperlink w:anchor="Section4_31_234208">
              <w:r>
                <w:rPr>
                  <w:rStyle w:val="InternetLink"/>
                  <w:rFonts w:ascii="Times New Roman" w:hAnsi="Times New Roman"/>
                  <w:sz w:val="17"/>
                </w:rPr>
                <w:t>Section 4.31 Bluewater Oil Reserves</w:t>
              </w:r>
            </w:hyperlink>
          </w:p>
        </w:tc>
        <w:tc>
          <w:tcPr>
            <w:tcW w:w="411" w:type="dxa"/>
            <w:tcBorders/>
            <w:shd w:fill="auto" w:val="clear"/>
          </w:tcPr>
          <w:p>
            <w:pPr>
              <w:pStyle w:val="TableContents"/>
              <w:spacing w:before="0" w:after="0"/>
              <w:ind w:left="0" w:right="0" w:hanging="0"/>
              <w:jc w:val="right"/>
              <w:rPr/>
            </w:pPr>
            <w:r>
              <w:rPr/>
              <w:t> </w:t>
            </w:r>
          </w:p>
        </w:tc>
      </w:tr>
      <w:tr>
        <w:trPr/>
        <w:tc>
          <w:tcPr>
            <w:tcW w:w="9794" w:type="dxa"/>
            <w:tcBorders/>
            <w:shd w:fill="auto" w:val="clear"/>
          </w:tcPr>
          <w:p>
            <w:pPr>
              <w:pStyle w:val="TableContents"/>
              <w:spacing w:before="0" w:after="0"/>
              <w:ind w:left="0" w:right="0" w:hanging="0"/>
              <w:jc w:val="left"/>
              <w:rPr/>
            </w:pPr>
            <w:r>
              <w:rPr/>
              <w:t> </w:t>
            </w:r>
          </w:p>
        </w:tc>
        <w:tc>
          <w:tcPr>
            <w:tcW w:w="411" w:type="dxa"/>
            <w:tcBorders/>
            <w:shd w:fill="auto" w:val="clear"/>
          </w:tcPr>
          <w:p>
            <w:pPr>
              <w:pStyle w:val="TableContents"/>
              <w:spacing w:before="0" w:after="0"/>
              <w:ind w:left="0" w:right="0" w:hanging="0"/>
              <w:jc w:val="right"/>
              <w:rPr/>
            </w:pPr>
            <w:r>
              <w:rPr/>
              <w:t> </w:t>
            </w:r>
          </w:p>
        </w:tc>
      </w:tr>
      <w:tr>
        <w:trPr/>
        <w:tc>
          <w:tcPr>
            <w:tcW w:w="9794" w:type="dxa"/>
            <w:tcBorders/>
            <w:shd w:fill="auto" w:val="clear"/>
          </w:tcPr>
          <w:p>
            <w:pPr>
              <w:pStyle w:val="TableContents"/>
              <w:spacing w:before="0" w:after="0"/>
              <w:ind w:left="0" w:right="0" w:hanging="0"/>
              <w:jc w:val="left"/>
              <w:rPr/>
            </w:pPr>
            <w:hyperlink w:anchor="Articlev_234216">
              <w:r>
                <w:rPr>
                  <w:rStyle w:val="InternetLink"/>
                  <w:rFonts w:ascii="Times New Roman" w:hAnsi="Times New Roman"/>
                  <w:sz w:val="17"/>
                </w:rPr>
                <w:t>ARTICLE V REPRESENTATIONS AND WARRANTIES RELATING TO BUYER</w:t>
              </w:r>
            </w:hyperlink>
          </w:p>
        </w:tc>
        <w:tc>
          <w:tcPr>
            <w:tcW w:w="411" w:type="dxa"/>
            <w:tcBorders/>
            <w:shd w:fill="auto" w:val="clear"/>
          </w:tcPr>
          <w:p>
            <w:pPr>
              <w:pStyle w:val="TableContents"/>
              <w:spacing w:before="0" w:after="0"/>
              <w:ind w:left="0" w:right="0" w:hanging="0"/>
              <w:jc w:val="right"/>
              <w:rPr/>
            </w:pPr>
            <w:r>
              <w:rPr/>
              <w:t> </w:t>
            </w:r>
          </w:p>
        </w:tc>
      </w:tr>
      <w:tr>
        <w:trPr/>
        <w:tc>
          <w:tcPr>
            <w:tcW w:w="9794" w:type="dxa"/>
            <w:tcBorders/>
            <w:shd w:fill="auto" w:val="clear"/>
          </w:tcPr>
          <w:p>
            <w:pPr>
              <w:pStyle w:val="TableContents"/>
              <w:spacing w:before="0" w:after="0"/>
              <w:ind w:left="0" w:right="0" w:hanging="0"/>
              <w:jc w:val="left"/>
              <w:rPr/>
            </w:pPr>
            <w:r>
              <w:rPr/>
              <w:t> </w:t>
            </w:r>
          </w:p>
        </w:tc>
        <w:tc>
          <w:tcPr>
            <w:tcW w:w="411" w:type="dxa"/>
            <w:tcBorders/>
            <w:shd w:fill="auto" w:val="clear"/>
          </w:tcPr>
          <w:p>
            <w:pPr>
              <w:pStyle w:val="TableContents"/>
              <w:spacing w:before="0" w:after="0"/>
              <w:ind w:left="0" w:right="0" w:hanging="0"/>
              <w:jc w:val="right"/>
              <w:rPr/>
            </w:pPr>
            <w:r>
              <w:rPr/>
              <w:t> </w:t>
            </w:r>
          </w:p>
        </w:tc>
      </w:tr>
      <w:tr>
        <w:trPr/>
        <w:tc>
          <w:tcPr>
            <w:tcW w:w="9794" w:type="dxa"/>
            <w:tcBorders/>
            <w:shd w:fill="auto" w:val="clear"/>
          </w:tcPr>
          <w:p>
            <w:pPr>
              <w:pStyle w:val="TableContents"/>
              <w:spacing w:before="0" w:after="0"/>
              <w:ind w:left="0" w:right="0" w:hanging="0"/>
              <w:jc w:val="left"/>
              <w:rPr/>
            </w:pPr>
            <w:hyperlink w:anchor="Section5_1_234238">
              <w:r>
                <w:rPr>
                  <w:rStyle w:val="InternetLink"/>
                  <w:rFonts w:ascii="Times New Roman" w:hAnsi="Times New Roman"/>
                  <w:sz w:val="17"/>
                </w:rPr>
                <w:t>Section 5.1 Organization of Buyer; Authority</w:t>
              </w:r>
            </w:hyperlink>
          </w:p>
        </w:tc>
        <w:tc>
          <w:tcPr>
            <w:tcW w:w="411" w:type="dxa"/>
            <w:tcBorders/>
            <w:shd w:fill="auto" w:val="clear"/>
          </w:tcPr>
          <w:p>
            <w:pPr>
              <w:pStyle w:val="TableContents"/>
              <w:spacing w:before="0" w:after="0"/>
              <w:ind w:left="0" w:right="0" w:hanging="0"/>
              <w:jc w:val="right"/>
              <w:rPr/>
            </w:pPr>
            <w:r>
              <w:rPr/>
              <w:t> </w:t>
            </w:r>
          </w:p>
        </w:tc>
      </w:tr>
      <w:tr>
        <w:trPr/>
        <w:tc>
          <w:tcPr>
            <w:tcW w:w="9794" w:type="dxa"/>
            <w:tcBorders/>
            <w:shd w:fill="auto" w:val="clear"/>
          </w:tcPr>
          <w:p>
            <w:pPr>
              <w:pStyle w:val="TableContents"/>
              <w:spacing w:before="0" w:after="0"/>
              <w:ind w:left="0" w:right="0" w:hanging="0"/>
              <w:jc w:val="left"/>
              <w:rPr/>
            </w:pPr>
            <w:hyperlink w:anchor="Section5_2_234240">
              <w:r>
                <w:rPr>
                  <w:rStyle w:val="InternetLink"/>
                  <w:rFonts w:ascii="Times New Roman" w:hAnsi="Times New Roman"/>
                  <w:sz w:val="17"/>
                </w:rPr>
                <w:t>Section 5.2 Authorization; Enforceability</w:t>
              </w:r>
            </w:hyperlink>
          </w:p>
        </w:tc>
        <w:tc>
          <w:tcPr>
            <w:tcW w:w="411" w:type="dxa"/>
            <w:tcBorders/>
            <w:shd w:fill="auto" w:val="clear"/>
          </w:tcPr>
          <w:p>
            <w:pPr>
              <w:pStyle w:val="TableContents"/>
              <w:spacing w:before="0" w:after="0"/>
              <w:ind w:left="0" w:right="0" w:hanging="0"/>
              <w:jc w:val="right"/>
              <w:rPr/>
            </w:pPr>
            <w:r>
              <w:rPr/>
              <w:t> </w:t>
            </w:r>
          </w:p>
        </w:tc>
      </w:tr>
      <w:tr>
        <w:trPr/>
        <w:tc>
          <w:tcPr>
            <w:tcW w:w="9794" w:type="dxa"/>
            <w:tcBorders/>
            <w:shd w:fill="auto" w:val="clear"/>
          </w:tcPr>
          <w:p>
            <w:pPr>
              <w:pStyle w:val="TableContents"/>
              <w:spacing w:before="0" w:after="0"/>
              <w:ind w:left="0" w:right="0" w:hanging="0"/>
              <w:jc w:val="left"/>
              <w:rPr/>
            </w:pPr>
            <w:hyperlink w:anchor="Section5_3_234244">
              <w:r>
                <w:rPr>
                  <w:rStyle w:val="InternetLink"/>
                  <w:rFonts w:ascii="Times New Roman" w:hAnsi="Times New Roman"/>
                  <w:sz w:val="17"/>
                </w:rPr>
                <w:t>Section 5.3 No Conflict</w:t>
              </w:r>
            </w:hyperlink>
          </w:p>
        </w:tc>
        <w:tc>
          <w:tcPr>
            <w:tcW w:w="411" w:type="dxa"/>
            <w:tcBorders/>
            <w:shd w:fill="auto" w:val="clear"/>
          </w:tcPr>
          <w:p>
            <w:pPr>
              <w:pStyle w:val="TableContents"/>
              <w:spacing w:before="0" w:after="0"/>
              <w:ind w:left="0" w:right="0" w:hanging="0"/>
              <w:jc w:val="right"/>
              <w:rPr/>
            </w:pPr>
            <w:r>
              <w:rPr/>
              <w:t> </w:t>
            </w:r>
          </w:p>
        </w:tc>
      </w:tr>
      <w:tr>
        <w:trPr/>
        <w:tc>
          <w:tcPr>
            <w:tcW w:w="9794" w:type="dxa"/>
            <w:tcBorders/>
            <w:shd w:fill="auto" w:val="clear"/>
          </w:tcPr>
          <w:p>
            <w:pPr>
              <w:pStyle w:val="TableContents"/>
              <w:spacing w:before="0" w:after="0"/>
              <w:ind w:left="0" w:right="0" w:hanging="0"/>
              <w:jc w:val="left"/>
              <w:rPr/>
            </w:pPr>
            <w:hyperlink w:anchor="Section5_4_234246">
              <w:r>
                <w:rPr>
                  <w:rStyle w:val="InternetLink"/>
                  <w:rFonts w:ascii="Times New Roman" w:hAnsi="Times New Roman"/>
                  <w:sz w:val="17"/>
                </w:rPr>
                <w:t>Section 5.4 Litigation</w:t>
              </w:r>
            </w:hyperlink>
          </w:p>
        </w:tc>
        <w:tc>
          <w:tcPr>
            <w:tcW w:w="411" w:type="dxa"/>
            <w:tcBorders/>
            <w:shd w:fill="auto" w:val="clear"/>
          </w:tcPr>
          <w:p>
            <w:pPr>
              <w:pStyle w:val="TableContents"/>
              <w:spacing w:before="0" w:after="0"/>
              <w:ind w:left="0" w:right="0" w:hanging="0"/>
              <w:jc w:val="right"/>
              <w:rPr/>
            </w:pPr>
            <w:r>
              <w:rPr/>
              <w:t> </w:t>
            </w:r>
          </w:p>
        </w:tc>
      </w:tr>
      <w:tr>
        <w:trPr/>
        <w:tc>
          <w:tcPr>
            <w:tcW w:w="9794" w:type="dxa"/>
            <w:tcBorders/>
            <w:shd w:fill="auto" w:val="clear"/>
          </w:tcPr>
          <w:p>
            <w:pPr>
              <w:pStyle w:val="TableContents"/>
              <w:spacing w:before="0" w:after="0"/>
              <w:ind w:left="0" w:right="0" w:hanging="0"/>
              <w:jc w:val="left"/>
              <w:rPr/>
            </w:pPr>
            <w:hyperlink w:anchor="Section5_5_234248">
              <w:r>
                <w:rPr>
                  <w:rStyle w:val="InternetLink"/>
                  <w:rFonts w:ascii="Times New Roman" w:hAnsi="Times New Roman"/>
                  <w:sz w:val="17"/>
                </w:rPr>
                <w:t>Section 5.5 Brokers Fees</w:t>
              </w:r>
            </w:hyperlink>
          </w:p>
        </w:tc>
        <w:tc>
          <w:tcPr>
            <w:tcW w:w="411" w:type="dxa"/>
            <w:tcBorders/>
            <w:shd w:fill="auto" w:val="clear"/>
          </w:tcPr>
          <w:p>
            <w:pPr>
              <w:pStyle w:val="TableContents"/>
              <w:spacing w:before="0" w:after="0"/>
              <w:ind w:left="0" w:right="0" w:hanging="0"/>
              <w:jc w:val="right"/>
              <w:rPr/>
            </w:pPr>
            <w:r>
              <w:rPr/>
              <w:t> </w:t>
            </w:r>
          </w:p>
        </w:tc>
      </w:tr>
      <w:tr>
        <w:trPr/>
        <w:tc>
          <w:tcPr>
            <w:tcW w:w="9794" w:type="dxa"/>
            <w:tcBorders/>
            <w:shd w:fill="auto" w:val="clear"/>
          </w:tcPr>
          <w:p>
            <w:pPr>
              <w:pStyle w:val="TableContents"/>
              <w:spacing w:before="0" w:after="0"/>
              <w:ind w:left="0" w:right="0" w:hanging="0"/>
              <w:jc w:val="left"/>
              <w:rPr/>
            </w:pPr>
            <w:hyperlink w:anchor="Section5_6_234252">
              <w:r>
                <w:rPr>
                  <w:rStyle w:val="InternetLink"/>
                  <w:rFonts w:ascii="Times New Roman" w:hAnsi="Times New Roman"/>
                  <w:sz w:val="17"/>
                </w:rPr>
                <w:t>Section 5.6 Financial Ability</w:t>
              </w:r>
            </w:hyperlink>
          </w:p>
        </w:tc>
        <w:tc>
          <w:tcPr>
            <w:tcW w:w="411" w:type="dxa"/>
            <w:tcBorders/>
            <w:shd w:fill="auto" w:val="clear"/>
          </w:tcPr>
          <w:p>
            <w:pPr>
              <w:pStyle w:val="TableContents"/>
              <w:spacing w:before="0" w:after="0"/>
              <w:ind w:left="0" w:right="0" w:hanging="0"/>
              <w:jc w:val="right"/>
              <w:rPr/>
            </w:pPr>
            <w:r>
              <w:rPr/>
              <w:t> </w:t>
            </w:r>
          </w:p>
        </w:tc>
      </w:tr>
      <w:tr>
        <w:trPr/>
        <w:tc>
          <w:tcPr>
            <w:tcW w:w="9794" w:type="dxa"/>
            <w:tcBorders/>
            <w:shd w:fill="auto" w:val="clear"/>
          </w:tcPr>
          <w:p>
            <w:pPr>
              <w:pStyle w:val="TableContents"/>
              <w:spacing w:before="0" w:after="0"/>
              <w:ind w:left="0" w:right="0" w:hanging="0"/>
              <w:jc w:val="left"/>
              <w:rPr/>
            </w:pPr>
            <w:hyperlink w:anchor="Section5_7_234255">
              <w:r>
                <w:rPr>
                  <w:rStyle w:val="InternetLink"/>
                  <w:rFonts w:ascii="Times New Roman" w:hAnsi="Times New Roman"/>
                  <w:sz w:val="17"/>
                </w:rPr>
                <w:t>Section 5.7 Investment Representation</w:t>
              </w:r>
            </w:hyperlink>
          </w:p>
        </w:tc>
        <w:tc>
          <w:tcPr>
            <w:tcW w:w="411" w:type="dxa"/>
            <w:tcBorders/>
            <w:shd w:fill="auto" w:val="clear"/>
          </w:tcPr>
          <w:p>
            <w:pPr>
              <w:pStyle w:val="TableContents"/>
              <w:spacing w:before="0" w:after="0"/>
              <w:ind w:left="0" w:right="0" w:hanging="0"/>
              <w:jc w:val="right"/>
              <w:rPr/>
            </w:pPr>
            <w:r>
              <w:rPr/>
              <w:t> </w:t>
            </w:r>
          </w:p>
        </w:tc>
      </w:tr>
      <w:tr>
        <w:trPr/>
        <w:tc>
          <w:tcPr>
            <w:tcW w:w="9794" w:type="dxa"/>
            <w:tcBorders/>
            <w:shd w:fill="auto" w:val="clear"/>
          </w:tcPr>
          <w:p>
            <w:pPr>
              <w:pStyle w:val="TableContents"/>
              <w:spacing w:before="0" w:after="0"/>
              <w:ind w:left="0" w:right="0" w:hanging="0"/>
              <w:jc w:val="left"/>
              <w:rPr/>
            </w:pPr>
            <w:hyperlink w:anchor="Section5_8_234259">
              <w:r>
                <w:rPr>
                  <w:rStyle w:val="InternetLink"/>
                  <w:rFonts w:ascii="Times New Roman" w:hAnsi="Times New Roman"/>
                  <w:sz w:val="17"/>
                </w:rPr>
                <w:t>Section 5.8 Accredited Investor</w:t>
              </w:r>
            </w:hyperlink>
          </w:p>
        </w:tc>
        <w:tc>
          <w:tcPr>
            <w:tcW w:w="411" w:type="dxa"/>
            <w:tcBorders/>
            <w:shd w:fill="auto" w:val="clear"/>
          </w:tcPr>
          <w:p>
            <w:pPr>
              <w:pStyle w:val="TableContents"/>
              <w:spacing w:before="0" w:after="0"/>
              <w:ind w:left="0" w:right="0" w:hanging="0"/>
              <w:jc w:val="right"/>
              <w:rPr/>
            </w:pPr>
            <w:r>
              <w:rPr/>
              <w:t> </w:t>
            </w:r>
          </w:p>
        </w:tc>
      </w:tr>
      <w:tr>
        <w:trPr/>
        <w:tc>
          <w:tcPr>
            <w:tcW w:w="9794" w:type="dxa"/>
            <w:tcBorders/>
            <w:shd w:fill="auto" w:val="clear"/>
          </w:tcPr>
          <w:p>
            <w:pPr>
              <w:pStyle w:val="TableContents"/>
              <w:spacing w:before="0" w:after="0"/>
              <w:ind w:left="0" w:right="0" w:hanging="0"/>
              <w:jc w:val="left"/>
              <w:rPr/>
            </w:pPr>
            <w:hyperlink w:anchor="Section5_9_234302">
              <w:r>
                <w:rPr>
                  <w:rStyle w:val="InternetLink"/>
                  <w:rFonts w:ascii="Times New Roman" w:hAnsi="Times New Roman"/>
                  <w:sz w:val="17"/>
                </w:rPr>
                <w:t>Section 5.9 Independent Investigation</w:t>
              </w:r>
            </w:hyperlink>
          </w:p>
        </w:tc>
        <w:tc>
          <w:tcPr>
            <w:tcW w:w="411" w:type="dxa"/>
            <w:tcBorders/>
            <w:shd w:fill="auto" w:val="clear"/>
          </w:tcPr>
          <w:p>
            <w:pPr>
              <w:pStyle w:val="TableContents"/>
              <w:spacing w:before="0" w:after="0"/>
              <w:ind w:left="0" w:right="0" w:hanging="0"/>
              <w:jc w:val="right"/>
              <w:rPr/>
            </w:pPr>
            <w:r>
              <w:rPr/>
              <w:t> </w:t>
            </w:r>
          </w:p>
        </w:tc>
      </w:tr>
      <w:tr>
        <w:trPr/>
        <w:tc>
          <w:tcPr>
            <w:tcW w:w="9794" w:type="dxa"/>
            <w:tcBorders/>
            <w:shd w:fill="auto" w:val="clear"/>
          </w:tcPr>
          <w:p>
            <w:pPr>
              <w:pStyle w:val="TableContents"/>
              <w:spacing w:before="0" w:after="0"/>
              <w:ind w:left="0" w:right="0" w:hanging="0"/>
              <w:jc w:val="left"/>
              <w:rPr/>
            </w:pPr>
            <w:r>
              <w:rPr/>
              <w:t> </w:t>
            </w:r>
          </w:p>
        </w:tc>
        <w:tc>
          <w:tcPr>
            <w:tcW w:w="411" w:type="dxa"/>
            <w:tcBorders/>
            <w:shd w:fill="auto" w:val="clear"/>
          </w:tcPr>
          <w:p>
            <w:pPr>
              <w:pStyle w:val="TableContents"/>
              <w:spacing w:before="0" w:after="0"/>
              <w:ind w:left="0" w:right="0" w:hanging="0"/>
              <w:jc w:val="right"/>
              <w:rPr/>
            </w:pPr>
            <w:r>
              <w:rPr/>
              <w:t> </w:t>
            </w:r>
          </w:p>
        </w:tc>
      </w:tr>
      <w:tr>
        <w:trPr/>
        <w:tc>
          <w:tcPr>
            <w:tcW w:w="9794" w:type="dxa"/>
            <w:tcBorders/>
            <w:shd w:fill="auto" w:val="clear"/>
          </w:tcPr>
          <w:p>
            <w:pPr>
              <w:pStyle w:val="TableContents"/>
              <w:spacing w:before="0" w:after="0"/>
              <w:ind w:left="0" w:right="0" w:hanging="0"/>
              <w:jc w:val="left"/>
              <w:rPr/>
            </w:pPr>
            <w:hyperlink w:anchor="Articlevi_234316">
              <w:r>
                <w:rPr>
                  <w:rStyle w:val="InternetLink"/>
                  <w:rFonts w:ascii="Times New Roman" w:hAnsi="Times New Roman"/>
                  <w:sz w:val="17"/>
                </w:rPr>
                <w:t>ARTICLE VI COVENANTS</w:t>
              </w:r>
            </w:hyperlink>
          </w:p>
        </w:tc>
        <w:tc>
          <w:tcPr>
            <w:tcW w:w="411" w:type="dxa"/>
            <w:tcBorders/>
            <w:shd w:fill="auto" w:val="clear"/>
          </w:tcPr>
          <w:p>
            <w:pPr>
              <w:pStyle w:val="TableContents"/>
              <w:spacing w:before="0" w:after="0"/>
              <w:ind w:left="0" w:right="0" w:hanging="0"/>
              <w:jc w:val="right"/>
              <w:rPr/>
            </w:pPr>
            <w:r>
              <w:rPr/>
              <w:t> </w:t>
            </w:r>
          </w:p>
        </w:tc>
      </w:tr>
      <w:tr>
        <w:trPr/>
        <w:tc>
          <w:tcPr>
            <w:tcW w:w="9794" w:type="dxa"/>
            <w:tcBorders/>
            <w:shd w:fill="auto" w:val="clear"/>
          </w:tcPr>
          <w:p>
            <w:pPr>
              <w:pStyle w:val="TableContents"/>
              <w:spacing w:before="0" w:after="0"/>
              <w:ind w:left="0" w:right="0" w:hanging="0"/>
              <w:jc w:val="left"/>
              <w:rPr/>
            </w:pPr>
            <w:r>
              <w:rPr/>
              <w:t> </w:t>
            </w:r>
          </w:p>
        </w:tc>
        <w:tc>
          <w:tcPr>
            <w:tcW w:w="411" w:type="dxa"/>
            <w:tcBorders/>
            <w:shd w:fill="auto" w:val="clear"/>
          </w:tcPr>
          <w:p>
            <w:pPr>
              <w:pStyle w:val="TableContents"/>
              <w:spacing w:before="0" w:after="0"/>
              <w:ind w:left="0" w:right="0" w:hanging="0"/>
              <w:jc w:val="right"/>
              <w:rPr/>
            </w:pPr>
            <w:r>
              <w:rPr/>
              <w:t> </w:t>
            </w:r>
          </w:p>
        </w:tc>
      </w:tr>
      <w:tr>
        <w:trPr/>
        <w:tc>
          <w:tcPr>
            <w:tcW w:w="9794" w:type="dxa"/>
            <w:tcBorders/>
            <w:shd w:fill="auto" w:val="clear"/>
          </w:tcPr>
          <w:p>
            <w:pPr>
              <w:pStyle w:val="TableContents"/>
              <w:spacing w:before="0" w:after="0"/>
              <w:ind w:left="0" w:right="0" w:hanging="0"/>
              <w:jc w:val="left"/>
              <w:rPr/>
            </w:pPr>
            <w:hyperlink w:anchor="Section6_1_234305">
              <w:r>
                <w:rPr>
                  <w:rStyle w:val="InternetLink"/>
                  <w:rFonts w:ascii="Times New Roman" w:hAnsi="Times New Roman"/>
                  <w:sz w:val="17"/>
                </w:rPr>
                <w:t>Section 6.1 Conduct of Business</w:t>
              </w:r>
            </w:hyperlink>
          </w:p>
        </w:tc>
        <w:tc>
          <w:tcPr>
            <w:tcW w:w="411" w:type="dxa"/>
            <w:tcBorders/>
            <w:shd w:fill="auto" w:val="clear"/>
          </w:tcPr>
          <w:p>
            <w:pPr>
              <w:pStyle w:val="TableContents"/>
              <w:spacing w:before="0" w:after="0"/>
              <w:ind w:left="0" w:right="0" w:hanging="0"/>
              <w:jc w:val="right"/>
              <w:rPr/>
            </w:pPr>
            <w:r>
              <w:rPr/>
              <w:t> </w:t>
            </w:r>
          </w:p>
        </w:tc>
      </w:tr>
      <w:tr>
        <w:trPr/>
        <w:tc>
          <w:tcPr>
            <w:tcW w:w="9794" w:type="dxa"/>
            <w:tcBorders/>
            <w:shd w:fill="auto" w:val="clear"/>
          </w:tcPr>
          <w:p>
            <w:pPr>
              <w:pStyle w:val="TableContents"/>
              <w:spacing w:before="0" w:after="0"/>
              <w:ind w:left="0" w:right="0" w:hanging="0"/>
              <w:jc w:val="left"/>
              <w:rPr/>
            </w:pPr>
            <w:hyperlink w:anchor="Section6_2_234310">
              <w:r>
                <w:rPr>
                  <w:rStyle w:val="InternetLink"/>
                  <w:rFonts w:ascii="Times New Roman" w:hAnsi="Times New Roman"/>
                  <w:sz w:val="17"/>
                </w:rPr>
                <w:t>Section 6.2 Access</w:t>
              </w:r>
            </w:hyperlink>
          </w:p>
        </w:tc>
        <w:tc>
          <w:tcPr>
            <w:tcW w:w="411" w:type="dxa"/>
            <w:tcBorders/>
            <w:shd w:fill="auto" w:val="clear"/>
          </w:tcPr>
          <w:p>
            <w:pPr>
              <w:pStyle w:val="TableContents"/>
              <w:spacing w:before="0" w:after="0"/>
              <w:ind w:left="0" w:right="0" w:hanging="0"/>
              <w:jc w:val="right"/>
              <w:rPr/>
            </w:pPr>
            <w:r>
              <w:rPr/>
              <w:t> </w:t>
            </w:r>
          </w:p>
        </w:tc>
      </w:tr>
      <w:tr>
        <w:trPr/>
        <w:tc>
          <w:tcPr>
            <w:tcW w:w="9794" w:type="dxa"/>
            <w:tcBorders/>
            <w:shd w:fill="auto" w:val="clear"/>
          </w:tcPr>
          <w:p>
            <w:pPr>
              <w:pStyle w:val="TableContents"/>
              <w:spacing w:before="0" w:after="0"/>
              <w:ind w:left="0" w:right="0" w:hanging="0"/>
              <w:jc w:val="left"/>
              <w:rPr/>
            </w:pPr>
            <w:hyperlink w:anchor="Section6_3_234319">
              <w:r>
                <w:rPr>
                  <w:rStyle w:val="InternetLink"/>
                  <w:rFonts w:ascii="Times New Roman" w:hAnsi="Times New Roman"/>
                  <w:sz w:val="17"/>
                </w:rPr>
                <w:t>Section 6.3 Third-Party Approvals</w:t>
              </w:r>
            </w:hyperlink>
          </w:p>
        </w:tc>
        <w:tc>
          <w:tcPr>
            <w:tcW w:w="411" w:type="dxa"/>
            <w:tcBorders/>
            <w:shd w:fill="auto" w:val="clear"/>
          </w:tcPr>
          <w:p>
            <w:pPr>
              <w:pStyle w:val="TableContents"/>
              <w:spacing w:before="0" w:after="0"/>
              <w:ind w:left="0" w:right="0" w:hanging="0"/>
              <w:jc w:val="right"/>
              <w:rPr/>
            </w:pPr>
            <w:r>
              <w:rPr/>
              <w:t> </w:t>
            </w:r>
          </w:p>
        </w:tc>
      </w:tr>
      <w:tr>
        <w:trPr/>
        <w:tc>
          <w:tcPr>
            <w:tcW w:w="9794" w:type="dxa"/>
            <w:tcBorders/>
            <w:shd w:fill="auto" w:val="clear"/>
          </w:tcPr>
          <w:p>
            <w:pPr>
              <w:pStyle w:val="TableContents"/>
              <w:spacing w:before="0" w:after="0"/>
              <w:ind w:left="0" w:right="0" w:hanging="0"/>
              <w:jc w:val="left"/>
              <w:rPr/>
            </w:pPr>
            <w:hyperlink w:anchor="Section6_4_234322">
              <w:r>
                <w:rPr>
                  <w:rStyle w:val="InternetLink"/>
                  <w:rFonts w:ascii="Times New Roman" w:hAnsi="Times New Roman"/>
                  <w:sz w:val="17"/>
                </w:rPr>
                <w:t>Section 6.4 Regulatory Filings</w:t>
              </w:r>
            </w:hyperlink>
          </w:p>
        </w:tc>
        <w:tc>
          <w:tcPr>
            <w:tcW w:w="411" w:type="dxa"/>
            <w:tcBorders/>
            <w:shd w:fill="auto" w:val="clear"/>
          </w:tcPr>
          <w:p>
            <w:pPr>
              <w:pStyle w:val="TableContents"/>
              <w:spacing w:before="0" w:after="0"/>
              <w:ind w:left="0" w:right="0" w:hanging="0"/>
              <w:jc w:val="right"/>
              <w:rPr/>
            </w:pPr>
            <w:r>
              <w:rPr/>
              <w:t> </w:t>
            </w:r>
          </w:p>
        </w:tc>
      </w:tr>
      <w:tr>
        <w:trPr/>
        <w:tc>
          <w:tcPr>
            <w:tcW w:w="9794" w:type="dxa"/>
            <w:tcBorders/>
            <w:shd w:fill="auto" w:val="clear"/>
          </w:tcPr>
          <w:p>
            <w:pPr>
              <w:pStyle w:val="TableContents"/>
              <w:spacing w:before="0" w:after="0"/>
              <w:ind w:left="0" w:right="0" w:hanging="0"/>
              <w:jc w:val="left"/>
              <w:rPr/>
            </w:pPr>
            <w:hyperlink w:anchor="Section6_5_234325">
              <w:r>
                <w:rPr>
                  <w:rStyle w:val="InternetLink"/>
                  <w:rFonts w:ascii="Times New Roman" w:hAnsi="Times New Roman"/>
                  <w:sz w:val="17"/>
                </w:rPr>
                <w:t>Section 6.5 Employee and Benefit Matters</w:t>
              </w:r>
            </w:hyperlink>
          </w:p>
        </w:tc>
        <w:tc>
          <w:tcPr>
            <w:tcW w:w="411" w:type="dxa"/>
            <w:tcBorders/>
            <w:shd w:fill="auto" w:val="clear"/>
          </w:tcPr>
          <w:p>
            <w:pPr>
              <w:pStyle w:val="TableContents"/>
              <w:spacing w:before="0" w:after="0"/>
              <w:ind w:left="0" w:right="0" w:hanging="0"/>
              <w:jc w:val="right"/>
              <w:rPr/>
            </w:pPr>
            <w:r>
              <w:rPr/>
              <w:t> </w:t>
            </w:r>
          </w:p>
        </w:tc>
      </w:tr>
      <w:tr>
        <w:trPr/>
        <w:tc>
          <w:tcPr>
            <w:tcW w:w="9794" w:type="dxa"/>
            <w:tcBorders/>
            <w:shd w:fill="auto" w:val="clear"/>
          </w:tcPr>
          <w:p>
            <w:pPr>
              <w:pStyle w:val="TableContents"/>
              <w:spacing w:before="0" w:after="0"/>
              <w:ind w:left="0" w:right="0" w:hanging="0"/>
              <w:jc w:val="left"/>
              <w:rPr/>
            </w:pPr>
            <w:hyperlink w:anchor="Section6_6_234343">
              <w:r>
                <w:rPr>
                  <w:rStyle w:val="InternetLink"/>
                  <w:rFonts w:ascii="Times New Roman" w:hAnsi="Times New Roman"/>
                  <w:sz w:val="17"/>
                </w:rPr>
                <w:t>Section 6.6 Company Guarantees</w:t>
              </w:r>
            </w:hyperlink>
          </w:p>
        </w:tc>
        <w:tc>
          <w:tcPr>
            <w:tcW w:w="411" w:type="dxa"/>
            <w:tcBorders/>
            <w:shd w:fill="auto" w:val="clear"/>
          </w:tcPr>
          <w:p>
            <w:pPr>
              <w:pStyle w:val="TableContents"/>
              <w:spacing w:before="0" w:after="0"/>
              <w:ind w:left="0" w:right="0" w:hanging="0"/>
              <w:jc w:val="right"/>
              <w:rPr/>
            </w:pPr>
            <w:r>
              <w:rPr/>
              <w:t> </w:t>
            </w:r>
          </w:p>
        </w:tc>
      </w:tr>
      <w:tr>
        <w:trPr/>
        <w:tc>
          <w:tcPr>
            <w:tcW w:w="9794" w:type="dxa"/>
            <w:tcBorders/>
            <w:shd w:fill="auto" w:val="clear"/>
          </w:tcPr>
          <w:p>
            <w:pPr>
              <w:pStyle w:val="TableContents"/>
              <w:spacing w:before="0" w:after="0"/>
              <w:ind w:left="0" w:right="0" w:hanging="0"/>
              <w:jc w:val="left"/>
              <w:rPr/>
            </w:pPr>
            <w:hyperlink w:anchor="Section6_7_234333">
              <w:r>
                <w:rPr>
                  <w:rStyle w:val="InternetLink"/>
                  <w:rFonts w:ascii="Times New Roman" w:hAnsi="Times New Roman"/>
                  <w:sz w:val="17"/>
                </w:rPr>
                <w:t>Section 6.7 Intercompany Accounts</w:t>
              </w:r>
            </w:hyperlink>
          </w:p>
        </w:tc>
        <w:tc>
          <w:tcPr>
            <w:tcW w:w="411" w:type="dxa"/>
            <w:tcBorders/>
            <w:shd w:fill="auto" w:val="clear"/>
          </w:tcPr>
          <w:p>
            <w:pPr>
              <w:pStyle w:val="TableContents"/>
              <w:spacing w:before="0" w:after="0"/>
              <w:ind w:left="0" w:right="0" w:hanging="0"/>
              <w:jc w:val="right"/>
              <w:rPr/>
            </w:pPr>
            <w:r>
              <w:rPr/>
              <w:t> </w:t>
            </w:r>
          </w:p>
        </w:tc>
      </w:tr>
      <w:tr>
        <w:trPr/>
        <w:tc>
          <w:tcPr>
            <w:tcW w:w="9794" w:type="dxa"/>
            <w:tcBorders/>
            <w:shd w:fill="auto" w:val="clear"/>
          </w:tcPr>
          <w:p>
            <w:pPr>
              <w:pStyle w:val="TableContents"/>
              <w:spacing w:before="0" w:after="0"/>
              <w:ind w:left="0" w:right="0" w:hanging="0"/>
              <w:jc w:val="left"/>
              <w:rPr/>
            </w:pPr>
            <w:hyperlink w:anchor="Section6_8_234348">
              <w:r>
                <w:rPr>
                  <w:rStyle w:val="InternetLink"/>
                  <w:rFonts w:ascii="Times New Roman" w:hAnsi="Times New Roman"/>
                  <w:sz w:val="17"/>
                </w:rPr>
                <w:t>Section 6.8 Notice of Failure of Closing Conditions</w:t>
              </w:r>
            </w:hyperlink>
          </w:p>
        </w:tc>
        <w:tc>
          <w:tcPr>
            <w:tcW w:w="411" w:type="dxa"/>
            <w:tcBorders/>
            <w:shd w:fill="auto" w:val="clear"/>
          </w:tcPr>
          <w:p>
            <w:pPr>
              <w:pStyle w:val="TableContents"/>
              <w:spacing w:before="0" w:after="0"/>
              <w:ind w:left="0" w:right="0" w:hanging="0"/>
              <w:jc w:val="right"/>
              <w:rPr/>
            </w:pPr>
            <w:r>
              <w:rPr/>
              <w:t> </w:t>
            </w:r>
          </w:p>
        </w:tc>
      </w:tr>
      <w:tr>
        <w:trPr/>
        <w:tc>
          <w:tcPr>
            <w:tcW w:w="9794" w:type="dxa"/>
            <w:tcBorders/>
            <w:shd w:fill="auto" w:val="clear"/>
          </w:tcPr>
          <w:p>
            <w:pPr>
              <w:pStyle w:val="TableContents"/>
              <w:spacing w:before="0" w:after="0"/>
              <w:ind w:left="0" w:right="0" w:hanging="0"/>
              <w:jc w:val="left"/>
              <w:rPr/>
            </w:pPr>
            <w:hyperlink w:anchor="Section6_9_234350">
              <w:r>
                <w:rPr>
                  <w:rStyle w:val="InternetLink"/>
                  <w:rFonts w:ascii="Times New Roman" w:hAnsi="Times New Roman"/>
                  <w:sz w:val="17"/>
                </w:rPr>
                <w:t>Section 6.9 Seller Marks</w:t>
              </w:r>
            </w:hyperlink>
          </w:p>
        </w:tc>
        <w:tc>
          <w:tcPr>
            <w:tcW w:w="411" w:type="dxa"/>
            <w:tcBorders/>
            <w:shd w:fill="auto" w:val="clear"/>
          </w:tcPr>
          <w:p>
            <w:pPr>
              <w:pStyle w:val="TableContents"/>
              <w:spacing w:before="0" w:after="0"/>
              <w:ind w:left="0" w:right="0" w:hanging="0"/>
              <w:jc w:val="right"/>
              <w:rPr/>
            </w:pPr>
            <w:r>
              <w:rPr/>
              <w:t> </w:t>
            </w:r>
          </w:p>
        </w:tc>
      </w:tr>
      <w:tr>
        <w:trPr/>
        <w:tc>
          <w:tcPr>
            <w:tcW w:w="9794" w:type="dxa"/>
            <w:tcBorders/>
            <w:shd w:fill="auto" w:val="clear"/>
          </w:tcPr>
          <w:p>
            <w:pPr>
              <w:pStyle w:val="TableContents"/>
              <w:spacing w:before="0" w:after="0"/>
              <w:ind w:left="0" w:right="0" w:hanging="0"/>
              <w:jc w:val="left"/>
              <w:rPr/>
            </w:pPr>
            <w:hyperlink w:anchor="Section6_10_234353">
              <w:r>
                <w:rPr>
                  <w:rStyle w:val="InternetLink"/>
                  <w:rFonts w:ascii="Times New Roman" w:hAnsi="Times New Roman"/>
                  <w:sz w:val="17"/>
                </w:rPr>
                <w:t>Section 6.10 Books and Records</w:t>
              </w:r>
            </w:hyperlink>
          </w:p>
        </w:tc>
        <w:tc>
          <w:tcPr>
            <w:tcW w:w="411" w:type="dxa"/>
            <w:tcBorders/>
            <w:shd w:fill="auto" w:val="clear"/>
          </w:tcPr>
          <w:p>
            <w:pPr>
              <w:pStyle w:val="TableContents"/>
              <w:spacing w:before="0" w:after="0"/>
              <w:ind w:left="0" w:right="0" w:hanging="0"/>
              <w:jc w:val="right"/>
              <w:rPr/>
            </w:pPr>
            <w:r>
              <w:rPr/>
              <w:t> </w:t>
            </w:r>
          </w:p>
        </w:tc>
      </w:tr>
      <w:tr>
        <w:trPr/>
        <w:tc>
          <w:tcPr>
            <w:tcW w:w="9794" w:type="dxa"/>
            <w:tcBorders/>
            <w:shd w:fill="auto" w:val="clear"/>
          </w:tcPr>
          <w:p>
            <w:pPr>
              <w:pStyle w:val="TableContents"/>
              <w:spacing w:before="0" w:after="0"/>
              <w:ind w:left="0" w:right="0" w:hanging="0"/>
              <w:jc w:val="left"/>
              <w:rPr/>
            </w:pPr>
            <w:hyperlink w:anchor="Section6_11_234356">
              <w:r>
                <w:rPr>
                  <w:rStyle w:val="InternetLink"/>
                  <w:rFonts w:ascii="Times New Roman" w:hAnsi="Times New Roman"/>
                  <w:sz w:val="17"/>
                </w:rPr>
                <w:t>Section 6.11 Transitional Support</w:t>
              </w:r>
            </w:hyperlink>
          </w:p>
        </w:tc>
        <w:tc>
          <w:tcPr>
            <w:tcW w:w="411" w:type="dxa"/>
            <w:tcBorders/>
            <w:shd w:fill="auto" w:val="clear"/>
          </w:tcPr>
          <w:p>
            <w:pPr>
              <w:pStyle w:val="TableContents"/>
              <w:spacing w:before="0" w:after="0"/>
              <w:ind w:left="0" w:right="0" w:hanging="0"/>
              <w:jc w:val="right"/>
              <w:rPr/>
            </w:pPr>
            <w:r>
              <w:rPr/>
              <w:t> </w:t>
            </w:r>
          </w:p>
        </w:tc>
      </w:tr>
      <w:tr>
        <w:trPr/>
        <w:tc>
          <w:tcPr>
            <w:tcW w:w="9794" w:type="dxa"/>
            <w:tcBorders/>
            <w:shd w:fill="auto" w:val="clear"/>
          </w:tcPr>
          <w:p>
            <w:pPr>
              <w:pStyle w:val="TableContents"/>
              <w:spacing w:before="0" w:after="0"/>
              <w:ind w:left="0" w:right="0" w:hanging="0"/>
              <w:jc w:val="left"/>
              <w:rPr/>
            </w:pPr>
            <w:hyperlink w:anchor="Section6_12_234358">
              <w:r>
                <w:rPr>
                  <w:rStyle w:val="InternetLink"/>
                  <w:rFonts w:ascii="Times New Roman" w:hAnsi="Times New Roman"/>
                  <w:sz w:val="17"/>
                </w:rPr>
                <w:t>Section 6.12 Confidentiality</w:t>
              </w:r>
            </w:hyperlink>
          </w:p>
        </w:tc>
        <w:tc>
          <w:tcPr>
            <w:tcW w:w="411" w:type="dxa"/>
            <w:tcBorders/>
            <w:shd w:fill="auto" w:val="clear"/>
          </w:tcPr>
          <w:p>
            <w:pPr>
              <w:pStyle w:val="TableContents"/>
              <w:spacing w:before="0" w:after="0"/>
              <w:ind w:left="0" w:right="0" w:hanging="0"/>
              <w:jc w:val="right"/>
              <w:rPr/>
            </w:pPr>
            <w:r>
              <w:rPr/>
              <w:t> </w:t>
            </w:r>
          </w:p>
        </w:tc>
      </w:tr>
      <w:tr>
        <w:trPr/>
        <w:tc>
          <w:tcPr>
            <w:tcW w:w="9794" w:type="dxa"/>
            <w:tcBorders/>
            <w:shd w:fill="auto" w:val="clear"/>
          </w:tcPr>
          <w:p>
            <w:pPr>
              <w:pStyle w:val="TableContents"/>
              <w:spacing w:before="0" w:after="0"/>
              <w:ind w:left="0" w:right="0" w:hanging="0"/>
              <w:jc w:val="left"/>
              <w:rPr/>
            </w:pPr>
            <w:hyperlink w:anchor="Section6_13_234403">
              <w:r>
                <w:rPr>
                  <w:rStyle w:val="InternetLink"/>
                  <w:rFonts w:ascii="Times New Roman" w:hAnsi="Times New Roman"/>
                  <w:sz w:val="17"/>
                </w:rPr>
                <w:t>Section 6.13 Further Assurances; Duty to Cooperate</w:t>
              </w:r>
            </w:hyperlink>
          </w:p>
        </w:tc>
        <w:tc>
          <w:tcPr>
            <w:tcW w:w="411" w:type="dxa"/>
            <w:tcBorders/>
            <w:shd w:fill="auto" w:val="clear"/>
          </w:tcPr>
          <w:p>
            <w:pPr>
              <w:pStyle w:val="TableContents"/>
              <w:spacing w:before="0" w:after="0"/>
              <w:ind w:left="0" w:right="0" w:hanging="0"/>
              <w:jc w:val="right"/>
              <w:rPr/>
            </w:pPr>
            <w:r>
              <w:rPr/>
              <w:t> </w:t>
            </w:r>
          </w:p>
        </w:tc>
      </w:tr>
      <w:tr>
        <w:trPr/>
        <w:tc>
          <w:tcPr>
            <w:tcW w:w="9794" w:type="dxa"/>
            <w:tcBorders/>
            <w:shd w:fill="auto" w:val="clear"/>
          </w:tcPr>
          <w:p>
            <w:pPr>
              <w:pStyle w:val="TableContents"/>
              <w:spacing w:before="0" w:after="0"/>
              <w:ind w:left="0" w:right="0" w:hanging="0"/>
              <w:jc w:val="left"/>
              <w:rPr/>
            </w:pPr>
            <w:hyperlink w:anchor="Section6_14_234406">
              <w:r>
                <w:rPr>
                  <w:rStyle w:val="InternetLink"/>
                  <w:rFonts w:ascii="Times New Roman" w:hAnsi="Times New Roman"/>
                  <w:sz w:val="17"/>
                </w:rPr>
                <w:t>Section 6.14 Non-Solicitation of Employees</w:t>
              </w:r>
            </w:hyperlink>
          </w:p>
        </w:tc>
        <w:tc>
          <w:tcPr>
            <w:tcW w:w="411" w:type="dxa"/>
            <w:tcBorders/>
            <w:shd w:fill="auto" w:val="clear"/>
          </w:tcPr>
          <w:p>
            <w:pPr>
              <w:pStyle w:val="TableContents"/>
              <w:spacing w:before="0" w:after="0"/>
              <w:ind w:left="0" w:right="0" w:hanging="0"/>
              <w:jc w:val="right"/>
              <w:rPr/>
            </w:pPr>
            <w:r>
              <w:rPr/>
              <w:t> </w:t>
            </w:r>
          </w:p>
        </w:tc>
      </w:tr>
      <w:tr>
        <w:trPr/>
        <w:tc>
          <w:tcPr>
            <w:tcW w:w="9794" w:type="dxa"/>
            <w:tcBorders/>
            <w:shd w:fill="auto" w:val="clear"/>
          </w:tcPr>
          <w:p>
            <w:pPr>
              <w:pStyle w:val="TableContents"/>
              <w:spacing w:before="0" w:after="0"/>
              <w:ind w:left="0" w:right="0" w:hanging="0"/>
              <w:jc w:val="left"/>
              <w:rPr/>
            </w:pPr>
            <w:hyperlink w:anchor="Section6_15_234409">
              <w:r>
                <w:rPr>
                  <w:rStyle w:val="InternetLink"/>
                  <w:rFonts w:ascii="Times New Roman" w:hAnsi="Times New Roman"/>
                  <w:sz w:val="17"/>
                </w:rPr>
                <w:t>Section 6.15 Acquisition Agreements; Consent Order</w:t>
              </w:r>
            </w:hyperlink>
          </w:p>
        </w:tc>
        <w:tc>
          <w:tcPr>
            <w:tcW w:w="411" w:type="dxa"/>
            <w:tcBorders/>
            <w:shd w:fill="auto" w:val="clear"/>
          </w:tcPr>
          <w:p>
            <w:pPr>
              <w:pStyle w:val="TableContents"/>
              <w:spacing w:before="0" w:after="0"/>
              <w:ind w:left="0" w:right="0" w:hanging="0"/>
              <w:jc w:val="right"/>
              <w:rPr/>
            </w:pPr>
            <w:r>
              <w:rPr/>
              <w:t> </w:t>
            </w:r>
          </w:p>
        </w:tc>
      </w:tr>
      <w:tr>
        <w:trPr/>
        <w:tc>
          <w:tcPr>
            <w:tcW w:w="9794" w:type="dxa"/>
            <w:tcBorders/>
            <w:shd w:fill="auto" w:val="clear"/>
          </w:tcPr>
          <w:p>
            <w:pPr>
              <w:pStyle w:val="TableContents"/>
              <w:spacing w:before="0" w:after="0"/>
              <w:ind w:left="0" w:right="0" w:hanging="0"/>
              <w:jc w:val="left"/>
              <w:rPr/>
            </w:pPr>
            <w:hyperlink w:anchor="Section6_16_234413">
              <w:r>
                <w:rPr>
                  <w:rStyle w:val="InternetLink"/>
                  <w:rFonts w:ascii="Times New Roman" w:hAnsi="Times New Roman"/>
                  <w:sz w:val="17"/>
                </w:rPr>
                <w:t>Section 6.16 Certain Restrictions</w:t>
              </w:r>
            </w:hyperlink>
          </w:p>
        </w:tc>
        <w:tc>
          <w:tcPr>
            <w:tcW w:w="411" w:type="dxa"/>
            <w:tcBorders/>
            <w:shd w:fill="auto" w:val="clear"/>
          </w:tcPr>
          <w:p>
            <w:pPr>
              <w:pStyle w:val="TableContents"/>
              <w:spacing w:before="0" w:after="0"/>
              <w:ind w:left="0" w:right="0" w:hanging="0"/>
              <w:jc w:val="right"/>
              <w:rPr/>
            </w:pPr>
            <w:r>
              <w:rPr/>
              <w:t> </w:t>
            </w:r>
          </w:p>
        </w:tc>
      </w:tr>
      <w:tr>
        <w:trPr/>
        <w:tc>
          <w:tcPr>
            <w:tcW w:w="9794" w:type="dxa"/>
            <w:tcBorders/>
            <w:shd w:fill="auto" w:val="clear"/>
          </w:tcPr>
          <w:p>
            <w:pPr>
              <w:pStyle w:val="TableContents"/>
              <w:spacing w:before="0" w:after="0"/>
              <w:ind w:left="0" w:right="0" w:hanging="0"/>
              <w:jc w:val="left"/>
              <w:rPr/>
            </w:pPr>
            <w:hyperlink w:anchor="Section6_17_234415">
              <w:r>
                <w:rPr>
                  <w:rStyle w:val="InternetLink"/>
                  <w:rFonts w:ascii="Times New Roman" w:hAnsi="Times New Roman"/>
                  <w:sz w:val="17"/>
                </w:rPr>
                <w:t>Section 6.17 Title Commitments</w:t>
              </w:r>
            </w:hyperlink>
          </w:p>
        </w:tc>
        <w:tc>
          <w:tcPr>
            <w:tcW w:w="411" w:type="dxa"/>
            <w:tcBorders/>
            <w:shd w:fill="auto" w:val="clear"/>
          </w:tcPr>
          <w:p>
            <w:pPr>
              <w:pStyle w:val="TableContents"/>
              <w:spacing w:before="0" w:after="0"/>
              <w:ind w:left="0" w:right="0" w:hanging="0"/>
              <w:jc w:val="right"/>
              <w:rPr/>
            </w:pPr>
            <w:r>
              <w:rPr/>
              <w:t> </w:t>
            </w:r>
          </w:p>
        </w:tc>
      </w:tr>
      <w:tr>
        <w:trPr/>
        <w:tc>
          <w:tcPr>
            <w:tcW w:w="9794" w:type="dxa"/>
            <w:tcBorders/>
            <w:shd w:fill="auto" w:val="clear"/>
          </w:tcPr>
          <w:p>
            <w:pPr>
              <w:pStyle w:val="TableContents"/>
              <w:spacing w:before="0" w:after="0"/>
              <w:ind w:left="0" w:right="0" w:hanging="0"/>
              <w:jc w:val="left"/>
              <w:rPr/>
            </w:pPr>
            <w:hyperlink w:anchor="Section6_18_234417">
              <w:r>
                <w:rPr>
                  <w:rStyle w:val="InternetLink"/>
                  <w:rFonts w:ascii="Times New Roman" w:hAnsi="Times New Roman"/>
                  <w:sz w:val="17"/>
                </w:rPr>
                <w:t>Section 6.18 Conversion Transactions</w:t>
              </w:r>
            </w:hyperlink>
          </w:p>
        </w:tc>
        <w:tc>
          <w:tcPr>
            <w:tcW w:w="411" w:type="dxa"/>
            <w:tcBorders/>
            <w:shd w:fill="auto" w:val="clear"/>
          </w:tcPr>
          <w:p>
            <w:pPr>
              <w:pStyle w:val="TableContents"/>
              <w:spacing w:before="0" w:after="0"/>
              <w:ind w:left="0" w:right="0" w:hanging="0"/>
              <w:jc w:val="right"/>
              <w:rPr/>
            </w:pPr>
            <w:r>
              <w:rPr/>
              <w:t> </w:t>
            </w:r>
          </w:p>
        </w:tc>
      </w:tr>
      <w:tr>
        <w:trPr/>
        <w:tc>
          <w:tcPr>
            <w:tcW w:w="9794" w:type="dxa"/>
            <w:tcBorders/>
            <w:shd w:fill="auto" w:val="clear"/>
          </w:tcPr>
          <w:p>
            <w:pPr>
              <w:pStyle w:val="TableContents"/>
              <w:spacing w:before="0" w:after="0"/>
              <w:ind w:left="0" w:right="0" w:hanging="0"/>
              <w:jc w:val="left"/>
              <w:rPr/>
            </w:pPr>
            <w:hyperlink w:anchor="Section6_19_234420">
              <w:r>
                <w:rPr>
                  <w:rStyle w:val="InternetLink"/>
                  <w:rFonts w:ascii="Times New Roman" w:hAnsi="Times New Roman"/>
                  <w:sz w:val="17"/>
                </w:rPr>
                <w:t>Section 6.19 Tax Filings</w:t>
              </w:r>
            </w:hyperlink>
          </w:p>
        </w:tc>
        <w:tc>
          <w:tcPr>
            <w:tcW w:w="411" w:type="dxa"/>
            <w:tcBorders/>
            <w:shd w:fill="auto" w:val="clear"/>
          </w:tcPr>
          <w:p>
            <w:pPr>
              <w:pStyle w:val="TableContents"/>
              <w:spacing w:before="0" w:after="0"/>
              <w:ind w:left="0" w:right="0" w:hanging="0"/>
              <w:jc w:val="right"/>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ii</w:t>
      </w:r>
    </w:p>
    <w:p>
      <w:pPr>
        <w:pStyle w:val="HorizontalLine"/>
        <w:pBdr>
          <w:bottom w:val="single" w:sz="12" w:space="0" w:color="808080"/>
        </w:pBdr>
        <w:spacing w:before="0" w:after="0"/>
        <w:jc w:val="left"/>
        <w:rPr/>
      </w:pPr>
      <w:r>
        <w:rPr/>
      </w:r>
      <w:r>
        <w:br w:type="page"/>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9793"/>
        <w:gridCol w:w="412"/>
      </w:tblGrid>
      <w:tr>
        <w:trPr/>
        <w:tc>
          <w:tcPr>
            <w:tcW w:w="9793" w:type="dxa"/>
            <w:tcBorders/>
            <w:shd w:fill="auto" w:val="clear"/>
          </w:tcPr>
          <w:p>
            <w:pPr>
              <w:pStyle w:val="TableContents"/>
              <w:spacing w:before="0" w:after="0"/>
              <w:ind w:left="0" w:right="0" w:hanging="0"/>
              <w:jc w:val="left"/>
              <w:rPr/>
            </w:pPr>
            <w:hyperlink w:anchor="Section6_20_234423">
              <w:r>
                <w:rPr>
                  <w:rStyle w:val="InternetLink"/>
                  <w:rFonts w:ascii="Times New Roman" w:hAnsi="Times New Roman"/>
                  <w:sz w:val="17"/>
                </w:rPr>
                <w:t>Section 6.20 BGS LLC Contribution</w:t>
              </w:r>
            </w:hyperlink>
          </w:p>
        </w:tc>
        <w:tc>
          <w:tcPr>
            <w:tcW w:w="412" w:type="dxa"/>
            <w:tcBorders/>
            <w:shd w:fill="auto" w:val="clear"/>
          </w:tcPr>
          <w:p>
            <w:pPr>
              <w:pStyle w:val="TableContents"/>
              <w:spacing w:before="0" w:after="0"/>
              <w:ind w:left="0" w:right="0" w:hanging="0"/>
              <w:jc w:val="right"/>
              <w:rPr/>
            </w:pPr>
            <w:r>
              <w:rPr/>
              <w:t> </w:t>
            </w:r>
          </w:p>
        </w:tc>
      </w:tr>
      <w:tr>
        <w:trPr/>
        <w:tc>
          <w:tcPr>
            <w:tcW w:w="9793" w:type="dxa"/>
            <w:tcBorders/>
            <w:shd w:fill="auto" w:val="clear"/>
          </w:tcPr>
          <w:p>
            <w:pPr>
              <w:pStyle w:val="TableContents"/>
              <w:spacing w:before="0" w:after="0"/>
              <w:ind w:left="0" w:right="0" w:hanging="0"/>
              <w:jc w:val="left"/>
              <w:rPr/>
            </w:pPr>
            <w:r>
              <w:rPr/>
              <w:t> </w:t>
            </w:r>
          </w:p>
        </w:tc>
        <w:tc>
          <w:tcPr>
            <w:tcW w:w="412" w:type="dxa"/>
            <w:tcBorders/>
            <w:shd w:fill="auto" w:val="clear"/>
          </w:tcPr>
          <w:p>
            <w:pPr>
              <w:pStyle w:val="TableContents"/>
              <w:spacing w:before="0" w:after="0"/>
              <w:ind w:left="0" w:right="0" w:hanging="0"/>
              <w:jc w:val="right"/>
              <w:rPr/>
            </w:pPr>
            <w:r>
              <w:rPr/>
              <w:t> </w:t>
            </w:r>
          </w:p>
        </w:tc>
      </w:tr>
      <w:tr>
        <w:trPr/>
        <w:tc>
          <w:tcPr>
            <w:tcW w:w="9793" w:type="dxa"/>
            <w:tcBorders/>
            <w:shd w:fill="auto" w:val="clear"/>
          </w:tcPr>
          <w:p>
            <w:pPr>
              <w:pStyle w:val="TableContents"/>
              <w:spacing w:before="0" w:after="0"/>
              <w:ind w:left="0" w:right="0" w:hanging="0"/>
              <w:jc w:val="left"/>
              <w:rPr/>
            </w:pPr>
            <w:hyperlink w:anchor="Articlevii_234428">
              <w:r>
                <w:rPr>
                  <w:rStyle w:val="InternetLink"/>
                  <w:rFonts w:ascii="Times New Roman" w:hAnsi="Times New Roman"/>
                  <w:sz w:val="17"/>
                </w:rPr>
                <w:t>ARTICLE VII TAX MATTERS</w:t>
              </w:r>
            </w:hyperlink>
          </w:p>
        </w:tc>
        <w:tc>
          <w:tcPr>
            <w:tcW w:w="412" w:type="dxa"/>
            <w:tcBorders/>
            <w:shd w:fill="auto" w:val="clear"/>
          </w:tcPr>
          <w:p>
            <w:pPr>
              <w:pStyle w:val="TableContents"/>
              <w:spacing w:before="0" w:after="0"/>
              <w:ind w:left="0" w:right="0" w:hanging="0"/>
              <w:jc w:val="right"/>
              <w:rPr/>
            </w:pPr>
            <w:r>
              <w:rPr/>
              <w:t> </w:t>
            </w:r>
          </w:p>
        </w:tc>
      </w:tr>
      <w:tr>
        <w:trPr/>
        <w:tc>
          <w:tcPr>
            <w:tcW w:w="9793" w:type="dxa"/>
            <w:tcBorders/>
            <w:shd w:fill="auto" w:val="clear"/>
          </w:tcPr>
          <w:p>
            <w:pPr>
              <w:pStyle w:val="TableContents"/>
              <w:spacing w:before="0" w:after="0"/>
              <w:ind w:left="0" w:right="0" w:hanging="0"/>
              <w:jc w:val="left"/>
              <w:rPr/>
            </w:pPr>
            <w:r>
              <w:rPr/>
              <w:t> </w:t>
            </w:r>
          </w:p>
        </w:tc>
        <w:tc>
          <w:tcPr>
            <w:tcW w:w="412" w:type="dxa"/>
            <w:tcBorders/>
            <w:shd w:fill="auto" w:val="clear"/>
          </w:tcPr>
          <w:p>
            <w:pPr>
              <w:pStyle w:val="TableContents"/>
              <w:spacing w:before="0" w:after="0"/>
              <w:ind w:left="0" w:right="0" w:hanging="0"/>
              <w:jc w:val="right"/>
              <w:rPr/>
            </w:pPr>
            <w:r>
              <w:rPr/>
              <w:t> </w:t>
            </w:r>
          </w:p>
        </w:tc>
      </w:tr>
      <w:tr>
        <w:trPr/>
        <w:tc>
          <w:tcPr>
            <w:tcW w:w="9793" w:type="dxa"/>
            <w:tcBorders/>
            <w:shd w:fill="auto" w:val="clear"/>
          </w:tcPr>
          <w:p>
            <w:pPr>
              <w:pStyle w:val="TableContents"/>
              <w:spacing w:before="0" w:after="0"/>
              <w:ind w:left="0" w:right="0" w:hanging="0"/>
              <w:jc w:val="left"/>
              <w:rPr/>
            </w:pPr>
            <w:hyperlink w:anchor="Section7_1_234431">
              <w:r>
                <w:rPr>
                  <w:rStyle w:val="InternetLink"/>
                  <w:rFonts w:ascii="Times New Roman" w:hAnsi="Times New Roman"/>
                  <w:sz w:val="17"/>
                </w:rPr>
                <w:t>Section 7.1 Purchase Price Allocation</w:t>
              </w:r>
            </w:hyperlink>
          </w:p>
        </w:tc>
        <w:tc>
          <w:tcPr>
            <w:tcW w:w="412" w:type="dxa"/>
            <w:tcBorders/>
            <w:shd w:fill="auto" w:val="clear"/>
          </w:tcPr>
          <w:p>
            <w:pPr>
              <w:pStyle w:val="TableContents"/>
              <w:spacing w:before="0" w:after="0"/>
              <w:ind w:left="0" w:right="0" w:hanging="0"/>
              <w:jc w:val="right"/>
              <w:rPr/>
            </w:pPr>
            <w:r>
              <w:rPr/>
              <w:t> </w:t>
            </w:r>
          </w:p>
        </w:tc>
      </w:tr>
      <w:tr>
        <w:trPr/>
        <w:tc>
          <w:tcPr>
            <w:tcW w:w="9793" w:type="dxa"/>
            <w:tcBorders/>
            <w:shd w:fill="auto" w:val="clear"/>
          </w:tcPr>
          <w:p>
            <w:pPr>
              <w:pStyle w:val="TableContents"/>
              <w:spacing w:before="0" w:after="0"/>
              <w:ind w:left="0" w:right="0" w:hanging="0"/>
              <w:jc w:val="left"/>
              <w:rPr/>
            </w:pPr>
            <w:hyperlink w:anchor="Section7_2_234437">
              <w:r>
                <w:rPr>
                  <w:rStyle w:val="InternetLink"/>
                  <w:rFonts w:ascii="Times New Roman" w:hAnsi="Times New Roman"/>
                  <w:sz w:val="17"/>
                </w:rPr>
                <w:t>Section 7.2 Transfer Taxes</w:t>
              </w:r>
            </w:hyperlink>
          </w:p>
        </w:tc>
        <w:tc>
          <w:tcPr>
            <w:tcW w:w="412" w:type="dxa"/>
            <w:tcBorders/>
            <w:shd w:fill="auto" w:val="clear"/>
          </w:tcPr>
          <w:p>
            <w:pPr>
              <w:pStyle w:val="TableContents"/>
              <w:spacing w:before="0" w:after="0"/>
              <w:ind w:left="0" w:right="0" w:hanging="0"/>
              <w:jc w:val="right"/>
              <w:rPr/>
            </w:pPr>
            <w:r>
              <w:rPr/>
              <w:t> </w:t>
            </w:r>
          </w:p>
        </w:tc>
      </w:tr>
      <w:tr>
        <w:trPr/>
        <w:tc>
          <w:tcPr>
            <w:tcW w:w="9793" w:type="dxa"/>
            <w:tcBorders/>
            <w:shd w:fill="auto" w:val="clear"/>
          </w:tcPr>
          <w:p>
            <w:pPr>
              <w:pStyle w:val="TableContents"/>
              <w:spacing w:before="0" w:after="0"/>
              <w:ind w:left="0" w:right="0" w:hanging="0"/>
              <w:jc w:val="left"/>
              <w:rPr/>
            </w:pPr>
            <w:hyperlink w:anchor="Section7_3_234442">
              <w:r>
                <w:rPr>
                  <w:rStyle w:val="InternetLink"/>
                  <w:rFonts w:ascii="Times New Roman" w:hAnsi="Times New Roman"/>
                  <w:sz w:val="17"/>
                </w:rPr>
                <w:t>Section 7.3 Preparation and Filing of Tax Returns and Payment of Taxes</w:t>
              </w:r>
            </w:hyperlink>
          </w:p>
        </w:tc>
        <w:tc>
          <w:tcPr>
            <w:tcW w:w="412" w:type="dxa"/>
            <w:tcBorders/>
            <w:shd w:fill="auto" w:val="clear"/>
          </w:tcPr>
          <w:p>
            <w:pPr>
              <w:pStyle w:val="TableContents"/>
              <w:spacing w:before="0" w:after="0"/>
              <w:ind w:left="0" w:right="0" w:hanging="0"/>
              <w:jc w:val="right"/>
              <w:rPr/>
            </w:pPr>
            <w:r>
              <w:rPr/>
              <w:t> </w:t>
            </w:r>
          </w:p>
        </w:tc>
      </w:tr>
      <w:tr>
        <w:trPr/>
        <w:tc>
          <w:tcPr>
            <w:tcW w:w="9793" w:type="dxa"/>
            <w:tcBorders/>
            <w:shd w:fill="auto" w:val="clear"/>
          </w:tcPr>
          <w:p>
            <w:pPr>
              <w:pStyle w:val="TableContents"/>
              <w:spacing w:before="0" w:after="0"/>
              <w:ind w:left="0" w:right="0" w:hanging="0"/>
              <w:jc w:val="left"/>
              <w:rPr/>
            </w:pPr>
            <w:hyperlink w:anchor="Section7_4_234449">
              <w:r>
                <w:rPr>
                  <w:rStyle w:val="InternetLink"/>
                  <w:rFonts w:ascii="Times New Roman" w:hAnsi="Times New Roman"/>
                  <w:sz w:val="17"/>
                </w:rPr>
                <w:t>Section 7.4 Allocation of Straddle Period Taxes</w:t>
              </w:r>
            </w:hyperlink>
          </w:p>
        </w:tc>
        <w:tc>
          <w:tcPr>
            <w:tcW w:w="412" w:type="dxa"/>
            <w:tcBorders/>
            <w:shd w:fill="auto" w:val="clear"/>
          </w:tcPr>
          <w:p>
            <w:pPr>
              <w:pStyle w:val="TableContents"/>
              <w:spacing w:before="0" w:after="0"/>
              <w:ind w:left="0" w:right="0" w:hanging="0"/>
              <w:jc w:val="right"/>
              <w:rPr/>
            </w:pPr>
            <w:r>
              <w:rPr/>
              <w:t> </w:t>
            </w:r>
          </w:p>
        </w:tc>
      </w:tr>
      <w:tr>
        <w:trPr/>
        <w:tc>
          <w:tcPr>
            <w:tcW w:w="9793" w:type="dxa"/>
            <w:tcBorders/>
            <w:shd w:fill="auto" w:val="clear"/>
          </w:tcPr>
          <w:p>
            <w:pPr>
              <w:pStyle w:val="TableContents"/>
              <w:spacing w:before="0" w:after="0"/>
              <w:ind w:left="0" w:right="0" w:hanging="0"/>
              <w:jc w:val="left"/>
              <w:rPr/>
            </w:pPr>
            <w:hyperlink w:anchor="Section7_5_234453">
              <w:r>
                <w:rPr>
                  <w:rStyle w:val="InternetLink"/>
                  <w:rFonts w:ascii="Times New Roman" w:hAnsi="Times New Roman"/>
                  <w:sz w:val="17"/>
                </w:rPr>
                <w:t>Section 7.5 Closing Date Transactions</w:t>
              </w:r>
            </w:hyperlink>
          </w:p>
        </w:tc>
        <w:tc>
          <w:tcPr>
            <w:tcW w:w="412" w:type="dxa"/>
            <w:tcBorders/>
            <w:shd w:fill="auto" w:val="clear"/>
          </w:tcPr>
          <w:p>
            <w:pPr>
              <w:pStyle w:val="TableContents"/>
              <w:spacing w:before="0" w:after="0"/>
              <w:ind w:left="0" w:right="0" w:hanging="0"/>
              <w:jc w:val="right"/>
              <w:rPr/>
            </w:pPr>
            <w:r>
              <w:rPr/>
              <w:t> </w:t>
            </w:r>
          </w:p>
        </w:tc>
      </w:tr>
      <w:tr>
        <w:trPr/>
        <w:tc>
          <w:tcPr>
            <w:tcW w:w="9793" w:type="dxa"/>
            <w:tcBorders/>
            <w:shd w:fill="auto" w:val="clear"/>
          </w:tcPr>
          <w:p>
            <w:pPr>
              <w:pStyle w:val="TableContents"/>
              <w:spacing w:before="0" w:after="0"/>
              <w:ind w:left="0" w:right="0" w:hanging="0"/>
              <w:jc w:val="left"/>
              <w:rPr/>
            </w:pPr>
            <w:hyperlink w:anchor="Section7_6_234456">
              <w:r>
                <w:rPr>
                  <w:rStyle w:val="InternetLink"/>
                  <w:rFonts w:ascii="Times New Roman" w:hAnsi="Times New Roman"/>
                  <w:sz w:val="17"/>
                </w:rPr>
                <w:t>Section 7.6 Tax Refunds</w:t>
              </w:r>
            </w:hyperlink>
          </w:p>
        </w:tc>
        <w:tc>
          <w:tcPr>
            <w:tcW w:w="412" w:type="dxa"/>
            <w:tcBorders/>
            <w:shd w:fill="auto" w:val="clear"/>
          </w:tcPr>
          <w:p>
            <w:pPr>
              <w:pStyle w:val="TableContents"/>
              <w:spacing w:before="0" w:after="0"/>
              <w:ind w:left="0" w:right="0" w:hanging="0"/>
              <w:jc w:val="right"/>
              <w:rPr/>
            </w:pPr>
            <w:r>
              <w:rPr/>
              <w:t> </w:t>
            </w:r>
          </w:p>
        </w:tc>
      </w:tr>
      <w:tr>
        <w:trPr/>
        <w:tc>
          <w:tcPr>
            <w:tcW w:w="9793" w:type="dxa"/>
            <w:tcBorders/>
            <w:shd w:fill="auto" w:val="clear"/>
          </w:tcPr>
          <w:p>
            <w:pPr>
              <w:pStyle w:val="TableContents"/>
              <w:spacing w:before="0" w:after="0"/>
              <w:ind w:left="0" w:right="0" w:hanging="0"/>
              <w:jc w:val="left"/>
              <w:rPr/>
            </w:pPr>
            <w:hyperlink w:anchor="Section7_7_234500">
              <w:r>
                <w:rPr>
                  <w:rStyle w:val="InternetLink"/>
                  <w:rFonts w:ascii="Times New Roman" w:hAnsi="Times New Roman"/>
                  <w:sz w:val="17"/>
                </w:rPr>
                <w:t>Section 7.7 Assistance and Cooperation</w:t>
              </w:r>
            </w:hyperlink>
          </w:p>
        </w:tc>
        <w:tc>
          <w:tcPr>
            <w:tcW w:w="412" w:type="dxa"/>
            <w:tcBorders/>
            <w:shd w:fill="auto" w:val="clear"/>
          </w:tcPr>
          <w:p>
            <w:pPr>
              <w:pStyle w:val="TableContents"/>
              <w:spacing w:before="0" w:after="0"/>
              <w:ind w:left="0" w:right="0" w:hanging="0"/>
              <w:jc w:val="right"/>
              <w:rPr/>
            </w:pPr>
            <w:r>
              <w:rPr/>
              <w:t> </w:t>
            </w:r>
          </w:p>
        </w:tc>
      </w:tr>
      <w:tr>
        <w:trPr/>
        <w:tc>
          <w:tcPr>
            <w:tcW w:w="9793" w:type="dxa"/>
            <w:tcBorders/>
            <w:shd w:fill="auto" w:val="clear"/>
          </w:tcPr>
          <w:p>
            <w:pPr>
              <w:pStyle w:val="TableContents"/>
              <w:spacing w:before="0" w:after="0"/>
              <w:ind w:left="0" w:right="0" w:hanging="0"/>
              <w:jc w:val="left"/>
              <w:rPr/>
            </w:pPr>
            <w:hyperlink w:anchor="Section7_8_234502">
              <w:r>
                <w:rPr>
                  <w:rStyle w:val="InternetLink"/>
                  <w:rFonts w:ascii="Times New Roman" w:hAnsi="Times New Roman"/>
                  <w:sz w:val="17"/>
                </w:rPr>
                <w:t>Section 7.8 Tax Indemnity</w:t>
              </w:r>
            </w:hyperlink>
          </w:p>
        </w:tc>
        <w:tc>
          <w:tcPr>
            <w:tcW w:w="412" w:type="dxa"/>
            <w:tcBorders/>
            <w:shd w:fill="auto" w:val="clear"/>
          </w:tcPr>
          <w:p>
            <w:pPr>
              <w:pStyle w:val="TableContents"/>
              <w:spacing w:before="0" w:after="0"/>
              <w:ind w:left="0" w:right="0" w:hanging="0"/>
              <w:jc w:val="right"/>
              <w:rPr/>
            </w:pPr>
            <w:r>
              <w:rPr/>
              <w:t> </w:t>
            </w:r>
          </w:p>
        </w:tc>
      </w:tr>
      <w:tr>
        <w:trPr/>
        <w:tc>
          <w:tcPr>
            <w:tcW w:w="9793" w:type="dxa"/>
            <w:tcBorders/>
            <w:shd w:fill="auto" w:val="clear"/>
          </w:tcPr>
          <w:p>
            <w:pPr>
              <w:pStyle w:val="TableContents"/>
              <w:spacing w:before="0" w:after="0"/>
              <w:ind w:left="0" w:right="0" w:hanging="0"/>
              <w:jc w:val="left"/>
              <w:rPr/>
            </w:pPr>
            <w:hyperlink w:anchor="Section7_9_234511">
              <w:r>
                <w:rPr>
                  <w:rStyle w:val="InternetLink"/>
                  <w:rFonts w:ascii="Times New Roman" w:hAnsi="Times New Roman"/>
                  <w:sz w:val="17"/>
                </w:rPr>
                <w:t>Section 7.9 Tax Claims</w:t>
              </w:r>
            </w:hyperlink>
          </w:p>
        </w:tc>
        <w:tc>
          <w:tcPr>
            <w:tcW w:w="412" w:type="dxa"/>
            <w:tcBorders/>
            <w:shd w:fill="auto" w:val="clear"/>
          </w:tcPr>
          <w:p>
            <w:pPr>
              <w:pStyle w:val="TableContents"/>
              <w:spacing w:before="0" w:after="0"/>
              <w:ind w:left="0" w:right="0" w:hanging="0"/>
              <w:jc w:val="right"/>
              <w:rPr/>
            </w:pPr>
            <w:r>
              <w:rPr/>
              <w:t> </w:t>
            </w:r>
          </w:p>
        </w:tc>
      </w:tr>
      <w:tr>
        <w:trPr/>
        <w:tc>
          <w:tcPr>
            <w:tcW w:w="9793" w:type="dxa"/>
            <w:tcBorders/>
            <w:shd w:fill="auto" w:val="clear"/>
          </w:tcPr>
          <w:p>
            <w:pPr>
              <w:pStyle w:val="TableContents"/>
              <w:spacing w:before="0" w:after="0"/>
              <w:ind w:left="0" w:right="0" w:hanging="0"/>
              <w:jc w:val="left"/>
              <w:rPr/>
            </w:pPr>
            <w:hyperlink w:anchor="Section7_10_234519">
              <w:r>
                <w:rPr>
                  <w:rStyle w:val="InternetLink"/>
                  <w:rFonts w:ascii="Times New Roman" w:hAnsi="Times New Roman"/>
                  <w:sz w:val="17"/>
                </w:rPr>
                <w:t>Section 7.10 Scope</w:t>
              </w:r>
            </w:hyperlink>
          </w:p>
        </w:tc>
        <w:tc>
          <w:tcPr>
            <w:tcW w:w="412" w:type="dxa"/>
            <w:tcBorders/>
            <w:shd w:fill="auto" w:val="clear"/>
          </w:tcPr>
          <w:p>
            <w:pPr>
              <w:pStyle w:val="TableContents"/>
              <w:spacing w:before="0" w:after="0"/>
              <w:ind w:left="0" w:right="0" w:hanging="0"/>
              <w:jc w:val="right"/>
              <w:rPr/>
            </w:pPr>
            <w:r>
              <w:rPr/>
              <w:t> </w:t>
            </w:r>
          </w:p>
        </w:tc>
      </w:tr>
      <w:tr>
        <w:trPr/>
        <w:tc>
          <w:tcPr>
            <w:tcW w:w="9793" w:type="dxa"/>
            <w:tcBorders/>
            <w:shd w:fill="auto" w:val="clear"/>
          </w:tcPr>
          <w:p>
            <w:pPr>
              <w:pStyle w:val="TableContents"/>
              <w:spacing w:before="0" w:after="0"/>
              <w:ind w:left="0" w:right="0" w:hanging="0"/>
              <w:jc w:val="left"/>
              <w:rPr/>
            </w:pPr>
            <w:hyperlink w:anchor="Section7_11_234524">
              <w:r>
                <w:rPr>
                  <w:rStyle w:val="InternetLink"/>
                  <w:rFonts w:ascii="Times New Roman" w:hAnsi="Times New Roman"/>
                  <w:sz w:val="17"/>
                </w:rPr>
                <w:t>Section 7.11 Certain Tax Sharing Agreements</w:t>
              </w:r>
            </w:hyperlink>
          </w:p>
        </w:tc>
        <w:tc>
          <w:tcPr>
            <w:tcW w:w="412" w:type="dxa"/>
            <w:tcBorders/>
            <w:shd w:fill="auto" w:val="clear"/>
          </w:tcPr>
          <w:p>
            <w:pPr>
              <w:pStyle w:val="TableContents"/>
              <w:spacing w:before="0" w:after="0"/>
              <w:ind w:left="0" w:right="0" w:hanging="0"/>
              <w:jc w:val="right"/>
              <w:rPr/>
            </w:pPr>
            <w:r>
              <w:rPr/>
              <w:t> </w:t>
            </w:r>
          </w:p>
        </w:tc>
      </w:tr>
      <w:tr>
        <w:trPr/>
        <w:tc>
          <w:tcPr>
            <w:tcW w:w="9793" w:type="dxa"/>
            <w:tcBorders/>
            <w:shd w:fill="auto" w:val="clear"/>
          </w:tcPr>
          <w:p>
            <w:pPr>
              <w:pStyle w:val="TableContents"/>
              <w:spacing w:before="0" w:after="0"/>
              <w:ind w:left="0" w:right="0" w:hanging="0"/>
              <w:jc w:val="left"/>
              <w:rPr/>
            </w:pPr>
            <w:r>
              <w:rPr/>
              <w:t> </w:t>
            </w:r>
          </w:p>
        </w:tc>
        <w:tc>
          <w:tcPr>
            <w:tcW w:w="412" w:type="dxa"/>
            <w:tcBorders/>
            <w:shd w:fill="auto" w:val="clear"/>
          </w:tcPr>
          <w:p>
            <w:pPr>
              <w:pStyle w:val="TableContents"/>
              <w:spacing w:before="0" w:after="0"/>
              <w:ind w:left="0" w:right="0" w:hanging="0"/>
              <w:jc w:val="right"/>
              <w:rPr/>
            </w:pPr>
            <w:r>
              <w:rPr/>
              <w:t> </w:t>
            </w:r>
          </w:p>
        </w:tc>
      </w:tr>
      <w:tr>
        <w:trPr/>
        <w:tc>
          <w:tcPr>
            <w:tcW w:w="9793" w:type="dxa"/>
            <w:tcBorders/>
            <w:shd w:fill="auto" w:val="clear"/>
          </w:tcPr>
          <w:p>
            <w:pPr>
              <w:pStyle w:val="TableContents"/>
              <w:spacing w:before="0" w:after="0"/>
              <w:ind w:left="0" w:right="0" w:hanging="0"/>
              <w:jc w:val="left"/>
              <w:rPr/>
            </w:pPr>
            <w:hyperlink w:anchor="Articleviii_234526">
              <w:r>
                <w:rPr>
                  <w:rStyle w:val="InternetLink"/>
                  <w:rFonts w:ascii="Times New Roman" w:hAnsi="Times New Roman"/>
                  <w:sz w:val="17"/>
                </w:rPr>
                <w:t>ARTICLE VIII CONDITIONS TO OBLIGATIONS</w:t>
              </w:r>
            </w:hyperlink>
          </w:p>
        </w:tc>
        <w:tc>
          <w:tcPr>
            <w:tcW w:w="412" w:type="dxa"/>
            <w:tcBorders/>
            <w:shd w:fill="auto" w:val="clear"/>
          </w:tcPr>
          <w:p>
            <w:pPr>
              <w:pStyle w:val="TableContents"/>
              <w:spacing w:before="0" w:after="0"/>
              <w:ind w:left="0" w:right="0" w:hanging="0"/>
              <w:jc w:val="right"/>
              <w:rPr/>
            </w:pPr>
            <w:r>
              <w:rPr/>
              <w:t> </w:t>
            </w:r>
          </w:p>
        </w:tc>
      </w:tr>
      <w:tr>
        <w:trPr/>
        <w:tc>
          <w:tcPr>
            <w:tcW w:w="9793" w:type="dxa"/>
            <w:tcBorders/>
            <w:shd w:fill="auto" w:val="clear"/>
          </w:tcPr>
          <w:p>
            <w:pPr>
              <w:pStyle w:val="TableContents"/>
              <w:spacing w:before="0" w:after="0"/>
              <w:ind w:left="0" w:right="0" w:hanging="0"/>
              <w:jc w:val="left"/>
              <w:rPr/>
            </w:pPr>
            <w:r>
              <w:rPr/>
              <w:t> </w:t>
            </w:r>
          </w:p>
        </w:tc>
        <w:tc>
          <w:tcPr>
            <w:tcW w:w="412" w:type="dxa"/>
            <w:tcBorders/>
            <w:shd w:fill="auto" w:val="clear"/>
          </w:tcPr>
          <w:p>
            <w:pPr>
              <w:pStyle w:val="TableContents"/>
              <w:spacing w:before="0" w:after="0"/>
              <w:ind w:left="0" w:right="0" w:hanging="0"/>
              <w:jc w:val="right"/>
              <w:rPr/>
            </w:pPr>
            <w:r>
              <w:rPr/>
              <w:t> </w:t>
            </w:r>
          </w:p>
        </w:tc>
      </w:tr>
      <w:tr>
        <w:trPr/>
        <w:tc>
          <w:tcPr>
            <w:tcW w:w="9793" w:type="dxa"/>
            <w:tcBorders/>
            <w:shd w:fill="auto" w:val="clear"/>
          </w:tcPr>
          <w:p>
            <w:pPr>
              <w:pStyle w:val="TableContents"/>
              <w:spacing w:before="0" w:after="0"/>
              <w:ind w:left="0" w:right="0" w:hanging="0"/>
              <w:jc w:val="left"/>
              <w:rPr/>
            </w:pPr>
            <w:hyperlink w:anchor="Section8_1_234528">
              <w:r>
                <w:rPr>
                  <w:rStyle w:val="InternetLink"/>
                  <w:rFonts w:ascii="Times New Roman" w:hAnsi="Times New Roman"/>
                  <w:sz w:val="17"/>
                </w:rPr>
                <w:t>Section 8.1 Conditions to the Obligations of Buyer</w:t>
              </w:r>
            </w:hyperlink>
          </w:p>
        </w:tc>
        <w:tc>
          <w:tcPr>
            <w:tcW w:w="412" w:type="dxa"/>
            <w:tcBorders/>
            <w:shd w:fill="auto" w:val="clear"/>
          </w:tcPr>
          <w:p>
            <w:pPr>
              <w:pStyle w:val="TableContents"/>
              <w:spacing w:before="0" w:after="0"/>
              <w:ind w:left="0" w:right="0" w:hanging="0"/>
              <w:jc w:val="right"/>
              <w:rPr/>
            </w:pPr>
            <w:r>
              <w:rPr/>
              <w:t> </w:t>
            </w:r>
          </w:p>
        </w:tc>
      </w:tr>
      <w:tr>
        <w:trPr/>
        <w:tc>
          <w:tcPr>
            <w:tcW w:w="9793" w:type="dxa"/>
            <w:tcBorders/>
            <w:shd w:fill="auto" w:val="clear"/>
          </w:tcPr>
          <w:p>
            <w:pPr>
              <w:pStyle w:val="TableContents"/>
              <w:spacing w:before="0" w:after="0"/>
              <w:ind w:left="0" w:right="0" w:hanging="0"/>
              <w:jc w:val="left"/>
              <w:rPr/>
            </w:pPr>
            <w:hyperlink w:anchor="Section8_2_234533">
              <w:r>
                <w:rPr>
                  <w:rStyle w:val="InternetLink"/>
                  <w:rFonts w:ascii="Times New Roman" w:hAnsi="Times New Roman"/>
                  <w:sz w:val="17"/>
                </w:rPr>
                <w:t>Section 8.2 Conditions to the Obligations of Seller</w:t>
              </w:r>
            </w:hyperlink>
          </w:p>
        </w:tc>
        <w:tc>
          <w:tcPr>
            <w:tcW w:w="412" w:type="dxa"/>
            <w:tcBorders/>
            <w:shd w:fill="auto" w:val="clear"/>
          </w:tcPr>
          <w:p>
            <w:pPr>
              <w:pStyle w:val="TableContents"/>
              <w:spacing w:before="0" w:after="0"/>
              <w:ind w:left="0" w:right="0" w:hanging="0"/>
              <w:jc w:val="right"/>
              <w:rPr/>
            </w:pPr>
            <w:r>
              <w:rPr/>
              <w:t> </w:t>
            </w:r>
          </w:p>
        </w:tc>
      </w:tr>
      <w:tr>
        <w:trPr/>
        <w:tc>
          <w:tcPr>
            <w:tcW w:w="9793" w:type="dxa"/>
            <w:tcBorders/>
            <w:shd w:fill="auto" w:val="clear"/>
          </w:tcPr>
          <w:p>
            <w:pPr>
              <w:pStyle w:val="TableContents"/>
              <w:spacing w:before="0" w:after="0"/>
              <w:ind w:left="0" w:right="0" w:hanging="0"/>
              <w:jc w:val="left"/>
              <w:rPr/>
            </w:pPr>
            <w:r>
              <w:rPr/>
              <w:t> </w:t>
            </w:r>
          </w:p>
        </w:tc>
        <w:tc>
          <w:tcPr>
            <w:tcW w:w="412" w:type="dxa"/>
            <w:tcBorders/>
            <w:shd w:fill="auto" w:val="clear"/>
          </w:tcPr>
          <w:p>
            <w:pPr>
              <w:pStyle w:val="TableContents"/>
              <w:spacing w:before="0" w:after="0"/>
              <w:ind w:left="0" w:right="0" w:hanging="0"/>
              <w:jc w:val="right"/>
              <w:rPr/>
            </w:pPr>
            <w:r>
              <w:rPr/>
              <w:t> </w:t>
            </w:r>
          </w:p>
        </w:tc>
      </w:tr>
      <w:tr>
        <w:trPr/>
        <w:tc>
          <w:tcPr>
            <w:tcW w:w="9793" w:type="dxa"/>
            <w:tcBorders/>
            <w:shd w:fill="auto" w:val="clear"/>
          </w:tcPr>
          <w:p>
            <w:pPr>
              <w:pStyle w:val="TableContents"/>
              <w:spacing w:before="0" w:after="0"/>
              <w:ind w:left="0" w:right="0" w:hanging="0"/>
              <w:jc w:val="left"/>
              <w:rPr/>
            </w:pPr>
            <w:hyperlink w:anchor="Articleix_234538">
              <w:r>
                <w:rPr>
                  <w:rStyle w:val="InternetLink"/>
                  <w:rFonts w:ascii="Times New Roman" w:hAnsi="Times New Roman"/>
                  <w:sz w:val="17"/>
                </w:rPr>
                <w:t>ARTICLE IX SURVIVAL; INDEMNIFICATION</w:t>
              </w:r>
            </w:hyperlink>
          </w:p>
        </w:tc>
        <w:tc>
          <w:tcPr>
            <w:tcW w:w="412" w:type="dxa"/>
            <w:tcBorders/>
            <w:shd w:fill="auto" w:val="clear"/>
          </w:tcPr>
          <w:p>
            <w:pPr>
              <w:pStyle w:val="TableContents"/>
              <w:spacing w:before="0" w:after="0"/>
              <w:ind w:left="0" w:right="0" w:hanging="0"/>
              <w:jc w:val="right"/>
              <w:rPr/>
            </w:pPr>
            <w:r>
              <w:rPr/>
              <w:t> </w:t>
            </w:r>
          </w:p>
        </w:tc>
      </w:tr>
      <w:tr>
        <w:trPr/>
        <w:tc>
          <w:tcPr>
            <w:tcW w:w="9793" w:type="dxa"/>
            <w:tcBorders/>
            <w:shd w:fill="auto" w:val="clear"/>
          </w:tcPr>
          <w:p>
            <w:pPr>
              <w:pStyle w:val="TableContents"/>
              <w:spacing w:before="0" w:after="0"/>
              <w:ind w:left="0" w:right="0" w:hanging="0"/>
              <w:jc w:val="left"/>
              <w:rPr/>
            </w:pPr>
            <w:r>
              <w:rPr/>
              <w:t> </w:t>
            </w:r>
          </w:p>
        </w:tc>
        <w:tc>
          <w:tcPr>
            <w:tcW w:w="412" w:type="dxa"/>
            <w:tcBorders/>
            <w:shd w:fill="auto" w:val="clear"/>
          </w:tcPr>
          <w:p>
            <w:pPr>
              <w:pStyle w:val="TableContents"/>
              <w:spacing w:before="0" w:after="0"/>
              <w:ind w:left="0" w:right="0" w:hanging="0"/>
              <w:jc w:val="right"/>
              <w:rPr/>
            </w:pPr>
            <w:r>
              <w:rPr/>
              <w:t> </w:t>
            </w:r>
          </w:p>
        </w:tc>
      </w:tr>
      <w:tr>
        <w:trPr/>
        <w:tc>
          <w:tcPr>
            <w:tcW w:w="9793" w:type="dxa"/>
            <w:tcBorders/>
            <w:shd w:fill="auto" w:val="clear"/>
          </w:tcPr>
          <w:p>
            <w:pPr>
              <w:pStyle w:val="TableContents"/>
              <w:spacing w:before="0" w:after="0"/>
              <w:ind w:left="0" w:right="0" w:hanging="0"/>
              <w:jc w:val="left"/>
              <w:rPr/>
            </w:pPr>
            <w:hyperlink w:anchor="Section9_1_234540">
              <w:r>
                <w:rPr>
                  <w:rStyle w:val="InternetLink"/>
                  <w:rFonts w:ascii="Times New Roman" w:hAnsi="Times New Roman"/>
                  <w:sz w:val="17"/>
                </w:rPr>
                <w:t>Section 9.1 Survival of Indemnification Rights</w:t>
              </w:r>
            </w:hyperlink>
          </w:p>
        </w:tc>
        <w:tc>
          <w:tcPr>
            <w:tcW w:w="412" w:type="dxa"/>
            <w:tcBorders/>
            <w:shd w:fill="auto" w:val="clear"/>
          </w:tcPr>
          <w:p>
            <w:pPr>
              <w:pStyle w:val="TableContents"/>
              <w:spacing w:before="0" w:after="0"/>
              <w:ind w:left="0" w:right="0" w:hanging="0"/>
              <w:jc w:val="right"/>
              <w:rPr/>
            </w:pPr>
            <w:r>
              <w:rPr/>
              <w:t> </w:t>
            </w:r>
          </w:p>
        </w:tc>
      </w:tr>
      <w:tr>
        <w:trPr/>
        <w:tc>
          <w:tcPr>
            <w:tcW w:w="9793" w:type="dxa"/>
            <w:tcBorders/>
            <w:shd w:fill="auto" w:val="clear"/>
          </w:tcPr>
          <w:p>
            <w:pPr>
              <w:pStyle w:val="TableContents"/>
              <w:spacing w:before="0" w:after="0"/>
              <w:ind w:left="0" w:right="0" w:hanging="0"/>
              <w:jc w:val="left"/>
              <w:rPr/>
            </w:pPr>
            <w:hyperlink w:anchor="Section9_2_234545">
              <w:r>
                <w:rPr>
                  <w:rStyle w:val="InternetLink"/>
                  <w:rFonts w:ascii="Times New Roman" w:hAnsi="Times New Roman"/>
                  <w:sz w:val="17"/>
                </w:rPr>
                <w:t>Section 9.2 Indemnification Obligations</w:t>
              </w:r>
            </w:hyperlink>
          </w:p>
        </w:tc>
        <w:tc>
          <w:tcPr>
            <w:tcW w:w="412" w:type="dxa"/>
            <w:tcBorders/>
            <w:shd w:fill="auto" w:val="clear"/>
          </w:tcPr>
          <w:p>
            <w:pPr>
              <w:pStyle w:val="TableContents"/>
              <w:spacing w:before="0" w:after="0"/>
              <w:ind w:left="0" w:right="0" w:hanging="0"/>
              <w:jc w:val="right"/>
              <w:rPr/>
            </w:pPr>
            <w:r>
              <w:rPr/>
              <w:t> </w:t>
            </w:r>
          </w:p>
        </w:tc>
      </w:tr>
      <w:tr>
        <w:trPr/>
        <w:tc>
          <w:tcPr>
            <w:tcW w:w="9793" w:type="dxa"/>
            <w:tcBorders/>
            <w:shd w:fill="auto" w:val="clear"/>
          </w:tcPr>
          <w:p>
            <w:pPr>
              <w:pStyle w:val="TableContents"/>
              <w:spacing w:before="0" w:after="0"/>
              <w:ind w:left="0" w:right="0" w:hanging="0"/>
              <w:jc w:val="left"/>
              <w:rPr/>
            </w:pPr>
            <w:hyperlink w:anchor="Section9_3_234559">
              <w:r>
                <w:rPr>
                  <w:rStyle w:val="InternetLink"/>
                  <w:rFonts w:ascii="Times New Roman" w:hAnsi="Times New Roman"/>
                  <w:sz w:val="17"/>
                </w:rPr>
                <w:t>Section 9.3 Indemnification Procedure</w:t>
              </w:r>
            </w:hyperlink>
          </w:p>
        </w:tc>
        <w:tc>
          <w:tcPr>
            <w:tcW w:w="412" w:type="dxa"/>
            <w:tcBorders/>
            <w:shd w:fill="auto" w:val="clear"/>
          </w:tcPr>
          <w:p>
            <w:pPr>
              <w:pStyle w:val="TableContents"/>
              <w:spacing w:before="0" w:after="0"/>
              <w:ind w:left="0" w:right="0" w:hanging="0"/>
              <w:jc w:val="right"/>
              <w:rPr/>
            </w:pPr>
            <w:r>
              <w:rPr/>
              <w:t> </w:t>
            </w:r>
          </w:p>
        </w:tc>
      </w:tr>
      <w:tr>
        <w:trPr/>
        <w:tc>
          <w:tcPr>
            <w:tcW w:w="9793" w:type="dxa"/>
            <w:tcBorders/>
            <w:shd w:fill="auto" w:val="clear"/>
          </w:tcPr>
          <w:p>
            <w:pPr>
              <w:pStyle w:val="TableContents"/>
              <w:spacing w:before="0" w:after="0"/>
              <w:ind w:left="0" w:right="0" w:hanging="0"/>
              <w:jc w:val="left"/>
              <w:rPr/>
            </w:pPr>
            <w:hyperlink w:anchor="Section9_4_234604">
              <w:r>
                <w:rPr>
                  <w:rStyle w:val="InternetLink"/>
                  <w:rFonts w:ascii="Times New Roman" w:hAnsi="Times New Roman"/>
                  <w:sz w:val="17"/>
                </w:rPr>
                <w:t>Section 9.4 Limitations on Liability of Seller</w:t>
              </w:r>
            </w:hyperlink>
          </w:p>
        </w:tc>
        <w:tc>
          <w:tcPr>
            <w:tcW w:w="412" w:type="dxa"/>
            <w:tcBorders/>
            <w:shd w:fill="auto" w:val="clear"/>
          </w:tcPr>
          <w:p>
            <w:pPr>
              <w:pStyle w:val="TableContents"/>
              <w:spacing w:before="0" w:after="0"/>
              <w:ind w:left="0" w:right="0" w:hanging="0"/>
              <w:jc w:val="right"/>
              <w:rPr/>
            </w:pPr>
            <w:r>
              <w:rPr/>
              <w:t> </w:t>
            </w:r>
          </w:p>
        </w:tc>
      </w:tr>
      <w:tr>
        <w:trPr/>
        <w:tc>
          <w:tcPr>
            <w:tcW w:w="9793" w:type="dxa"/>
            <w:tcBorders/>
            <w:shd w:fill="auto" w:val="clear"/>
          </w:tcPr>
          <w:p>
            <w:pPr>
              <w:pStyle w:val="TableContents"/>
              <w:spacing w:before="0" w:after="0"/>
              <w:ind w:left="0" w:right="0" w:hanging="0"/>
              <w:jc w:val="left"/>
              <w:rPr/>
            </w:pPr>
            <w:hyperlink w:anchor="Section9_5_234611">
              <w:r>
                <w:rPr>
                  <w:rStyle w:val="InternetLink"/>
                  <w:rFonts w:ascii="Times New Roman" w:hAnsi="Times New Roman"/>
                  <w:sz w:val="17"/>
                </w:rPr>
                <w:t>Section 9.5 Indemnity Under Acquisition Agreements</w:t>
              </w:r>
            </w:hyperlink>
          </w:p>
        </w:tc>
        <w:tc>
          <w:tcPr>
            <w:tcW w:w="412" w:type="dxa"/>
            <w:tcBorders/>
            <w:shd w:fill="auto" w:val="clear"/>
          </w:tcPr>
          <w:p>
            <w:pPr>
              <w:pStyle w:val="TableContents"/>
              <w:spacing w:before="0" w:after="0"/>
              <w:ind w:left="0" w:right="0" w:hanging="0"/>
              <w:jc w:val="right"/>
              <w:rPr/>
            </w:pPr>
            <w:r>
              <w:rPr/>
              <w:t> </w:t>
            </w:r>
          </w:p>
        </w:tc>
      </w:tr>
      <w:tr>
        <w:trPr/>
        <w:tc>
          <w:tcPr>
            <w:tcW w:w="9793" w:type="dxa"/>
            <w:tcBorders/>
            <w:shd w:fill="auto" w:val="clear"/>
          </w:tcPr>
          <w:p>
            <w:pPr>
              <w:pStyle w:val="TableContents"/>
              <w:spacing w:before="0" w:after="0"/>
              <w:ind w:left="0" w:right="0" w:hanging="0"/>
              <w:jc w:val="left"/>
              <w:rPr/>
            </w:pPr>
            <w:hyperlink w:anchor="Section9_6_234614">
              <w:r>
                <w:rPr>
                  <w:rStyle w:val="InternetLink"/>
                  <w:rFonts w:ascii="Times New Roman" w:hAnsi="Times New Roman"/>
                  <w:sz w:val="17"/>
                </w:rPr>
                <w:t>Section 9.6 Purchase Price Adjustment</w:t>
              </w:r>
            </w:hyperlink>
          </w:p>
        </w:tc>
        <w:tc>
          <w:tcPr>
            <w:tcW w:w="412" w:type="dxa"/>
            <w:tcBorders/>
            <w:shd w:fill="auto" w:val="clear"/>
          </w:tcPr>
          <w:p>
            <w:pPr>
              <w:pStyle w:val="TableContents"/>
              <w:spacing w:before="0" w:after="0"/>
              <w:ind w:left="0" w:right="0" w:hanging="0"/>
              <w:jc w:val="right"/>
              <w:rPr/>
            </w:pPr>
            <w:r>
              <w:rPr/>
              <w:t> </w:t>
            </w:r>
          </w:p>
        </w:tc>
      </w:tr>
      <w:tr>
        <w:trPr/>
        <w:tc>
          <w:tcPr>
            <w:tcW w:w="9793" w:type="dxa"/>
            <w:tcBorders/>
            <w:shd w:fill="auto" w:val="clear"/>
          </w:tcPr>
          <w:p>
            <w:pPr>
              <w:pStyle w:val="TableContents"/>
              <w:spacing w:before="0" w:after="0"/>
              <w:ind w:left="0" w:right="0" w:hanging="0"/>
              <w:jc w:val="left"/>
              <w:rPr/>
            </w:pPr>
            <w:hyperlink w:anchor="Section9_7_234615">
              <w:r>
                <w:rPr>
                  <w:rStyle w:val="InternetLink"/>
                  <w:rFonts w:ascii="Times New Roman" w:hAnsi="Times New Roman"/>
                  <w:sz w:val="17"/>
                </w:rPr>
                <w:t>Section 9.7 Exclusive Remedy</w:t>
              </w:r>
            </w:hyperlink>
          </w:p>
        </w:tc>
        <w:tc>
          <w:tcPr>
            <w:tcW w:w="412" w:type="dxa"/>
            <w:tcBorders/>
            <w:shd w:fill="auto" w:val="clear"/>
          </w:tcPr>
          <w:p>
            <w:pPr>
              <w:pStyle w:val="TableContents"/>
              <w:spacing w:before="0" w:after="0"/>
              <w:ind w:left="0" w:right="0" w:hanging="0"/>
              <w:jc w:val="right"/>
              <w:rPr/>
            </w:pPr>
            <w:r>
              <w:rPr/>
              <w:t> </w:t>
            </w:r>
          </w:p>
        </w:tc>
      </w:tr>
      <w:tr>
        <w:trPr/>
        <w:tc>
          <w:tcPr>
            <w:tcW w:w="9793" w:type="dxa"/>
            <w:tcBorders/>
            <w:shd w:fill="auto" w:val="clear"/>
          </w:tcPr>
          <w:p>
            <w:pPr>
              <w:pStyle w:val="TableContents"/>
              <w:spacing w:before="0" w:after="0"/>
              <w:ind w:left="0" w:right="0" w:hanging="0"/>
              <w:jc w:val="left"/>
              <w:rPr/>
            </w:pPr>
            <w:r>
              <w:rPr/>
              <w:t> </w:t>
            </w:r>
          </w:p>
        </w:tc>
        <w:tc>
          <w:tcPr>
            <w:tcW w:w="412" w:type="dxa"/>
            <w:tcBorders/>
            <w:shd w:fill="auto" w:val="clear"/>
          </w:tcPr>
          <w:p>
            <w:pPr>
              <w:pStyle w:val="TableContents"/>
              <w:spacing w:before="0" w:after="0"/>
              <w:ind w:left="0" w:right="0" w:hanging="0"/>
              <w:jc w:val="right"/>
              <w:rPr/>
            </w:pPr>
            <w:r>
              <w:rPr/>
              <w:t> </w:t>
            </w:r>
          </w:p>
        </w:tc>
      </w:tr>
      <w:tr>
        <w:trPr/>
        <w:tc>
          <w:tcPr>
            <w:tcW w:w="9793" w:type="dxa"/>
            <w:tcBorders/>
            <w:shd w:fill="auto" w:val="clear"/>
          </w:tcPr>
          <w:p>
            <w:pPr>
              <w:pStyle w:val="TableContents"/>
              <w:spacing w:before="0" w:after="0"/>
              <w:ind w:left="0" w:right="0" w:hanging="0"/>
              <w:jc w:val="left"/>
              <w:rPr/>
            </w:pPr>
            <w:hyperlink w:anchor="Articlex_234621">
              <w:r>
                <w:rPr>
                  <w:rStyle w:val="InternetLink"/>
                  <w:rFonts w:ascii="Times New Roman" w:hAnsi="Times New Roman"/>
                  <w:sz w:val="17"/>
                </w:rPr>
                <w:t>ARTICLE X TERMINATION</w:t>
              </w:r>
            </w:hyperlink>
          </w:p>
        </w:tc>
        <w:tc>
          <w:tcPr>
            <w:tcW w:w="412" w:type="dxa"/>
            <w:tcBorders/>
            <w:shd w:fill="auto" w:val="clear"/>
          </w:tcPr>
          <w:p>
            <w:pPr>
              <w:pStyle w:val="TableContents"/>
              <w:spacing w:before="0" w:after="0"/>
              <w:ind w:left="0" w:right="0" w:hanging="0"/>
              <w:jc w:val="right"/>
              <w:rPr/>
            </w:pPr>
            <w:r>
              <w:rPr/>
              <w:t> </w:t>
            </w:r>
          </w:p>
        </w:tc>
      </w:tr>
      <w:tr>
        <w:trPr/>
        <w:tc>
          <w:tcPr>
            <w:tcW w:w="9793" w:type="dxa"/>
            <w:tcBorders/>
            <w:shd w:fill="auto" w:val="clear"/>
          </w:tcPr>
          <w:p>
            <w:pPr>
              <w:pStyle w:val="TableContents"/>
              <w:spacing w:before="0" w:after="0"/>
              <w:ind w:left="0" w:right="0" w:hanging="0"/>
              <w:jc w:val="left"/>
              <w:rPr/>
            </w:pPr>
            <w:r>
              <w:rPr/>
              <w:t> </w:t>
            </w:r>
          </w:p>
        </w:tc>
        <w:tc>
          <w:tcPr>
            <w:tcW w:w="412" w:type="dxa"/>
            <w:tcBorders/>
            <w:shd w:fill="auto" w:val="clear"/>
          </w:tcPr>
          <w:p>
            <w:pPr>
              <w:pStyle w:val="TableContents"/>
              <w:spacing w:before="0" w:after="0"/>
              <w:ind w:left="0" w:right="0" w:hanging="0"/>
              <w:jc w:val="right"/>
              <w:rPr/>
            </w:pPr>
            <w:r>
              <w:rPr/>
              <w:t> </w:t>
            </w:r>
          </w:p>
        </w:tc>
      </w:tr>
      <w:tr>
        <w:trPr/>
        <w:tc>
          <w:tcPr>
            <w:tcW w:w="9793" w:type="dxa"/>
            <w:tcBorders/>
            <w:shd w:fill="auto" w:val="clear"/>
          </w:tcPr>
          <w:p>
            <w:pPr>
              <w:pStyle w:val="TableContents"/>
              <w:spacing w:before="0" w:after="0"/>
              <w:ind w:left="0" w:right="0" w:hanging="0"/>
              <w:jc w:val="left"/>
              <w:rPr/>
            </w:pPr>
            <w:hyperlink w:anchor="Section10_1_234618">
              <w:r>
                <w:rPr>
                  <w:rStyle w:val="InternetLink"/>
                  <w:rFonts w:ascii="Times New Roman" w:hAnsi="Times New Roman"/>
                  <w:sz w:val="17"/>
                </w:rPr>
                <w:t>Section 10.1 Termination</w:t>
              </w:r>
            </w:hyperlink>
          </w:p>
        </w:tc>
        <w:tc>
          <w:tcPr>
            <w:tcW w:w="412" w:type="dxa"/>
            <w:tcBorders/>
            <w:shd w:fill="auto" w:val="clear"/>
          </w:tcPr>
          <w:p>
            <w:pPr>
              <w:pStyle w:val="TableContents"/>
              <w:spacing w:before="0" w:after="0"/>
              <w:ind w:left="0" w:right="0" w:hanging="0"/>
              <w:jc w:val="right"/>
              <w:rPr/>
            </w:pPr>
            <w:r>
              <w:rPr/>
              <w:t> </w:t>
            </w:r>
          </w:p>
        </w:tc>
      </w:tr>
      <w:tr>
        <w:trPr/>
        <w:tc>
          <w:tcPr>
            <w:tcW w:w="9793" w:type="dxa"/>
            <w:tcBorders/>
            <w:shd w:fill="auto" w:val="clear"/>
          </w:tcPr>
          <w:p>
            <w:pPr>
              <w:pStyle w:val="TableContents"/>
              <w:spacing w:before="0" w:after="0"/>
              <w:ind w:left="0" w:right="0" w:hanging="0"/>
              <w:jc w:val="left"/>
              <w:rPr/>
            </w:pPr>
            <w:hyperlink w:anchor="Section10_2_234624">
              <w:r>
                <w:rPr>
                  <w:rStyle w:val="InternetLink"/>
                  <w:rFonts w:ascii="Times New Roman" w:hAnsi="Times New Roman"/>
                  <w:sz w:val="17"/>
                </w:rPr>
                <w:t>Section 10.2 Effect of Termination</w:t>
              </w:r>
            </w:hyperlink>
          </w:p>
        </w:tc>
        <w:tc>
          <w:tcPr>
            <w:tcW w:w="412" w:type="dxa"/>
            <w:tcBorders/>
            <w:shd w:fill="auto" w:val="clear"/>
          </w:tcPr>
          <w:p>
            <w:pPr>
              <w:pStyle w:val="TableContents"/>
              <w:spacing w:before="0" w:after="0"/>
              <w:ind w:left="0" w:right="0" w:hanging="0"/>
              <w:jc w:val="right"/>
              <w:rPr/>
            </w:pPr>
            <w:r>
              <w:rPr/>
              <w:t> </w:t>
            </w:r>
          </w:p>
        </w:tc>
      </w:tr>
      <w:tr>
        <w:trPr/>
        <w:tc>
          <w:tcPr>
            <w:tcW w:w="9793" w:type="dxa"/>
            <w:tcBorders/>
            <w:shd w:fill="auto" w:val="clear"/>
          </w:tcPr>
          <w:p>
            <w:pPr>
              <w:pStyle w:val="TableContents"/>
              <w:spacing w:before="0" w:after="0"/>
              <w:ind w:left="0" w:right="0" w:hanging="0"/>
              <w:jc w:val="left"/>
              <w:rPr/>
            </w:pPr>
            <w:r>
              <w:rPr/>
              <w:t> </w:t>
            </w:r>
          </w:p>
        </w:tc>
        <w:tc>
          <w:tcPr>
            <w:tcW w:w="412" w:type="dxa"/>
            <w:tcBorders/>
            <w:shd w:fill="auto" w:val="clear"/>
          </w:tcPr>
          <w:p>
            <w:pPr>
              <w:pStyle w:val="TableContents"/>
              <w:spacing w:before="0" w:after="0"/>
              <w:ind w:left="0" w:right="0" w:hanging="0"/>
              <w:jc w:val="right"/>
              <w:rPr/>
            </w:pPr>
            <w:r>
              <w:rPr/>
              <w:t> </w:t>
            </w:r>
          </w:p>
        </w:tc>
      </w:tr>
      <w:tr>
        <w:trPr/>
        <w:tc>
          <w:tcPr>
            <w:tcW w:w="9793" w:type="dxa"/>
            <w:tcBorders/>
            <w:shd w:fill="auto" w:val="clear"/>
          </w:tcPr>
          <w:p>
            <w:pPr>
              <w:pStyle w:val="TableContents"/>
              <w:spacing w:before="0" w:after="0"/>
              <w:ind w:left="0" w:right="0" w:hanging="0"/>
              <w:jc w:val="left"/>
              <w:rPr/>
            </w:pPr>
            <w:hyperlink w:anchor="Articlexi_234625">
              <w:r>
                <w:rPr>
                  <w:rStyle w:val="InternetLink"/>
                  <w:rFonts w:ascii="Times New Roman" w:hAnsi="Times New Roman"/>
                  <w:sz w:val="17"/>
                </w:rPr>
                <w:t>ARTICLE XI MISCELLANEOUS</w:t>
              </w:r>
            </w:hyperlink>
          </w:p>
        </w:tc>
        <w:tc>
          <w:tcPr>
            <w:tcW w:w="412" w:type="dxa"/>
            <w:tcBorders/>
            <w:shd w:fill="auto" w:val="clear"/>
          </w:tcPr>
          <w:p>
            <w:pPr>
              <w:pStyle w:val="TableContents"/>
              <w:spacing w:before="0" w:after="0"/>
              <w:ind w:left="0" w:right="0" w:hanging="0"/>
              <w:jc w:val="right"/>
              <w:rPr/>
            </w:pPr>
            <w:r>
              <w:rPr/>
              <w:t> </w:t>
            </w:r>
          </w:p>
        </w:tc>
      </w:tr>
      <w:tr>
        <w:trPr/>
        <w:tc>
          <w:tcPr>
            <w:tcW w:w="9793" w:type="dxa"/>
            <w:tcBorders/>
            <w:shd w:fill="auto" w:val="clear"/>
          </w:tcPr>
          <w:p>
            <w:pPr>
              <w:pStyle w:val="TableContents"/>
              <w:spacing w:before="0" w:after="0"/>
              <w:ind w:left="0" w:right="0" w:hanging="0"/>
              <w:jc w:val="left"/>
              <w:rPr/>
            </w:pPr>
            <w:r>
              <w:rPr/>
              <w:t> </w:t>
            </w:r>
          </w:p>
        </w:tc>
        <w:tc>
          <w:tcPr>
            <w:tcW w:w="412" w:type="dxa"/>
            <w:tcBorders/>
            <w:shd w:fill="auto" w:val="clear"/>
          </w:tcPr>
          <w:p>
            <w:pPr>
              <w:pStyle w:val="TableContents"/>
              <w:spacing w:before="0" w:after="0"/>
              <w:ind w:left="0" w:right="0" w:hanging="0"/>
              <w:jc w:val="right"/>
              <w:rPr/>
            </w:pPr>
            <w:r>
              <w:rPr/>
              <w:t> </w:t>
            </w:r>
          </w:p>
        </w:tc>
      </w:tr>
      <w:tr>
        <w:trPr/>
        <w:tc>
          <w:tcPr>
            <w:tcW w:w="9793" w:type="dxa"/>
            <w:tcBorders/>
            <w:shd w:fill="auto" w:val="clear"/>
          </w:tcPr>
          <w:p>
            <w:pPr>
              <w:pStyle w:val="TableContents"/>
              <w:spacing w:before="0" w:after="0"/>
              <w:ind w:left="0" w:right="0" w:hanging="0"/>
              <w:jc w:val="left"/>
              <w:rPr/>
            </w:pPr>
            <w:hyperlink w:anchor="Section11_1_234628">
              <w:r>
                <w:rPr>
                  <w:rStyle w:val="InternetLink"/>
                  <w:rFonts w:ascii="Times New Roman" w:hAnsi="Times New Roman"/>
                  <w:sz w:val="17"/>
                </w:rPr>
                <w:t>Section 11.1 Notices</w:t>
              </w:r>
            </w:hyperlink>
          </w:p>
        </w:tc>
        <w:tc>
          <w:tcPr>
            <w:tcW w:w="412" w:type="dxa"/>
            <w:tcBorders/>
            <w:shd w:fill="auto" w:val="clear"/>
          </w:tcPr>
          <w:p>
            <w:pPr>
              <w:pStyle w:val="TableContents"/>
              <w:spacing w:before="0" w:after="0"/>
              <w:ind w:left="0" w:right="0" w:hanging="0"/>
              <w:jc w:val="right"/>
              <w:rPr/>
            </w:pPr>
            <w:r>
              <w:rPr/>
              <w:t> </w:t>
            </w:r>
          </w:p>
        </w:tc>
      </w:tr>
      <w:tr>
        <w:trPr/>
        <w:tc>
          <w:tcPr>
            <w:tcW w:w="9793" w:type="dxa"/>
            <w:tcBorders/>
            <w:shd w:fill="auto" w:val="clear"/>
          </w:tcPr>
          <w:p>
            <w:pPr>
              <w:pStyle w:val="TableContents"/>
              <w:spacing w:before="0" w:after="0"/>
              <w:ind w:left="0" w:right="0" w:hanging="0"/>
              <w:jc w:val="left"/>
              <w:rPr/>
            </w:pPr>
            <w:hyperlink w:anchor="Section11_2_235349">
              <w:r>
                <w:rPr>
                  <w:rStyle w:val="InternetLink"/>
                  <w:rFonts w:ascii="Times New Roman" w:hAnsi="Times New Roman"/>
                  <w:sz w:val="17"/>
                </w:rPr>
                <w:t>Section 11.2 Assignment</w:t>
              </w:r>
            </w:hyperlink>
          </w:p>
        </w:tc>
        <w:tc>
          <w:tcPr>
            <w:tcW w:w="412" w:type="dxa"/>
            <w:tcBorders/>
            <w:shd w:fill="auto" w:val="clear"/>
          </w:tcPr>
          <w:p>
            <w:pPr>
              <w:pStyle w:val="TableContents"/>
              <w:spacing w:before="0" w:after="0"/>
              <w:ind w:left="0" w:right="0" w:hanging="0"/>
              <w:jc w:val="right"/>
              <w:rPr/>
            </w:pPr>
            <w:r>
              <w:rPr/>
              <w:t> </w:t>
            </w:r>
          </w:p>
        </w:tc>
      </w:tr>
      <w:tr>
        <w:trPr/>
        <w:tc>
          <w:tcPr>
            <w:tcW w:w="9793" w:type="dxa"/>
            <w:tcBorders/>
            <w:shd w:fill="auto" w:val="clear"/>
          </w:tcPr>
          <w:p>
            <w:pPr>
              <w:pStyle w:val="TableContents"/>
              <w:spacing w:before="0" w:after="0"/>
              <w:ind w:left="0" w:right="0" w:hanging="0"/>
              <w:jc w:val="left"/>
              <w:rPr/>
            </w:pPr>
            <w:hyperlink w:anchor="Section11_3_235351">
              <w:r>
                <w:rPr>
                  <w:rStyle w:val="InternetLink"/>
                  <w:rFonts w:ascii="Times New Roman" w:hAnsi="Times New Roman"/>
                  <w:sz w:val="17"/>
                </w:rPr>
                <w:t>Section 11.3 Rights of Third Parties</w:t>
              </w:r>
            </w:hyperlink>
          </w:p>
        </w:tc>
        <w:tc>
          <w:tcPr>
            <w:tcW w:w="412" w:type="dxa"/>
            <w:tcBorders/>
            <w:shd w:fill="auto" w:val="clear"/>
          </w:tcPr>
          <w:p>
            <w:pPr>
              <w:pStyle w:val="TableContents"/>
              <w:spacing w:before="0" w:after="0"/>
              <w:ind w:left="0" w:right="0" w:hanging="0"/>
              <w:jc w:val="right"/>
              <w:rPr/>
            </w:pPr>
            <w:r>
              <w:rPr/>
              <w:t> </w:t>
            </w:r>
          </w:p>
        </w:tc>
      </w:tr>
      <w:tr>
        <w:trPr/>
        <w:tc>
          <w:tcPr>
            <w:tcW w:w="9793" w:type="dxa"/>
            <w:tcBorders/>
            <w:shd w:fill="auto" w:val="clear"/>
          </w:tcPr>
          <w:p>
            <w:pPr>
              <w:pStyle w:val="TableContents"/>
              <w:spacing w:before="0" w:after="0"/>
              <w:ind w:left="0" w:right="0" w:hanging="0"/>
              <w:jc w:val="left"/>
              <w:rPr/>
            </w:pPr>
            <w:hyperlink w:anchor="Section11_4_235353">
              <w:r>
                <w:rPr>
                  <w:rStyle w:val="InternetLink"/>
                  <w:rFonts w:ascii="Times New Roman" w:hAnsi="Times New Roman"/>
                  <w:sz w:val="17"/>
                </w:rPr>
                <w:t>Section 11.4 Expenses</w:t>
              </w:r>
            </w:hyperlink>
          </w:p>
        </w:tc>
        <w:tc>
          <w:tcPr>
            <w:tcW w:w="412" w:type="dxa"/>
            <w:tcBorders/>
            <w:shd w:fill="auto" w:val="clear"/>
          </w:tcPr>
          <w:p>
            <w:pPr>
              <w:pStyle w:val="TableContents"/>
              <w:spacing w:before="0" w:after="0"/>
              <w:ind w:left="0" w:right="0" w:hanging="0"/>
              <w:jc w:val="right"/>
              <w:rPr/>
            </w:pPr>
            <w:r>
              <w:rPr/>
              <w:t> </w:t>
            </w:r>
          </w:p>
        </w:tc>
      </w:tr>
      <w:tr>
        <w:trPr/>
        <w:tc>
          <w:tcPr>
            <w:tcW w:w="9793" w:type="dxa"/>
            <w:tcBorders/>
            <w:shd w:fill="auto" w:val="clear"/>
          </w:tcPr>
          <w:p>
            <w:pPr>
              <w:pStyle w:val="TableContents"/>
              <w:spacing w:before="0" w:after="0"/>
              <w:ind w:left="0" w:right="0" w:hanging="0"/>
              <w:jc w:val="left"/>
              <w:rPr/>
            </w:pPr>
            <w:hyperlink w:anchor="Section11_5_235355">
              <w:r>
                <w:rPr>
                  <w:rStyle w:val="InternetLink"/>
                  <w:rFonts w:ascii="Times New Roman" w:hAnsi="Times New Roman"/>
                  <w:sz w:val="17"/>
                </w:rPr>
                <w:t>Section 11.5 Counterparts</w:t>
              </w:r>
            </w:hyperlink>
          </w:p>
        </w:tc>
        <w:tc>
          <w:tcPr>
            <w:tcW w:w="412" w:type="dxa"/>
            <w:tcBorders/>
            <w:shd w:fill="auto" w:val="clear"/>
          </w:tcPr>
          <w:p>
            <w:pPr>
              <w:pStyle w:val="TableContents"/>
              <w:spacing w:before="0" w:after="0"/>
              <w:ind w:left="0" w:right="0" w:hanging="0"/>
              <w:jc w:val="right"/>
              <w:rPr/>
            </w:pPr>
            <w:r>
              <w:rPr/>
              <w:t> </w:t>
            </w:r>
          </w:p>
        </w:tc>
      </w:tr>
      <w:tr>
        <w:trPr/>
        <w:tc>
          <w:tcPr>
            <w:tcW w:w="9793" w:type="dxa"/>
            <w:tcBorders/>
            <w:shd w:fill="auto" w:val="clear"/>
          </w:tcPr>
          <w:p>
            <w:pPr>
              <w:pStyle w:val="TableContents"/>
              <w:spacing w:before="0" w:after="0"/>
              <w:ind w:left="0" w:right="0" w:hanging="0"/>
              <w:jc w:val="left"/>
              <w:rPr/>
            </w:pPr>
            <w:hyperlink w:anchor="Section11_6_235357">
              <w:r>
                <w:rPr>
                  <w:rStyle w:val="InternetLink"/>
                  <w:rFonts w:ascii="Times New Roman" w:hAnsi="Times New Roman"/>
                  <w:sz w:val="17"/>
                </w:rPr>
                <w:t>Section 11.6 Entire Agreement</w:t>
              </w:r>
            </w:hyperlink>
          </w:p>
        </w:tc>
        <w:tc>
          <w:tcPr>
            <w:tcW w:w="412" w:type="dxa"/>
            <w:tcBorders/>
            <w:shd w:fill="auto" w:val="clear"/>
          </w:tcPr>
          <w:p>
            <w:pPr>
              <w:pStyle w:val="TableContents"/>
              <w:spacing w:before="0" w:after="0"/>
              <w:ind w:left="0" w:right="0" w:hanging="0"/>
              <w:jc w:val="right"/>
              <w:rPr/>
            </w:pPr>
            <w:r>
              <w:rPr/>
              <w:t> </w:t>
            </w:r>
          </w:p>
        </w:tc>
      </w:tr>
      <w:tr>
        <w:trPr/>
        <w:tc>
          <w:tcPr>
            <w:tcW w:w="9793" w:type="dxa"/>
            <w:tcBorders/>
            <w:shd w:fill="auto" w:val="clear"/>
          </w:tcPr>
          <w:p>
            <w:pPr>
              <w:pStyle w:val="TableContents"/>
              <w:spacing w:before="0" w:after="0"/>
              <w:ind w:left="0" w:right="0" w:hanging="0"/>
              <w:jc w:val="left"/>
              <w:rPr/>
            </w:pPr>
            <w:hyperlink w:anchor="Section11_7_235400">
              <w:r>
                <w:rPr>
                  <w:rStyle w:val="InternetLink"/>
                  <w:rFonts w:ascii="Times New Roman" w:hAnsi="Times New Roman"/>
                  <w:sz w:val="17"/>
                </w:rPr>
                <w:t>Section 11.7 Disclosure Schedule</w:t>
              </w:r>
            </w:hyperlink>
          </w:p>
        </w:tc>
        <w:tc>
          <w:tcPr>
            <w:tcW w:w="412" w:type="dxa"/>
            <w:tcBorders/>
            <w:shd w:fill="auto" w:val="clear"/>
          </w:tcPr>
          <w:p>
            <w:pPr>
              <w:pStyle w:val="TableContents"/>
              <w:spacing w:before="0" w:after="0"/>
              <w:ind w:left="0" w:right="0" w:hanging="0"/>
              <w:jc w:val="right"/>
              <w:rPr/>
            </w:pPr>
            <w:r>
              <w:rPr/>
              <w:t> </w:t>
            </w:r>
          </w:p>
        </w:tc>
      </w:tr>
      <w:tr>
        <w:trPr/>
        <w:tc>
          <w:tcPr>
            <w:tcW w:w="9793" w:type="dxa"/>
            <w:tcBorders/>
            <w:shd w:fill="auto" w:val="clear"/>
          </w:tcPr>
          <w:p>
            <w:pPr>
              <w:pStyle w:val="TableContents"/>
              <w:spacing w:before="0" w:after="0"/>
              <w:ind w:left="0" w:right="0" w:hanging="0"/>
              <w:jc w:val="left"/>
              <w:rPr/>
            </w:pPr>
            <w:hyperlink w:anchor="Section11_8_235404">
              <w:r>
                <w:rPr>
                  <w:rStyle w:val="InternetLink"/>
                  <w:rFonts w:ascii="Times New Roman" w:hAnsi="Times New Roman"/>
                  <w:sz w:val="17"/>
                </w:rPr>
                <w:t>Section 11.8 Amendments, Supplements, Etc</w:t>
              </w:r>
            </w:hyperlink>
          </w:p>
        </w:tc>
        <w:tc>
          <w:tcPr>
            <w:tcW w:w="412" w:type="dxa"/>
            <w:tcBorders/>
            <w:shd w:fill="auto" w:val="clear"/>
          </w:tcPr>
          <w:p>
            <w:pPr>
              <w:pStyle w:val="TableContents"/>
              <w:spacing w:before="0" w:after="0"/>
              <w:ind w:left="0" w:right="0" w:hanging="0"/>
              <w:jc w:val="right"/>
              <w:rPr/>
            </w:pPr>
            <w:r>
              <w:rPr/>
              <w:t> </w:t>
            </w:r>
          </w:p>
        </w:tc>
      </w:tr>
      <w:tr>
        <w:trPr/>
        <w:tc>
          <w:tcPr>
            <w:tcW w:w="9793" w:type="dxa"/>
            <w:tcBorders/>
            <w:shd w:fill="auto" w:val="clear"/>
          </w:tcPr>
          <w:p>
            <w:pPr>
              <w:pStyle w:val="TableContents"/>
              <w:spacing w:before="0" w:after="0"/>
              <w:ind w:left="0" w:right="0" w:hanging="0"/>
              <w:jc w:val="left"/>
              <w:rPr/>
            </w:pPr>
            <w:hyperlink w:anchor="Section11_9_235406">
              <w:r>
                <w:rPr>
                  <w:rStyle w:val="InternetLink"/>
                  <w:rFonts w:ascii="Times New Roman" w:hAnsi="Times New Roman"/>
                  <w:sz w:val="17"/>
                </w:rPr>
                <w:t>Section 11.9 Publicity</w:t>
              </w:r>
            </w:hyperlink>
          </w:p>
        </w:tc>
        <w:tc>
          <w:tcPr>
            <w:tcW w:w="412" w:type="dxa"/>
            <w:tcBorders/>
            <w:shd w:fill="auto" w:val="clear"/>
          </w:tcPr>
          <w:p>
            <w:pPr>
              <w:pStyle w:val="TableContents"/>
              <w:spacing w:before="0" w:after="0"/>
              <w:ind w:left="0" w:right="0" w:hanging="0"/>
              <w:jc w:val="right"/>
              <w:rPr/>
            </w:pPr>
            <w:r>
              <w:rPr/>
              <w:t> </w:t>
            </w:r>
          </w:p>
        </w:tc>
      </w:tr>
      <w:tr>
        <w:trPr/>
        <w:tc>
          <w:tcPr>
            <w:tcW w:w="9793" w:type="dxa"/>
            <w:tcBorders/>
            <w:shd w:fill="auto" w:val="clear"/>
          </w:tcPr>
          <w:p>
            <w:pPr>
              <w:pStyle w:val="TableContents"/>
              <w:spacing w:before="0" w:after="0"/>
              <w:ind w:left="0" w:right="0" w:hanging="0"/>
              <w:jc w:val="left"/>
              <w:rPr/>
            </w:pPr>
            <w:hyperlink w:anchor="Section11_10_235410">
              <w:r>
                <w:rPr>
                  <w:rStyle w:val="InternetLink"/>
                  <w:rFonts w:ascii="Times New Roman" w:hAnsi="Times New Roman"/>
                  <w:sz w:val="17"/>
                </w:rPr>
                <w:t>Section 11.10 Severability</w:t>
              </w:r>
            </w:hyperlink>
          </w:p>
        </w:tc>
        <w:tc>
          <w:tcPr>
            <w:tcW w:w="412" w:type="dxa"/>
            <w:tcBorders/>
            <w:shd w:fill="auto" w:val="clear"/>
          </w:tcPr>
          <w:p>
            <w:pPr>
              <w:pStyle w:val="TableContents"/>
              <w:spacing w:before="0" w:after="0"/>
              <w:ind w:left="0" w:right="0" w:hanging="0"/>
              <w:jc w:val="right"/>
              <w:rPr/>
            </w:pPr>
            <w:r>
              <w:rPr/>
              <w:t> </w:t>
            </w:r>
          </w:p>
        </w:tc>
      </w:tr>
      <w:tr>
        <w:trPr/>
        <w:tc>
          <w:tcPr>
            <w:tcW w:w="9793" w:type="dxa"/>
            <w:tcBorders/>
            <w:shd w:fill="auto" w:val="clear"/>
          </w:tcPr>
          <w:p>
            <w:pPr>
              <w:pStyle w:val="TableContents"/>
              <w:spacing w:before="0" w:after="0"/>
              <w:ind w:left="0" w:right="0" w:hanging="0"/>
              <w:jc w:val="left"/>
              <w:rPr/>
            </w:pPr>
            <w:hyperlink w:anchor="Section11_11_235413">
              <w:r>
                <w:rPr>
                  <w:rStyle w:val="InternetLink"/>
                  <w:rFonts w:ascii="Times New Roman" w:hAnsi="Times New Roman"/>
                  <w:sz w:val="17"/>
                </w:rPr>
                <w:t>Section 11.11 Applicable Law; Waiver of Jury Trial</w:t>
              </w:r>
            </w:hyperlink>
          </w:p>
        </w:tc>
        <w:tc>
          <w:tcPr>
            <w:tcW w:w="412" w:type="dxa"/>
            <w:tcBorders/>
            <w:shd w:fill="auto" w:val="clear"/>
          </w:tcPr>
          <w:p>
            <w:pPr>
              <w:pStyle w:val="TableContents"/>
              <w:spacing w:before="0" w:after="0"/>
              <w:ind w:left="0" w:right="0" w:hanging="0"/>
              <w:jc w:val="right"/>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iii</w:t>
      </w:r>
    </w:p>
    <w:p>
      <w:pPr>
        <w:pStyle w:val="HorizontalLine"/>
        <w:pBdr>
          <w:bottom w:val="single" w:sz="12" w:space="0" w:color="808080"/>
        </w:pBdr>
        <w:spacing w:before="0" w:after="0"/>
        <w:jc w:val="left"/>
        <w:rPr/>
      </w:pPr>
      <w:r>
        <w:rPr/>
      </w:r>
      <w:r>
        <w:br w:type="page"/>
      </w:r>
    </w:p>
    <w:p>
      <w:pPr>
        <w:pStyle w:val="TextBody"/>
        <w:spacing w:before="0" w:after="0"/>
        <w:ind w:left="0" w:right="0" w:hanging="0"/>
        <w:jc w:val="center"/>
        <w:rPr/>
      </w:pPr>
      <w:r>
        <w:rPr/>
        <w:t> </w:t>
      </w:r>
    </w:p>
    <w:p>
      <w:pPr>
        <w:pStyle w:val="TextBody"/>
        <w:spacing w:before="0" w:after="0"/>
        <w:ind w:left="0" w:right="0" w:hanging="0"/>
        <w:jc w:val="left"/>
        <w:rPr>
          <w:rFonts w:ascii="Times New Roman" w:hAnsi="Times New Roman"/>
          <w:b/>
          <w:sz w:val="17"/>
          <w:u w:val="single"/>
        </w:rPr>
      </w:pPr>
      <w:r>
        <w:rPr>
          <w:rFonts w:ascii="Times New Roman" w:hAnsi="Times New Roman"/>
          <w:b/>
          <w:sz w:val="17"/>
          <w:u w:val="single"/>
        </w:rPr>
        <w:t>Exhibits</w:t>
      </w:r>
    </w:p>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832"/>
        <w:gridCol w:w="313"/>
        <w:gridCol w:w="9060"/>
      </w:tblGrid>
      <w:tr>
        <w:trPr/>
        <w:tc>
          <w:tcPr>
            <w:tcW w:w="832"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Exhibit A</w:t>
            </w:r>
          </w:p>
        </w:tc>
        <w:tc>
          <w:tcPr>
            <w:tcW w:w="313"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9060" w:type="dxa"/>
            <w:tcBorders/>
            <w:shd w:fill="auto" w:val="clear"/>
          </w:tcPr>
          <w:p>
            <w:pPr>
              <w:pStyle w:val="TableContents"/>
              <w:spacing w:before="0" w:after="0"/>
              <w:ind w:left="0" w:right="0" w:hanging="0"/>
              <w:jc w:val="left"/>
              <w:rPr/>
            </w:pPr>
            <w:r>
              <w:rPr/>
              <w:t> </w:t>
            </w:r>
            <w:r>
              <w:rPr>
                <w:rFonts w:ascii="Times New Roman" w:hAnsi="Times New Roman"/>
                <w:sz w:val="17"/>
              </w:rPr>
              <w:t>Form of Transition Services Agreement</w:t>
            </w:r>
          </w:p>
        </w:tc>
      </w:tr>
      <w:tr>
        <w:trPr/>
        <w:tc>
          <w:tcPr>
            <w:tcW w:w="832" w:type="dxa"/>
            <w:tcBorders/>
            <w:shd w:fill="auto" w:val="clear"/>
          </w:tcPr>
          <w:p>
            <w:pPr>
              <w:pStyle w:val="TableContents"/>
              <w:spacing w:before="0" w:after="0"/>
              <w:ind w:left="0" w:right="0" w:hanging="0"/>
              <w:jc w:val="left"/>
              <w:rPr/>
            </w:pPr>
            <w:r>
              <w:rPr/>
              <w:t> </w:t>
            </w:r>
          </w:p>
        </w:tc>
        <w:tc>
          <w:tcPr>
            <w:tcW w:w="313" w:type="dxa"/>
            <w:tcBorders/>
            <w:shd w:fill="auto" w:val="clear"/>
          </w:tcPr>
          <w:p>
            <w:pPr>
              <w:pStyle w:val="TableContents"/>
              <w:spacing w:before="0" w:after="0"/>
              <w:ind w:left="0" w:right="0" w:hanging="0"/>
              <w:jc w:val="center"/>
              <w:rPr/>
            </w:pPr>
            <w:r>
              <w:rPr/>
              <w:t> </w:t>
            </w:r>
          </w:p>
        </w:tc>
        <w:tc>
          <w:tcPr>
            <w:tcW w:w="9060" w:type="dxa"/>
            <w:tcBorders/>
            <w:shd w:fill="auto" w:val="clear"/>
          </w:tcPr>
          <w:p>
            <w:pPr>
              <w:pStyle w:val="TableContents"/>
              <w:spacing w:before="0" w:after="0"/>
              <w:ind w:left="0" w:right="0" w:hanging="0"/>
              <w:jc w:val="left"/>
              <w:rPr/>
            </w:pPr>
            <w:r>
              <w:rPr/>
              <w:t> </w:t>
            </w:r>
          </w:p>
        </w:tc>
      </w:tr>
      <w:tr>
        <w:trPr/>
        <w:tc>
          <w:tcPr>
            <w:tcW w:w="832"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Exhibit B</w:t>
            </w:r>
          </w:p>
        </w:tc>
        <w:tc>
          <w:tcPr>
            <w:tcW w:w="313"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9060" w:type="dxa"/>
            <w:tcBorders/>
            <w:shd w:fill="auto" w:val="clear"/>
          </w:tcPr>
          <w:p>
            <w:pPr>
              <w:pStyle w:val="TableContents"/>
              <w:spacing w:before="0" w:after="0"/>
              <w:ind w:left="0" w:right="0" w:hanging="0"/>
              <w:jc w:val="left"/>
              <w:rPr/>
            </w:pPr>
            <w:r>
              <w:rPr/>
              <w:t> </w:t>
            </w:r>
            <w:r>
              <w:rPr>
                <w:rFonts w:ascii="Times New Roman" w:hAnsi="Times New Roman"/>
                <w:sz w:val="17"/>
              </w:rPr>
              <w:t>Form of Membership Interest Assignment</w:t>
            </w:r>
          </w:p>
        </w:tc>
      </w:tr>
      <w:tr>
        <w:trPr/>
        <w:tc>
          <w:tcPr>
            <w:tcW w:w="832" w:type="dxa"/>
            <w:tcBorders/>
            <w:shd w:fill="auto" w:val="clear"/>
          </w:tcPr>
          <w:p>
            <w:pPr>
              <w:pStyle w:val="TableContents"/>
              <w:spacing w:before="0" w:after="0"/>
              <w:ind w:left="0" w:right="0" w:hanging="0"/>
              <w:jc w:val="left"/>
              <w:rPr/>
            </w:pPr>
            <w:r>
              <w:rPr/>
              <w:t> </w:t>
            </w:r>
          </w:p>
        </w:tc>
        <w:tc>
          <w:tcPr>
            <w:tcW w:w="313" w:type="dxa"/>
            <w:tcBorders/>
            <w:shd w:fill="auto" w:val="clear"/>
          </w:tcPr>
          <w:p>
            <w:pPr>
              <w:pStyle w:val="TableContents"/>
              <w:spacing w:before="0" w:after="0"/>
              <w:ind w:left="0" w:right="0" w:hanging="0"/>
              <w:jc w:val="center"/>
              <w:rPr/>
            </w:pPr>
            <w:r>
              <w:rPr/>
              <w:t> </w:t>
            </w:r>
          </w:p>
        </w:tc>
        <w:tc>
          <w:tcPr>
            <w:tcW w:w="9060" w:type="dxa"/>
            <w:tcBorders/>
            <w:shd w:fill="auto" w:val="clear"/>
          </w:tcPr>
          <w:p>
            <w:pPr>
              <w:pStyle w:val="TableContents"/>
              <w:spacing w:before="0" w:after="0"/>
              <w:ind w:left="0" w:right="0" w:hanging="0"/>
              <w:jc w:val="left"/>
              <w:rPr/>
            </w:pPr>
            <w:r>
              <w:rPr/>
              <w:t> </w:t>
            </w:r>
          </w:p>
        </w:tc>
      </w:tr>
      <w:tr>
        <w:trPr/>
        <w:tc>
          <w:tcPr>
            <w:tcW w:w="832"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Exhibit C</w:t>
            </w:r>
          </w:p>
        </w:tc>
        <w:tc>
          <w:tcPr>
            <w:tcW w:w="313"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9060" w:type="dxa"/>
            <w:tcBorders/>
            <w:shd w:fill="auto" w:val="clear"/>
          </w:tcPr>
          <w:p>
            <w:pPr>
              <w:pStyle w:val="TableContents"/>
              <w:spacing w:before="0" w:after="0"/>
              <w:ind w:left="0" w:right="0" w:hanging="0"/>
              <w:jc w:val="left"/>
              <w:rPr/>
            </w:pPr>
            <w:r>
              <w:rPr/>
              <w:t> </w:t>
            </w:r>
            <w:r>
              <w:rPr>
                <w:rFonts w:ascii="Times New Roman" w:hAnsi="Times New Roman"/>
                <w:sz w:val="17"/>
              </w:rPr>
              <w:t>Form of Limited Liability Company Operating Agreement</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iv</w:t>
      </w:r>
    </w:p>
    <w:p>
      <w:pPr>
        <w:pStyle w:val="HorizontalLine"/>
        <w:pBdr>
          <w:bottom w:val="single" w:sz="12" w:space="0" w:color="808080"/>
        </w:pBdr>
        <w:spacing w:before="0" w:after="0"/>
        <w:jc w:val="left"/>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MEMBERSHIP INTEREST PURCHASE AGREEMENT</w:t>
      </w:r>
    </w:p>
    <w:p>
      <w:pPr>
        <w:pStyle w:val="TextBody"/>
        <w:spacing w:before="0" w:after="0"/>
        <w:ind w:left="0" w:right="0" w:hanging="0"/>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THIS MEMBERSHIP INTEREST PURCHASE AGREEMENT, dated as of August 19, 2005 (this </w:t>
      </w:r>
      <w:r>
        <w:rPr>
          <w:rFonts w:ascii="Times New Roman" w:hAnsi="Times New Roman"/>
          <w:sz w:val="17"/>
          <w:u w:val="single"/>
        </w:rPr>
        <w:t>Agreement</w:t>
      </w:r>
      <w:r>
        <w:rPr>
          <w:rFonts w:ascii="Times New Roman" w:hAnsi="Times New Roman"/>
          <w:sz w:val="17"/>
        </w:rPr>
        <w:t>), is entered into by and between Sempra Energy Trading Corp., a Delaware corporation (</w:t>
      </w:r>
      <w:r>
        <w:rPr>
          <w:rFonts w:ascii="Times New Roman" w:hAnsi="Times New Roman"/>
          <w:sz w:val="17"/>
          <w:u w:val="single"/>
        </w:rPr>
        <w:t>Seller</w:t>
      </w:r>
      <w:r>
        <w:rPr>
          <w:rFonts w:ascii="Times New Roman" w:hAnsi="Times New Roman"/>
          <w:sz w:val="17"/>
        </w:rPr>
        <w:t>), and PAA/Vulcan Gas Storage, LLC, a Delaware limited liability company (</w:t>
      </w:r>
      <w:r>
        <w:rPr>
          <w:rFonts w:ascii="Times New Roman" w:hAnsi="Times New Roman"/>
          <w:sz w:val="17"/>
          <w:u w:val="single"/>
        </w:rPr>
        <w:t>Buyer</w:t>
      </w:r>
      <w:r>
        <w:rPr>
          <w:rFonts w:ascii="Times New Roman" w:hAnsi="Times New Roman"/>
          <w:sz w:val="17"/>
        </w:rPr>
        <w:t>).</w:t>
      </w:r>
    </w:p>
    <w:p>
      <w:pPr>
        <w:pStyle w:val="TextBody"/>
        <w:spacing w:before="0" w:after="0"/>
        <w:ind w:left="0" w:right="0" w:hanging="0"/>
        <w:jc w:val="left"/>
        <w:rPr/>
      </w:pPr>
      <w:r>
        <w:rPr/>
        <w:t> </w:t>
      </w:r>
    </w:p>
    <w:p>
      <w:pPr>
        <w:pStyle w:val="TextBody"/>
        <w:spacing w:before="0" w:after="0"/>
        <w:ind w:left="0" w:right="0" w:hanging="0"/>
        <w:rPr>
          <w:rFonts w:ascii="Times New Roman" w:hAnsi="Times New Roman"/>
          <w:b/>
          <w:sz w:val="17"/>
        </w:rPr>
      </w:pPr>
      <w:r>
        <w:rPr>
          <w:rFonts w:ascii="Times New Roman" w:hAnsi="Times New Roman"/>
          <w:b/>
          <w:sz w:val="17"/>
        </w:rPr>
        <w:t>RECITALS</w:t>
      </w:r>
    </w:p>
    <w:p>
      <w:pPr>
        <w:pStyle w:val="TextBody"/>
        <w:spacing w:before="0" w:after="0"/>
        <w:ind w:left="0" w:right="0" w:hanging="0"/>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WHEREAS, Seller owns one hundred percent (100%) of the issued and outstanding capital stock of the Company;</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WHEREAS, the Company owns one hundred percent (100%) of the issued and outstanding capital stock of each of BGS Corp. and PPEC Corp.;</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WHEREAS, BGS Corp. owns one hundred percent (100%) of the membership interests in Bluewater Gas Storage, LLC, a Delaware limited liability company (</w:t>
      </w:r>
      <w:r>
        <w:rPr>
          <w:rFonts w:ascii="Times New Roman" w:hAnsi="Times New Roman"/>
          <w:sz w:val="17"/>
          <w:u w:val="single"/>
        </w:rPr>
        <w:t>BGS LLC</w:t>
      </w:r>
      <w:r>
        <w:rPr>
          <w:rFonts w:ascii="Times New Roman" w:hAnsi="Times New Roman"/>
          <w:sz w:val="17"/>
        </w:rPr>
        <w:t>), and PPEC Corp. owns one hundred percent (100%) of the membership interests in Pine Prairie Energy Center, LLC, a Delaware limited liability company (</w:t>
      </w:r>
      <w:r>
        <w:rPr>
          <w:rFonts w:ascii="Times New Roman" w:hAnsi="Times New Roman"/>
          <w:sz w:val="17"/>
          <w:u w:val="single"/>
        </w:rPr>
        <w:t>PPEC LLC</w:t>
      </w:r>
      <w:r>
        <w:rPr>
          <w:rFonts w:ascii="Times New Roman" w:hAnsi="Times New Roman"/>
          <w:sz w:val="17"/>
        </w:rPr>
        <w:t>; and together with each of BGS Corp., PPEC Corp. and BGS LLC, a </w:t>
      </w:r>
      <w:r>
        <w:rPr>
          <w:rFonts w:ascii="Times New Roman" w:hAnsi="Times New Roman"/>
          <w:sz w:val="17"/>
          <w:u w:val="single"/>
        </w:rPr>
        <w:t>Subsidiary</w:t>
      </w:r>
      <w:r>
        <w:rPr>
          <w:rFonts w:ascii="Times New Roman" w:hAnsi="Times New Roman"/>
          <w:sz w:val="17"/>
        </w:rPr>
        <w:t> and, collectively, the </w:t>
      </w:r>
      <w:r>
        <w:rPr>
          <w:rFonts w:ascii="Times New Roman" w:hAnsi="Times New Roman"/>
          <w:sz w:val="17"/>
          <w:u w:val="single"/>
        </w:rPr>
        <w:t>Subsidiaries</w:t>
      </w:r>
      <w:r>
        <w:rPr>
          <w:rFonts w:ascii="Times New Roman" w:hAnsi="Times New Roman"/>
          <w:sz w:val="17"/>
        </w:rPr>
        <w: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WHEREAS, BGS LLC owns and operates a natural gas storage facility located in Macombe and St. Clair Counties, Michigan, which facility includes certain buildings, equipment, compressors, structures, and pipelines located on a substantially depleted reservoir known as the Columbus III Reservoir (the </w:t>
      </w:r>
      <w:r>
        <w:rPr>
          <w:rFonts w:ascii="Times New Roman" w:hAnsi="Times New Roman"/>
          <w:sz w:val="17"/>
          <w:u w:val="single"/>
        </w:rPr>
        <w:t>BGS Storage Facility</w:t>
      </w:r>
      <w:r>
        <w:rPr>
          <w:rFonts w:ascii="Times New Roman" w:hAnsi="Times New Roman"/>
          <w:sz w:val="17"/>
        </w:rPr>
        <w:t>), and PPEC LLC is engaged in the development of a salt cavern natural gas storage facility located in Evangeline Parish, Louisiana (the </w:t>
      </w:r>
      <w:r>
        <w:rPr>
          <w:rFonts w:ascii="Times New Roman" w:hAnsi="Times New Roman"/>
          <w:sz w:val="17"/>
          <w:u w:val="single"/>
        </w:rPr>
        <w:t>Project</w:t>
      </w:r>
      <w:r>
        <w:rPr>
          <w:rFonts w:ascii="Times New Roman" w:hAnsi="Times New Roman"/>
          <w:sz w:val="17"/>
        </w:rPr>
        <w:t>); and</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WHEREAS, Seller desires to sell to Buyer, and Buyer desires to purchase from Seller, all of the membership interests in the Company (the </w:t>
      </w:r>
      <w:r>
        <w:rPr>
          <w:rFonts w:ascii="Times New Roman" w:hAnsi="Times New Roman"/>
          <w:sz w:val="17"/>
          <w:u w:val="single"/>
        </w:rPr>
        <w:t>Membership Interests</w:t>
      </w:r>
      <w:r>
        <w:rPr>
          <w:rFonts w:ascii="Times New Roman" w:hAnsi="Times New Roman"/>
          <w:sz w:val="17"/>
        </w:rPr>
        <w:t>) which shall have been issued to Seller in exchange for, and upon the cancellation of, all of the issued and outstanding capital stock of the Company (the </w:t>
      </w:r>
      <w:r>
        <w:rPr>
          <w:rFonts w:ascii="Times New Roman" w:hAnsi="Times New Roman"/>
          <w:sz w:val="17"/>
          <w:u w:val="single"/>
        </w:rPr>
        <w:t>Shares</w:t>
      </w:r>
      <w:r>
        <w:rPr>
          <w:rFonts w:ascii="Times New Roman" w:hAnsi="Times New Roman"/>
          <w:sz w:val="17"/>
        </w:rPr>
        <w:t>) pursuant to the Conversion Transactions.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NOW, THEREFORE, in consideration of the premises and mutual covenants contained herein and other good and valuable consideration, the receipt and sufficiency of which are hereby acknowledged, the Parties agree as follows:</w:t>
      </w:r>
    </w:p>
    <w:p>
      <w:pPr>
        <w:pStyle w:val="TextBody"/>
        <w:spacing w:before="0" w:after="0"/>
        <w:ind w:left="0" w:right="0" w:hanging="0"/>
        <w:jc w:val="left"/>
        <w:rPr/>
      </w:pPr>
      <w:r>
        <w:rPr/>
        <w:t> </w:t>
      </w:r>
    </w:p>
    <w:p>
      <w:pPr>
        <w:pStyle w:val="Heading1"/>
        <w:spacing w:before="0" w:after="0"/>
        <w:ind w:left="0" w:right="0" w:hanging="0"/>
        <w:rPr>
          <w:rFonts w:ascii="Times New Roman" w:hAnsi="Times New Roman"/>
          <w:b/>
          <w:sz w:val="17"/>
        </w:rPr>
      </w:pPr>
      <w:bookmarkStart w:id="115" w:name="Articlei_233506"/>
      <w:bookmarkEnd w:id="115"/>
      <w:r>
        <w:rPr>
          <w:rFonts w:ascii="Times New Roman" w:hAnsi="Times New Roman"/>
          <w:b/>
          <w:sz w:val="17"/>
        </w:rPr>
        <w:t>ARTICLE I</w:t>
      </w:r>
    </w:p>
    <w:p>
      <w:pPr>
        <w:pStyle w:val="TextBody"/>
        <w:spacing w:before="0" w:after="0"/>
        <w:ind w:left="0" w:right="0" w:hanging="0"/>
        <w:rPr/>
      </w:pPr>
      <w:r>
        <w:rPr/>
        <w:t> </w:t>
      </w:r>
    </w:p>
    <w:p>
      <w:pPr>
        <w:pStyle w:val="Heading1"/>
        <w:spacing w:before="0" w:after="0"/>
        <w:ind w:left="0" w:right="0" w:hanging="0"/>
        <w:rPr>
          <w:rFonts w:ascii="Times New Roman" w:hAnsi="Times New Roman"/>
          <w:b/>
          <w:sz w:val="17"/>
        </w:rPr>
      </w:pPr>
      <w:r>
        <w:rPr>
          <w:rFonts w:ascii="Times New Roman" w:hAnsi="Times New Roman"/>
          <w:b/>
          <w:sz w:val="17"/>
        </w:rPr>
        <w:t>DEFINITIONS AND RULES OF CONSTRUCTION</w:t>
      </w:r>
    </w:p>
    <w:p>
      <w:pPr>
        <w:pStyle w:val="TextBody"/>
        <w:spacing w:before="0" w:after="0"/>
        <w:ind w:left="0" w:right="0" w:hanging="0"/>
        <w:rPr/>
      </w:pPr>
      <w:r>
        <w:rPr/>
        <w:t> </w:t>
      </w:r>
    </w:p>
    <w:p>
      <w:pPr>
        <w:pStyle w:val="Heading2"/>
        <w:spacing w:before="0" w:after="0"/>
        <w:ind w:left="0" w:right="0" w:hanging="0"/>
        <w:jc w:val="left"/>
        <w:rPr>
          <w:rFonts w:ascii="Times New Roman" w:hAnsi="Times New Roman"/>
          <w:b w:val="false"/>
          <w:sz w:val="17"/>
        </w:rPr>
      </w:pPr>
      <w:bookmarkStart w:id="116" w:name="Section1_1_233518"/>
      <w:bookmarkEnd w:id="116"/>
      <w:r>
        <w:rPr>
          <w:rFonts w:ascii="Times New Roman" w:hAnsi="Times New Roman"/>
          <w:b w:val="false"/>
          <w:sz w:val="17"/>
        </w:rPr>
        <w:t xml:space="preserve">Section 1.1                                      </w:t>
      </w:r>
      <w:r>
        <w:rPr>
          <w:rFonts w:ascii="Times New Roman" w:hAnsi="Times New Roman"/>
          <w:b w:val="false"/>
          <w:sz w:val="17"/>
          <w:u w:val="single"/>
        </w:rPr>
        <w:t>Definitions</w:t>
      </w:r>
      <w:r>
        <w:rPr>
          <w:rFonts w:ascii="Times New Roman" w:hAnsi="Times New Roman"/>
          <w:b w:val="false"/>
          <w:sz w:val="17"/>
        </w:rPr>
        <w:t>.  As used herein, the following terms shall have the following meanings:</w:t>
      </w:r>
    </w:p>
    <w:p>
      <w:pPr>
        <w:pStyle w:val="Heading2"/>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1935 Act</w:t>
      </w:r>
      <w:r>
        <w:rPr>
          <w:rFonts w:ascii="Times New Roman" w:hAnsi="Times New Roman"/>
          <w:sz w:val="17"/>
        </w:rPr>
        <w:t xml:space="preserve"> has the meaning provided such term in </w:t>
      </w:r>
      <w:r>
        <w:rPr>
          <w:rFonts w:ascii="Times New Roman" w:hAnsi="Times New Roman"/>
          <w:sz w:val="17"/>
          <w:u w:val="single"/>
        </w:rPr>
        <w:t>Section 4.21</w:t>
      </w:r>
      <w:r>
        <w:rPr>
          <w:rFonts w:ascii="Times New Roman" w:hAnsi="Times New Roman"/>
          <w:sz w:val="17"/>
        </w:rPr>
        <w:t>.</w:t>
      </w:r>
    </w:p>
    <w:p>
      <w:pPr>
        <w:pStyle w:val="TextBody"/>
        <w:spacing w:before="0" w:after="0"/>
        <w:ind w:left="0" w:right="0" w:hanging="0"/>
        <w:rPr/>
      </w:pPr>
      <w:r>
        <w:rPr/>
        <w:t> </w:t>
      </w:r>
    </w:p>
    <w:p>
      <w:pPr>
        <w:pStyle w:val="HorizontalLine"/>
        <w:pBdr>
          <w:bottom w:val="single" w:sz="12" w:space="0" w:color="808080"/>
        </w:pBdr>
        <w:spacing w:before="0" w:after="0"/>
        <w:jc w:val="left"/>
        <w:rPr/>
      </w:pPr>
      <w:r>
        <w:rPr/>
      </w:r>
      <w:r>
        <w:br w:type="page"/>
      </w:r>
    </w:p>
    <w:p>
      <w:pPr>
        <w:pStyle w:val="TextBody"/>
        <w:spacing w:before="0" w:after="0"/>
        <w:ind w:left="0" w:right="0" w:hanging="0"/>
        <w:jc w:val="center"/>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Acquisition Agreements</w:t>
      </w:r>
      <w:r>
        <w:rPr>
          <w:rFonts w:ascii="Times New Roman" w:hAnsi="Times New Roman"/>
          <w:sz w:val="17"/>
        </w:rPr>
        <w:t xml:space="preserve"> means the agreements listed on </w:t>
      </w:r>
      <w:r>
        <w:rPr>
          <w:rFonts w:ascii="Times New Roman" w:hAnsi="Times New Roman"/>
          <w:sz w:val="17"/>
          <w:u w:val="single"/>
        </w:rPr>
        <w:t>Schedule 9.5</w:t>
      </w:r>
      <w:r>
        <w:rPr>
          <w:rFonts w:ascii="Times New Roman" w:hAnsi="Times New Roman"/>
          <w:sz w:val="17"/>
        </w:rPr>
        <w: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Affiliate</w:t>
      </w:r>
      <w:r>
        <w:rPr>
          <w:rFonts w:ascii="Times New Roman" w:hAnsi="Times New Roman"/>
          <w:sz w:val="17"/>
        </w:rPr>
        <w:t> means, with respect to any Person, any other Person that, directly or indirectly, controls, is controlled by or is under common control with, such specified Person through one or more intermediaries or otherwise.  For the purposes of this definition, control means, where used with respect to any Person, the possession, directly or indirectly, of the power to direct or cause the direction of the management and policies of such Person, whether through the ownership of voting securities, by contract or otherwise, and the terms controlling and controlled have correlative meanings.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Agreement</w:t>
      </w:r>
      <w:r>
        <w:rPr>
          <w:rFonts w:ascii="Times New Roman" w:hAnsi="Times New Roman"/>
          <w:sz w:val="17"/>
        </w:rPr>
        <w:t> has the meaning provided such term in the preamble to this Agreement.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Asset Acquisition Statement</w:t>
      </w:r>
      <w:r>
        <w:rPr>
          <w:rFonts w:ascii="Times New Roman" w:hAnsi="Times New Roman"/>
          <w:sz w:val="17"/>
        </w:rPr>
        <w:t xml:space="preserve"> has the meaning provided such term in </w:t>
      </w:r>
      <w:r>
        <w:rPr>
          <w:rFonts w:ascii="Times New Roman" w:hAnsi="Times New Roman"/>
          <w:sz w:val="17"/>
          <w:u w:val="single"/>
        </w:rPr>
        <w:t>Section 7.1</w:t>
      </w:r>
      <w:r>
        <w:rPr>
          <w:rFonts w:ascii="Times New Roman" w:hAnsi="Times New Roman"/>
          <w:sz w:val="17"/>
        </w:rPr>
        <w: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Base Net Working Capital</w:t>
      </w:r>
      <w:r>
        <w:rPr>
          <w:rFonts w:ascii="Times New Roman" w:hAnsi="Times New Roman"/>
          <w:sz w:val="17"/>
        </w:rPr>
        <w:t> means $400,000.</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Base Purchase Price</w:t>
      </w:r>
      <w:r>
        <w:rPr>
          <w:rFonts w:ascii="Times New Roman" w:hAnsi="Times New Roman"/>
          <w:sz w:val="17"/>
        </w:rPr>
        <w:t xml:space="preserve"> has the meaning provided such term in </w:t>
      </w:r>
      <w:r>
        <w:rPr>
          <w:rFonts w:ascii="Times New Roman" w:hAnsi="Times New Roman"/>
          <w:sz w:val="17"/>
          <w:u w:val="single"/>
        </w:rPr>
        <w:t>Section 2.2</w:t>
      </w:r>
      <w:r>
        <w:rPr>
          <w:rFonts w:ascii="Times New Roman" w:hAnsi="Times New Roman"/>
          <w:sz w:val="17"/>
        </w:rPr>
        <w: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Benefit Plan</w:t>
      </w:r>
      <w:r>
        <w:rPr>
          <w:rFonts w:ascii="Times New Roman" w:hAnsi="Times New Roman"/>
          <w:sz w:val="17"/>
        </w:rPr>
        <w:t xml:space="preserve"> means each (a) employee benefit plan, as such term is defined in Section 3(3) of ERISA, (b) plan that would be an employee benefit plan if it was subject to ERISA, including plans for directors, (c) stock bonus, stock ownership, stock option, stock purchase, stock appreciation rights, phantom stock or other stock-based plan (whether qualified or nonqualified), (d) bonus, deferred compensation or incentive compensation plan and (e) employment (including any offer letters), severance, change-in-control, or termination pay plan, program, agreement or arrangement; </w:t>
      </w:r>
      <w:r>
        <w:rPr>
          <w:rFonts w:ascii="Times New Roman" w:hAnsi="Times New Roman"/>
          <w:sz w:val="17"/>
          <w:u w:val="single"/>
        </w:rPr>
        <w:t>provided</w:t>
      </w:r>
      <w:r>
        <w:rPr>
          <w:rFonts w:ascii="Times New Roman" w:hAnsi="Times New Roman"/>
          <w:sz w:val="17"/>
        </w:rPr>
        <w:t xml:space="preserve"> that such term shall not include (i) routine employment policies and procedures developed and applied in the ordinary course of business and consistent with past practice, including wage, vacation, holiday, and sick or other leave policies, (ii) workers compensation insurance, and (iii) directors and officers liability insurance.</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BGS Budget</w:t>
      </w:r>
      <w:r>
        <w:rPr>
          <w:rFonts w:ascii="Times New Roman" w:hAnsi="Times New Roman"/>
          <w:sz w:val="17"/>
        </w:rPr>
        <w:t xml:space="preserve"> means the descriptions and amounts set forth in </w:t>
      </w:r>
      <w:r>
        <w:rPr>
          <w:rFonts w:ascii="Times New Roman" w:hAnsi="Times New Roman"/>
          <w:sz w:val="17"/>
          <w:u w:val="single"/>
        </w:rPr>
        <w:t>Schedule 1.1</w:t>
      </w:r>
      <w:r>
        <w:rPr>
          <w:rFonts w:ascii="Times New Roman" w:hAnsi="Times New Roman"/>
          <w:sz w:val="17"/>
        </w:rPr>
        <w:t xml:space="preserve"> necessary for the design, construction and development of the BGS Storage Facility.</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BGS Corp.</w:t>
      </w:r>
      <w:r>
        <w:rPr>
          <w:rFonts w:ascii="Times New Roman" w:hAnsi="Times New Roman"/>
          <w:sz w:val="17"/>
        </w:rPr>
        <w:t> means, prior to the Conversion Transactions, Bluewater Natural Gas Storage Corp., a Delaware corporation, and, from and after the Conversion Transactions, the Delaware limited liability company into which Bluewater Natural Gas Storage Corp. is converted pursuant to the Conversion Transactions.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BGS Dewpoint Reduction Facility</w:t>
      </w:r>
      <w:r>
        <w:rPr>
          <w:rFonts w:ascii="Times New Roman" w:hAnsi="Times New Roman"/>
          <w:sz w:val="17"/>
        </w:rPr>
        <w:t> means all equipment, including but not limited to expansion valves, heat exchangers, separation tanks, glycol reboiler, and associated piping and controls, that function to lower both the water and hydrocarbon dewpoint of the natural gas being withdrawn from storage at the BGS Storage Facility.</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BGS Expenditure Amount</w:t>
      </w:r>
      <w:r>
        <w:rPr>
          <w:rFonts w:ascii="Times New Roman" w:hAnsi="Times New Roman"/>
          <w:sz w:val="17"/>
        </w:rPr>
        <w:t> means the aggregate amount of items of the BGS Budget which were not expended or accrued for as a current liability and reflected in the calculations of Net Working Capital in each case as of the Closing Date.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p>
    <w:p>
      <w:pPr>
        <w:pStyle w:val="HorizontalLine"/>
        <w:pBdr>
          <w:bottom w:val="single" w:sz="12" w:space="0" w:color="808080"/>
        </w:pBdr>
        <w:spacing w:before="0" w:after="0"/>
        <w:jc w:val="left"/>
        <w:rPr/>
      </w:pPr>
      <w:r>
        <w:rPr/>
      </w:r>
      <w:r>
        <w:br w:type="page"/>
      </w:r>
    </w:p>
    <w:p>
      <w:pPr>
        <w:pStyle w:val="TextBody"/>
        <w:spacing w:before="0" w:after="0"/>
        <w:ind w:left="0" w:right="0" w:hanging="0"/>
        <w:jc w:val="center"/>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BGS LLC</w:t>
      </w:r>
      <w:r>
        <w:rPr>
          <w:rFonts w:ascii="Times New Roman" w:hAnsi="Times New Roman"/>
          <w:sz w:val="17"/>
        </w:rPr>
        <w:t> has the meaning provided such term in the third recital above.</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BGS LLC Contribution</w:t>
      </w:r>
      <w:r>
        <w:rPr>
          <w:rFonts w:ascii="Times New Roman" w:hAnsi="Times New Roman"/>
          <w:sz w:val="17"/>
        </w:rPr>
        <w:t xml:space="preserve"> has the meaning provided such term in </w:t>
      </w:r>
      <w:r>
        <w:rPr>
          <w:rFonts w:ascii="Times New Roman" w:hAnsi="Times New Roman"/>
          <w:sz w:val="17"/>
          <w:u w:val="single"/>
        </w:rPr>
        <w:t>Section 6.20</w:t>
      </w:r>
      <w:r>
        <w:rPr>
          <w:rFonts w:ascii="Times New Roman" w:hAnsi="Times New Roman"/>
          <w:sz w:val="17"/>
        </w:rPr>
        <w: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BGS Storage Facility</w:t>
      </w:r>
      <w:r>
        <w:rPr>
          <w:rFonts w:ascii="Times New Roman" w:hAnsi="Times New Roman"/>
          <w:sz w:val="17"/>
        </w:rPr>
        <w:t> has the meaning provided such term in the fourth recital above.</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Big Cap Losses</w:t>
      </w:r>
      <w:r>
        <w:rPr>
          <w:rFonts w:ascii="Times New Roman" w:hAnsi="Times New Roman"/>
          <w:sz w:val="17"/>
        </w:rPr>
        <w:t xml:space="preserve"> has the meaning provided such term in </w:t>
      </w:r>
      <w:r>
        <w:rPr>
          <w:rFonts w:ascii="Times New Roman" w:hAnsi="Times New Roman"/>
          <w:sz w:val="17"/>
          <w:u w:val="single"/>
        </w:rPr>
        <w:t>Section 9.4(d)</w:t>
      </w:r>
      <w:r>
        <w:rPr>
          <w:rFonts w:ascii="Times New Roman" w:hAnsi="Times New Roman"/>
          <w:sz w:val="17"/>
        </w:rPr>
        <w: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Bluewater Oil Reserves</w:t>
      </w:r>
      <w:r>
        <w:rPr>
          <w:rFonts w:ascii="Times New Roman" w:hAnsi="Times New Roman"/>
          <w:sz w:val="17"/>
        </w:rPr>
        <w:t xml:space="preserve"> has the meaning provided such term in </w:t>
      </w:r>
      <w:r>
        <w:rPr>
          <w:rFonts w:ascii="Times New Roman" w:hAnsi="Times New Roman"/>
          <w:sz w:val="17"/>
          <w:u w:val="single"/>
        </w:rPr>
        <w:t>Schedule 2.6</w:t>
      </w:r>
      <w:r>
        <w:rPr>
          <w:rFonts w:ascii="Times New Roman" w:hAnsi="Times New Roman"/>
          <w:sz w:val="17"/>
        </w:rPr>
        <w: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Bluewater PSA</w:t>
      </w:r>
      <w:r>
        <w:rPr>
          <w:rFonts w:ascii="Times New Roman" w:hAnsi="Times New Roman"/>
          <w:sz w:val="17"/>
        </w:rPr>
        <w:t> means the Agreement of Purchase and Sale among Columbus III Production, L.C., Stephen D. Beauchamp and BGS LLC, executed on October 2, 2003.</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Bluewater Reserves Agreement</w:t>
      </w:r>
      <w:r>
        <w:rPr>
          <w:rFonts w:ascii="Times New Roman" w:hAnsi="Times New Roman"/>
          <w:sz w:val="17"/>
        </w:rPr>
        <w:t xml:space="preserve"> has the meaning provided such term in </w:t>
      </w:r>
      <w:r>
        <w:rPr>
          <w:rFonts w:ascii="Times New Roman" w:hAnsi="Times New Roman"/>
          <w:sz w:val="17"/>
          <w:u w:val="single"/>
        </w:rPr>
        <w:t>Section 2.6</w:t>
      </w:r>
      <w:r>
        <w:rPr>
          <w:rFonts w:ascii="Times New Roman" w:hAnsi="Times New Roman"/>
          <w:sz w:val="17"/>
        </w:rPr>
        <w: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Business Day</w:t>
      </w:r>
      <w:r>
        <w:rPr>
          <w:rFonts w:ascii="Times New Roman" w:hAnsi="Times New Roman"/>
          <w:sz w:val="17"/>
        </w:rPr>
        <w:t> means any day that is not a Saturday, Sunday or legal holiday in New York City or a federal holiday in the United States.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Buyer</w:t>
      </w:r>
      <w:r>
        <w:rPr>
          <w:rFonts w:ascii="Times New Roman" w:hAnsi="Times New Roman"/>
          <w:sz w:val="17"/>
        </w:rPr>
        <w:t> has the meaning provided such term in the preamble to this Agreement.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Buyer Approvals</w:t>
      </w:r>
      <w:r>
        <w:rPr>
          <w:rFonts w:ascii="Times New Roman" w:hAnsi="Times New Roman"/>
          <w:sz w:val="17"/>
        </w:rPr>
        <w:t xml:space="preserve"> has the meaning provided such term in </w:t>
      </w:r>
      <w:r>
        <w:rPr>
          <w:rFonts w:ascii="Times New Roman" w:hAnsi="Times New Roman"/>
          <w:sz w:val="17"/>
          <w:u w:val="single"/>
        </w:rPr>
        <w:t>Section 5.3</w:t>
      </w:r>
      <w:r>
        <w:rPr>
          <w:rFonts w:ascii="Times New Roman" w:hAnsi="Times New Roman"/>
          <w:sz w:val="17"/>
        </w:rPr>
        <w: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Buyer Indemnified Parties</w:t>
      </w:r>
      <w:r>
        <w:rPr>
          <w:rFonts w:ascii="Times New Roman" w:hAnsi="Times New Roman"/>
          <w:sz w:val="17"/>
        </w:rPr>
        <w:t xml:space="preserve"> has the meaning provided such term in </w:t>
      </w:r>
      <w:r>
        <w:rPr>
          <w:rFonts w:ascii="Times New Roman" w:hAnsi="Times New Roman"/>
          <w:sz w:val="17"/>
          <w:u w:val="single"/>
        </w:rPr>
        <w:t>Section 9.2(a)</w:t>
      </w:r>
      <w:r>
        <w:rPr>
          <w:rFonts w:ascii="Times New Roman" w:hAnsi="Times New Roman"/>
          <w:sz w:val="17"/>
        </w:rPr>
        <w: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Buyer Savings Plan</w:t>
      </w:r>
      <w:r>
        <w:rPr>
          <w:rFonts w:ascii="Times New Roman" w:hAnsi="Times New Roman"/>
          <w:sz w:val="17"/>
        </w:rPr>
        <w:t> means any Benefit Plan sponsored or maintained by the Buyer or any of its Affiliates with a deferral account under Section 401(k) of the Code.</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Capital Adjustment Resolution Period</w:t>
      </w:r>
      <w:r>
        <w:rPr>
          <w:rFonts w:ascii="Times New Roman" w:hAnsi="Times New Roman"/>
          <w:sz w:val="17"/>
        </w:rPr>
        <w:t xml:space="preserve"> has the meaning provided such term in </w:t>
      </w:r>
      <w:r>
        <w:rPr>
          <w:rFonts w:ascii="Times New Roman" w:hAnsi="Times New Roman"/>
          <w:sz w:val="17"/>
          <w:u w:val="single"/>
        </w:rPr>
        <w:t>Section 2.5(b)</w:t>
      </w:r>
      <w:r>
        <w:rPr>
          <w:rFonts w:ascii="Times New Roman" w:hAnsi="Times New Roman"/>
          <w:sz w:val="17"/>
        </w:rPr>
        <w: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Claim Notice</w:t>
      </w:r>
      <w:r>
        <w:rPr>
          <w:rFonts w:ascii="Times New Roman" w:hAnsi="Times New Roman"/>
          <w:sz w:val="17"/>
        </w:rPr>
        <w:t xml:space="preserve"> has the meaning provided such term in </w:t>
      </w:r>
      <w:r>
        <w:rPr>
          <w:rFonts w:ascii="Times New Roman" w:hAnsi="Times New Roman"/>
          <w:sz w:val="17"/>
          <w:u w:val="single"/>
        </w:rPr>
        <w:t>Section 9.3(a)</w:t>
      </w:r>
      <w:r>
        <w:rPr>
          <w:rFonts w:ascii="Times New Roman" w:hAnsi="Times New Roman"/>
          <w:sz w:val="17"/>
        </w:rPr>
        <w: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Closing</w:t>
      </w:r>
      <w:r>
        <w:rPr>
          <w:rFonts w:ascii="Times New Roman" w:hAnsi="Times New Roman"/>
          <w:sz w:val="17"/>
        </w:rPr>
        <w:t xml:space="preserve"> has the meaning provided such term in </w:t>
      </w:r>
      <w:r>
        <w:rPr>
          <w:rFonts w:ascii="Times New Roman" w:hAnsi="Times New Roman"/>
          <w:sz w:val="17"/>
          <w:u w:val="single"/>
        </w:rPr>
        <w:t>Section 2.3(a)</w:t>
      </w:r>
      <w:r>
        <w:rPr>
          <w:rFonts w:ascii="Times New Roman" w:hAnsi="Times New Roman"/>
          <w:sz w:val="17"/>
        </w:rPr>
        <w: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Closing Date</w:t>
      </w:r>
      <w:r>
        <w:rPr>
          <w:rFonts w:ascii="Times New Roman" w:hAnsi="Times New Roman"/>
          <w:sz w:val="17"/>
        </w:rPr>
        <w:t xml:space="preserve"> has the meaning provided such term in </w:t>
      </w:r>
      <w:r>
        <w:rPr>
          <w:rFonts w:ascii="Times New Roman" w:hAnsi="Times New Roman"/>
          <w:sz w:val="17"/>
          <w:u w:val="single"/>
        </w:rPr>
        <w:t>Section 2.3(a)</w:t>
      </w:r>
      <w:r>
        <w:rPr>
          <w:rFonts w:ascii="Times New Roman" w:hAnsi="Times New Roman"/>
          <w:sz w:val="17"/>
        </w:rPr>
        <w: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COBRA</w:t>
      </w:r>
      <w:r>
        <w:rPr>
          <w:rFonts w:ascii="Times New Roman" w:hAnsi="Times New Roman"/>
          <w:sz w:val="17"/>
        </w:rPr>
        <w:t xml:space="preserve"> has the meaning provided such term in </w:t>
      </w:r>
      <w:r>
        <w:rPr>
          <w:rFonts w:ascii="Times New Roman" w:hAnsi="Times New Roman"/>
          <w:sz w:val="17"/>
          <w:u w:val="single"/>
        </w:rPr>
        <w:t>Section 6.5(g)</w:t>
      </w:r>
      <w:r>
        <w:rPr>
          <w:rFonts w:ascii="Times New Roman" w:hAnsi="Times New Roman"/>
          <w:sz w:val="17"/>
        </w:rPr>
        <w: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Code</w:t>
      </w:r>
      <w:r>
        <w:rPr>
          <w:rFonts w:ascii="Times New Roman" w:hAnsi="Times New Roman"/>
          <w:sz w:val="17"/>
        </w:rPr>
        <w:t> means the Internal Revenue Code of 1986, as amended.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w:t>
      </w:r>
    </w:p>
    <w:p>
      <w:pPr>
        <w:pStyle w:val="HorizontalLine"/>
        <w:pBdr>
          <w:bottom w:val="single" w:sz="12" w:space="0" w:color="808080"/>
        </w:pBdr>
        <w:spacing w:before="0" w:after="0"/>
        <w:jc w:val="left"/>
        <w:rPr/>
      </w:pPr>
      <w:r>
        <w:rPr/>
      </w:r>
      <w:r>
        <w:br w:type="page"/>
      </w:r>
    </w:p>
    <w:p>
      <w:pPr>
        <w:pStyle w:val="TextBody"/>
        <w:spacing w:before="0" w:after="0"/>
        <w:ind w:left="0" w:right="0" w:hanging="0"/>
        <w:jc w:val="center"/>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Columbus III Reservoir</w:t>
      </w:r>
      <w:r>
        <w:rPr>
          <w:rFonts w:ascii="Times New Roman" w:hAnsi="Times New Roman"/>
          <w:sz w:val="17"/>
        </w:rPr>
        <w:t> means the partially depleted oil and natural gas Salina Niagaran reef formations underlying the producing field commonly known as the Columbus III Field, located in Columbus and Wales Townships, St. Clair County, Michigan.</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Commonly Controlled Entity</w:t>
      </w:r>
      <w:r>
        <w:rPr>
          <w:rFonts w:ascii="Times New Roman" w:hAnsi="Times New Roman"/>
          <w:sz w:val="17"/>
        </w:rPr>
        <w:t xml:space="preserve"> has the meaning provided such term in </w:t>
      </w:r>
      <w:r>
        <w:rPr>
          <w:rFonts w:ascii="Times New Roman" w:hAnsi="Times New Roman"/>
          <w:sz w:val="17"/>
          <w:u w:val="single"/>
        </w:rPr>
        <w:t>Section 4.10(d)</w:t>
      </w:r>
      <w:r>
        <w:rPr>
          <w:rFonts w:ascii="Times New Roman" w:hAnsi="Times New Roman"/>
          <w:sz w:val="17"/>
        </w:rPr>
        <w: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Company</w:t>
      </w:r>
      <w:r>
        <w:rPr>
          <w:rFonts w:ascii="Times New Roman" w:hAnsi="Times New Roman"/>
          <w:sz w:val="17"/>
        </w:rPr>
        <w:t> means, prior to the Conversion Transactions, Energy Center Investments Corp., a Delaware corporation, and, from and after the Conversion Transactions, the Delaware limited liability company into which Energy Center Investments Corp. is converted pursuant to the Conversion Transactions.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Company Guarantees</w:t>
      </w:r>
      <w:r>
        <w:rPr>
          <w:rFonts w:ascii="Times New Roman" w:hAnsi="Times New Roman"/>
          <w:sz w:val="17"/>
        </w:rPr>
        <w:t xml:space="preserve"> means those guaranties, bonds, sureties and other credit support or assurances (other than letters of credit) provided by Seller or its Affiliates (other than the Subsidiaries) in support of obligations of the Company or any Subsidiary that are set forth in </w:t>
      </w:r>
      <w:r>
        <w:rPr>
          <w:rFonts w:ascii="Times New Roman" w:hAnsi="Times New Roman"/>
          <w:sz w:val="17"/>
          <w:u w:val="single"/>
        </w:rPr>
        <w:t>Schedule 6.6(a)</w:t>
      </w:r>
      <w:r>
        <w:rPr>
          <w:rFonts w:ascii="Times New Roman" w:hAnsi="Times New Roman"/>
          <w:sz w:val="17"/>
        </w:rPr>
        <w: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Company Plan</w:t>
      </w:r>
      <w:r>
        <w:rPr>
          <w:rFonts w:ascii="Times New Roman" w:hAnsi="Times New Roman"/>
          <w:sz w:val="17"/>
        </w:rPr>
        <w:t> means each Benefit Plan that is sponsored, maintained or contributed to by Seller, the Company or any Commonly Controlled Entity that provides benefits with respect to current or former directors, officers or employees of the Company.</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Company Tax Refund</w:t>
      </w:r>
      <w:r>
        <w:rPr>
          <w:rFonts w:ascii="Times New Roman" w:hAnsi="Times New Roman"/>
          <w:sz w:val="17"/>
        </w:rPr>
        <w:t xml:space="preserve"> has the meaning provided such term in </w:t>
      </w:r>
      <w:r>
        <w:rPr>
          <w:rFonts w:ascii="Times New Roman" w:hAnsi="Times New Roman"/>
          <w:sz w:val="17"/>
          <w:u w:val="single"/>
        </w:rPr>
        <w:t>Section 7.6</w:t>
      </w:r>
      <w:r>
        <w:rPr>
          <w:rFonts w:ascii="Times New Roman" w:hAnsi="Times New Roman"/>
          <w:sz w:val="17"/>
        </w:rPr>
        <w: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Company Tax Returns</w:t>
      </w:r>
      <w:r>
        <w:rPr>
          <w:rFonts w:ascii="Times New Roman" w:hAnsi="Times New Roman"/>
          <w:sz w:val="17"/>
        </w:rPr>
        <w:t> means Tax Returns required to be filed by the Company or any of its Subsidiaries.  For the avoidance of doubt, Company Tax Returns does not include U.S. federal income Tax Returns or any other Tax Return filed by a consolidated, unitary, combined or similar group of which Seller Parent or any of its Affiliates (other than any of the Company or its Subsidiaries) is the common parent.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Company Taxes</w:t>
      </w:r>
      <w:r>
        <w:rPr>
          <w:rFonts w:ascii="Times New Roman" w:hAnsi="Times New Roman"/>
          <w:sz w:val="17"/>
        </w:rPr>
        <w:t> means Taxes required to be paid by or imposed on the Company or any of its Subsidiaries.  For the avoidance of doubt, Company Taxes does not include U.S. federal income Taxes or any other Taxes payable by a consolidated, unitary, combined or similar group of which Seller Parent or any of its Affiliates (other than any of the Company or its Subsidiaries) is the common parent.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Confidentiality Agreement</w:t>
      </w:r>
      <w:r>
        <w:rPr>
          <w:rFonts w:ascii="Times New Roman" w:hAnsi="Times New Roman"/>
          <w:sz w:val="17"/>
        </w:rPr>
        <w:t> means each of (i) that certain confidentiality agreement between Vulcan Capital Private Equity Inc. and PPEC LLC dated February 16, 2005, as amended on June 15, 2005, and (ii) that certain confidentiality agreement between Plains All American Pipeline, L.P. and PPEC LLC dated March 23, 2005.</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Continuing Employee</w:t>
      </w:r>
      <w:r>
        <w:rPr>
          <w:rFonts w:ascii="Times New Roman" w:hAnsi="Times New Roman"/>
          <w:sz w:val="17"/>
        </w:rPr>
        <w:t> means each individual who is employed by the Company or any Subsidiary after giving effect to the Closing (including each such individual who is on vacation, sick, military, disability or other leave of absence).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w:t>
      </w:r>
    </w:p>
    <w:p>
      <w:pPr>
        <w:pStyle w:val="HorizontalLine"/>
        <w:pBdr>
          <w:bottom w:val="single" w:sz="12" w:space="0" w:color="808080"/>
        </w:pBdr>
        <w:spacing w:before="0" w:after="0"/>
        <w:jc w:val="left"/>
        <w:rPr/>
      </w:pPr>
      <w:r>
        <w:rPr/>
      </w:r>
      <w:r>
        <w:br w:type="page"/>
      </w:r>
    </w:p>
    <w:p>
      <w:pPr>
        <w:pStyle w:val="TextBody"/>
        <w:spacing w:before="0" w:after="0"/>
        <w:ind w:left="0" w:right="0" w:hanging="0"/>
        <w:jc w:val="center"/>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Contract</w:t>
      </w:r>
      <w:r>
        <w:rPr>
          <w:rFonts w:ascii="Times New Roman" w:hAnsi="Times New Roman"/>
          <w:sz w:val="17"/>
        </w:rPr>
        <w:t> means any note, bond, mortgage, indenture, agreement, lease, sublease, license or contract to which a Person is a party or by which a Person or its assets or properties are bound, but excluding Benefit Plans, Permits and any lease or agreement relating to any right or interest in Real Property.</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Conversion Transactions</w:t>
      </w:r>
      <w:r>
        <w:rPr>
          <w:rFonts w:ascii="Times New Roman" w:hAnsi="Times New Roman"/>
          <w:sz w:val="17"/>
        </w:rPr>
        <w:t xml:space="preserve"> has the meaning provided such term in </w:t>
      </w:r>
      <w:r>
        <w:rPr>
          <w:rFonts w:ascii="Times New Roman" w:hAnsi="Times New Roman"/>
          <w:sz w:val="17"/>
          <w:u w:val="single"/>
        </w:rPr>
        <w:t>Section 6.18(a)</w:t>
      </w:r>
      <w:r>
        <w:rPr>
          <w:rFonts w:ascii="Times New Roman" w:hAnsi="Times New Roman"/>
          <w:sz w:val="17"/>
        </w:rPr>
        <w: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Diminution in Value</w:t>
      </w:r>
      <w:r>
        <w:rPr>
          <w:rFonts w:ascii="Times New Roman" w:hAnsi="Times New Roman"/>
          <w:sz w:val="17"/>
        </w:rPr>
        <w:t xml:space="preserve"> means the present value of an actual, demonstrable decrease in the enterprise value of the Company and the Subsidiaries, taken as a whole, measured as of the Closing Date, to the extent such decrease is attributable to the inaccuracy or breach (or deemed inaccuracy or breach) of any representations and warranties of Seller in </w:t>
      </w:r>
      <w:r>
        <w:rPr>
          <w:rFonts w:ascii="Times New Roman" w:hAnsi="Times New Roman"/>
          <w:sz w:val="17"/>
          <w:u w:val="single"/>
        </w:rPr>
        <w:t>Articles III</w:t>
      </w:r>
      <w:r>
        <w:rPr>
          <w:rFonts w:ascii="Times New Roman" w:hAnsi="Times New Roman"/>
          <w:sz w:val="17"/>
        </w:rPr>
        <w:t xml:space="preserve"> or </w:t>
      </w:r>
      <w:r>
        <w:rPr>
          <w:rFonts w:ascii="Times New Roman" w:hAnsi="Times New Roman"/>
          <w:sz w:val="17"/>
          <w:u w:val="single"/>
        </w:rPr>
        <w:t>IV</w:t>
      </w:r>
      <w:r>
        <w:rPr>
          <w:rFonts w:ascii="Times New Roman" w:hAnsi="Times New Roman"/>
          <w:sz w:val="17"/>
        </w:rPr>
        <w:t xml:space="preserve"> or any breach of any covenant of Seller in </w:t>
      </w:r>
      <w:r>
        <w:rPr>
          <w:rFonts w:ascii="Times New Roman" w:hAnsi="Times New Roman"/>
          <w:sz w:val="17"/>
          <w:u w:val="single"/>
        </w:rPr>
        <w:t>Article VI</w:t>
      </w:r>
      <w:r>
        <w:rPr>
          <w:rFonts w:ascii="Times New Roman" w:hAnsi="Times New Roman"/>
          <w:sz w:val="17"/>
        </w:rPr>
        <w: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Disclosure Schedule</w:t>
      </w:r>
      <w:r>
        <w:rPr>
          <w:rFonts w:ascii="Times New Roman" w:hAnsi="Times New Roman"/>
          <w:sz w:val="17"/>
        </w:rPr>
        <w:t xml:space="preserve"> has the meaning provided such term in the preamble to </w:t>
      </w:r>
      <w:r>
        <w:rPr>
          <w:rFonts w:ascii="Times New Roman" w:hAnsi="Times New Roman"/>
          <w:sz w:val="17"/>
          <w:u w:val="single"/>
        </w:rPr>
        <w:t>Article III</w:t>
      </w:r>
      <w:r>
        <w:rPr>
          <w:rFonts w:ascii="Times New Roman" w:hAnsi="Times New Roman"/>
          <w:sz w:val="17"/>
        </w:rPr>
        <w: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Dollars</w:t>
      </w:r>
      <w:r>
        <w:rPr>
          <w:rFonts w:ascii="Times New Roman" w:hAnsi="Times New Roman"/>
          <w:sz w:val="17"/>
        </w:rPr>
        <w:t> and </w:t>
      </w:r>
      <w:r>
        <w:rPr>
          <w:rFonts w:ascii="Times New Roman" w:hAnsi="Times New Roman"/>
          <w:sz w:val="17"/>
          <w:u w:val="single"/>
        </w:rPr>
        <w:t>$</w:t>
      </w:r>
      <w:r>
        <w:rPr>
          <w:rFonts w:ascii="Times New Roman" w:hAnsi="Times New Roman"/>
          <w:sz w:val="17"/>
        </w:rPr>
        <w:t> mean the lawful currency of the United States.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Due Date</w:t>
      </w:r>
      <w:r>
        <w:rPr>
          <w:rFonts w:ascii="Times New Roman" w:hAnsi="Times New Roman"/>
          <w:sz w:val="17"/>
        </w:rPr>
        <w:t xml:space="preserve"> has the meaning provided such term in </w:t>
      </w:r>
      <w:r>
        <w:rPr>
          <w:rFonts w:ascii="Times New Roman" w:hAnsi="Times New Roman"/>
          <w:sz w:val="17"/>
          <w:u w:val="single"/>
        </w:rPr>
        <w:t>Section 7.3(d)</w:t>
      </w:r>
      <w:r>
        <w:rPr>
          <w:rFonts w:ascii="Times New Roman" w:hAnsi="Times New Roman"/>
          <w:sz w:val="17"/>
        </w:rPr>
        <w: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Environmental Claim</w:t>
      </w:r>
      <w:r>
        <w:rPr>
          <w:rFonts w:ascii="Times New Roman" w:hAnsi="Times New Roman"/>
          <w:sz w:val="17"/>
        </w:rPr>
        <w:t> means any Litigation alleging potential liability (including potential liability for investigatory costs, cleanup costs, governmental response costs, natural resources damages, property damages, personal injuries, or penalties) arising out of, based on or resulting from the presence, Release or threatened Release of any Hazardous Materials at any location, whether or not owned or operated by Seller.</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Environmental Condition</w:t>
      </w:r>
      <w:r>
        <w:rPr>
          <w:rFonts w:ascii="Times New Roman" w:hAnsi="Times New Roman"/>
          <w:sz w:val="17"/>
        </w:rPr>
        <w:t> means the presence of Hazardous Materials in the environment or building materials, or the Release or threatened Release of Hazardous Materials to the environment.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Environmental Fines and Penalties</w:t>
      </w:r>
      <w:r>
        <w:rPr>
          <w:rFonts w:ascii="Times New Roman" w:hAnsi="Times New Roman"/>
          <w:sz w:val="17"/>
        </w:rPr>
        <w:t> means any fines and penalties imposed before, on or after the Closing Date upon the Company or any Subsidiary by any Governmental Authority in respect of any violation of Environmental Law by Seller, the Company, any Subsidiary or any third party acting on their behalf, occurring on or prior to the Closing Date.</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Environmental Laws</w:t>
      </w:r>
      <w:r>
        <w:rPr>
          <w:rFonts w:ascii="Times New Roman" w:hAnsi="Times New Roman"/>
          <w:sz w:val="17"/>
        </w:rPr>
        <w:t> means all Laws relating to pollution or protection of human health or the environment, including, without limitation, Laws relating to Releases or threatened Releases of Hazardous Materials or otherwise relating to the manufacture, processing, distribution, use, treatment, storage, Release, transport or handling of Hazardous Materials and all Laws with regard to recordkeeping, notification, disclosure and reporting requirements respecting Hazardous Materials.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ERISA</w:t>
      </w:r>
      <w:r>
        <w:rPr>
          <w:rFonts w:ascii="Times New Roman" w:hAnsi="Times New Roman"/>
          <w:sz w:val="17"/>
        </w:rPr>
        <w:t> means the Employee Retirement Income Security Act of 1974, as amended.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w:t>
      </w:r>
    </w:p>
    <w:p>
      <w:pPr>
        <w:pStyle w:val="HorizontalLine"/>
        <w:pBdr>
          <w:bottom w:val="single" w:sz="12" w:space="0" w:color="808080"/>
        </w:pBdr>
        <w:spacing w:before="0" w:after="0"/>
        <w:jc w:val="left"/>
        <w:rPr/>
      </w:pPr>
      <w:r>
        <w:rPr/>
      </w:r>
      <w:r>
        <w:br w:type="page"/>
      </w:r>
    </w:p>
    <w:p>
      <w:pPr>
        <w:pStyle w:val="TextBody"/>
        <w:spacing w:before="0" w:after="0"/>
        <w:ind w:left="0" w:right="0" w:hanging="0"/>
        <w:jc w:val="center"/>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Estimated BGS Expenditure Amount</w:t>
      </w:r>
      <w:r>
        <w:rPr>
          <w:rFonts w:ascii="Times New Roman" w:hAnsi="Times New Roman"/>
          <w:sz w:val="17"/>
        </w:rPr>
        <w:t xml:space="preserve"> has the meaning provided such term in </w:t>
      </w:r>
      <w:r>
        <w:rPr>
          <w:rFonts w:ascii="Times New Roman" w:hAnsi="Times New Roman"/>
          <w:sz w:val="17"/>
          <w:u w:val="single"/>
        </w:rPr>
        <w:t>Section 2.5(a)</w:t>
      </w:r>
      <w:r>
        <w:rPr>
          <w:rFonts w:ascii="Times New Roman" w:hAnsi="Times New Roman"/>
          <w:sz w:val="17"/>
        </w:rPr>
        <w: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Estimated Closing Adjustment Amount</w:t>
      </w:r>
      <w:r>
        <w:rPr>
          <w:rFonts w:ascii="Times New Roman" w:hAnsi="Times New Roman"/>
          <w:sz w:val="17"/>
        </w:rPr>
        <w:t> means an amount, which may be positive or negative, equal to (A) Month-End Net Working Capital minus Base Net Working Capital, plus (B) the Estimated PPEC Excess Expenditure Amount, minus (C) the Estimated BGS Expenditure Amount.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Estimated PPEC Excess Expenditure Amount</w:t>
      </w:r>
      <w:r>
        <w:rPr>
          <w:rFonts w:ascii="Times New Roman" w:hAnsi="Times New Roman"/>
          <w:sz w:val="17"/>
        </w:rPr>
        <w:t xml:space="preserve"> has the meaning provided such term in </w:t>
      </w:r>
      <w:r>
        <w:rPr>
          <w:rFonts w:ascii="Times New Roman" w:hAnsi="Times New Roman"/>
          <w:sz w:val="17"/>
          <w:u w:val="single"/>
        </w:rPr>
        <w:t>Section 2.5(a)</w:t>
      </w:r>
      <w:r>
        <w:rPr>
          <w:rFonts w:ascii="Times New Roman" w:hAnsi="Times New Roman"/>
          <w:sz w:val="17"/>
        </w:rPr>
        <w: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Expenditure Amount Closing Statement</w:t>
      </w:r>
      <w:r>
        <w:rPr>
          <w:rFonts w:ascii="Times New Roman" w:hAnsi="Times New Roman"/>
          <w:sz w:val="17"/>
        </w:rPr>
        <w:t xml:space="preserve"> has the meaning provided such term in </w:t>
      </w:r>
      <w:r>
        <w:rPr>
          <w:rFonts w:ascii="Times New Roman" w:hAnsi="Times New Roman"/>
          <w:sz w:val="17"/>
          <w:u w:val="single"/>
        </w:rPr>
        <w:t>Section 2.5(a)</w:t>
      </w:r>
      <w:r>
        <w:rPr>
          <w:rFonts w:ascii="Times New Roman" w:hAnsi="Times New Roman"/>
          <w:sz w:val="17"/>
        </w:rPr>
        <w: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Expenditure Amount Evaluation Period</w:t>
      </w:r>
      <w:r>
        <w:rPr>
          <w:rFonts w:ascii="Times New Roman" w:hAnsi="Times New Roman"/>
          <w:sz w:val="17"/>
        </w:rPr>
        <w:t xml:space="preserve"> has the meaning provided such term in </w:t>
      </w:r>
      <w:r>
        <w:rPr>
          <w:rFonts w:ascii="Times New Roman" w:hAnsi="Times New Roman"/>
          <w:sz w:val="17"/>
          <w:u w:val="single"/>
        </w:rPr>
        <w:t>Section 2.5(b)</w:t>
      </w:r>
      <w:r>
        <w:rPr>
          <w:rFonts w:ascii="Times New Roman" w:hAnsi="Times New Roman"/>
          <w:sz w:val="17"/>
        </w:rPr>
        <w: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Extraordinary Transaction</w:t>
      </w:r>
      <w:r>
        <w:rPr>
          <w:rFonts w:ascii="Times New Roman" w:hAnsi="Times New Roman"/>
          <w:sz w:val="17"/>
        </w:rPr>
        <w:t xml:space="preserve"> has the meaning provided such term in </w:t>
      </w:r>
      <w:r>
        <w:rPr>
          <w:rFonts w:ascii="Times New Roman" w:hAnsi="Times New Roman"/>
          <w:sz w:val="17"/>
          <w:u w:val="single"/>
        </w:rPr>
        <w:t>Section 7.5</w:t>
      </w:r>
      <w:r>
        <w:rPr>
          <w:rFonts w:ascii="Times New Roman" w:hAnsi="Times New Roman"/>
          <w:sz w:val="17"/>
        </w:rPr>
        <w: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FERC</w:t>
      </w:r>
      <w:r>
        <w:rPr>
          <w:rFonts w:ascii="Times New Roman" w:hAnsi="Times New Roman"/>
          <w:sz w:val="17"/>
        </w:rPr>
        <w:t> means the United States Federal Energy Regulatory Commission.</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Final Adjustment Amount</w:t>
      </w:r>
      <w:r>
        <w:rPr>
          <w:rFonts w:ascii="Times New Roman" w:hAnsi="Times New Roman"/>
          <w:sz w:val="17"/>
        </w:rPr>
        <w:t xml:space="preserve"> has the meaning provided such term in </w:t>
      </w:r>
      <w:r>
        <w:rPr>
          <w:rFonts w:ascii="Times New Roman" w:hAnsi="Times New Roman"/>
          <w:sz w:val="17"/>
          <w:u w:val="single"/>
        </w:rPr>
        <w:t>Section 2.5(e)</w:t>
      </w:r>
      <w:r>
        <w:rPr>
          <w:rFonts w:ascii="Times New Roman" w:hAnsi="Times New Roman"/>
          <w:sz w:val="17"/>
        </w:rPr>
        <w: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Financial Derivative/Hedging Agreement</w:t>
      </w:r>
      <w:r>
        <w:rPr>
          <w:rFonts w:ascii="Times New Roman" w:hAnsi="Times New Roman"/>
          <w:sz w:val="17"/>
        </w:rPr>
        <w:t> includes any transaction (including an agreement with respect thereto) which is a rate swap transaction, basis swap, forward rate transaction, commodity swap, commodity option, equity or equity index swap, equity or equity index option, bond option, interest rate option, foreign exchange transaction, cap transaction, floor transaction, collar transaction, currency swap transaction, cross-currency rate swap transaction, currency option or any combination of these transactions.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Financial Statements</w:t>
      </w:r>
      <w:r>
        <w:rPr>
          <w:rFonts w:ascii="Times New Roman" w:hAnsi="Times New Roman"/>
          <w:sz w:val="17"/>
        </w:rPr>
        <w:t xml:space="preserve"> has the meaning provided such term in </w:t>
      </w:r>
      <w:r>
        <w:rPr>
          <w:rFonts w:ascii="Times New Roman" w:hAnsi="Times New Roman"/>
          <w:sz w:val="17"/>
          <w:u w:val="single"/>
        </w:rPr>
        <w:t>Section 4.5</w:t>
      </w:r>
      <w:r>
        <w:rPr>
          <w:rFonts w:ascii="Times New Roman" w:hAnsi="Times New Roman"/>
          <w:sz w:val="17"/>
        </w:rPr>
        <w: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Fines and Penalties</w:t>
      </w:r>
      <w:r>
        <w:rPr>
          <w:rFonts w:ascii="Times New Roman" w:hAnsi="Times New Roman"/>
          <w:sz w:val="17"/>
        </w:rPr>
        <w:t> means any fines and penalties imposed before, on or after the Closing Date upon the Company or any Subsidiary by any Governmental Authority in respect of any violation of Law (other than Environmental Law) by Seller, the Company, any Subsidiary or any third party acting on their behalf, occurring on or prior to the Closing Date.</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GAAP</w:t>
      </w:r>
      <w:r>
        <w:rPr>
          <w:rFonts w:ascii="Times New Roman" w:hAnsi="Times New Roman"/>
          <w:sz w:val="17"/>
        </w:rPr>
        <w:t> means generally accepted accounting principles in the United States, consistently applied.</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General Deductible</w:t>
      </w:r>
      <w:r>
        <w:rPr>
          <w:rFonts w:ascii="Times New Roman" w:hAnsi="Times New Roman"/>
          <w:sz w:val="17"/>
        </w:rPr>
        <w:t xml:space="preserve"> has the meaning provided such term in </w:t>
      </w:r>
      <w:r>
        <w:rPr>
          <w:rFonts w:ascii="Times New Roman" w:hAnsi="Times New Roman"/>
          <w:sz w:val="17"/>
          <w:u w:val="single"/>
        </w:rPr>
        <w:t>Section 9.4(b)</w:t>
      </w:r>
      <w:r>
        <w:rPr>
          <w:rFonts w:ascii="Times New Roman" w:hAnsi="Times New Roman"/>
          <w:sz w:val="17"/>
        </w:rPr>
        <w: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6</w:t>
      </w:r>
    </w:p>
    <w:p>
      <w:pPr>
        <w:pStyle w:val="HorizontalLine"/>
        <w:pBdr>
          <w:bottom w:val="single" w:sz="12" w:space="0" w:color="808080"/>
        </w:pBdr>
        <w:spacing w:before="0" w:after="0"/>
        <w:jc w:val="left"/>
        <w:rPr/>
      </w:pPr>
      <w:r>
        <w:rPr/>
      </w:r>
      <w:r>
        <w:br w:type="page"/>
      </w:r>
    </w:p>
    <w:p>
      <w:pPr>
        <w:pStyle w:val="TextBody"/>
        <w:spacing w:before="0" w:after="0"/>
        <w:ind w:left="0" w:right="0" w:hanging="0"/>
        <w:jc w:val="center"/>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Governmental Authority</w:t>
      </w:r>
      <w:r>
        <w:rPr>
          <w:rFonts w:ascii="Times New Roman" w:hAnsi="Times New Roman"/>
          <w:sz w:val="17"/>
        </w:rPr>
        <w:t> means any federal, state, local or foreign government or any subdivision, agency, instrumentality, authority, department, commission, board or bureau thereof or any federal, state, local or foreign court or tribunal or any domestic or foreign arbitrator.</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Hazardous Materials</w:t>
      </w:r>
      <w:r>
        <w:rPr>
          <w:rFonts w:ascii="Times New Roman" w:hAnsi="Times New Roman"/>
          <w:sz w:val="17"/>
        </w:rPr>
        <w:t> means all substances defined as hazardous substances, oils, pollutants or contaminants in the National Oil and Hazardous Substances Pollution Contingency Plan, 40 C.F.R. § 300.5, or defined as such by, or regulated as such under, any Environmental Law.</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HSR Act</w:t>
      </w:r>
      <w:r>
        <w:rPr>
          <w:rFonts w:ascii="Times New Roman" w:hAnsi="Times New Roman"/>
          <w:sz w:val="17"/>
        </w:rPr>
        <w:t> means the Hart-Scott-Rodino Antitrust Improvements Act of 1976, as amended.</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Indebtedness for Borrowed Money</w:t>
      </w:r>
      <w:r>
        <w:rPr>
          <w:rFonts w:ascii="Times New Roman" w:hAnsi="Times New Roman"/>
          <w:sz w:val="17"/>
        </w:rPr>
        <w:t> means all obligations to any Person for borrowed money, including (a) any obligation to reimburse any bank or other Person in respect of amounts paid or payable under a standby letter of credit or (b) any guarantee with respect to indebtedness for borrowed money of another Person.</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Indemnified Party</w:t>
      </w:r>
      <w:r>
        <w:rPr>
          <w:rFonts w:ascii="Times New Roman" w:hAnsi="Times New Roman"/>
          <w:sz w:val="17"/>
        </w:rPr>
        <w:t xml:space="preserve"> has the meaning provided such term in </w:t>
      </w:r>
      <w:r>
        <w:rPr>
          <w:rFonts w:ascii="Times New Roman" w:hAnsi="Times New Roman"/>
          <w:sz w:val="17"/>
          <w:u w:val="single"/>
        </w:rPr>
        <w:t>Section 9.3(a)</w:t>
      </w:r>
      <w:r>
        <w:rPr>
          <w:rFonts w:ascii="Times New Roman" w:hAnsi="Times New Roman"/>
          <w:sz w:val="17"/>
        </w:rPr>
        <w: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Indemnifying Party</w:t>
      </w:r>
      <w:r>
        <w:rPr>
          <w:rFonts w:ascii="Times New Roman" w:hAnsi="Times New Roman"/>
          <w:sz w:val="17"/>
        </w:rPr>
        <w:t xml:space="preserve"> has the meaning provided such term in </w:t>
      </w:r>
      <w:r>
        <w:rPr>
          <w:rFonts w:ascii="Times New Roman" w:hAnsi="Times New Roman"/>
          <w:sz w:val="17"/>
          <w:u w:val="single"/>
        </w:rPr>
        <w:t>Section 9.3(a)</w:t>
      </w:r>
      <w:r>
        <w:rPr>
          <w:rFonts w:ascii="Times New Roman" w:hAnsi="Times New Roman"/>
          <w:sz w:val="17"/>
        </w:rPr>
        <w: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Indemnified Tax Claim</w:t>
      </w:r>
      <w:r>
        <w:rPr>
          <w:rFonts w:ascii="Times New Roman" w:hAnsi="Times New Roman"/>
          <w:sz w:val="17"/>
        </w:rPr>
        <w:t xml:space="preserve"> has the meaning provided such term in </w:t>
      </w:r>
      <w:r>
        <w:rPr>
          <w:rFonts w:ascii="Times New Roman" w:hAnsi="Times New Roman"/>
          <w:sz w:val="17"/>
          <w:u w:val="single"/>
        </w:rPr>
        <w:t>Section 7.9(a)</w:t>
      </w:r>
      <w:r>
        <w:rPr>
          <w:rFonts w:ascii="Times New Roman" w:hAnsi="Times New Roman"/>
          <w:sz w:val="17"/>
        </w:rPr>
        <w: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Independent Accountant</w:t>
      </w:r>
      <w:r>
        <w:rPr>
          <w:rFonts w:ascii="Times New Roman" w:hAnsi="Times New Roman"/>
          <w:sz w:val="17"/>
        </w:rPr>
        <w:t> means Ernst &amp; Young LLP.</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Intellectual Property</w:t>
      </w:r>
      <w:r>
        <w:rPr>
          <w:rFonts w:ascii="Times New Roman" w:hAnsi="Times New Roman"/>
          <w:sz w:val="17"/>
        </w:rPr>
        <w:t> means (a) trademarks, service marks, trade dress, slogans, logos and all goodwill associated therewith, and any applications or registrations for any of the foregoing, (b) copyrights and any related applications or registrations, (c) patents and any related applications or registrations, (d) all confidential information, know-how, trade secrets and similar proprietary rights in confidential inventions, discoveries, improvements, processes, techniques, devices, methods, patterns, formulae, specifications and lists of suppliers, vendors, customers and distributors, and (e) all other intellectual property rights, statutory or common Law, in the United States or worldwide.</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IRS</w:t>
      </w:r>
      <w:r>
        <w:rPr>
          <w:rFonts w:ascii="Times New Roman" w:hAnsi="Times New Roman"/>
          <w:sz w:val="17"/>
        </w:rPr>
        <w:t> means the United States Internal Revenue Service.</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Knowledge</w:t>
      </w:r>
      <w:r>
        <w:rPr>
          <w:rFonts w:ascii="Times New Roman" w:hAnsi="Times New Roman"/>
          <w:sz w:val="17"/>
        </w:rPr>
        <w:t> or </w:t>
      </w:r>
      <w:r>
        <w:rPr>
          <w:rFonts w:ascii="Times New Roman" w:hAnsi="Times New Roman"/>
          <w:sz w:val="17"/>
          <w:u w:val="single"/>
        </w:rPr>
        <w:t>Known</w:t>
      </w:r>
      <w:r>
        <w:rPr>
          <w:rFonts w:ascii="Times New Roman" w:hAnsi="Times New Roman"/>
          <w:sz w:val="17"/>
        </w:rPr>
        <w:t> means, with respect to Seller, the actual knowledge, after inquiry of Laura Luce, Geof Storey, John Reid and Richard Tomaski (after Seller provides such individuals with, and instructs them to review, the Disclosure Schedule), of each of Scott Werneburg, Wayne Kubicek, Eric Allison, Michael Goldstein, David Messer, Steve Prince, Limor Nissan and Michael Beaury, and, with respect to Buyer, the actual knowledge after due inquiry of each of Jim Hester, Lawrence Dreyfuss, Tom Gilbert, David Capobianco, Harry Pefanis, Greg Armstrong and Bill Egg.</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7</w:t>
      </w:r>
    </w:p>
    <w:p>
      <w:pPr>
        <w:pStyle w:val="HorizontalLine"/>
        <w:pBdr>
          <w:bottom w:val="single" w:sz="12" w:space="0" w:color="808080"/>
        </w:pBdr>
        <w:spacing w:before="0" w:after="0"/>
        <w:jc w:val="left"/>
        <w:rPr/>
      </w:pPr>
      <w:r>
        <w:rPr/>
      </w:r>
      <w:r>
        <w:br w:type="page"/>
      </w:r>
    </w:p>
    <w:p>
      <w:pPr>
        <w:pStyle w:val="TextBody"/>
        <w:spacing w:before="0" w:after="0"/>
        <w:ind w:left="0" w:right="0" w:hanging="0"/>
        <w:jc w:val="center"/>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Known and Undisclosed Environmental Liability</w:t>
      </w:r>
      <w:r>
        <w:rPr>
          <w:rFonts w:ascii="Times New Roman" w:hAnsi="Times New Roman"/>
          <w:sz w:val="17"/>
        </w:rPr>
        <w:t xml:space="preserve"> means any Losses (whether or not such Loss existed on or before the Closing Date) of the Company or any Subsidiary to the extent related to any Environmental Condition or violation of Environmental Law which (i) was Known to Seller on the date of this Agreement, (ii) Seller has not disclosed to Buyer in the Disclosure Schedule and (iii) failure by Seller to so disclose constitutes a breach (or deemed breach) of any representation or warranty in </w:t>
      </w:r>
      <w:r>
        <w:rPr>
          <w:rFonts w:ascii="Times New Roman" w:hAnsi="Times New Roman"/>
          <w:sz w:val="17"/>
          <w:u w:val="single"/>
        </w:rPr>
        <w:t>Section 4.12(a)</w:t>
      </w:r>
      <w:r>
        <w:rPr>
          <w:rFonts w:ascii="Times New Roman" w:hAnsi="Times New Roman"/>
          <w:sz w:val="17"/>
        </w:rPr>
        <w:t xml:space="preserve">, </w:t>
      </w:r>
      <w:r>
        <w:rPr>
          <w:rFonts w:ascii="Times New Roman" w:hAnsi="Times New Roman"/>
          <w:sz w:val="17"/>
          <w:u w:val="single"/>
        </w:rPr>
        <w:t>(b) </w:t>
      </w:r>
      <w:r>
        <w:rPr>
          <w:rFonts w:ascii="Times New Roman" w:hAnsi="Times New Roman"/>
          <w:sz w:val="17"/>
        </w:rPr>
        <w:t xml:space="preserve">or </w:t>
      </w:r>
      <w:r>
        <w:rPr>
          <w:rFonts w:ascii="Times New Roman" w:hAnsi="Times New Roman"/>
          <w:sz w:val="17"/>
          <w:u w:val="single"/>
        </w:rPr>
        <w:t>(c)</w:t>
      </w:r>
      <w:r>
        <w:rPr>
          <w:rFonts w:ascii="Times New Roman" w:hAnsi="Times New Roman"/>
          <w:sz w:val="17"/>
        </w:rPr>
        <w: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Law</w:t>
      </w:r>
      <w:r>
        <w:rPr>
          <w:rFonts w:ascii="Times New Roman" w:hAnsi="Times New Roman"/>
          <w:sz w:val="17"/>
        </w:rPr>
        <w:t> means any applicable statute, writ, law, common law, rule, regulation, ordinance, order, judgment, injunction, award, determination or decree of a Governmental Authority, in each case as in effect on and as interpreted on the date of this Agreement or on and as of the Closing Date, as applicable, unless the context otherwise clearly requires a different date, in which case on such date.</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Leased Real Property</w:t>
      </w:r>
      <w:r>
        <w:rPr>
          <w:rFonts w:ascii="Times New Roman" w:hAnsi="Times New Roman"/>
          <w:sz w:val="17"/>
        </w:rPr>
        <w:t> means all leasehold or subleasehold estates and other rights  to use or occupy any real property (including surface and subsurface estates and storage and mineral rights) held by the Company or any Subsidiary, together with all interests in buildings, structures, improvements and fixtures located thereon and all easements, rights of way and other rights and interests appurtenant thereto and any and all amendments thereof, but excluding therefrom any Owned Real Property.</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Leases</w:t>
      </w:r>
      <w:r>
        <w:rPr>
          <w:rFonts w:ascii="Times New Roman" w:hAnsi="Times New Roman"/>
          <w:sz w:val="17"/>
        </w:rPr>
        <w:t> means all leases, subleases, licenses or other agreements, including all amendments, extensions and renewals with respect thereto, pursuant to which the Company or any Subsidiary holds or uses any Leased Real Property.</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Lien</w:t>
      </w:r>
      <w:r>
        <w:rPr>
          <w:rFonts w:ascii="Times New Roman" w:hAnsi="Times New Roman"/>
          <w:sz w:val="17"/>
        </w:rPr>
        <w:t> means any charge, pledge, option (other than an option to store natural gas), mortgage, deed of trust, hypothecation, security interest, royalty or similar right, warrant, purchase right (other than the right to purchase storage or related services), lease, license or other encumbrance.</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Limited Matters</w:t>
      </w:r>
      <w:r>
        <w:rPr>
          <w:rFonts w:ascii="Times New Roman" w:hAnsi="Times New Roman"/>
          <w:sz w:val="17"/>
        </w:rPr>
        <w:t xml:space="preserve"> has the meaning provided such term in </w:t>
      </w:r>
      <w:r>
        <w:rPr>
          <w:rFonts w:ascii="Times New Roman" w:hAnsi="Times New Roman"/>
          <w:sz w:val="17"/>
          <w:u w:val="single"/>
        </w:rPr>
        <w:t>Section 9.5</w:t>
      </w:r>
      <w:r>
        <w:rPr>
          <w:rFonts w:ascii="Times New Roman" w:hAnsi="Times New Roman"/>
          <w:sz w:val="17"/>
        </w:rPr>
        <w: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Litigation</w:t>
      </w:r>
      <w:r>
        <w:rPr>
          <w:rFonts w:ascii="Times New Roman" w:hAnsi="Times New Roman"/>
          <w:sz w:val="17"/>
        </w:rPr>
        <w:t> means any investigation or inquiry (with respect to which written notice has been provided), action, claim, suit, proceeding, audit, citation, summons, subpoena of any nature, civil, criminal or regulatory, in law or in equity, by or before any Governmental Authority (including workers compensation claims).</w:t>
      </w:r>
    </w:p>
    <w:p>
      <w:pPr>
        <w:pStyle w:val="TextBody"/>
        <w:spacing w:before="0" w:after="0"/>
        <w:ind w:left="0" w:right="0" w:hanging="0"/>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Losses</w:t>
      </w:r>
      <w:r>
        <w:rPr>
          <w:rFonts w:ascii="Times New Roman" w:hAnsi="Times New Roman"/>
          <w:sz w:val="17"/>
        </w:rPr>
        <w:t xml:space="preserve"> means all liabilities, losses, damages, fines, penalties, judgments, settlements, awards, Diminution in Value, costs and expenses (including reasonable fees and expenses of counsel, consultants, experts and other professional fees); </w:t>
      </w:r>
      <w:r>
        <w:rPr>
          <w:rFonts w:ascii="Times New Roman" w:hAnsi="Times New Roman"/>
          <w:sz w:val="17"/>
          <w:u w:val="single"/>
        </w:rPr>
        <w:t>provided</w:t>
      </w:r>
      <w:r>
        <w:rPr>
          <w:rFonts w:ascii="Times New Roman" w:hAnsi="Times New Roman"/>
          <w:sz w:val="17"/>
        </w:rPr>
        <w:t xml:space="preserve"> that Losses shall not include any special, punitive, exemplary, incidental, consequential or indirect damages or lost profits, other than any such damages to the extent (i) asserted by or awarded, paid or payable to, a third party or (ii) arising out of fraud.  Notwithstanding anything in this Agreement to the contrary (including </w:t>
      </w:r>
      <w:r>
        <w:rPr>
          <w:rFonts w:ascii="Times New Roman" w:hAnsi="Times New Roman"/>
          <w:sz w:val="17"/>
          <w:u w:val="single"/>
        </w:rPr>
        <w:t>Section 9.7(b)</w:t>
      </w:r>
      <w:r>
        <w:rPr>
          <w:rFonts w:ascii="Times New Roman" w:hAnsi="Times New Roman"/>
          <w:sz w:val="17"/>
        </w:rPr>
        <w:t xml:space="preserve">), exclusively for purposes of the indemnification provided in </w:t>
      </w:r>
      <w:r>
        <w:rPr>
          <w:rFonts w:ascii="Times New Roman" w:hAnsi="Times New Roman"/>
          <w:sz w:val="17"/>
          <w:u w:val="single"/>
        </w:rPr>
        <w:t>Section 7.8(a)(ii)</w:t>
      </w:r>
      <w:r>
        <w:rPr>
          <w:rFonts w:ascii="Times New Roman" w:hAnsi="Times New Roman"/>
          <w:sz w:val="17"/>
        </w:rPr>
        <w:t xml:space="preserve">, </w:t>
      </w:r>
      <w:r>
        <w:rPr>
          <w:rFonts w:ascii="Times New Roman" w:hAnsi="Times New Roman"/>
          <w:sz w:val="17"/>
          <w:u w:val="single"/>
        </w:rPr>
        <w:t>(iii)</w:t>
      </w:r>
      <w:r>
        <w:rPr>
          <w:rFonts w:ascii="Times New Roman" w:hAnsi="Times New Roman"/>
          <w:sz w:val="17"/>
        </w:rPr>
        <w:t xml:space="preserve"> and </w:t>
      </w:r>
      <w:r>
        <w:rPr>
          <w:rFonts w:ascii="Times New Roman" w:hAnsi="Times New Roman"/>
          <w:sz w:val="17"/>
          <w:u w:val="single"/>
        </w:rPr>
        <w:t>(vii)</w:t>
      </w:r>
      <w:r>
        <w:rPr>
          <w:rFonts w:ascii="Times New Roman" w:hAnsi="Times New Roman"/>
          <w:sz w:val="17"/>
        </w:rPr>
        <w:t xml:space="preserve">, in each case solely with respect to an inaccuracy or breach of any representation, warranty or covenant of Seller contained in </w:t>
      </w:r>
      <w:r>
        <w:rPr>
          <w:rFonts w:ascii="Times New Roman" w:hAnsi="Times New Roman"/>
          <w:sz w:val="17"/>
          <w:u w:val="single"/>
        </w:rPr>
        <w:t>Sections 4.11(f)</w:t>
      </w:r>
      <w:r>
        <w:rPr>
          <w:rFonts w:ascii="Times New Roman" w:hAnsi="Times New Roman"/>
          <w:sz w:val="17"/>
        </w:rPr>
        <w:t xml:space="preserve">, </w:t>
      </w:r>
      <w:r>
        <w:rPr>
          <w:rFonts w:ascii="Times New Roman" w:hAnsi="Times New Roman"/>
          <w:sz w:val="17"/>
          <w:u w:val="single"/>
        </w:rPr>
        <w:t>6.18</w:t>
      </w:r>
      <w:r>
        <w:rPr>
          <w:rFonts w:ascii="Times New Roman" w:hAnsi="Times New Roman"/>
          <w:sz w:val="17"/>
        </w:rPr>
        <w:t xml:space="preserve"> or </w:t>
      </w:r>
      <w:r>
        <w:rPr>
          <w:rFonts w:ascii="Times New Roman" w:hAnsi="Times New Roman"/>
          <w:sz w:val="17"/>
          <w:u w:val="single"/>
        </w:rPr>
        <w:t>6.20</w:t>
      </w:r>
      <w:r>
        <w:rPr>
          <w:rFonts w:ascii="Times New Roman" w:hAnsi="Times New Roman"/>
          <w:sz w:val="17"/>
        </w:rPr>
        <w:t xml:space="preserve"> to the extent such inaccuracy or</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8</w:t>
      </w:r>
    </w:p>
    <w:p>
      <w:pPr>
        <w:pStyle w:val="HorizontalLine"/>
        <w:pBdr>
          <w:bottom w:val="single" w:sz="12" w:space="0" w:color="808080"/>
        </w:pBdr>
        <w:spacing w:before="0" w:after="0"/>
        <w:jc w:val="left"/>
        <w:rPr/>
      </w:pPr>
      <w:r>
        <w:rPr/>
      </w:r>
      <w:r>
        <w:br w:type="page"/>
      </w:r>
    </w:p>
    <w:p>
      <w:pPr>
        <w:pStyle w:val="TextBody"/>
        <w:spacing w:before="0" w:after="0"/>
        <w:ind w:left="0" w:right="0" w:hanging="0"/>
        <w:jc w:val="center"/>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 xml:space="preserve">breach is due to a Prohibited Tax Action, Losses shall include the difference between the present value of (i) depreciation, amortization and depletion deductions reported (or that could have been reported in future years, but for such Prohibited Tax Action) by the Buyer Indemnified Parties, which deductions otherwise would have been realized if not for such Prohibited Tax Action and (ii) such depreciation, amortization and depletion deductions as redetermined by the IRS or applicable state income Tax Authority as a result of such Prohibited Tax Action, taking into account Buyers obligation to, subject to the provisions of </w:t>
      </w:r>
      <w:r>
        <w:rPr>
          <w:rFonts w:ascii="Times New Roman" w:hAnsi="Times New Roman"/>
          <w:sz w:val="17"/>
          <w:u w:val="single"/>
        </w:rPr>
        <w:t>Section 7.8(c)</w:t>
      </w:r>
      <w:r>
        <w:rPr>
          <w:rFonts w:ascii="Times New Roman" w:hAnsi="Times New Roman"/>
          <w:sz w:val="17"/>
        </w:rPr>
        <w:t>, take (or cause to be taken) such actions as shall maximize such deductions going forward.  Solely for purposes of the immediately preceding sentence, Losses of the Buyer Indemnified Parties shall be determined as if Buyer were a U.S. taxpayer subject to federal, state and local income Tax at a combined rate of forty percent (40%).</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Material Adverse Effect</w:t>
      </w:r>
      <w:r>
        <w:rPr>
          <w:rFonts w:ascii="Times New Roman" w:hAnsi="Times New Roman"/>
          <w:sz w:val="17"/>
        </w:rPr>
        <w:t xml:space="preserve"> means a material adverse effect on (a) the business, operations (including results of operation), assets, liabilities or financial condition of the Company and the Subsidiaries, taken as a whole, other than any effect resulting or arising from (i) any change generally affecting the economic conditions in the industries or markets in which the Company or the Subsidiaries operate, (ii) seasonal reductions in revenues and/or earnings of the Company or the Subsidiaries in the ordinary course of their respective businesses consistent with industry experience, (iii) national or international political conditions, including any engagement in hostilities, whether or not pursuant to the declaration of a national emergency or war, or the occurrence of any military or terrorist attack occurring prior to, on or after the date of this Agreement; </w:t>
      </w:r>
      <w:r>
        <w:rPr>
          <w:rFonts w:ascii="Times New Roman" w:hAnsi="Times New Roman"/>
          <w:sz w:val="17"/>
          <w:u w:val="single"/>
        </w:rPr>
        <w:t>provided</w:t>
      </w:r>
      <w:r>
        <w:rPr>
          <w:rFonts w:ascii="Times New Roman" w:hAnsi="Times New Roman"/>
          <w:sz w:val="17"/>
        </w:rPr>
        <w:t xml:space="preserve"> that none of the conditions or events described in this clause (iii) results in the destruction or loss of use of any material assets of the Company or any of the Subsidiaries, (iv) proposed or adopted legislation or any other proposal or enactment by any Governmental Authority, (v) changes in Tax or accounting requirements or principles or the interpretation thereof, (vi) the announcement of this Agreement and (vii) the effect of the development, expansion or construction by another Person (other than development of a new natural gas storage facility by Seller or any of its Affiliates in the State of Louisiana originating or publicly announced on or after the date of this Agreement) of a natural gas storage facility, a liquefied natural gas receiving and regasification terminal or a natural gas pipeline (including an announcement of such other Persons intention with respect to any of the foregoing) or (b) the ability of Seller to perform its obligations under this Agreement, including its obligation to complete the transactions contemplated herein.  Any determination as to whether any circumstance, change or effect has a Material Adverse Effect shall be made only after taking into account all benefits and costs of such circumstance, change or effect.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Material Contracts</w:t>
      </w:r>
      <w:r>
        <w:rPr>
          <w:rFonts w:ascii="Times New Roman" w:hAnsi="Times New Roman"/>
          <w:sz w:val="17"/>
        </w:rPr>
        <w:t xml:space="preserve"> has the meaning provided such term in </w:t>
      </w:r>
      <w:r>
        <w:rPr>
          <w:rFonts w:ascii="Times New Roman" w:hAnsi="Times New Roman"/>
          <w:sz w:val="17"/>
          <w:u w:val="single"/>
        </w:rPr>
        <w:t>Section 4.7(b)</w:t>
      </w:r>
      <w:r>
        <w:rPr>
          <w:rFonts w:ascii="Times New Roman" w:hAnsi="Times New Roman"/>
          <w:sz w:val="17"/>
        </w:rPr>
        <w: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Member</w:t>
      </w:r>
      <w:r>
        <w:rPr>
          <w:rFonts w:ascii="Times New Roman" w:hAnsi="Times New Roman"/>
          <w:sz w:val="17"/>
        </w:rPr>
        <w:t> means a member as defined in section 18-101(11) of the Delaware Limited Liability Company Act.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Membership Interests</w:t>
      </w:r>
      <w:r>
        <w:rPr>
          <w:rFonts w:ascii="Times New Roman" w:hAnsi="Times New Roman"/>
          <w:sz w:val="17"/>
        </w:rPr>
        <w:t> has the meaning provided such term in the fifth recital above.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9</w:t>
      </w:r>
    </w:p>
    <w:p>
      <w:pPr>
        <w:pStyle w:val="HorizontalLine"/>
        <w:pBdr>
          <w:bottom w:val="single" w:sz="12" w:space="0" w:color="808080"/>
        </w:pBdr>
        <w:spacing w:before="0" w:after="0"/>
        <w:jc w:val="left"/>
        <w:rPr/>
      </w:pPr>
      <w:r>
        <w:rPr/>
      </w:r>
      <w:r>
        <w:br w:type="page"/>
      </w:r>
    </w:p>
    <w:p>
      <w:pPr>
        <w:pStyle w:val="TextBody"/>
        <w:spacing w:before="0" w:after="0"/>
        <w:ind w:left="0" w:right="0" w:hanging="0"/>
        <w:jc w:val="center"/>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Month-End Net Working Capital</w:t>
      </w:r>
      <w:r>
        <w:rPr>
          <w:rFonts w:ascii="Times New Roman" w:hAnsi="Times New Roman"/>
          <w:sz w:val="17"/>
        </w:rPr>
        <w:t> means a negative amount of $556,038.</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Natural Gas Act</w:t>
      </w:r>
      <w:r>
        <w:rPr>
          <w:rFonts w:ascii="Times New Roman" w:hAnsi="Times New Roman"/>
          <w:sz w:val="17"/>
        </w:rPr>
        <w:t xml:space="preserve"> has the meaning provided such term in </w:t>
      </w:r>
      <w:r>
        <w:rPr>
          <w:rFonts w:ascii="Times New Roman" w:hAnsi="Times New Roman"/>
          <w:sz w:val="17"/>
          <w:u w:val="single"/>
        </w:rPr>
        <w:t>Section 4.21</w:t>
      </w:r>
      <w:r>
        <w:rPr>
          <w:rFonts w:ascii="Times New Roman" w:hAnsi="Times New Roman"/>
          <w:sz w:val="17"/>
        </w:rPr>
        <w: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Net Working Capital</w:t>
      </w:r>
      <w:r>
        <w:rPr>
          <w:rFonts w:ascii="Times New Roman" w:hAnsi="Times New Roman"/>
          <w:sz w:val="17"/>
        </w:rPr>
        <w:t xml:space="preserve">, which may be positive or negative, means an amount equal to the total current assets of the Company and the Subsidiaries as of the Closing Date minus the total current liabilities of the Company and the Subsidiaries as of the Closing Date, determined (a) in accordance with GAAP and the methodologies set forth on </w:t>
      </w:r>
      <w:r>
        <w:rPr>
          <w:rFonts w:ascii="Times New Roman" w:hAnsi="Times New Roman"/>
          <w:sz w:val="17"/>
          <w:u w:val="single"/>
        </w:rPr>
        <w:t>Schedule 2.4</w:t>
      </w:r>
      <w:r>
        <w:rPr>
          <w:rFonts w:ascii="Times New Roman" w:hAnsi="Times New Roman"/>
          <w:sz w:val="17"/>
        </w:rPr>
        <w:t xml:space="preserve">; </w:t>
      </w:r>
      <w:r>
        <w:rPr>
          <w:rFonts w:ascii="Times New Roman" w:hAnsi="Times New Roman"/>
          <w:sz w:val="17"/>
          <w:u w:val="single"/>
        </w:rPr>
        <w:t>provided</w:t>
      </w:r>
      <w:r>
        <w:rPr>
          <w:rFonts w:ascii="Times New Roman" w:hAnsi="Times New Roman"/>
          <w:sz w:val="17"/>
        </w:rPr>
        <w:t xml:space="preserve"> that current assets and current liabilities shall include an accrual for Installment Payments and shall not include any asset or liability related or attributable to Taxes or intercompany account balances and (b) without giving effect to the sale of the Membership Interests contemplated hereby.</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Net Working Capital Closing Statement</w:t>
      </w:r>
      <w:r>
        <w:rPr>
          <w:rFonts w:ascii="Times New Roman" w:hAnsi="Times New Roman"/>
          <w:sz w:val="17"/>
        </w:rPr>
        <w:t xml:space="preserve"> has the meaning provided such term in </w:t>
      </w:r>
      <w:r>
        <w:rPr>
          <w:rFonts w:ascii="Times New Roman" w:hAnsi="Times New Roman"/>
          <w:sz w:val="17"/>
          <w:u w:val="single"/>
        </w:rPr>
        <w:t>Section 2.4(a)</w:t>
      </w:r>
      <w:r>
        <w:rPr>
          <w:rFonts w:ascii="Times New Roman" w:hAnsi="Times New Roman"/>
          <w:sz w:val="17"/>
        </w:rPr>
        <w: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Net Working Capital Evaluation Period</w:t>
      </w:r>
      <w:r>
        <w:rPr>
          <w:rFonts w:ascii="Times New Roman" w:hAnsi="Times New Roman"/>
          <w:sz w:val="17"/>
        </w:rPr>
        <w:t xml:space="preserve"> has the meaning provided such term in </w:t>
      </w:r>
      <w:r>
        <w:rPr>
          <w:rFonts w:ascii="Times New Roman" w:hAnsi="Times New Roman"/>
          <w:sz w:val="17"/>
          <w:u w:val="single"/>
        </w:rPr>
        <w:t>Section 2.4(b)</w:t>
      </w:r>
      <w:r>
        <w:rPr>
          <w:rFonts w:ascii="Times New Roman" w:hAnsi="Times New Roman"/>
          <w:sz w:val="17"/>
        </w:rPr>
        <w: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Net Working Capital Resolution Period</w:t>
      </w:r>
      <w:r>
        <w:rPr>
          <w:rFonts w:ascii="Times New Roman" w:hAnsi="Times New Roman"/>
          <w:sz w:val="17"/>
        </w:rPr>
        <w:t xml:space="preserve"> has the meaning provided such term in </w:t>
      </w:r>
      <w:r>
        <w:rPr>
          <w:rFonts w:ascii="Times New Roman" w:hAnsi="Times New Roman"/>
          <w:sz w:val="17"/>
          <w:u w:val="single"/>
        </w:rPr>
        <w:t>Section 2.4(b)</w:t>
      </w:r>
      <w:r>
        <w:rPr>
          <w:rFonts w:ascii="Times New Roman" w:hAnsi="Times New Roman"/>
          <w:sz w:val="17"/>
        </w:rPr>
        <w: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Newco</w:t>
      </w:r>
      <w:r>
        <w:rPr>
          <w:rFonts w:ascii="Times New Roman" w:hAnsi="Times New Roman"/>
          <w:sz w:val="17"/>
        </w:rPr>
        <w:t xml:space="preserve"> has the meaning provided such term in </w:t>
      </w:r>
      <w:r>
        <w:rPr>
          <w:rFonts w:ascii="Times New Roman" w:hAnsi="Times New Roman"/>
          <w:sz w:val="17"/>
          <w:u w:val="single"/>
        </w:rPr>
        <w:t>Section 6.20(a)</w:t>
      </w:r>
      <w:r>
        <w:rPr>
          <w:rFonts w:ascii="Times New Roman" w:hAnsi="Times New Roman"/>
          <w:sz w:val="17"/>
        </w:rPr>
        <w: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NGPA</w:t>
      </w:r>
      <w:r>
        <w:rPr>
          <w:rFonts w:ascii="Times New Roman" w:hAnsi="Times New Roman"/>
          <w:sz w:val="17"/>
        </w:rPr>
        <w:t xml:space="preserve"> has the meaning provided such term in </w:t>
      </w:r>
      <w:r>
        <w:rPr>
          <w:rFonts w:ascii="Times New Roman" w:hAnsi="Times New Roman"/>
          <w:sz w:val="17"/>
          <w:u w:val="single"/>
        </w:rPr>
        <w:t>Section 4.21</w:t>
      </w:r>
      <w:r>
        <w:rPr>
          <w:rFonts w:ascii="Times New Roman" w:hAnsi="Times New Roman"/>
          <w:sz w:val="17"/>
        </w:rPr>
        <w: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NSAI</w:t>
      </w:r>
      <w:r>
        <w:rPr>
          <w:rFonts w:ascii="Times New Roman" w:hAnsi="Times New Roman"/>
          <w:sz w:val="17"/>
        </w:rPr>
        <w:t xml:space="preserve"> has the meaning provided such term in </w:t>
      </w:r>
      <w:r>
        <w:rPr>
          <w:rFonts w:ascii="Times New Roman" w:hAnsi="Times New Roman"/>
          <w:sz w:val="17"/>
          <w:u w:val="single"/>
        </w:rPr>
        <w:t>Schedule 2.6</w:t>
      </w:r>
      <w:r>
        <w:rPr>
          <w:rFonts w:ascii="Times New Roman" w:hAnsi="Times New Roman"/>
          <w:sz w:val="17"/>
        </w:rPr>
        <w: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NSAI Reserve Value</w:t>
      </w:r>
      <w:r>
        <w:rPr>
          <w:rFonts w:ascii="Times New Roman" w:hAnsi="Times New Roman"/>
          <w:sz w:val="17"/>
        </w:rPr>
        <w:t xml:space="preserve"> has the meaning provided such term in </w:t>
      </w:r>
      <w:r>
        <w:rPr>
          <w:rFonts w:ascii="Times New Roman" w:hAnsi="Times New Roman"/>
          <w:sz w:val="17"/>
          <w:u w:val="single"/>
        </w:rPr>
        <w:t>Schedule 2.6</w:t>
      </w:r>
      <w:r>
        <w:rPr>
          <w:rFonts w:ascii="Times New Roman" w:hAnsi="Times New Roman"/>
          <w:sz w:val="17"/>
        </w:rPr>
        <w: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Off-Site Location</w:t>
      </w:r>
      <w:r>
        <w:rPr>
          <w:rFonts w:ascii="Times New Roman" w:hAnsi="Times New Roman"/>
          <w:sz w:val="17"/>
        </w:rPr>
        <w:t> means any real property other than the Real Property.</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Oil</w:t>
      </w:r>
      <w:r>
        <w:rPr>
          <w:rFonts w:ascii="Times New Roman" w:hAnsi="Times New Roman"/>
          <w:sz w:val="17"/>
        </w:rPr>
        <w:t xml:space="preserve"> has the meaning provided such term in </w:t>
      </w:r>
      <w:r>
        <w:rPr>
          <w:rFonts w:ascii="Times New Roman" w:hAnsi="Times New Roman"/>
          <w:sz w:val="17"/>
          <w:u w:val="single"/>
        </w:rPr>
        <w:t>Schedule 2.6</w:t>
      </w:r>
      <w:r>
        <w:rPr>
          <w:rFonts w:ascii="Times New Roman" w:hAnsi="Times New Roman"/>
          <w:sz w:val="17"/>
        </w:rPr>
        <w: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Organizational Documents</w:t>
      </w:r>
      <w:r>
        <w:rPr>
          <w:rFonts w:ascii="Times New Roman" w:hAnsi="Times New Roman"/>
          <w:sz w:val="17"/>
        </w:rPr>
        <w:t> means any charter, certificate of incorporation, articles of association, limited liability company agreement, partnership agreement, membership agreement, bylaws, operating agreement or similar formation or governing documents and instruments.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Other Real Property</w:t>
      </w:r>
      <w:r>
        <w:rPr>
          <w:rFonts w:ascii="Times New Roman" w:hAnsi="Times New Roman"/>
          <w:sz w:val="17"/>
        </w:rPr>
        <w:t xml:space="preserve"> has the meaning provided such term in </w:t>
      </w:r>
      <w:r>
        <w:rPr>
          <w:rFonts w:ascii="Times New Roman" w:hAnsi="Times New Roman"/>
          <w:sz w:val="17"/>
          <w:u w:val="single"/>
        </w:rPr>
        <w:t>Section 4.19(h)</w:t>
      </w:r>
      <w:r>
        <w:rPr>
          <w:rFonts w:ascii="Times New Roman" w:hAnsi="Times New Roman"/>
          <w:sz w:val="17"/>
        </w:rPr>
        <w: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Other Real Property Documents</w:t>
      </w:r>
      <w:r>
        <w:rPr>
          <w:rFonts w:ascii="Times New Roman" w:hAnsi="Times New Roman"/>
          <w:sz w:val="17"/>
        </w:rPr>
        <w:t xml:space="preserve"> has the meaning provided such term in </w:t>
      </w:r>
      <w:r>
        <w:rPr>
          <w:rFonts w:ascii="Times New Roman" w:hAnsi="Times New Roman"/>
          <w:sz w:val="17"/>
          <w:u w:val="single"/>
        </w:rPr>
        <w:t>Section 4.19(h)</w:t>
      </w:r>
      <w:r>
        <w:rPr>
          <w:rFonts w:ascii="Times New Roman" w:hAnsi="Times New Roman"/>
          <w:sz w:val="17"/>
        </w:rPr>
        <w: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Owned Real Property</w:t>
      </w:r>
      <w:r>
        <w:rPr>
          <w:rFonts w:ascii="Times New Roman" w:hAnsi="Times New Roman"/>
          <w:sz w:val="17"/>
        </w:rPr>
        <w:t> means the fee interest in and to all real property (including surface and subsurface estates and storage and mineral rights) owned by the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10</w:t>
      </w:r>
    </w:p>
    <w:p>
      <w:pPr>
        <w:pStyle w:val="HorizontalLine"/>
        <w:pBdr>
          <w:bottom w:val="single" w:sz="12" w:space="0" w:color="808080"/>
        </w:pBdr>
        <w:spacing w:before="0" w:after="0"/>
        <w:jc w:val="left"/>
        <w:rPr/>
      </w:pPr>
      <w:r>
        <w:rPr/>
      </w:r>
      <w:r>
        <w:br w:type="page"/>
      </w:r>
    </w:p>
    <w:p>
      <w:pPr>
        <w:pStyle w:val="TextBody"/>
        <w:spacing w:before="0" w:after="0"/>
        <w:ind w:left="0" w:right="0" w:hanging="0"/>
        <w:jc w:val="center"/>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Company or any Subsidiary, together with all buildings, structures, improvements and fixtures located thereon and all easements, rights of way and other rights and interests appurtenant thereto and any and all amendments thereof, and specifically excluding therefrom all Leased Real Property.</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Parties</w:t>
      </w:r>
      <w:r>
        <w:rPr>
          <w:rFonts w:ascii="Times New Roman" w:hAnsi="Times New Roman"/>
          <w:sz w:val="17"/>
        </w:rPr>
        <w:t> means Seller and Buyer.</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Permits</w:t>
      </w:r>
      <w:r>
        <w:rPr>
          <w:rFonts w:ascii="Times New Roman" w:hAnsi="Times New Roman"/>
          <w:sz w:val="17"/>
        </w:rPr>
        <w:t> means all authorizations, licenses, identification numbers, permits, certificates, orders, consents, approvals and registrations required under Law.</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Permitted Liens</w:t>
      </w:r>
      <w:r>
        <w:rPr>
          <w:rFonts w:ascii="Times New Roman" w:hAnsi="Times New Roman"/>
          <w:sz w:val="17"/>
        </w:rPr>
        <w:t xml:space="preserve"> means (a) Liens for Taxes, impositions, assessments, fees, rents or other governmental charges levied or assessed or imposed (i) not yet delinquent as of the Closing Date or (ii) being contested in good faith by appropriate proceedings and, in the case of clause (ii), for which adequate reserves have been taken and are reflected in the Net Working Capital, (b) statutory Liens (including materialmens, warehousemens, mechanics, repairmens, landlords, and other similar Liens) arising in the ordinary course of business securing payments (i) not yet delinquent or (ii) being contested in good faith by appropriate proceedings and, in the case of clause (ii), for which adequate reserves have been taken and are reflected in the Net Working Capital, (c) the rights of lessors and lessees under the leases set forth on </w:t>
      </w:r>
      <w:r>
        <w:rPr>
          <w:rFonts w:ascii="Times New Roman" w:hAnsi="Times New Roman"/>
          <w:sz w:val="17"/>
          <w:u w:val="single"/>
        </w:rPr>
        <w:t>Schedule 4.19(b)</w:t>
      </w:r>
      <w:r>
        <w:rPr>
          <w:rFonts w:ascii="Times New Roman" w:hAnsi="Times New Roman"/>
          <w:sz w:val="17"/>
        </w:rPr>
        <w:t xml:space="preserve">, (d) the rights of licensors and licensees under the licenses set forth on </w:t>
      </w:r>
      <w:r>
        <w:rPr>
          <w:rFonts w:ascii="Times New Roman" w:hAnsi="Times New Roman"/>
          <w:sz w:val="17"/>
          <w:u w:val="single"/>
        </w:rPr>
        <w:t>Schedules 4.8(b)</w:t>
      </w:r>
      <w:r>
        <w:rPr>
          <w:rFonts w:ascii="Times New Roman" w:hAnsi="Times New Roman"/>
          <w:sz w:val="17"/>
        </w:rPr>
        <w:t xml:space="preserve">, </w:t>
      </w:r>
      <w:r>
        <w:rPr>
          <w:rFonts w:ascii="Times New Roman" w:hAnsi="Times New Roman"/>
          <w:sz w:val="17"/>
          <w:u w:val="single"/>
        </w:rPr>
        <w:t>4.19(a)(i) </w:t>
      </w:r>
      <w:r>
        <w:rPr>
          <w:rFonts w:ascii="Times New Roman" w:hAnsi="Times New Roman"/>
          <w:sz w:val="17"/>
        </w:rPr>
        <w:t xml:space="preserve">and </w:t>
      </w:r>
      <w:r>
        <w:rPr>
          <w:rFonts w:ascii="Times New Roman" w:hAnsi="Times New Roman"/>
          <w:sz w:val="17"/>
          <w:u w:val="single"/>
        </w:rPr>
        <w:t>(b)</w:t>
      </w:r>
      <w:r>
        <w:rPr>
          <w:rFonts w:ascii="Times New Roman" w:hAnsi="Times New Roman"/>
          <w:sz w:val="17"/>
        </w:rPr>
        <w:t xml:space="preserve">, (e) restrictive covenants, easements, rights of way, servitudes and similar burdens and defects, imperfections or irregularities of title that do not, individually or in the aggregate, materially interfere with the use of the property burdened thereby, (f) purchase money Liens arising in the ordinary course of business where the obligation secured thereby is reflected in the Net Working Capital, (g) Liens securing rental payments under the capital leases set forth on </w:t>
      </w:r>
      <w:r>
        <w:rPr>
          <w:rFonts w:ascii="Times New Roman" w:hAnsi="Times New Roman"/>
          <w:sz w:val="17"/>
          <w:u w:val="single"/>
        </w:rPr>
        <w:t>Schedule 4.19(b)</w:t>
      </w:r>
      <w:r>
        <w:rPr>
          <w:rFonts w:ascii="Times New Roman" w:hAnsi="Times New Roman"/>
          <w:sz w:val="17"/>
        </w:rPr>
        <w:t xml:space="preserve">, (h) Liens set forth in </w:t>
      </w:r>
      <w:r>
        <w:rPr>
          <w:rFonts w:ascii="Times New Roman" w:hAnsi="Times New Roman"/>
          <w:sz w:val="17"/>
          <w:u w:val="single"/>
        </w:rPr>
        <w:t>Schedule 1.1(c)</w:t>
      </w:r>
      <w:r>
        <w:rPr>
          <w:rFonts w:ascii="Times New Roman" w:hAnsi="Times New Roman"/>
          <w:sz w:val="17"/>
        </w:rPr>
        <w:t>, (i) Liens created by Buyer, or its successors and assigns and (j) the rights of lessors under leases of personal property with respect to such leased personal property.</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Person</w:t>
      </w:r>
      <w:r>
        <w:rPr>
          <w:rFonts w:ascii="Times New Roman" w:hAnsi="Times New Roman"/>
          <w:sz w:val="17"/>
        </w:rPr>
        <w:t> means any individual, firm, corporation, partnership, limited liability company, incorporated or unincorporated association, joint venture, joint stock company, Governmental Authority or other entity of any kind.</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Physical Assets</w:t>
      </w:r>
      <w:r>
        <w:rPr>
          <w:rFonts w:ascii="Times New Roman" w:hAnsi="Times New Roman"/>
          <w:sz w:val="17"/>
        </w:rPr>
        <w:t xml:space="preserve"> has the meaning provided such term in </w:t>
      </w:r>
      <w:r>
        <w:rPr>
          <w:rFonts w:ascii="Times New Roman" w:hAnsi="Times New Roman"/>
          <w:sz w:val="17"/>
          <w:u w:val="single"/>
        </w:rPr>
        <w:t>Section 4.17</w:t>
      </w:r>
      <w:r>
        <w:rPr>
          <w:rFonts w:ascii="Times New Roman" w:hAnsi="Times New Roman"/>
          <w:sz w:val="17"/>
        </w:rPr>
        <w: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Post-Closing Period</w:t>
      </w:r>
      <w:r>
        <w:rPr>
          <w:rFonts w:ascii="Times New Roman" w:hAnsi="Times New Roman"/>
          <w:sz w:val="17"/>
        </w:rPr>
        <w:t> means any taxable period that begins after the Closing Date.</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Post-Closing Portion</w:t>
      </w:r>
      <w:r>
        <w:rPr>
          <w:rFonts w:ascii="Times New Roman" w:hAnsi="Times New Roman"/>
          <w:sz w:val="17"/>
        </w:rPr>
        <w:t> means, with respect to any Straddle Period, the portion of such Straddle Period that begins on the day after the Closing Date and ends on the last day of such Straddle Period.</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Post-Signing Tax Returns</w:t>
      </w:r>
      <w:r>
        <w:rPr>
          <w:rFonts w:ascii="Times New Roman" w:hAnsi="Times New Roman"/>
          <w:sz w:val="17"/>
        </w:rPr>
        <w:t xml:space="preserve"> has the meaning provided such term in </w:t>
      </w:r>
      <w:r>
        <w:rPr>
          <w:rFonts w:ascii="Times New Roman" w:hAnsi="Times New Roman"/>
          <w:sz w:val="17"/>
          <w:u w:val="single"/>
        </w:rPr>
        <w:t>Section 6.19</w:t>
      </w:r>
      <w:r>
        <w:rPr>
          <w:rFonts w:ascii="Times New Roman" w:hAnsi="Times New Roman"/>
          <w:sz w:val="17"/>
        </w:rPr>
        <w: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11</w:t>
      </w:r>
    </w:p>
    <w:p>
      <w:pPr>
        <w:pStyle w:val="HorizontalLine"/>
        <w:pBdr>
          <w:bottom w:val="single" w:sz="12" w:space="0" w:color="808080"/>
        </w:pBdr>
        <w:spacing w:before="0" w:after="0"/>
        <w:jc w:val="left"/>
        <w:rPr/>
      </w:pPr>
      <w:r>
        <w:rPr/>
      </w:r>
      <w:r>
        <w:br w:type="page"/>
      </w:r>
    </w:p>
    <w:p>
      <w:pPr>
        <w:pStyle w:val="TextBody"/>
        <w:spacing w:before="0" w:after="0"/>
        <w:ind w:left="0" w:right="0" w:hanging="0"/>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PPEC Corp.</w:t>
      </w:r>
      <w:r>
        <w:rPr>
          <w:rFonts w:ascii="Times New Roman" w:hAnsi="Times New Roman"/>
          <w:sz w:val="17"/>
        </w:rPr>
        <w:t> means, prior to the Conversion Transactions, PPEC Corporation, a Delaware corporation, and, from and after the Conversion Transactions, the Delaware limited liability company into which PPEC Corporation is converted pursuant to the Conversion Transactions.</w:t>
      </w:r>
    </w:p>
    <w:p>
      <w:pPr>
        <w:pStyle w:val="TextBody"/>
        <w:spacing w:before="0" w:after="0"/>
        <w:ind w:left="0" w:right="0" w:hanging="0"/>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PPEC Excess Expenditure Amount</w:t>
      </w:r>
      <w:r>
        <w:rPr>
          <w:rFonts w:ascii="Times New Roman" w:hAnsi="Times New Roman"/>
          <w:sz w:val="17"/>
        </w:rPr>
        <w:t> means an amount, which may be positive or negative, equal to (i) the capital contributions to the equity of PPEC LLC made directly or indirectly by Seller (including through the conversion of PPEC LLC Indebtedness for Borrowed Money into PPEC LLC equity), the proceeds of which were used by PPEC LLC prior to the Closing Date to fund the design, construction and development of the Project or that otherwise have been capitalized in accordance with GAAP consistently applied in a manner reflected on the unaudited consolidated balance sheet as of June 30, 2005 (excluding any capitalized interest expense incurred from and after May 1, 2005) minus (ii) $20,000,000.</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PPEC LLC</w:t>
      </w:r>
      <w:r>
        <w:rPr>
          <w:rFonts w:ascii="Times New Roman" w:hAnsi="Times New Roman"/>
          <w:sz w:val="17"/>
        </w:rPr>
        <w:t> has the meaning provided such term in the third recital above.</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Pre-Closing Off-Site Environmental Liability</w:t>
      </w:r>
      <w:r>
        <w:rPr>
          <w:rFonts w:ascii="Times New Roman" w:hAnsi="Times New Roman"/>
          <w:sz w:val="17"/>
        </w:rPr>
        <w:t xml:space="preserve"> means any Loss (whether or not such Loss existed on or before the Closing Date) of the Company or any Subsidiary arising out of or relating to any (i) loss of life, injury to Persons or property or damage to the environment or natural resources (whether or not such loss, injury or damage existed on or before the Closing Date) or (ii) the remediation of Environmental Conditions required by Law, Contract or Permit (in the case of Contracts or Permits, only those entered into or obtained prior to the Closing Date, including any extension or renewal thereof; </w:t>
      </w:r>
      <w:r>
        <w:rPr>
          <w:rFonts w:ascii="Times New Roman" w:hAnsi="Times New Roman"/>
          <w:sz w:val="17"/>
          <w:u w:val="single"/>
        </w:rPr>
        <w:t>provided</w:t>
      </w:r>
      <w:r>
        <w:rPr>
          <w:rFonts w:ascii="Times New Roman" w:hAnsi="Times New Roman"/>
          <w:sz w:val="17"/>
        </w:rPr>
        <w:t xml:space="preserve"> that the terms and provisions of such extension or renewal relating, directly or indirectly, to remediation are the same as the terms and provisions relating to remediation set forth in the Contracts and Permits as of the Closing Date), in the case of either clause (i) or (ii) above, related to Hazardous Materials that have been generated in connection with the business of the Company or any Subsidiary and on or prior to the Closing Date transported to any Off-Site Location for disposal, recycling or reuse, other than (A) Hazardous Materials transported by the Company or any Subsidiary to any Off-Site Location authorized to receive such Hazardous Materials under applicable Environmental Law or (B) Hazardous Materials transported by a Person authorized to transport such Hazardous Materials under applicable Environmental Law; </w:t>
      </w:r>
      <w:r>
        <w:rPr>
          <w:rFonts w:ascii="Times New Roman" w:hAnsi="Times New Roman"/>
          <w:sz w:val="17"/>
          <w:u w:val="single"/>
        </w:rPr>
        <w:t>provided</w:t>
      </w:r>
      <w:r>
        <w:rPr>
          <w:rFonts w:ascii="Times New Roman" w:hAnsi="Times New Roman"/>
          <w:sz w:val="17"/>
        </w:rPr>
        <w:t xml:space="preserve"> that in the case of clause (B), to the Knowledge of Seller, such Person was to transport the Hazardous Materials to an Off-Site Location authorized to receive such Hazardous Materials;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further</w:t>
      </w:r>
      <w:r>
        <w:rPr>
          <w:rFonts w:ascii="Times New Roman" w:hAnsi="Times New Roman"/>
          <w:sz w:val="17"/>
        </w:rPr>
        <w:t>, that in the case of clauses (A) and (B), to the Knowledge of Seller, none of such Hazardous Materials have been transported to any of the facilities listed on the National Priorities List, 40 C.F.R. Part 300, Appendix B.</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Pre-Closing On-Site Environmental Liability</w:t>
      </w:r>
      <w:r>
        <w:rPr>
          <w:rFonts w:ascii="Times New Roman" w:hAnsi="Times New Roman"/>
          <w:sz w:val="17"/>
        </w:rPr>
        <w:t> means any Loss (whether or not such Loss existed on or before the Closing Date) of the Company or any Subsidiary arising out of or relating to any loss of life or injury to any Person (whether or not such loss or injury existed on or before the Closing Date) to the extent (i) related to actual or alleged exposure to any Environmental Condition on or prior to the Closing</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12</w:t>
      </w:r>
    </w:p>
    <w:p>
      <w:pPr>
        <w:pStyle w:val="HorizontalLine"/>
        <w:pBdr>
          <w:bottom w:val="single" w:sz="12" w:space="0" w:color="808080"/>
        </w:pBdr>
        <w:spacing w:before="0" w:after="0"/>
        <w:jc w:val="left"/>
        <w:rPr/>
      </w:pPr>
      <w:r>
        <w:rPr/>
      </w:r>
      <w:r>
        <w:br w:type="page"/>
      </w:r>
    </w:p>
    <w:p>
      <w:pPr>
        <w:pStyle w:val="TextBody"/>
        <w:spacing w:before="0" w:after="0"/>
        <w:ind w:left="0" w:right="0" w:hanging="0"/>
        <w:jc w:val="center"/>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Date existing at or migrating from any past or current Real Property and (ii) caused by the operations of the Company or any Subsidiary.</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Pre-Closing Period</w:t>
      </w:r>
      <w:r>
        <w:rPr>
          <w:rFonts w:ascii="Times New Roman" w:hAnsi="Times New Roman"/>
          <w:sz w:val="17"/>
        </w:rPr>
        <w:t xml:space="preserve"> has the meaning provided such term in </w:t>
      </w:r>
      <w:r>
        <w:rPr>
          <w:rFonts w:ascii="Times New Roman" w:hAnsi="Times New Roman"/>
          <w:sz w:val="17"/>
          <w:u w:val="single"/>
        </w:rPr>
        <w:t>Section 7.3(a)</w:t>
      </w:r>
      <w:r>
        <w:rPr>
          <w:rFonts w:ascii="Times New Roman" w:hAnsi="Times New Roman"/>
          <w:sz w:val="17"/>
        </w:rPr>
        <w: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Pre-Closing Period Income Tax Return</w:t>
      </w:r>
      <w:r>
        <w:rPr>
          <w:rFonts w:ascii="Times New Roman" w:hAnsi="Times New Roman"/>
          <w:sz w:val="17"/>
        </w:rPr>
        <w:t xml:space="preserve"> has the meaning provided such term in </w:t>
      </w:r>
      <w:r>
        <w:rPr>
          <w:rFonts w:ascii="Times New Roman" w:hAnsi="Times New Roman"/>
          <w:sz w:val="17"/>
          <w:u w:val="single"/>
        </w:rPr>
        <w:t>Section 7.3(c)</w:t>
      </w:r>
      <w:r>
        <w:rPr>
          <w:rFonts w:ascii="Times New Roman" w:hAnsi="Times New Roman"/>
          <w:sz w:val="17"/>
        </w:rPr>
        <w: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Pre-Closing Period Non-Income Tax Return</w:t>
      </w:r>
      <w:r>
        <w:rPr>
          <w:rFonts w:ascii="Times New Roman" w:hAnsi="Times New Roman"/>
          <w:sz w:val="17"/>
        </w:rPr>
        <w:t xml:space="preserve"> has the meaning provided such term in </w:t>
      </w:r>
      <w:r>
        <w:rPr>
          <w:rFonts w:ascii="Times New Roman" w:hAnsi="Times New Roman"/>
          <w:sz w:val="17"/>
          <w:u w:val="single"/>
        </w:rPr>
        <w:t>Section 7.3(d)</w:t>
      </w:r>
      <w:r>
        <w:rPr>
          <w:rFonts w:ascii="Times New Roman" w:hAnsi="Times New Roman"/>
          <w:sz w:val="17"/>
        </w:rPr>
        <w: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Pre-Closing Period Tax Return</w:t>
      </w:r>
      <w:r>
        <w:rPr>
          <w:rFonts w:ascii="Times New Roman" w:hAnsi="Times New Roman"/>
          <w:sz w:val="17"/>
        </w:rPr>
        <w:t xml:space="preserve"> has the meaning provided such term in </w:t>
      </w:r>
      <w:r>
        <w:rPr>
          <w:rFonts w:ascii="Times New Roman" w:hAnsi="Times New Roman"/>
          <w:sz w:val="17"/>
          <w:u w:val="single"/>
        </w:rPr>
        <w:t>Section 7.3(a)</w:t>
      </w:r>
      <w:r>
        <w:rPr>
          <w:rFonts w:ascii="Times New Roman" w:hAnsi="Times New Roman"/>
          <w:sz w:val="17"/>
        </w:rPr>
        <w: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Pre-Closing Portion</w:t>
      </w:r>
      <w:r>
        <w:rPr>
          <w:rFonts w:ascii="Times New Roman" w:hAnsi="Times New Roman"/>
          <w:sz w:val="17"/>
        </w:rPr>
        <w:t> means, with respect to any Straddle Period, the portion of such Straddle Period that begins on the first day of such Straddle Period and ends on, and includes, the Closing Date.</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Previous Owners</w:t>
      </w:r>
      <w:r>
        <w:rPr>
          <w:rFonts w:ascii="Times New Roman" w:hAnsi="Times New Roman"/>
          <w:sz w:val="17"/>
        </w:rPr>
        <w:t> means Columbus III Production, L.C. and Stephen D. Beauchamp.</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Prime Rate</w:t>
      </w:r>
      <w:r>
        <w:rPr>
          <w:rFonts w:ascii="Times New Roman" w:hAnsi="Times New Roman"/>
          <w:sz w:val="17"/>
        </w:rPr>
        <w:t> means the annual prime rate of interest announced from time to time in The Wall Street Journal, Eastern Edition.</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Prohibited Tax Action</w:t>
      </w:r>
      <w:r>
        <w:rPr>
          <w:rFonts w:ascii="Times New Roman" w:hAnsi="Times New Roman"/>
          <w:sz w:val="17"/>
        </w:rPr>
        <w:t xml:space="preserve"> means (i) Sellers failure to take (or cause to be taken) the actions described in </w:t>
      </w:r>
      <w:r>
        <w:rPr>
          <w:rFonts w:ascii="Times New Roman" w:hAnsi="Times New Roman"/>
          <w:sz w:val="17"/>
          <w:u w:val="single"/>
        </w:rPr>
        <w:t>Section 6.18(a)</w:t>
      </w:r>
      <w:r>
        <w:rPr>
          <w:rFonts w:ascii="Times New Roman" w:hAnsi="Times New Roman"/>
          <w:sz w:val="17"/>
        </w:rPr>
        <w:t xml:space="preserve">, (ii) Sellers failure to take (or cause to be taken) the actions described in </w:t>
      </w:r>
      <w:r>
        <w:rPr>
          <w:rFonts w:ascii="Times New Roman" w:hAnsi="Times New Roman"/>
          <w:sz w:val="17"/>
          <w:u w:val="single"/>
        </w:rPr>
        <w:t>Section 6.20(a)</w:t>
      </w:r>
      <w:r>
        <w:rPr>
          <w:rFonts w:ascii="Times New Roman" w:hAnsi="Times New Roman"/>
          <w:sz w:val="17"/>
        </w:rPr>
        <w:t xml:space="preserve">, </w:t>
      </w:r>
      <w:r>
        <w:rPr>
          <w:rFonts w:ascii="Times New Roman" w:hAnsi="Times New Roman"/>
          <w:sz w:val="17"/>
          <w:u w:val="single"/>
        </w:rPr>
        <w:t>(b)</w:t>
      </w:r>
      <w:r>
        <w:rPr>
          <w:rFonts w:ascii="Times New Roman" w:hAnsi="Times New Roman"/>
          <w:sz w:val="17"/>
        </w:rPr>
        <w:t xml:space="preserve">, and </w:t>
      </w:r>
      <w:r>
        <w:rPr>
          <w:rFonts w:ascii="Times New Roman" w:hAnsi="Times New Roman"/>
          <w:sz w:val="17"/>
          <w:u w:val="single"/>
        </w:rPr>
        <w:t>(d)</w:t>
      </w:r>
      <w:r>
        <w:rPr>
          <w:rFonts w:ascii="Times New Roman" w:hAnsi="Times New Roman"/>
          <w:sz w:val="17"/>
        </w:rPr>
        <w:t>, (iii) an election by Seller or any of its Affiliates (including, on or prior to the Closing, the Company or any of its Subsidiaries) pursuant to Treasury Regulations section 301.7701-3 to change the U.S. federal income tax entity classification of any of the Company, BGS Corp., PPEC Corp., BGS LLC or PPEC LLC, (iv) any issuance or transfer of stock or, following the Conversion Transactions, membership interests, in any of the Company, BGS Corp. or PPEC Corp. that results in such entity having more than one Member on the Closing Date, and (v) any issuance or transfer of membership interests in PPEC LLC that results in such entity having more than one Member on the Closing Date.</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Project</w:t>
      </w:r>
      <w:r>
        <w:rPr>
          <w:rFonts w:ascii="Times New Roman" w:hAnsi="Times New Roman"/>
          <w:sz w:val="17"/>
        </w:rPr>
        <w:t> has the meaning provided such term in the fourth recital above.</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Purchase Price</w:t>
      </w:r>
      <w:r>
        <w:rPr>
          <w:rFonts w:ascii="Times New Roman" w:hAnsi="Times New Roman"/>
          <w:sz w:val="17"/>
        </w:rPr>
        <w:t xml:space="preserve"> has the meaning provided such term in </w:t>
      </w:r>
      <w:r>
        <w:rPr>
          <w:rFonts w:ascii="Times New Roman" w:hAnsi="Times New Roman"/>
          <w:sz w:val="17"/>
          <w:u w:val="single"/>
        </w:rPr>
        <w:t>Section 2.2</w:t>
      </w:r>
      <w:r>
        <w:rPr>
          <w:rFonts w:ascii="Times New Roman" w:hAnsi="Times New Roman"/>
          <w:sz w:val="17"/>
        </w:rPr>
        <w: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Real Property</w:t>
      </w:r>
      <w:r>
        <w:rPr>
          <w:rFonts w:ascii="Times New Roman" w:hAnsi="Times New Roman"/>
          <w:sz w:val="17"/>
        </w:rPr>
        <w:t> means, collectively, the Owned Real Property and the Leased Real Property and all rights and interests of the Company or any Subsidiary in any real property owned by a third party (including easements, rights of way, servitudes and similar rights in favor of the Company or any Subsidiary).</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Real Property Deductible</w:t>
      </w:r>
      <w:r>
        <w:rPr>
          <w:rFonts w:ascii="Times New Roman" w:hAnsi="Times New Roman"/>
          <w:sz w:val="17"/>
        </w:rPr>
        <w:t xml:space="preserve"> has the meaning provided such term in </w:t>
      </w:r>
      <w:r>
        <w:rPr>
          <w:rFonts w:ascii="Times New Roman" w:hAnsi="Times New Roman"/>
          <w:sz w:val="17"/>
          <w:u w:val="single"/>
        </w:rPr>
        <w:t>Section 9.4(b)</w:t>
      </w:r>
      <w:r>
        <w:rPr>
          <w:rFonts w:ascii="Times New Roman" w:hAnsi="Times New Roman"/>
          <w:sz w:val="17"/>
        </w:rPr>
        <w: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13</w:t>
      </w:r>
    </w:p>
    <w:p>
      <w:pPr>
        <w:pStyle w:val="HorizontalLine"/>
        <w:pBdr>
          <w:bottom w:val="single" w:sz="12" w:space="0" w:color="808080"/>
        </w:pBdr>
        <w:spacing w:before="0" w:after="0"/>
        <w:jc w:val="left"/>
        <w:rPr/>
      </w:pPr>
      <w:r>
        <w:rPr/>
      </w:r>
      <w:r>
        <w:br w:type="page"/>
      </w:r>
    </w:p>
    <w:p>
      <w:pPr>
        <w:pStyle w:val="TextBody"/>
        <w:spacing w:before="0" w:after="0"/>
        <w:ind w:left="0" w:right="0" w:hanging="0"/>
        <w:jc w:val="center"/>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Records</w:t>
      </w:r>
      <w:r>
        <w:rPr>
          <w:rFonts w:ascii="Times New Roman" w:hAnsi="Times New Roman"/>
          <w:sz w:val="17"/>
        </w:rPr>
        <w:t xml:space="preserve"> means all land, title, engineering, environmental, operating, regulatory, compliance and other data, files, documents (including design documents), instruments, notes, papers, ledgers, journals, reports, abstracts, surveys, maps, books, studies and records, and accounting, legal and financing records (including FERC accounting records and original cost information and the supporting documentation) arising out of or relating to the assets, business or operations of the Company or any Subsidiary which are held by Seller or any Affiliate of Seller; </w:t>
      </w:r>
      <w:r>
        <w:rPr>
          <w:rFonts w:ascii="Times New Roman" w:hAnsi="Times New Roman"/>
          <w:sz w:val="17"/>
          <w:u w:val="single"/>
        </w:rPr>
        <w:t>provided</w:t>
      </w:r>
      <w:r>
        <w:rPr>
          <w:rFonts w:ascii="Times New Roman" w:hAnsi="Times New Roman"/>
          <w:sz w:val="17"/>
        </w:rPr>
        <w:t xml:space="preserve"> that Seller shall be entitled to redact any information which is material to Sellers other businesses and unrelated to the Company or any Subsidiary or privileged information to the extent relating exclusively to Sellers other businesses.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Regulated Affiliate</w:t>
      </w:r>
      <w:r>
        <w:rPr>
          <w:rFonts w:ascii="Times New Roman" w:hAnsi="Times New Roman"/>
          <w:sz w:val="17"/>
        </w:rPr>
        <w:t> means San Diego Gas &amp; Electric Company, Southern California Gas Company and any Transmission Provider of Seller, as that term is defined under FERCs Standards of Conduct for Transmission Providers, 18 C.F.R. Part 358, Section 358.3(a), other than the Company or any Subsidiary.</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Release</w:t>
      </w:r>
      <w:r>
        <w:rPr>
          <w:rFonts w:ascii="Times New Roman" w:hAnsi="Times New Roman"/>
          <w:sz w:val="17"/>
        </w:rPr>
        <w:t> means any release, spill, emission, discharge, leaking, pumping, injection (excluding the injection or withdrawal of natural gas, natural gas liquids, crude oil and other hydrocarbons into or out of the BGS Storage Facility in the ordinary course of business), deposit, disposal, dispersal, leaching or migration into the indoor or outdoor environment (including ambient air, surface water, groundwater and surface or subsurface strata) or into or out of any property, including the movement of Hazardous Materials through or in the air, soil, surface water, groundwater or property.</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Representatives</w:t>
      </w:r>
      <w:r>
        <w:rPr>
          <w:rFonts w:ascii="Times New Roman" w:hAnsi="Times New Roman"/>
          <w:sz w:val="17"/>
        </w:rPr>
        <w:t> means, as to any Person, its officers, directors, employees, counsel, accountants, financial advisers, consultants and lenders and their counsel, advisers and consultants, and with respect to Buyer, any officer, director, employee, counsel, accountant, financial adviser, consultant or lender (and their respective counsel, advisers and consultants) of Plains All American Pipeline, L.P. or Vulcan Gas Storage LLC.</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Restricted Information</w:t>
      </w:r>
      <w:r>
        <w:rPr>
          <w:rFonts w:ascii="Times New Roman" w:hAnsi="Times New Roman"/>
          <w:sz w:val="17"/>
        </w:rPr>
        <w:t xml:space="preserve"> has the meaning provided such term in </w:t>
      </w:r>
      <w:r>
        <w:rPr>
          <w:rFonts w:ascii="Times New Roman" w:hAnsi="Times New Roman"/>
          <w:sz w:val="17"/>
          <w:u w:val="single"/>
        </w:rPr>
        <w:t>Section 6.12(b)</w:t>
      </w:r>
      <w:r>
        <w:rPr>
          <w:rFonts w:ascii="Times New Roman" w:hAnsi="Times New Roman"/>
          <w:sz w:val="17"/>
        </w:rPr>
        <w: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Seller</w:t>
      </w:r>
      <w:r>
        <w:rPr>
          <w:rFonts w:ascii="Times New Roman" w:hAnsi="Times New Roman"/>
          <w:sz w:val="17"/>
        </w:rPr>
        <w:t> has the meaning provided such term in the preamble to this Agreement.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Seller Approvals</w:t>
      </w:r>
      <w:r>
        <w:rPr>
          <w:rFonts w:ascii="Times New Roman" w:hAnsi="Times New Roman"/>
          <w:sz w:val="17"/>
        </w:rPr>
        <w:t xml:space="preserve"> has the meaning provided such term in </w:t>
      </w:r>
      <w:r>
        <w:rPr>
          <w:rFonts w:ascii="Times New Roman" w:hAnsi="Times New Roman"/>
          <w:sz w:val="17"/>
          <w:u w:val="single"/>
        </w:rPr>
        <w:t>Section 3.3</w:t>
      </w:r>
      <w:r>
        <w:rPr>
          <w:rFonts w:ascii="Times New Roman" w:hAnsi="Times New Roman"/>
          <w:sz w:val="17"/>
        </w:rPr>
        <w: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Seller Indemnified Parties</w:t>
      </w:r>
      <w:r>
        <w:rPr>
          <w:rFonts w:ascii="Times New Roman" w:hAnsi="Times New Roman"/>
          <w:sz w:val="17"/>
        </w:rPr>
        <w:t xml:space="preserve"> has the meaning provided such term in </w:t>
      </w:r>
      <w:r>
        <w:rPr>
          <w:rFonts w:ascii="Times New Roman" w:hAnsi="Times New Roman"/>
          <w:sz w:val="17"/>
          <w:u w:val="single"/>
        </w:rPr>
        <w:t>Section 9.2(b)</w:t>
      </w:r>
      <w:r>
        <w:rPr>
          <w:rFonts w:ascii="Times New Roman" w:hAnsi="Times New Roman"/>
          <w:sz w:val="17"/>
        </w:rPr>
        <w: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Seller Marks</w:t>
      </w:r>
      <w:r>
        <w:rPr>
          <w:rFonts w:ascii="Times New Roman" w:hAnsi="Times New Roman"/>
          <w:sz w:val="17"/>
        </w:rPr>
        <w:t xml:space="preserve"> has the meaning provided such term in </w:t>
      </w:r>
      <w:r>
        <w:rPr>
          <w:rFonts w:ascii="Times New Roman" w:hAnsi="Times New Roman"/>
          <w:sz w:val="17"/>
          <w:u w:val="single"/>
        </w:rPr>
        <w:t>Section 6.9</w:t>
      </w:r>
      <w:r>
        <w:rPr>
          <w:rFonts w:ascii="Times New Roman" w:hAnsi="Times New Roman"/>
          <w:sz w:val="17"/>
        </w:rPr>
        <w: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Seller Parent</w:t>
      </w:r>
      <w:r>
        <w:rPr>
          <w:rFonts w:ascii="Times New Roman" w:hAnsi="Times New Roman"/>
          <w:sz w:val="17"/>
        </w:rPr>
        <w:t> means Sempra Energy.</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Seller Savings Plan</w:t>
      </w:r>
      <w:r>
        <w:rPr>
          <w:rFonts w:ascii="Times New Roman" w:hAnsi="Times New Roman"/>
          <w:sz w:val="17"/>
        </w:rPr>
        <w:t> means any Company Plan with a deferral account under Section 401(k) of the Code.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14</w:t>
      </w:r>
    </w:p>
    <w:p>
      <w:pPr>
        <w:pStyle w:val="HorizontalLine"/>
        <w:pBdr>
          <w:bottom w:val="single" w:sz="12" w:space="0" w:color="808080"/>
        </w:pBdr>
        <w:spacing w:before="0" w:after="0"/>
        <w:jc w:val="left"/>
        <w:rPr/>
      </w:pPr>
      <w:r>
        <w:rPr/>
      </w:r>
      <w:r>
        <w:br w:type="page"/>
      </w:r>
    </w:p>
    <w:p>
      <w:pPr>
        <w:pStyle w:val="TextBody"/>
        <w:spacing w:before="0" w:after="0"/>
        <w:ind w:left="0" w:right="0" w:hanging="0"/>
        <w:jc w:val="center"/>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Shares</w:t>
      </w:r>
      <w:r>
        <w:rPr>
          <w:rFonts w:ascii="Times New Roman" w:hAnsi="Times New Roman"/>
          <w:sz w:val="17"/>
        </w:rPr>
        <w:t> has the meaning provided such term in the fifth recital above.</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Small Cap Losses</w:t>
      </w:r>
      <w:r>
        <w:rPr>
          <w:rFonts w:ascii="Times New Roman" w:hAnsi="Times New Roman"/>
          <w:sz w:val="17"/>
        </w:rPr>
        <w:t xml:space="preserve"> has the meaning provided such term in </w:t>
      </w:r>
      <w:r>
        <w:rPr>
          <w:rFonts w:ascii="Times New Roman" w:hAnsi="Times New Roman"/>
          <w:sz w:val="17"/>
          <w:u w:val="single"/>
        </w:rPr>
        <w:t>Section 9.4(c)</w:t>
      </w:r>
      <w:r>
        <w:rPr>
          <w:rFonts w:ascii="Times New Roman" w:hAnsi="Times New Roman"/>
          <w:sz w:val="17"/>
        </w:rPr>
        <w: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Software</w:t>
      </w:r>
      <w:r>
        <w:rPr>
          <w:rFonts w:ascii="Times New Roman" w:hAnsi="Times New Roman"/>
          <w:sz w:val="17"/>
        </w:rPr>
        <w:t> means all computer programs, databases, compilations, user interfaces and tools, and data, and all documentation related to any of the foregoing.</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Straddle Period</w:t>
      </w:r>
      <w:r>
        <w:rPr>
          <w:rFonts w:ascii="Times New Roman" w:hAnsi="Times New Roman"/>
          <w:sz w:val="17"/>
        </w:rPr>
        <w:t xml:space="preserve"> has the meaning provided such term in </w:t>
      </w:r>
      <w:r>
        <w:rPr>
          <w:rFonts w:ascii="Times New Roman" w:hAnsi="Times New Roman"/>
          <w:sz w:val="17"/>
          <w:u w:val="single"/>
        </w:rPr>
        <w:t>Section 7.3(b)</w:t>
      </w:r>
      <w:r>
        <w:rPr>
          <w:rFonts w:ascii="Times New Roman" w:hAnsi="Times New Roman"/>
          <w:sz w:val="17"/>
        </w:rPr>
        <w: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Straddle Period Tax Return</w:t>
      </w:r>
      <w:r>
        <w:rPr>
          <w:rFonts w:ascii="Times New Roman" w:hAnsi="Times New Roman"/>
          <w:sz w:val="17"/>
        </w:rPr>
        <w:t xml:space="preserve"> has the meaning provided such term in </w:t>
      </w:r>
      <w:r>
        <w:rPr>
          <w:rFonts w:ascii="Times New Roman" w:hAnsi="Times New Roman"/>
          <w:sz w:val="17"/>
          <w:u w:val="single"/>
        </w:rPr>
        <w:t>Section 7.3(b)</w:t>
      </w:r>
      <w:r>
        <w:rPr>
          <w:rFonts w:ascii="Times New Roman" w:hAnsi="Times New Roman"/>
          <w:sz w:val="17"/>
        </w:rPr>
        <w: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Subsidiary</w:t>
      </w:r>
      <w:r>
        <w:rPr>
          <w:rFonts w:ascii="Times New Roman" w:hAnsi="Times New Roman"/>
          <w:sz w:val="17"/>
        </w:rPr>
        <w:t> and </w:t>
      </w:r>
      <w:r>
        <w:rPr>
          <w:rFonts w:ascii="Times New Roman" w:hAnsi="Times New Roman"/>
          <w:sz w:val="17"/>
          <w:u w:val="single"/>
        </w:rPr>
        <w:t>Subsidiaries</w:t>
      </w:r>
      <w:r>
        <w:rPr>
          <w:rFonts w:ascii="Times New Roman" w:hAnsi="Times New Roman"/>
          <w:sz w:val="17"/>
        </w:rPr>
        <w:t> have the meaning provided such terms in the third recital above.</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Tax Authority</w:t>
      </w:r>
      <w:r>
        <w:rPr>
          <w:rFonts w:ascii="Times New Roman" w:hAnsi="Times New Roman"/>
          <w:sz w:val="17"/>
        </w:rPr>
        <w:t> means any Governmental Authority having jurisdiction over the assessment, determination, collection or imposition of any Tax.</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Tax Indemnified Party</w:t>
      </w:r>
      <w:r>
        <w:rPr>
          <w:rFonts w:ascii="Times New Roman" w:hAnsi="Times New Roman"/>
          <w:sz w:val="17"/>
        </w:rPr>
        <w:t xml:space="preserve"> has the meaning provided such term in </w:t>
      </w:r>
      <w:r>
        <w:rPr>
          <w:rFonts w:ascii="Times New Roman" w:hAnsi="Times New Roman"/>
          <w:sz w:val="17"/>
          <w:u w:val="single"/>
        </w:rPr>
        <w:t>Section 7.9(a)</w:t>
      </w:r>
      <w:r>
        <w:rPr>
          <w:rFonts w:ascii="Times New Roman" w:hAnsi="Times New Roman"/>
          <w:sz w:val="17"/>
        </w:rPr>
        <w: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Tax Indemnifying Party</w:t>
      </w:r>
      <w:r>
        <w:rPr>
          <w:rFonts w:ascii="Times New Roman" w:hAnsi="Times New Roman"/>
          <w:sz w:val="17"/>
        </w:rPr>
        <w:t xml:space="preserve"> has the meaning provided such term in </w:t>
      </w:r>
      <w:r>
        <w:rPr>
          <w:rFonts w:ascii="Times New Roman" w:hAnsi="Times New Roman"/>
          <w:sz w:val="17"/>
          <w:u w:val="single"/>
        </w:rPr>
        <w:t>Section 7.9(a)</w:t>
      </w:r>
      <w:r>
        <w:rPr>
          <w:rFonts w:ascii="Times New Roman" w:hAnsi="Times New Roman"/>
          <w:sz w:val="17"/>
        </w:rPr>
        <w: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Tax Proceeding</w:t>
      </w:r>
      <w:r>
        <w:rPr>
          <w:rFonts w:ascii="Times New Roman" w:hAnsi="Times New Roman"/>
          <w:sz w:val="17"/>
        </w:rPr>
        <w:t> means any audit, Litigation or other proceeding with respect to Taxes.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Tax Returns</w:t>
      </w:r>
      <w:r>
        <w:rPr>
          <w:rFonts w:ascii="Times New Roman" w:hAnsi="Times New Roman"/>
          <w:sz w:val="17"/>
        </w:rPr>
        <w:t> means any report, return, election, declaration or other filing required to be filed with any Tax Authority, including any amendments thereto.</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Tax Sharing Agreement</w:t>
      </w:r>
      <w:r>
        <w:rPr>
          <w:rFonts w:ascii="Times New Roman" w:hAnsi="Times New Roman"/>
          <w:sz w:val="17"/>
        </w:rPr>
        <w:t> means any agreement with respect to the sharing or allocation of, or indemnification for, Taxes or similar contract or arrangement, whether written or unwritten.</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Taxes</w:t>
      </w:r>
      <w:r>
        <w:rPr>
          <w:rFonts w:ascii="Times New Roman" w:hAnsi="Times New Roman"/>
          <w:sz w:val="17"/>
        </w:rPr>
        <w:t> means any taxes and similar government charges (including taxes on or with respect to net or gross income, franchise, profits, gross receipts, capital, sales, use, ad valorem, value added, transfer, registration, capital stock, license, payroll, employment, social security, unemployment, severance, real or personal property, excise, recordation, estimated taxes, withholding and stamp), together with any interest thereon, penalties, fines and additions to tax with respect thereto, imposed by a Governmental Authority.</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Termination</w:t>
      </w:r>
      <w:r>
        <w:rPr>
          <w:rFonts w:ascii="Times New Roman" w:hAnsi="Times New Roman"/>
          <w:sz w:val="17"/>
        </w:rPr>
        <w:t xml:space="preserve"> has the meaning provided such term in </w:t>
      </w:r>
      <w:r>
        <w:rPr>
          <w:rFonts w:ascii="Times New Roman" w:hAnsi="Times New Roman"/>
          <w:sz w:val="17"/>
          <w:u w:val="single"/>
        </w:rPr>
        <w:t>Section 6.20(c)</w:t>
      </w:r>
      <w:r>
        <w:rPr>
          <w:rFonts w:ascii="Times New Roman" w:hAnsi="Times New Roman"/>
          <w:sz w:val="17"/>
        </w:rPr>
        <w: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Third-Party Claim</w:t>
      </w:r>
      <w:r>
        <w:rPr>
          <w:rFonts w:ascii="Times New Roman" w:hAnsi="Times New Roman"/>
          <w:sz w:val="17"/>
        </w:rPr>
        <w:t xml:space="preserve"> has the meaning provided such term in </w:t>
      </w:r>
      <w:r>
        <w:rPr>
          <w:rFonts w:ascii="Times New Roman" w:hAnsi="Times New Roman"/>
          <w:sz w:val="17"/>
          <w:u w:val="single"/>
        </w:rPr>
        <w:t>Section  9.3(a)</w:t>
      </w:r>
      <w:r>
        <w:rPr>
          <w:rFonts w:ascii="Times New Roman" w:hAnsi="Times New Roman"/>
          <w:sz w:val="17"/>
        </w:rPr>
        <w: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15</w:t>
      </w:r>
    </w:p>
    <w:p>
      <w:pPr>
        <w:pStyle w:val="HorizontalLine"/>
        <w:pBdr>
          <w:bottom w:val="single" w:sz="12" w:space="0" w:color="808080"/>
        </w:pBdr>
        <w:spacing w:before="0" w:after="0"/>
        <w:jc w:val="left"/>
        <w:rPr/>
      </w:pPr>
      <w:r>
        <w:rPr/>
      </w:r>
      <w:r>
        <w:br w:type="page"/>
      </w:r>
    </w:p>
    <w:p>
      <w:pPr>
        <w:pStyle w:val="TextBody"/>
        <w:spacing w:before="0" w:after="0"/>
        <w:ind w:left="0" w:right="0" w:hanging="0"/>
        <w:jc w:val="center"/>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Title Commitments</w:t>
      </w:r>
      <w:r>
        <w:rPr>
          <w:rFonts w:ascii="Times New Roman" w:hAnsi="Times New Roman"/>
          <w:sz w:val="17"/>
        </w:rPr>
        <w:t xml:space="preserve"> means one or more commitments issued in the name of Buyer to insure at the Closing Buyers fee title to those parcels of Owned Real Property set forth on </w:t>
      </w:r>
      <w:r>
        <w:rPr>
          <w:rFonts w:ascii="Times New Roman" w:hAnsi="Times New Roman"/>
          <w:sz w:val="17"/>
          <w:u w:val="single"/>
        </w:rPr>
        <w:t>Schedule 4.19(a) </w:t>
      </w:r>
      <w:r>
        <w:rPr>
          <w:rFonts w:ascii="Times New Roman" w:hAnsi="Times New Roman"/>
          <w:sz w:val="17"/>
        </w:rPr>
        <w:t xml:space="preserve">in a manner consistent with Sellers representations and warranties in </w:t>
      </w:r>
      <w:r>
        <w:rPr>
          <w:rFonts w:ascii="Times New Roman" w:hAnsi="Times New Roman"/>
          <w:sz w:val="17"/>
          <w:u w:val="single"/>
        </w:rPr>
        <w:t>Section 4.19(a)</w:t>
      </w:r>
      <w:r>
        <w:rPr>
          <w:rFonts w:ascii="Times New Roman" w:hAnsi="Times New Roman"/>
          <w:sz w:val="17"/>
        </w:rPr>
        <w:t>, pursuant to and subject to the terms, conditions and exclusions of a 1992 ALTA Owner Policy of Title Insurance, as issued by a nationally recognized title insurer.</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Transfer Taxes</w:t>
      </w:r>
      <w:r>
        <w:rPr>
          <w:rFonts w:ascii="Times New Roman" w:hAnsi="Times New Roman"/>
          <w:sz w:val="17"/>
        </w:rPr>
        <w:t xml:space="preserve"> has the meaning provided such term in </w:t>
      </w:r>
      <w:r>
        <w:rPr>
          <w:rFonts w:ascii="Times New Roman" w:hAnsi="Times New Roman"/>
          <w:sz w:val="17"/>
          <w:u w:val="single"/>
        </w:rPr>
        <w:t>Section 7.2</w:t>
      </w:r>
      <w:r>
        <w:rPr>
          <w:rFonts w:ascii="Times New Roman" w:hAnsi="Times New Roman"/>
          <w:sz w:val="17"/>
        </w:rPr>
        <w: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Transition Services Agreement</w:t>
      </w:r>
      <w:r>
        <w:rPr>
          <w:rFonts w:ascii="Times New Roman" w:hAnsi="Times New Roman"/>
          <w:sz w:val="17"/>
        </w:rPr>
        <w:t xml:space="preserve"> means the Transition Services Agreement among Seller, Buyer and the Company substantially in the form of </w:t>
      </w:r>
      <w:r>
        <w:rPr>
          <w:rFonts w:ascii="Times New Roman" w:hAnsi="Times New Roman"/>
          <w:sz w:val="17"/>
          <w:u w:val="single"/>
        </w:rPr>
        <w:t>Exhibit A</w:t>
      </w:r>
      <w:r>
        <w:rPr>
          <w:rFonts w:ascii="Times New Roman" w:hAnsi="Times New Roman"/>
          <w:sz w:val="17"/>
        </w:rPr>
        <w: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Treasury Regulations</w:t>
      </w:r>
      <w:r>
        <w:rPr>
          <w:rFonts w:ascii="Times New Roman" w:hAnsi="Times New Roman"/>
          <w:sz w:val="17"/>
        </w:rPr>
        <w:t> means the regulations, including temporary regulations, promulgated under the Code, as the same may be amended hereafter from time to time (including corresponding provisions of succeeding regulations).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WARN Act</w:t>
      </w:r>
      <w:r>
        <w:rPr>
          <w:rFonts w:ascii="Times New Roman" w:hAnsi="Times New Roman"/>
          <w:sz w:val="17"/>
        </w:rPr>
        <w:t xml:space="preserve"> has the meaning provided such term in </w:t>
      </w:r>
      <w:r>
        <w:rPr>
          <w:rFonts w:ascii="Times New Roman" w:hAnsi="Times New Roman"/>
          <w:sz w:val="17"/>
          <w:u w:val="single"/>
        </w:rPr>
        <w:t>Section 4.16</w:t>
      </w:r>
      <w:r>
        <w:rPr>
          <w:rFonts w:ascii="Times New Roman" w:hAnsi="Times New Roman"/>
          <w:sz w:val="17"/>
        </w:rPr>
        <w: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t>
      </w:r>
      <w:r>
        <w:rPr>
          <w:rFonts w:ascii="Times New Roman" w:hAnsi="Times New Roman"/>
          <w:sz w:val="17"/>
          <w:u w:val="single"/>
        </w:rPr>
        <w:t>Welfare Benefits</w:t>
      </w:r>
      <w:r>
        <w:rPr>
          <w:rFonts w:ascii="Times New Roman" w:hAnsi="Times New Roman"/>
          <w:sz w:val="17"/>
        </w:rPr>
        <w:t xml:space="preserve"> has the meaning provided such term in </w:t>
      </w:r>
      <w:r>
        <w:rPr>
          <w:rFonts w:ascii="Times New Roman" w:hAnsi="Times New Roman"/>
          <w:sz w:val="17"/>
          <w:u w:val="single"/>
        </w:rPr>
        <w:t>Section 6.5(f)</w:t>
      </w:r>
      <w:r>
        <w:rPr>
          <w:rFonts w:ascii="Times New Roman" w:hAnsi="Times New Roman"/>
          <w:sz w:val="17"/>
        </w:rPr>
        <w:t>.</w:t>
      </w:r>
    </w:p>
    <w:p>
      <w:pPr>
        <w:pStyle w:val="TextBody"/>
        <w:spacing w:before="0" w:after="0"/>
        <w:ind w:left="0" w:right="0" w:hanging="0"/>
        <w:jc w:val="left"/>
        <w:rPr/>
      </w:pPr>
      <w:r>
        <w:rPr/>
        <w:t> </w:t>
      </w:r>
    </w:p>
    <w:p>
      <w:pPr>
        <w:pStyle w:val="Heading2"/>
        <w:spacing w:before="0" w:after="0"/>
        <w:ind w:left="0" w:right="0" w:hanging="0"/>
        <w:jc w:val="left"/>
        <w:rPr>
          <w:rFonts w:ascii="Times New Roman" w:hAnsi="Times New Roman"/>
          <w:b w:val="false"/>
          <w:sz w:val="17"/>
        </w:rPr>
      </w:pPr>
      <w:bookmarkStart w:id="117" w:name="Section1_2_233523"/>
      <w:bookmarkEnd w:id="117"/>
      <w:r>
        <w:rPr>
          <w:rFonts w:ascii="Times New Roman" w:hAnsi="Times New Roman"/>
          <w:b w:val="false"/>
          <w:sz w:val="17"/>
        </w:rPr>
        <w:t xml:space="preserve">Section 1.2                                      </w:t>
      </w:r>
      <w:r>
        <w:rPr>
          <w:rFonts w:ascii="Times New Roman" w:hAnsi="Times New Roman"/>
          <w:b w:val="false"/>
          <w:sz w:val="17"/>
          <w:u w:val="single"/>
        </w:rPr>
        <w:t>Rules of Construction</w:t>
      </w:r>
      <w:r>
        <w:rPr>
          <w:rFonts w:ascii="Times New Roman" w:hAnsi="Times New Roman"/>
          <w:b w:val="false"/>
          <w:sz w:val="17"/>
        </w:rPr>
        <w:t>.</w:t>
      </w:r>
    </w:p>
    <w:p>
      <w:pPr>
        <w:pStyle w:val="Heading2"/>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(a)                                  All article, section, schedule and exhibit references used in this Agreement are to articles, sections, schedules and exhibits to this Agreement unless otherwise specified.  The schedules and exhibits attached to this Agreement constitute a part of this Agreement and are incorporated herein for all purposes.</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(b)                                 If a term is defined as one part of speech (such as a noun), it shall have a corresponding meaning when used as another part of speech (such as a verb).  Terms defined in the singular have the corresponding meanings in the plural, and vice versa.  Unless the context of this Agreement clearly requires otherwise, words importing the masculine gender shall include the feminine and neutral genders and vice versa.  The term includes or including shall mean including without limitation.  The words hereof, hereto, hereby, herein, hereunder and words of similar import, when used in this Agreement, shall refer to this Agreement as a whole and not to any particular section or article in which such words appear.  The phrase the date of this Agreement, date hereof and terms of similar import, unless the context otherwise requires, shall be deemed to refer to August 19, 2005.</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(c)                                  Whenever this Agreement refers to a number of days, such number shall refer to calendar days unless Business Days are specified.  Whenever any action must be taken hereunder on or by a day that is not a Business Day, then such action may be validly taken on or by the next day that is a Business Day.</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(d)                                 The Parties acknowledge that each Party and its attorney has reviewed this Agreement and that any rule of construction to the effect that any ambiguities are to be resolved against the drafting Party, or any similar rule operating</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16</w:t>
      </w:r>
    </w:p>
    <w:p>
      <w:pPr>
        <w:pStyle w:val="HorizontalLine"/>
        <w:pBdr>
          <w:bottom w:val="single" w:sz="12" w:space="0" w:color="808080"/>
        </w:pBdr>
        <w:spacing w:before="0" w:after="0"/>
        <w:jc w:val="left"/>
        <w:rPr/>
      </w:pPr>
      <w:r>
        <w:rPr/>
      </w:r>
      <w:r>
        <w:br w:type="page"/>
      </w:r>
    </w:p>
    <w:p>
      <w:pPr>
        <w:pStyle w:val="TextBody"/>
        <w:spacing w:before="0" w:after="0"/>
        <w:ind w:left="0" w:right="0" w:hanging="0"/>
        <w:jc w:val="center"/>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against the drafter of an agreement, shall not be applicable to the construction or interpretation of this Agreement.</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(e)                                  The captions in this Agreement are for convenience only and shall not be considered a part of or affect the construction or interpretation of any provision of this Agreement.</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(f)                                    All references to currency herein shall be to, and all payments required hereunder shall be paid in, Dollars.</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(g)                                 All accounting terms used herein and not expressly defined herein shall have the meanings given to them under GAAP.</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(h)                                 In the case of PPEC LLC, the term ordinary course shall be deemed to mean and be limited to action or inaction reasonably expected of a Person engaged in the development of a salt cavern natural gas storage facility.</w:t>
      </w:r>
    </w:p>
    <w:p>
      <w:pPr>
        <w:pStyle w:val="Heading3"/>
        <w:spacing w:before="0" w:after="0"/>
        <w:ind w:left="0" w:right="0" w:hanging="0"/>
        <w:jc w:val="left"/>
        <w:rPr/>
      </w:pPr>
      <w:r>
        <w:rPr/>
        <w:t> </w:t>
      </w:r>
    </w:p>
    <w:p>
      <w:pPr>
        <w:pStyle w:val="Heading1"/>
        <w:spacing w:before="0" w:after="0"/>
        <w:ind w:left="0" w:right="0" w:hanging="0"/>
        <w:rPr>
          <w:rFonts w:ascii="Times New Roman" w:hAnsi="Times New Roman"/>
          <w:b/>
          <w:sz w:val="17"/>
        </w:rPr>
      </w:pPr>
      <w:bookmarkStart w:id="118" w:name="Articleii_233529"/>
      <w:bookmarkEnd w:id="118"/>
      <w:r>
        <w:rPr>
          <w:rFonts w:ascii="Times New Roman" w:hAnsi="Times New Roman"/>
          <w:b/>
          <w:sz w:val="17"/>
        </w:rPr>
        <w:t>ARTICLE II</w:t>
      </w:r>
    </w:p>
    <w:p>
      <w:pPr>
        <w:pStyle w:val="TextBody"/>
        <w:spacing w:before="0" w:after="0"/>
        <w:ind w:left="0" w:right="0" w:hanging="0"/>
        <w:rPr/>
      </w:pPr>
      <w:r>
        <w:rPr/>
        <w:t> </w:t>
      </w:r>
    </w:p>
    <w:p>
      <w:pPr>
        <w:pStyle w:val="Heading1"/>
        <w:spacing w:before="0" w:after="0"/>
        <w:ind w:left="0" w:right="0" w:hanging="0"/>
        <w:rPr>
          <w:rFonts w:ascii="Times New Roman" w:hAnsi="Times New Roman"/>
          <w:b/>
          <w:sz w:val="17"/>
        </w:rPr>
      </w:pPr>
      <w:r>
        <w:rPr>
          <w:rFonts w:ascii="Times New Roman" w:hAnsi="Times New Roman"/>
          <w:b/>
          <w:sz w:val="17"/>
        </w:rPr>
        <w:t>PURCHASE AND SALE; CLOSING</w:t>
      </w:r>
    </w:p>
    <w:p>
      <w:pPr>
        <w:pStyle w:val="TextBody"/>
        <w:spacing w:before="0" w:after="0"/>
        <w:ind w:left="0" w:right="0" w:hanging="0"/>
        <w:rPr/>
      </w:pPr>
      <w:r>
        <w:rPr/>
        <w:t> </w:t>
      </w:r>
    </w:p>
    <w:p>
      <w:pPr>
        <w:pStyle w:val="Heading2"/>
        <w:spacing w:before="0" w:after="0"/>
        <w:ind w:left="0" w:right="0" w:hanging="0"/>
        <w:jc w:val="left"/>
        <w:rPr>
          <w:rFonts w:ascii="Times New Roman" w:hAnsi="Times New Roman"/>
          <w:b w:val="false"/>
          <w:sz w:val="17"/>
        </w:rPr>
      </w:pPr>
      <w:bookmarkStart w:id="119" w:name="Section2_1_233532"/>
      <w:bookmarkEnd w:id="119"/>
      <w:r>
        <w:rPr>
          <w:rFonts w:ascii="Times New Roman" w:hAnsi="Times New Roman"/>
          <w:b w:val="false"/>
          <w:sz w:val="17"/>
        </w:rPr>
        <w:t xml:space="preserve">Section 2.1                                      </w:t>
      </w:r>
      <w:r>
        <w:rPr>
          <w:rFonts w:ascii="Times New Roman" w:hAnsi="Times New Roman"/>
          <w:b w:val="false"/>
          <w:sz w:val="17"/>
          <w:u w:val="single"/>
        </w:rPr>
        <w:t>Purchase and Sale of Membership Interests</w:t>
      </w:r>
      <w:r>
        <w:rPr>
          <w:rFonts w:ascii="Times New Roman" w:hAnsi="Times New Roman"/>
          <w:b w:val="false"/>
          <w:sz w:val="17"/>
        </w:rPr>
        <w:t>.  At the Closing, upon the terms and subject to the conditions set forth in this Agreement, Seller shall sell, assign, transfer and convey to Buyer, and Buyer shall purchase and acquire from Seller, the Membership Interests, free and clear of any Liens other than transfer restrictions imposed on equity securities by securities Laws.</w:t>
      </w:r>
    </w:p>
    <w:p>
      <w:pPr>
        <w:pStyle w:val="Heading2"/>
        <w:spacing w:before="0" w:after="0"/>
        <w:ind w:left="0" w:right="0" w:hanging="0"/>
        <w:jc w:val="left"/>
        <w:rPr/>
      </w:pPr>
      <w:r>
        <w:rPr/>
        <w:t> </w:t>
      </w:r>
    </w:p>
    <w:p>
      <w:pPr>
        <w:pStyle w:val="Heading2"/>
        <w:spacing w:before="0" w:after="0"/>
        <w:ind w:left="0" w:right="0" w:hanging="0"/>
        <w:jc w:val="left"/>
        <w:rPr>
          <w:rFonts w:ascii="Times New Roman" w:hAnsi="Times New Roman"/>
          <w:b w:val="false"/>
          <w:sz w:val="17"/>
        </w:rPr>
      </w:pPr>
      <w:bookmarkStart w:id="120" w:name="Section2_2_233534"/>
      <w:bookmarkEnd w:id="120"/>
      <w:r>
        <w:rPr>
          <w:rFonts w:ascii="Times New Roman" w:hAnsi="Times New Roman"/>
          <w:b w:val="false"/>
          <w:sz w:val="17"/>
        </w:rPr>
        <w:t xml:space="preserve">Section 2.2                                      </w:t>
      </w:r>
      <w:r>
        <w:rPr>
          <w:rFonts w:ascii="Times New Roman" w:hAnsi="Times New Roman"/>
          <w:b w:val="false"/>
          <w:sz w:val="17"/>
          <w:u w:val="single"/>
        </w:rPr>
        <w:t>Purchase Price</w:t>
      </w:r>
      <w:r>
        <w:rPr>
          <w:rFonts w:ascii="Times New Roman" w:hAnsi="Times New Roman"/>
          <w:b w:val="false"/>
          <w:sz w:val="17"/>
        </w:rPr>
        <w:t>.</w:t>
      </w:r>
    </w:p>
    <w:p>
      <w:pPr>
        <w:pStyle w:val="Heading2"/>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(a)                                  Subject to the terms and conditions of this Agreement, and in consideration of the transactions described in this Agreement, the purchase price for the Membership Interests shall be Two Hundred Fifty Million Dollars ($250,000,000) plus the Estimated Closing Adjustment Amount (the </w:t>
      </w:r>
      <w:r>
        <w:rPr>
          <w:rFonts w:ascii="Times New Roman" w:hAnsi="Times New Roman"/>
          <w:b w:val="false"/>
          <w:sz w:val="17"/>
          <w:u w:val="single"/>
        </w:rPr>
        <w:t>Base Purchase Price</w:t>
      </w:r>
      <w:r>
        <w:rPr>
          <w:rFonts w:ascii="Times New Roman" w:hAnsi="Times New Roman"/>
          <w:b w:val="false"/>
          <w:sz w:val="17"/>
        </w:rPr>
        <w:t xml:space="preserve">), subject to adjustment following the Closing as provided in </w:t>
      </w:r>
      <w:r>
        <w:rPr>
          <w:rFonts w:ascii="Times New Roman" w:hAnsi="Times New Roman"/>
          <w:b w:val="false"/>
          <w:sz w:val="17"/>
          <w:u w:val="single"/>
        </w:rPr>
        <w:t>Sections 2.4</w:t>
      </w:r>
      <w:r>
        <w:rPr>
          <w:rFonts w:ascii="Times New Roman" w:hAnsi="Times New Roman"/>
          <w:b w:val="false"/>
          <w:sz w:val="17"/>
        </w:rPr>
        <w:t xml:space="preserve">, </w:t>
      </w:r>
      <w:r>
        <w:rPr>
          <w:rFonts w:ascii="Times New Roman" w:hAnsi="Times New Roman"/>
          <w:b w:val="false"/>
          <w:sz w:val="17"/>
          <w:u w:val="single"/>
        </w:rPr>
        <w:t>2.5</w:t>
      </w:r>
      <w:r>
        <w:rPr>
          <w:rFonts w:ascii="Times New Roman" w:hAnsi="Times New Roman"/>
          <w:b w:val="false"/>
          <w:sz w:val="17"/>
        </w:rPr>
        <w:t xml:space="preserve"> and </w:t>
      </w:r>
      <w:r>
        <w:rPr>
          <w:rFonts w:ascii="Times New Roman" w:hAnsi="Times New Roman"/>
          <w:b w:val="false"/>
          <w:sz w:val="17"/>
          <w:u w:val="single"/>
        </w:rPr>
        <w:t>2.6</w:t>
      </w:r>
      <w:r>
        <w:rPr>
          <w:rFonts w:ascii="Times New Roman" w:hAnsi="Times New Roman"/>
          <w:b w:val="false"/>
          <w:sz w:val="17"/>
        </w:rPr>
        <w:t xml:space="preserve"> (as so adjusted, the </w:t>
      </w:r>
      <w:r>
        <w:rPr>
          <w:rFonts w:ascii="Times New Roman" w:hAnsi="Times New Roman"/>
          <w:b w:val="false"/>
          <w:sz w:val="17"/>
          <w:u w:val="single"/>
        </w:rPr>
        <w:t>Purchase Price</w:t>
      </w:r>
      <w:r>
        <w:rPr>
          <w:rFonts w:ascii="Times New Roman" w:hAnsi="Times New Roman"/>
          <w:b w:val="false"/>
          <w:sz w:val="17"/>
        </w:rPr>
        <w:t>).  For the avoidance of doubt, if the Estimated Closing Adjustment Amount is a negative amount, it will result in a lower Base Purchase Price, and if the Estimated Closing Adjustment Amount is a positive amount, it will result in a higher Base Purchase Price.</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 xml:space="preserve">(b)                                 Notwithstanding any other provision of this Agreement, if Seller has not delivered to Buyer the certificate contemplated by </w:t>
      </w:r>
      <w:r>
        <w:rPr>
          <w:rFonts w:ascii="Times New Roman" w:hAnsi="Times New Roman"/>
          <w:b w:val="false"/>
          <w:sz w:val="17"/>
          <w:u w:val="single"/>
        </w:rPr>
        <w:t>Section 2.3(b)(iii)</w:t>
      </w:r>
      <w:r>
        <w:rPr>
          <w:rFonts w:ascii="Times New Roman" w:hAnsi="Times New Roman"/>
          <w:b w:val="false"/>
          <w:sz w:val="17"/>
        </w:rPr>
        <w:t>, but Buyer waives the condition related to delivery of such certificate, (i) Buyer shall be permitted to withhold from the Purchase Price the amount required to be withheld pursuant to section 1445 of the Code as calculated by Buyer in good faith, (ii) Buyer shall not be deemed to be in default of any of its obligations under this Agreement by virtue of having withheld such amount and (iii) the amount so withheld shall be deemed to have been paid to Seller on the date that any amounts not so withheld were paid for all purposes under this Agreement.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17</w:t>
      </w:r>
    </w:p>
    <w:p>
      <w:pPr>
        <w:pStyle w:val="HorizontalLine"/>
        <w:pBdr>
          <w:bottom w:val="single" w:sz="12" w:space="0" w:color="808080"/>
        </w:pBdr>
        <w:spacing w:before="0" w:after="0"/>
        <w:jc w:val="left"/>
        <w:rPr/>
      </w:pPr>
      <w:r>
        <w:rPr/>
      </w:r>
      <w:r>
        <w:br w:type="page"/>
      </w:r>
    </w:p>
    <w:p>
      <w:pPr>
        <w:pStyle w:val="TextBody"/>
        <w:spacing w:before="0" w:after="0"/>
        <w:ind w:left="0" w:right="0" w:hanging="0"/>
        <w:jc w:val="center"/>
        <w:rPr/>
      </w:pPr>
      <w:r>
        <w:rPr/>
        <w:t> </w:t>
      </w:r>
    </w:p>
    <w:p>
      <w:pPr>
        <w:pStyle w:val="Heading2"/>
        <w:spacing w:before="0" w:after="0"/>
        <w:ind w:left="0" w:right="0" w:hanging="0"/>
        <w:jc w:val="left"/>
        <w:rPr>
          <w:rFonts w:ascii="Times New Roman" w:hAnsi="Times New Roman"/>
          <w:b w:val="false"/>
          <w:sz w:val="17"/>
        </w:rPr>
      </w:pPr>
      <w:bookmarkStart w:id="121" w:name="Section2_3_233538"/>
      <w:bookmarkEnd w:id="121"/>
      <w:r>
        <w:rPr>
          <w:rFonts w:ascii="Times New Roman" w:hAnsi="Times New Roman"/>
          <w:b w:val="false"/>
          <w:sz w:val="17"/>
        </w:rPr>
        <w:t xml:space="preserve">Section 2.3                                      </w:t>
      </w:r>
      <w:r>
        <w:rPr>
          <w:rFonts w:ascii="Times New Roman" w:hAnsi="Times New Roman"/>
          <w:b w:val="false"/>
          <w:sz w:val="17"/>
          <w:u w:val="single"/>
        </w:rPr>
        <w:t>The Closing</w:t>
      </w:r>
      <w:r>
        <w:rPr>
          <w:rFonts w:ascii="Times New Roman" w:hAnsi="Times New Roman"/>
          <w:b w:val="false"/>
          <w:sz w:val="17"/>
        </w:rPr>
        <w:t>.</w:t>
      </w:r>
    </w:p>
    <w:p>
      <w:pPr>
        <w:pStyle w:val="Heading2"/>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(a)                                  The closing of the transactions contemplated by this Agreement (the </w:t>
      </w:r>
      <w:r>
        <w:rPr>
          <w:rFonts w:ascii="Times New Roman" w:hAnsi="Times New Roman"/>
          <w:b w:val="false"/>
          <w:sz w:val="17"/>
          <w:u w:val="single"/>
        </w:rPr>
        <w:t>Closing</w:t>
      </w:r>
      <w:r>
        <w:rPr>
          <w:rFonts w:ascii="Times New Roman" w:hAnsi="Times New Roman"/>
          <w:b w:val="false"/>
          <w:sz w:val="17"/>
        </w:rPr>
        <w:t>) shall take place at the offices of Dewey Ballantine LLP, 1301 Avenue of the Americas, New York, New York, 10019, at 10:00 a.m. New York time on the third (3rd) Business Day following the satisfaction or waiver of all conditions to the obligations of the Parties to consummate the transactions contemplated hereby (other than conditions which by their nature are to be satisfied at the Closing, but subject to the satisfaction or waiver of those conditions) or such other date as Buyer and Seller may mutually agree in writing (the </w:t>
      </w:r>
      <w:r>
        <w:rPr>
          <w:rFonts w:ascii="Times New Roman" w:hAnsi="Times New Roman"/>
          <w:b w:val="false"/>
          <w:sz w:val="17"/>
          <w:u w:val="single"/>
        </w:rPr>
        <w:t>Closing Date</w:t>
      </w:r>
      <w:r>
        <w:rPr>
          <w:rFonts w:ascii="Times New Roman" w:hAnsi="Times New Roman"/>
          <w:b w:val="false"/>
          <w:sz w:val="17"/>
        </w:rPr>
        <w:t xml:space="preserve">); </w:t>
      </w:r>
      <w:r>
        <w:rPr>
          <w:rFonts w:ascii="Times New Roman" w:hAnsi="Times New Roman"/>
          <w:b w:val="false"/>
          <w:sz w:val="17"/>
          <w:u w:val="single"/>
        </w:rPr>
        <w:t>provided</w:t>
      </w:r>
      <w:r>
        <w:rPr>
          <w:rFonts w:ascii="Times New Roman" w:hAnsi="Times New Roman"/>
          <w:b w:val="false"/>
          <w:sz w:val="17"/>
        </w:rPr>
        <w:t xml:space="preserve"> that in no event shall the Closing occur prior to September 9, 2005.  The Closing shall be deemed to have been consummated at 5:00 p.m. New York time on the Closing Date.</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(b)                                 At the Closing, Seller will deliver the following documents and deliverables to Buyer:</w:t>
      </w:r>
    </w:p>
    <w:p>
      <w:pPr>
        <w:pStyle w:val="Heading3"/>
        <w:spacing w:before="0" w:after="0"/>
        <w:ind w:left="0" w:right="0" w:hanging="0"/>
        <w:jc w:val="left"/>
        <w:rPr/>
      </w:pPr>
      <w:r>
        <w:rPr/>
        <w:t> </w:t>
      </w:r>
    </w:p>
    <w:p>
      <w:pPr>
        <w:pStyle w:val="Heading4"/>
        <w:spacing w:before="0" w:after="0"/>
        <w:ind w:left="0" w:right="0" w:hanging="0"/>
        <w:jc w:val="left"/>
        <w:rPr>
          <w:rFonts w:ascii="Times New Roman" w:hAnsi="Times New Roman"/>
          <w:b w:val="false"/>
          <w:sz w:val="17"/>
        </w:rPr>
      </w:pPr>
      <w:r>
        <w:rPr>
          <w:rFonts w:ascii="Times New Roman" w:hAnsi="Times New Roman"/>
          <w:b w:val="false"/>
          <w:sz w:val="17"/>
        </w:rPr>
        <w:t xml:space="preserve">(i)                                     an assignment of 100% of the Membership Interests in the form attached hereto as </w:t>
      </w:r>
      <w:r>
        <w:rPr>
          <w:rFonts w:ascii="Times New Roman" w:hAnsi="Times New Roman"/>
          <w:b w:val="false"/>
          <w:sz w:val="17"/>
          <w:u w:val="single"/>
        </w:rPr>
        <w:t>Exhibit B</w:t>
      </w:r>
      <w:r>
        <w:rPr>
          <w:rFonts w:ascii="Times New Roman" w:hAnsi="Times New Roman"/>
          <w:b w:val="false"/>
          <w:sz w:val="17"/>
        </w:rPr>
        <w:t>;</w:t>
      </w:r>
    </w:p>
    <w:p>
      <w:pPr>
        <w:pStyle w:val="Heading4"/>
        <w:spacing w:before="0" w:after="0"/>
        <w:ind w:left="0" w:right="0" w:hanging="0"/>
        <w:jc w:val="left"/>
        <w:rPr/>
      </w:pPr>
      <w:r>
        <w:rPr/>
        <w:t> </w:t>
      </w:r>
    </w:p>
    <w:p>
      <w:pPr>
        <w:pStyle w:val="Heading4"/>
        <w:spacing w:before="0" w:after="0"/>
        <w:ind w:left="0" w:right="0" w:hanging="0"/>
        <w:jc w:val="left"/>
        <w:rPr>
          <w:rFonts w:ascii="Times New Roman" w:hAnsi="Times New Roman"/>
          <w:b w:val="false"/>
          <w:sz w:val="17"/>
        </w:rPr>
      </w:pPr>
      <w:r>
        <w:rPr>
          <w:rFonts w:ascii="Times New Roman" w:hAnsi="Times New Roman"/>
          <w:b w:val="false"/>
          <w:sz w:val="17"/>
        </w:rPr>
        <w:t>(ii)                                  the resignations (or evidence of removal) in form and substance reasonably acceptable to Buyer of each officer or director of the Company and each Subsidiary, effective as of the Closing;</w:t>
      </w:r>
    </w:p>
    <w:p>
      <w:pPr>
        <w:pStyle w:val="Heading4"/>
        <w:spacing w:before="0" w:after="0"/>
        <w:ind w:left="0" w:right="0" w:hanging="0"/>
        <w:jc w:val="left"/>
        <w:rPr/>
      </w:pPr>
      <w:r>
        <w:rPr/>
        <w:t> </w:t>
      </w:r>
    </w:p>
    <w:p>
      <w:pPr>
        <w:pStyle w:val="Heading4"/>
        <w:spacing w:before="0" w:after="0"/>
        <w:ind w:left="0" w:right="0" w:hanging="0"/>
        <w:jc w:val="left"/>
        <w:rPr>
          <w:rFonts w:ascii="Times New Roman" w:hAnsi="Times New Roman"/>
          <w:b w:val="false"/>
          <w:sz w:val="17"/>
        </w:rPr>
      </w:pPr>
      <w:r>
        <w:rPr>
          <w:rFonts w:ascii="Times New Roman" w:hAnsi="Times New Roman"/>
          <w:b w:val="false"/>
          <w:sz w:val="17"/>
        </w:rPr>
        <w:t>(iii)                               a certificate that, as of the Closing Date, Seller is not a foreign person within the meaning of section 1445 of the Code, and the Treasury Regulations thereunder, such certificate to be substantially in the form described in Treasury Regulations section 1.1445-2(b)(2)(iv)(B);</w:t>
      </w:r>
    </w:p>
    <w:p>
      <w:pPr>
        <w:pStyle w:val="Heading4"/>
        <w:spacing w:before="0" w:after="0"/>
        <w:ind w:left="0" w:right="0" w:hanging="0"/>
        <w:jc w:val="left"/>
        <w:rPr/>
      </w:pPr>
      <w:r>
        <w:rPr/>
        <w:t> </w:t>
      </w:r>
    </w:p>
    <w:p>
      <w:pPr>
        <w:pStyle w:val="Heading4"/>
        <w:spacing w:before="0" w:after="0"/>
        <w:ind w:left="0" w:right="0" w:hanging="0"/>
        <w:jc w:val="left"/>
        <w:rPr>
          <w:rFonts w:ascii="Times New Roman" w:hAnsi="Times New Roman"/>
          <w:b w:val="false"/>
          <w:sz w:val="17"/>
        </w:rPr>
      </w:pPr>
      <w:r>
        <w:rPr>
          <w:rFonts w:ascii="Times New Roman" w:hAnsi="Times New Roman"/>
          <w:b w:val="false"/>
          <w:sz w:val="17"/>
        </w:rPr>
        <w:t>(iv)                              the Transition Services Agreement duly executed by Seller; and</w:t>
      </w:r>
    </w:p>
    <w:p>
      <w:pPr>
        <w:pStyle w:val="Heading4"/>
        <w:spacing w:before="0" w:after="0"/>
        <w:ind w:left="0" w:right="0" w:hanging="0"/>
        <w:jc w:val="left"/>
        <w:rPr/>
      </w:pPr>
      <w:r>
        <w:rPr/>
        <w:t> </w:t>
      </w:r>
    </w:p>
    <w:p>
      <w:pPr>
        <w:pStyle w:val="Heading4"/>
        <w:spacing w:before="0" w:after="0"/>
        <w:ind w:left="0" w:right="0" w:hanging="0"/>
        <w:jc w:val="left"/>
        <w:rPr>
          <w:rFonts w:ascii="Times New Roman" w:hAnsi="Times New Roman"/>
          <w:b w:val="false"/>
          <w:sz w:val="17"/>
        </w:rPr>
      </w:pPr>
      <w:r>
        <w:rPr>
          <w:rFonts w:ascii="Times New Roman" w:hAnsi="Times New Roman"/>
          <w:b w:val="false"/>
          <w:sz w:val="17"/>
        </w:rPr>
        <w:t xml:space="preserve">(v)                                 all other documents and instruments required to be delivered by Seller on or prior to the Closing Date pursuant to </w:t>
      </w:r>
      <w:r>
        <w:rPr>
          <w:rFonts w:ascii="Times New Roman" w:hAnsi="Times New Roman"/>
          <w:b w:val="false"/>
          <w:sz w:val="17"/>
          <w:u w:val="single"/>
        </w:rPr>
        <w:t>Section 8.1</w:t>
      </w:r>
      <w:r>
        <w:rPr>
          <w:rFonts w:ascii="Times New Roman" w:hAnsi="Times New Roman"/>
          <w:b w:val="false"/>
          <w:sz w:val="17"/>
        </w:rPr>
        <w:t>.</w:t>
      </w:r>
    </w:p>
    <w:p>
      <w:pPr>
        <w:pStyle w:val="Heading4"/>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(c)                                  At the Closing, Buyer will deliver the following documents and deliverables to Seller:</w:t>
      </w:r>
    </w:p>
    <w:p>
      <w:pPr>
        <w:pStyle w:val="Heading3"/>
        <w:spacing w:before="0" w:after="0"/>
        <w:ind w:left="0" w:right="0" w:hanging="0"/>
        <w:jc w:val="left"/>
        <w:rPr/>
      </w:pPr>
      <w:r>
        <w:rPr/>
        <w:t> </w:t>
      </w:r>
    </w:p>
    <w:p>
      <w:pPr>
        <w:pStyle w:val="Heading4"/>
        <w:spacing w:before="0" w:after="0"/>
        <w:ind w:left="0" w:right="0" w:hanging="0"/>
        <w:jc w:val="left"/>
        <w:rPr>
          <w:rFonts w:ascii="Times New Roman" w:hAnsi="Times New Roman"/>
          <w:b w:val="false"/>
          <w:sz w:val="17"/>
        </w:rPr>
      </w:pPr>
      <w:r>
        <w:rPr>
          <w:rFonts w:ascii="Times New Roman" w:hAnsi="Times New Roman"/>
          <w:b w:val="false"/>
          <w:sz w:val="17"/>
        </w:rPr>
        <w:t>(i)                                     an amount equal to the Base Purchase Price by wire transfer of immediately available funds to an account or accounts specified by Seller in writing no less than three (3) Business Days prior to the Closing Date;</w:t>
      </w:r>
    </w:p>
    <w:p>
      <w:pPr>
        <w:pStyle w:val="Heading4"/>
        <w:spacing w:before="0" w:after="0"/>
        <w:ind w:left="0" w:right="0" w:hanging="0"/>
        <w:jc w:val="left"/>
        <w:rPr/>
      </w:pPr>
      <w:r>
        <w:rPr/>
        <w:t> </w:t>
      </w:r>
    </w:p>
    <w:p>
      <w:pPr>
        <w:pStyle w:val="Heading4"/>
        <w:spacing w:before="0" w:after="0"/>
        <w:ind w:left="0" w:right="0" w:hanging="0"/>
        <w:jc w:val="left"/>
        <w:rPr>
          <w:rFonts w:ascii="Times New Roman" w:hAnsi="Times New Roman"/>
          <w:b w:val="false"/>
          <w:sz w:val="17"/>
        </w:rPr>
      </w:pPr>
      <w:r>
        <w:rPr>
          <w:rFonts w:ascii="Times New Roman" w:hAnsi="Times New Roman"/>
          <w:b w:val="false"/>
          <w:sz w:val="17"/>
        </w:rPr>
        <w:t>(ii)                                  the Transition Services Agreement duly executed by Buyer; and</w:t>
      </w:r>
    </w:p>
    <w:p>
      <w:pPr>
        <w:pStyle w:val="Heading4"/>
        <w:spacing w:before="0" w:after="0"/>
        <w:ind w:left="0" w:right="0" w:hanging="0"/>
        <w:jc w:val="left"/>
        <w:rPr/>
      </w:pPr>
      <w:r>
        <w:rPr/>
        <w:t> </w:t>
      </w:r>
    </w:p>
    <w:p>
      <w:pPr>
        <w:pStyle w:val="Heading4"/>
        <w:spacing w:before="0" w:after="0"/>
        <w:ind w:left="0" w:right="0" w:hanging="0"/>
        <w:jc w:val="left"/>
        <w:rPr>
          <w:rFonts w:ascii="Times New Roman" w:hAnsi="Times New Roman"/>
          <w:b w:val="false"/>
          <w:sz w:val="17"/>
        </w:rPr>
      </w:pPr>
      <w:r>
        <w:rPr>
          <w:rFonts w:ascii="Times New Roman" w:hAnsi="Times New Roman"/>
          <w:b w:val="false"/>
          <w:sz w:val="17"/>
        </w:rPr>
        <w:t xml:space="preserve">(iii)                               all other documents and instruments required to be delivered by Buyer on or prior to the Closing Date pursuant to </w:t>
      </w:r>
      <w:r>
        <w:rPr>
          <w:rFonts w:ascii="Times New Roman" w:hAnsi="Times New Roman"/>
          <w:b w:val="false"/>
          <w:sz w:val="17"/>
          <w:u w:val="single"/>
        </w:rPr>
        <w:t>Section 8.2</w:t>
      </w:r>
      <w:r>
        <w:rPr>
          <w:rFonts w:ascii="Times New Roman" w:hAnsi="Times New Roman"/>
          <w:b w:val="false"/>
          <w:sz w:val="17"/>
        </w:rPr>
        <w: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18</w:t>
      </w:r>
    </w:p>
    <w:p>
      <w:pPr>
        <w:pStyle w:val="HorizontalLine"/>
        <w:pBdr>
          <w:bottom w:val="single" w:sz="12" w:space="0" w:color="808080"/>
        </w:pBdr>
        <w:spacing w:before="0" w:after="0"/>
        <w:jc w:val="left"/>
        <w:rPr/>
      </w:pPr>
      <w:r>
        <w:rPr/>
      </w:r>
      <w:r>
        <w:br w:type="page"/>
      </w:r>
    </w:p>
    <w:p>
      <w:pPr>
        <w:pStyle w:val="TextBody"/>
        <w:spacing w:before="0" w:after="0"/>
        <w:ind w:left="0" w:right="0" w:hanging="0"/>
        <w:jc w:val="center"/>
        <w:rPr/>
      </w:pPr>
      <w:r>
        <w:rPr/>
        <w:t> </w:t>
      </w:r>
    </w:p>
    <w:p>
      <w:pPr>
        <w:pStyle w:val="Heading2"/>
        <w:spacing w:before="0" w:after="0"/>
        <w:ind w:left="0" w:right="0" w:hanging="0"/>
        <w:jc w:val="left"/>
        <w:rPr>
          <w:rFonts w:ascii="Times New Roman" w:hAnsi="Times New Roman"/>
          <w:b w:val="false"/>
          <w:sz w:val="17"/>
        </w:rPr>
      </w:pPr>
      <w:bookmarkStart w:id="122" w:name="Section2_4_233545"/>
      <w:bookmarkEnd w:id="122"/>
      <w:r>
        <w:rPr>
          <w:rFonts w:ascii="Times New Roman" w:hAnsi="Times New Roman"/>
          <w:b w:val="false"/>
          <w:sz w:val="17"/>
        </w:rPr>
        <w:t xml:space="preserve">Section 2.4                                      </w:t>
      </w:r>
      <w:r>
        <w:rPr>
          <w:rFonts w:ascii="Times New Roman" w:hAnsi="Times New Roman"/>
          <w:b w:val="false"/>
          <w:sz w:val="17"/>
          <w:u w:val="single"/>
        </w:rPr>
        <w:t>Net Working Capital Reconciliation</w:t>
      </w:r>
      <w:r>
        <w:rPr>
          <w:rFonts w:ascii="Times New Roman" w:hAnsi="Times New Roman"/>
          <w:b w:val="false"/>
          <w:sz w:val="17"/>
        </w:rPr>
        <w:t>.</w:t>
      </w:r>
    </w:p>
    <w:p>
      <w:pPr>
        <w:pStyle w:val="Heading2"/>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(a)                                  As soon as reasonably practicable following the Closing Date, Seller shall, with the cooperation and assistance of Buyer, the Company and the Subsidiaries, prepare and deliver to Buyer a calculation of Net Working Capital, together with reasonably detailed supporting information (the </w:t>
      </w:r>
      <w:r>
        <w:rPr>
          <w:rFonts w:ascii="Times New Roman" w:hAnsi="Times New Roman"/>
          <w:b w:val="false"/>
          <w:sz w:val="17"/>
          <w:u w:val="single"/>
        </w:rPr>
        <w:t>Net Working Capital Closing Statement</w:t>
      </w:r>
      <w:r>
        <w:rPr>
          <w:rFonts w:ascii="Times New Roman" w:hAnsi="Times New Roman"/>
          <w:b w:val="false"/>
          <w:sz w:val="17"/>
        </w:rPr>
        <w:t>).  Buyer and Seller shall use their respective reasonable efforts to cause the Net Working Capital Closing Statement to be completed within ninety (90) days following the Closing Date.</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(b)                                 Within thirty (30) days after Buyers receipt of the Net Working Capital Closing Statement (the </w:t>
      </w:r>
      <w:r>
        <w:rPr>
          <w:rFonts w:ascii="Times New Roman" w:hAnsi="Times New Roman"/>
          <w:b w:val="false"/>
          <w:sz w:val="17"/>
          <w:u w:val="single"/>
        </w:rPr>
        <w:t>Net Working Capital Evaluation Period</w:t>
      </w:r>
      <w:r>
        <w:rPr>
          <w:rFonts w:ascii="Times New Roman" w:hAnsi="Times New Roman"/>
          <w:b w:val="false"/>
          <w:sz w:val="17"/>
        </w:rPr>
        <w:t>), Buyer shall notify Seller if Buyer disagrees with the Net Working Capital Closing Statement and such notice shall set forth in reasonable detail the particulars of such disagreement.  If Buyer does not provide a notice of disagreement within such Net Working Capital Evaluation Period, then Buyer shall be deemed to have accepted the calculations and the amounts set forth in the Net Working Capital Closing Statement, which shall then be final, binding and conclusive for all purposes hereunder.  If any such notice of disagreement is timely provided, then Seller and Buyer shall each use commercially reasonable efforts for a period of thirty (30) days thereafter (the </w:t>
      </w:r>
      <w:r>
        <w:rPr>
          <w:rFonts w:ascii="Times New Roman" w:hAnsi="Times New Roman"/>
          <w:b w:val="false"/>
          <w:sz w:val="17"/>
          <w:u w:val="single"/>
        </w:rPr>
        <w:t>Net Working Capital Resolution Period</w:t>
      </w:r>
      <w:r>
        <w:rPr>
          <w:rFonts w:ascii="Times New Roman" w:hAnsi="Times New Roman"/>
          <w:b w:val="false"/>
          <w:sz w:val="17"/>
        </w:rPr>
        <w:t>) to resolve any disagreements with respect to the calculations in the Net Working Capital Closing Statement.</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 xml:space="preserve">(c)                                  Neither the PPEC Excess Expenditure Amount nor the BGS Expenditure Amount shall become final and binding until the conclusion of the Net Working Capital Resolution Period and any adjustment to the Net Working Capital pursuant to this </w:t>
      </w:r>
      <w:r>
        <w:rPr>
          <w:rFonts w:ascii="Times New Roman" w:hAnsi="Times New Roman"/>
          <w:b w:val="false"/>
          <w:sz w:val="17"/>
          <w:u w:val="single"/>
        </w:rPr>
        <w:t>Section 2.4</w:t>
      </w:r>
      <w:r>
        <w:rPr>
          <w:rFonts w:ascii="Times New Roman" w:hAnsi="Times New Roman"/>
          <w:b w:val="false"/>
          <w:sz w:val="17"/>
        </w:rPr>
        <w:t xml:space="preserve"> shall be reflected in the adjustment of the PPEC Excess Expenditure Amount and/or the BGS Expenditure Amount to the extent applicable.</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(d)                                 If, at the end of the Net Working Capital Resolution Period, the Parties continue to disagree as to items in the Net Working Capital Closing Statement, then the Independent Accountant shall resolve such remaining disagreements.  The Independent Accountant shall be charged with calculating and determining, as promptly as practicable, but in any event within thirty (30) days after the date on which such dispute is referred to the Independent Accountant, the amounts of any disputed items required to determine the Net Working Capital.  The costs and expenses of the Independent Accountant shall be borne fifty percent (50%) by Seller and fifty percent (50%) by Buyer.  The determination of the Independent Accountant shall be final, binding and conclusive for all purposes hereunder.  Such final amounts as determined by the Independent Accountant shall be used to determine the Net Working Capital adjustment to the Base Purchase Price.</w:t>
      </w:r>
    </w:p>
    <w:p>
      <w:pPr>
        <w:pStyle w:val="Heading3"/>
        <w:spacing w:before="0" w:after="0"/>
        <w:ind w:left="0" w:right="0" w:hanging="0"/>
        <w:jc w:val="left"/>
        <w:rPr/>
      </w:pPr>
      <w:r>
        <w:rPr/>
        <w:t> </w:t>
      </w:r>
    </w:p>
    <w:p>
      <w:pPr>
        <w:pStyle w:val="Heading2"/>
        <w:spacing w:before="0" w:after="0"/>
        <w:ind w:left="0" w:right="0" w:hanging="0"/>
        <w:jc w:val="left"/>
        <w:rPr>
          <w:rFonts w:ascii="Times New Roman" w:hAnsi="Times New Roman"/>
          <w:b w:val="false"/>
          <w:sz w:val="17"/>
        </w:rPr>
      </w:pPr>
      <w:bookmarkStart w:id="123" w:name="Section2_5_233549"/>
      <w:bookmarkEnd w:id="123"/>
      <w:r>
        <w:rPr>
          <w:rFonts w:ascii="Times New Roman" w:hAnsi="Times New Roman"/>
          <w:b w:val="false"/>
          <w:sz w:val="17"/>
        </w:rPr>
        <w:t xml:space="preserve">Section 2.5                                      </w:t>
      </w:r>
      <w:r>
        <w:rPr>
          <w:rFonts w:ascii="Times New Roman" w:hAnsi="Times New Roman"/>
          <w:b w:val="false"/>
          <w:sz w:val="17"/>
          <w:u w:val="single"/>
        </w:rPr>
        <w:t>PPEC and BGS Expenditure Adjustments</w:t>
      </w:r>
      <w:r>
        <w:rPr>
          <w:rFonts w:ascii="Times New Roman" w:hAnsi="Times New Roman"/>
          <w:b w:val="false"/>
          <w:sz w:val="17"/>
        </w:rPr>
        <w:t>.</w:t>
      </w:r>
    </w:p>
    <w:p>
      <w:pPr>
        <w:pStyle w:val="Heading2"/>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(a)                                  At least three (3) Business Days prior to the Closing Date, Seller shall deliver to Buyer (i) a schedule setting forth Sellers good faith calculation of the PPEC Excess Expenditure Amount (the </w:t>
      </w:r>
      <w:r>
        <w:rPr>
          <w:rFonts w:ascii="Times New Roman" w:hAnsi="Times New Roman"/>
          <w:b w:val="false"/>
          <w:sz w:val="17"/>
          <w:u w:val="single"/>
        </w:rPr>
        <w:t>Estimated PPEC Excess Expenditure Amount</w:t>
      </w:r>
      <w:r>
        <w:rPr>
          <w:rFonts w:ascii="Times New Roman" w:hAnsi="Times New Roman"/>
          <w:b w:val="false"/>
          <w:sz w:val="17"/>
        </w:rPr>
        <w: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19</w:t>
      </w:r>
    </w:p>
    <w:p>
      <w:pPr>
        <w:pStyle w:val="HorizontalLine"/>
        <w:pBdr>
          <w:bottom w:val="single" w:sz="12" w:space="0" w:color="808080"/>
        </w:pBdr>
        <w:spacing w:before="0" w:after="0"/>
        <w:jc w:val="left"/>
        <w:rPr/>
      </w:pPr>
      <w:r>
        <w:rPr/>
      </w:r>
      <w:r>
        <w:br w:type="page"/>
      </w:r>
    </w:p>
    <w:p>
      <w:pPr>
        <w:pStyle w:val="TextBody"/>
        <w:spacing w:before="0" w:after="0"/>
        <w:ind w:left="0" w:right="0" w:hanging="0"/>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together with reasonably detailed supporting information, and (ii) a schedule setting forth Sellers good faith calculation of the BGS Expenditure Amount (the </w:t>
      </w:r>
      <w:r>
        <w:rPr>
          <w:rFonts w:ascii="Times New Roman" w:hAnsi="Times New Roman"/>
          <w:b w:val="false"/>
          <w:sz w:val="17"/>
          <w:u w:val="single"/>
        </w:rPr>
        <w:t>Estimated BGS Expenditure Amount</w:t>
      </w:r>
      <w:r>
        <w:rPr>
          <w:rFonts w:ascii="Times New Roman" w:hAnsi="Times New Roman"/>
          <w:b w:val="false"/>
          <w:sz w:val="17"/>
        </w:rPr>
        <w:t>), together with reasonably detailed supporting information.  As soon as reasonably practicable following the Closing Date, Seller shall, with the cooperation and assistance of Buyer, the Company and the Subsidiaries, prepare and deliver to Buyer a calculation of the PPEC Excess Expenditure Amount and the BGS Expenditure Amount, together with reasonably detailed supporting information (the </w:t>
      </w:r>
      <w:r>
        <w:rPr>
          <w:rFonts w:ascii="Times New Roman" w:hAnsi="Times New Roman"/>
          <w:b w:val="false"/>
          <w:sz w:val="17"/>
          <w:u w:val="single"/>
        </w:rPr>
        <w:t>Expenditure Amount Closing Statement</w:t>
      </w:r>
      <w:r>
        <w:rPr>
          <w:rFonts w:ascii="Times New Roman" w:hAnsi="Times New Roman"/>
          <w:b w:val="false"/>
          <w:sz w:val="17"/>
        </w:rPr>
        <w:t>).  Buyer and Seller shall use their respective reasonable efforts to cause the Expenditure Amount Closing Statement to be completed within ninety (90) days following the Closing Date.</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(b)                                 Within thirty (30) days after Buyers receipt of the Expenditure Amount Closing Statement (the </w:t>
      </w:r>
      <w:r>
        <w:rPr>
          <w:rFonts w:ascii="Times New Roman" w:hAnsi="Times New Roman"/>
          <w:b w:val="false"/>
          <w:sz w:val="17"/>
          <w:u w:val="single"/>
        </w:rPr>
        <w:t>Expenditure Amount Evaluation Period</w:t>
      </w:r>
      <w:r>
        <w:rPr>
          <w:rFonts w:ascii="Times New Roman" w:hAnsi="Times New Roman"/>
          <w:b w:val="false"/>
          <w:sz w:val="17"/>
        </w:rPr>
        <w:t>), Buyer shall notify Seller if Buyer disagrees with the Expenditure Amount Closing Statement, and such notice shall set forth in reasonable detail the particulars of such disagreement.  If Buyer does not provide a notice of disagreement within such Expenditure Amount Evaluation Period, then Buyer shall be deemed to have accepted the calculations and the amounts set forth in the Expenditure Amount Closing Statement, which shall then be the final, binding and conclusive for all purposes hereunder.  If any such notice of disagreement is timely provided, then Seller and Buyer shall each use commercially reasonable efforts for a period of thirty (30) days thereafter (the </w:t>
      </w:r>
      <w:r>
        <w:rPr>
          <w:rFonts w:ascii="Times New Roman" w:hAnsi="Times New Roman"/>
          <w:b w:val="false"/>
          <w:sz w:val="17"/>
          <w:u w:val="single"/>
        </w:rPr>
        <w:t>Capital Adjustment Resolution Period</w:t>
      </w:r>
      <w:r>
        <w:rPr>
          <w:rFonts w:ascii="Times New Roman" w:hAnsi="Times New Roman"/>
          <w:b w:val="false"/>
          <w:sz w:val="17"/>
        </w:rPr>
        <w:t>) to resolve any disagreements with respect to the Expenditure Amount Closing Statement.</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 xml:space="preserve">(c)                                  The amount designated as the Net Working Capital shall not become final and binding until the conclusion of the Capital Adjustment Resolution Period and any adjustment to the PPEC Excess Expenditure Amount and/or the BGS Expenditure Amount pursuant to this </w:t>
      </w:r>
      <w:r>
        <w:rPr>
          <w:rFonts w:ascii="Times New Roman" w:hAnsi="Times New Roman"/>
          <w:b w:val="false"/>
          <w:sz w:val="17"/>
          <w:u w:val="single"/>
        </w:rPr>
        <w:t>Section 2.5</w:t>
      </w:r>
      <w:r>
        <w:rPr>
          <w:rFonts w:ascii="Times New Roman" w:hAnsi="Times New Roman"/>
          <w:b w:val="false"/>
          <w:sz w:val="17"/>
        </w:rPr>
        <w:t xml:space="preserve"> shall be reflected in the adjustment of the Net Working Capital to the extent applicable.</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(d)                                 If, at the end of the Capital Adjustment Resolution Period, the Parties continue to disagree as to items in the Expenditure Amount Closing Statement, then the Independent Accountant shall resolve such remaining disagreements.  The Independent Accountant shall be charged with calculating and determining, as promptly as practicable, but in any event within thirty (30) days after the date on which such dispute is referred to the Independent Accountant, the amounts of any disputed items required to determine the PPEC Excess Expenditure Amount and/or the BGS Expenditure Amount.  The costs and expenses of the Independent Accountant shall be borne fifty percent (50%) by Seller and fifty percent (50%) by Buyer.  The determination of the Independent Accountant of such disputed items required to determine the PPEC Excess Expenditure Amount and/or the BGS Expenditure Amount, as the case may be, shall be final, binding and conclusive for all purposes hereunder.</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 xml:space="preserve">(e)                                  Within five (5) Business Days of the date on which each of the Net Working Capital, the PPEC Excess Expenditure Amount and the BGS Expenditure Amount have become final, binding and conclusive pursuant to </w:t>
      </w:r>
      <w:r>
        <w:rPr>
          <w:rFonts w:ascii="Times New Roman" w:hAnsi="Times New Roman"/>
          <w:b w:val="false"/>
          <w:sz w:val="17"/>
          <w:u w:val="single"/>
        </w:rPr>
        <w:t>Section 2.4</w:t>
      </w:r>
      <w:r>
        <w:rPr>
          <w:rFonts w:ascii="Times New Roman" w:hAnsi="Times New Roman"/>
          <w:b w:val="false"/>
          <w:sz w:val="17"/>
        </w:rPr>
        <w:t xml:space="preserve"> and this </w:t>
      </w:r>
      <w:r>
        <w:rPr>
          <w:rFonts w:ascii="Times New Roman" w:hAnsi="Times New Roman"/>
          <w:b w:val="false"/>
          <w:sz w:val="17"/>
          <w:u w:val="single"/>
        </w:rPr>
        <w:t>Section 2.5</w:t>
      </w:r>
      <w:r>
        <w:rPr>
          <w:rFonts w:ascii="Times New Roman" w:hAnsi="Times New Roman"/>
          <w:b w:val="false"/>
          <w:sz w:val="17"/>
        </w:rPr>
        <w:t>, Buyer or Seller will make a payment to the other as follows: (i) if the sum</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20</w:t>
      </w:r>
    </w:p>
    <w:p>
      <w:pPr>
        <w:pStyle w:val="HorizontalLine"/>
        <w:pBdr>
          <w:bottom w:val="single" w:sz="12" w:space="0" w:color="808080"/>
        </w:pBdr>
        <w:spacing w:before="0" w:after="0"/>
        <w:jc w:val="left"/>
        <w:rPr/>
      </w:pPr>
      <w:r>
        <w:rPr/>
      </w:r>
      <w:r>
        <w:br w:type="page"/>
      </w:r>
    </w:p>
    <w:p>
      <w:pPr>
        <w:pStyle w:val="TextBody"/>
        <w:spacing w:before="0" w:after="0"/>
        <w:ind w:left="0" w:right="0" w:hanging="0"/>
        <w:jc w:val="center"/>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(expressed as a positive or negative number) of (A) the Month End Net Working Capital minus the Net Working Capital, (B) the Estimated PPEC Excess Expenditure Amount minus the PPEC Excess Expenditure Amount and (C) the BGS Expenditure Amount minus the Estimated BGS Expenditure Amount (collectively, the </w:t>
      </w:r>
      <w:r>
        <w:rPr>
          <w:rFonts w:ascii="Times New Roman" w:hAnsi="Times New Roman"/>
          <w:b w:val="false"/>
          <w:sz w:val="17"/>
          <w:u w:val="single"/>
        </w:rPr>
        <w:t>Final Adjustment Amount</w:t>
      </w:r>
      <w:r>
        <w:rPr>
          <w:rFonts w:ascii="Times New Roman" w:hAnsi="Times New Roman"/>
          <w:b w:val="false"/>
          <w:sz w:val="17"/>
        </w:rPr>
        <w:t>) is a positive number, then Seller shall pay to Buyer the Final Adjustment Amount, and (ii) if the Final Adjustment Amount is a negative amount, then Buyer shall pay to Seller the Final Adjustment Amount, in each case, together with interest accrued thereon at the Prime Rate plus two percent (2%) per annum from the Closing Date to the date such payment is made.</w:t>
      </w:r>
    </w:p>
    <w:p>
      <w:pPr>
        <w:pStyle w:val="Heading3"/>
        <w:spacing w:before="0" w:after="0"/>
        <w:ind w:left="0" w:right="0" w:hanging="0"/>
        <w:jc w:val="left"/>
        <w:rPr/>
      </w:pPr>
      <w:r>
        <w:rPr/>
        <w:t> </w:t>
      </w:r>
    </w:p>
    <w:p>
      <w:pPr>
        <w:pStyle w:val="Heading2"/>
        <w:spacing w:before="0" w:after="0"/>
        <w:ind w:left="0" w:right="0" w:hanging="0"/>
        <w:jc w:val="left"/>
        <w:rPr>
          <w:rFonts w:ascii="Times New Roman" w:hAnsi="Times New Roman"/>
          <w:b w:val="false"/>
          <w:sz w:val="17"/>
        </w:rPr>
      </w:pPr>
      <w:bookmarkStart w:id="124" w:name="Section2_6_233556"/>
      <w:bookmarkEnd w:id="124"/>
      <w:r>
        <w:rPr>
          <w:rFonts w:ascii="Times New Roman" w:hAnsi="Times New Roman"/>
          <w:b w:val="false"/>
          <w:sz w:val="17"/>
        </w:rPr>
        <w:t xml:space="preserve">Section 2.6                                      </w:t>
      </w:r>
      <w:r>
        <w:rPr>
          <w:rFonts w:ascii="Times New Roman" w:hAnsi="Times New Roman"/>
          <w:b w:val="false"/>
          <w:sz w:val="17"/>
          <w:u w:val="single"/>
        </w:rPr>
        <w:t>Bluewater Reserves</w:t>
      </w:r>
      <w:r>
        <w:rPr>
          <w:rFonts w:ascii="Times New Roman" w:hAnsi="Times New Roman"/>
          <w:b w:val="false"/>
          <w:sz w:val="17"/>
        </w:rPr>
        <w:t>.</w:t>
      </w:r>
    </w:p>
    <w:p>
      <w:pPr>
        <w:pStyle w:val="Heading2"/>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 xml:space="preserve">(a)                                  Seller shall cause NSAI to determine the NSAI Reserve Value in accordance with the methods and procedures set forth in </w:t>
      </w:r>
      <w:r>
        <w:rPr>
          <w:rFonts w:ascii="Times New Roman" w:hAnsi="Times New Roman"/>
          <w:b w:val="false"/>
          <w:sz w:val="17"/>
          <w:u w:val="single"/>
        </w:rPr>
        <w:t>Schedule 2.6</w:t>
      </w:r>
      <w:r>
        <w:rPr>
          <w:rFonts w:ascii="Times New Roman" w:hAnsi="Times New Roman"/>
          <w:b w:val="false"/>
          <w:sz w:val="17"/>
        </w:rPr>
        <w:t xml:space="preserve">.  Within thirty (30) days after Buyers receipt of NSAIs final determination of the NSAI Reserve Value in accordance with </w:t>
      </w:r>
      <w:r>
        <w:rPr>
          <w:rFonts w:ascii="Times New Roman" w:hAnsi="Times New Roman"/>
          <w:b w:val="false"/>
          <w:sz w:val="17"/>
          <w:u w:val="single"/>
        </w:rPr>
        <w:t>Schedule 2.6</w:t>
      </w:r>
      <w:r>
        <w:rPr>
          <w:rFonts w:ascii="Times New Roman" w:hAnsi="Times New Roman"/>
          <w:b w:val="false"/>
          <w:sz w:val="17"/>
        </w:rPr>
        <w:t>, or, if the Closing Date has not occurred on or before the end of such 30-day period, within five (5) Business Days after the Closing Date, Buyer shall pay to Seller by wire transfer of immediately available funds to an account or accounts specified by Seller in writing the full amount of the NSAI Reserve Value.  If the NSAI Reserve Value is a negative number neither Party shall owe to the other Party any payment in respect of the NSAI Reserve Value.</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 xml:space="preserve">(b)                                 The Parties hereby agree that the provisions of </w:t>
      </w:r>
      <w:r>
        <w:rPr>
          <w:rFonts w:ascii="Times New Roman" w:hAnsi="Times New Roman"/>
          <w:b w:val="false"/>
          <w:sz w:val="17"/>
          <w:u w:val="single"/>
        </w:rPr>
        <w:t>Schedule 2.6, Section I.A.</w:t>
      </w:r>
      <w:r>
        <w:rPr>
          <w:rFonts w:ascii="Times New Roman" w:hAnsi="Times New Roman"/>
          <w:b w:val="false"/>
          <w:sz w:val="17"/>
        </w:rPr>
        <w:t xml:space="preserve"> are incorporated into this Agreement by reference.</w:t>
      </w:r>
    </w:p>
    <w:p>
      <w:pPr>
        <w:pStyle w:val="Heading3"/>
        <w:spacing w:before="0" w:after="0"/>
        <w:ind w:left="0" w:right="0" w:hanging="0"/>
        <w:jc w:val="left"/>
        <w:rPr/>
      </w:pPr>
      <w:r>
        <w:rPr/>
        <w:t> </w:t>
      </w:r>
    </w:p>
    <w:p>
      <w:pPr>
        <w:pStyle w:val="Heading1"/>
        <w:spacing w:before="0" w:after="0"/>
        <w:ind w:left="0" w:right="0" w:hanging="0"/>
        <w:rPr>
          <w:rFonts w:ascii="Times New Roman" w:hAnsi="Times New Roman"/>
          <w:b/>
          <w:sz w:val="17"/>
        </w:rPr>
      </w:pPr>
      <w:bookmarkStart w:id="125" w:name="Articleiii_233559"/>
      <w:bookmarkEnd w:id="125"/>
      <w:r>
        <w:rPr>
          <w:rFonts w:ascii="Times New Roman" w:hAnsi="Times New Roman"/>
          <w:b/>
          <w:sz w:val="17"/>
        </w:rPr>
        <w:t>ARTICLE III</w:t>
      </w:r>
    </w:p>
    <w:p>
      <w:pPr>
        <w:pStyle w:val="TextBody"/>
        <w:spacing w:before="0" w:after="0"/>
        <w:ind w:left="0" w:right="0" w:hanging="0"/>
        <w:rPr/>
      </w:pPr>
      <w:r>
        <w:rPr/>
        <w:t> </w:t>
      </w:r>
    </w:p>
    <w:p>
      <w:pPr>
        <w:pStyle w:val="Heading1"/>
        <w:spacing w:before="0" w:after="0"/>
        <w:ind w:left="0" w:right="0" w:hanging="0"/>
        <w:rPr>
          <w:rFonts w:ascii="Times New Roman" w:hAnsi="Times New Roman"/>
          <w:b/>
          <w:sz w:val="17"/>
        </w:rPr>
      </w:pPr>
      <w:r>
        <w:rPr>
          <w:rFonts w:ascii="Times New Roman" w:hAnsi="Times New Roman"/>
          <w:b/>
          <w:sz w:val="17"/>
        </w:rPr>
        <w:t>REPRESENTATIONS AND WARRANTIES REGARDING SELLER</w:t>
      </w:r>
    </w:p>
    <w:p>
      <w:pPr>
        <w:pStyle w:val="TextBody"/>
        <w:spacing w:before="0" w:after="0"/>
        <w:ind w:left="0" w:right="0" w:hanging="0"/>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Except as otherwise disclosed to Buyer in the schedule (the </w:t>
      </w:r>
      <w:r>
        <w:rPr>
          <w:rFonts w:ascii="Times New Roman" w:hAnsi="Times New Roman"/>
          <w:sz w:val="17"/>
          <w:u w:val="single"/>
        </w:rPr>
        <w:t>Disclosure Schedule</w:t>
      </w:r>
      <w:r>
        <w:rPr>
          <w:rFonts w:ascii="Times New Roman" w:hAnsi="Times New Roman"/>
          <w:sz w:val="17"/>
        </w:rPr>
        <w:t>) delivered to Buyer by Seller prior to the execution of this Agreement (each numbered Schedule of which qualifies only the correspondingly numbered representation, warranty or covenant to the extent specified therein and such other representations, warranties or covenants to the extent a matter in such numbered Schedule is disclosed in such a way as to make its relevance to such other representation, warranty or covenant reasonably apparent), Seller hereby represents and warrants to Buyer as follows:</w:t>
      </w:r>
    </w:p>
    <w:p>
      <w:pPr>
        <w:pStyle w:val="TextBody"/>
        <w:spacing w:before="0" w:after="0"/>
        <w:ind w:left="0" w:right="0" w:hanging="0"/>
        <w:jc w:val="left"/>
        <w:rPr/>
      </w:pPr>
      <w:r>
        <w:rPr/>
        <w:t> </w:t>
      </w:r>
    </w:p>
    <w:p>
      <w:pPr>
        <w:pStyle w:val="Heading2"/>
        <w:spacing w:before="0" w:after="0"/>
        <w:ind w:left="0" w:right="0" w:hanging="0"/>
        <w:jc w:val="left"/>
        <w:rPr>
          <w:rFonts w:ascii="Times New Roman" w:hAnsi="Times New Roman"/>
          <w:b w:val="false"/>
          <w:sz w:val="17"/>
        </w:rPr>
      </w:pPr>
      <w:bookmarkStart w:id="126" w:name="Section3_1_233602"/>
      <w:bookmarkEnd w:id="126"/>
      <w:r>
        <w:rPr>
          <w:rFonts w:ascii="Times New Roman" w:hAnsi="Times New Roman"/>
          <w:b w:val="false"/>
          <w:sz w:val="17"/>
        </w:rPr>
        <w:t xml:space="preserve">Section 3.1                                      </w:t>
      </w:r>
      <w:r>
        <w:rPr>
          <w:rFonts w:ascii="Times New Roman" w:hAnsi="Times New Roman"/>
          <w:b w:val="false"/>
          <w:sz w:val="17"/>
          <w:u w:val="single"/>
        </w:rPr>
        <w:t>Organization of Seller; Authority</w:t>
      </w:r>
      <w:r>
        <w:rPr>
          <w:rFonts w:ascii="Times New Roman" w:hAnsi="Times New Roman"/>
          <w:b w:val="false"/>
          <w:sz w:val="17"/>
        </w:rPr>
        <w:t>.  Seller is a corporation, duly organized, validly existing and in good standing under the Laws of the State of Delaware and has all requisite corporate power and authority to own, lease and operate its properties and to carry on its business as now being conducted.</w:t>
      </w:r>
    </w:p>
    <w:p>
      <w:pPr>
        <w:pStyle w:val="Heading2"/>
        <w:spacing w:before="0" w:after="0"/>
        <w:ind w:left="0" w:right="0" w:hanging="0"/>
        <w:jc w:val="left"/>
        <w:rPr/>
      </w:pPr>
      <w:r>
        <w:rPr/>
        <w:t> </w:t>
      </w:r>
    </w:p>
    <w:p>
      <w:pPr>
        <w:pStyle w:val="Heading2"/>
        <w:spacing w:before="0" w:after="0"/>
        <w:ind w:left="0" w:right="0" w:hanging="0"/>
        <w:jc w:val="left"/>
        <w:rPr>
          <w:rFonts w:ascii="Times New Roman" w:hAnsi="Times New Roman"/>
          <w:b w:val="false"/>
          <w:sz w:val="17"/>
        </w:rPr>
      </w:pPr>
      <w:bookmarkStart w:id="127" w:name="Section3_2_233604"/>
      <w:bookmarkEnd w:id="127"/>
      <w:r>
        <w:rPr>
          <w:rFonts w:ascii="Times New Roman" w:hAnsi="Times New Roman"/>
          <w:b w:val="false"/>
          <w:sz w:val="17"/>
        </w:rPr>
        <w:t xml:space="preserve">Section 3.2                                      </w:t>
      </w:r>
      <w:r>
        <w:rPr>
          <w:rFonts w:ascii="Times New Roman" w:hAnsi="Times New Roman"/>
          <w:b w:val="false"/>
          <w:sz w:val="17"/>
          <w:u w:val="single"/>
        </w:rPr>
        <w:t>Authorization; Enforceability</w:t>
      </w:r>
      <w:r>
        <w:rPr>
          <w:rFonts w:ascii="Times New Roman" w:hAnsi="Times New Roman"/>
          <w:b w:val="false"/>
          <w:sz w:val="17"/>
        </w:rPr>
        <w:t>.  Seller has all requisite corporate power and authority to execute and deliver this Agreement and to perform all obligations contemplated to be performed by it hereunder.  The execution, delivery and performance of this Agreement and the consummation of the transactions contemplated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21</w:t>
      </w:r>
    </w:p>
    <w:p>
      <w:pPr>
        <w:pStyle w:val="HorizontalLine"/>
        <w:pBdr>
          <w:bottom w:val="single" w:sz="12" w:space="0" w:color="808080"/>
        </w:pBdr>
        <w:spacing w:before="0" w:after="0"/>
        <w:jc w:val="left"/>
        <w:rPr/>
      </w:pPr>
      <w:r>
        <w:rPr/>
      </w:r>
      <w:r>
        <w:br w:type="page"/>
      </w:r>
    </w:p>
    <w:p>
      <w:pPr>
        <w:pStyle w:val="TextBody"/>
        <w:spacing w:before="0" w:after="0"/>
        <w:ind w:left="0" w:right="0" w:hanging="0"/>
        <w:jc w:val="center"/>
        <w:rPr/>
      </w:pPr>
      <w:r>
        <w:rPr/>
        <w:t> </w:t>
      </w:r>
    </w:p>
    <w:p>
      <w:pPr>
        <w:pStyle w:val="Heading2"/>
        <w:spacing w:before="0" w:after="0"/>
        <w:ind w:left="0" w:right="0" w:hanging="0"/>
        <w:jc w:val="left"/>
        <w:rPr>
          <w:rFonts w:ascii="Times New Roman" w:hAnsi="Times New Roman"/>
          <w:b w:val="false"/>
          <w:sz w:val="17"/>
        </w:rPr>
      </w:pPr>
      <w:r>
        <w:rPr>
          <w:rFonts w:ascii="Times New Roman" w:hAnsi="Times New Roman"/>
          <w:b w:val="false"/>
          <w:sz w:val="17"/>
        </w:rPr>
        <w:t>hereby have been duly and validly authorized and approved by all requisite corporate action on the part of Seller, and no additional authorization on the part of Seller is necessary in connection with the execution, delivery and performance by Seller of this Agreement.  This Agreement has been duly and validly executed and delivered by Seller, and this Agreement constitutes a legal, valid and binding obligation of Seller, enforceable against Seller in accordance with its terms, subject to applicable bankruptcy, insolvency, fraudulent conveyance, reorganization, moratorium and similar Laws affecting creditors rights generally and subject, as to enforceability, to general principles of equity.</w:t>
      </w:r>
    </w:p>
    <w:p>
      <w:pPr>
        <w:pStyle w:val="Heading2"/>
        <w:spacing w:before="0" w:after="0"/>
        <w:ind w:left="0" w:right="0" w:hanging="0"/>
        <w:jc w:val="left"/>
        <w:rPr/>
      </w:pPr>
      <w:r>
        <w:rPr/>
        <w:t> </w:t>
      </w:r>
    </w:p>
    <w:p>
      <w:pPr>
        <w:pStyle w:val="Heading2"/>
        <w:spacing w:before="0" w:after="0"/>
        <w:ind w:left="0" w:right="0" w:hanging="0"/>
        <w:jc w:val="left"/>
        <w:rPr>
          <w:rFonts w:ascii="Times New Roman" w:hAnsi="Times New Roman"/>
          <w:b w:val="false"/>
          <w:sz w:val="17"/>
        </w:rPr>
      </w:pPr>
      <w:bookmarkStart w:id="128" w:name="Section3_3_233607"/>
      <w:bookmarkEnd w:id="128"/>
      <w:r>
        <w:rPr>
          <w:rFonts w:ascii="Times New Roman" w:hAnsi="Times New Roman"/>
          <w:b w:val="false"/>
          <w:sz w:val="17"/>
        </w:rPr>
        <w:t xml:space="preserve">Section 3.3                                      </w:t>
      </w:r>
      <w:r>
        <w:rPr>
          <w:rFonts w:ascii="Times New Roman" w:hAnsi="Times New Roman"/>
          <w:b w:val="false"/>
          <w:sz w:val="17"/>
          <w:u w:val="single"/>
        </w:rPr>
        <w:t>No Conflict</w:t>
      </w:r>
      <w:r>
        <w:rPr>
          <w:rFonts w:ascii="Times New Roman" w:hAnsi="Times New Roman"/>
          <w:b w:val="false"/>
          <w:sz w:val="17"/>
        </w:rPr>
        <w:t xml:space="preserve">.  The execution, delivery and performance of this Agreement by Seller and the consummation of the transactions contemplated hereby by Seller, assuming all required filings, consents, approvals, registrations, declarations, orders, authorizations and notices set forth in </w:t>
      </w:r>
      <w:r>
        <w:rPr>
          <w:rFonts w:ascii="Times New Roman" w:hAnsi="Times New Roman"/>
          <w:b w:val="false"/>
          <w:sz w:val="17"/>
          <w:u w:val="single"/>
        </w:rPr>
        <w:t>Schedule 3.3</w:t>
      </w:r>
      <w:r>
        <w:rPr>
          <w:rFonts w:ascii="Times New Roman" w:hAnsi="Times New Roman"/>
          <w:b w:val="false"/>
          <w:sz w:val="17"/>
        </w:rPr>
        <w:t xml:space="preserve"> (collectively, the </w:t>
      </w:r>
      <w:r>
        <w:rPr>
          <w:rFonts w:ascii="Times New Roman" w:hAnsi="Times New Roman"/>
          <w:b w:val="false"/>
          <w:sz w:val="17"/>
          <w:u w:val="single"/>
        </w:rPr>
        <w:t>Seller Approvals</w:t>
      </w:r>
      <w:r>
        <w:rPr>
          <w:rFonts w:ascii="Times New Roman" w:hAnsi="Times New Roman"/>
          <w:b w:val="false"/>
          <w:sz w:val="17"/>
        </w:rPr>
        <w:t>) have been made, given or obtained, do not and shall not:</w:t>
      </w:r>
    </w:p>
    <w:p>
      <w:pPr>
        <w:pStyle w:val="Heading2"/>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(a)                                  violate any Organizational Document of Seller or any of its Affiliates;</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(b)                                 violate any Law applicable to Seller or any of its Affiliates (other than the Company and the Subsidiaries); or</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(c)                                  (i) violate, conflict with, result in a breach of any provision of, constitute a default (or an event which, with notice or lapse of time, or both, would constitute a default) under, or result in the termination of, any of the terms, conditions or provisions of any Contract to which Seller or any of its Affiliates (other than the Company and the Subsidiaries) is a party or by which any of them or any of their respective assets or properties may be bound, or (ii) result in the creation of any Lien upon any of the Shares or the Membership Interests, except in the case of clauses (a) (solely with respect to Affiliates of Seller), (b) or (c)(i) above, as would not reasonably be expected to have, individually or in the aggregate, a Material Adverse Effect.</w:t>
      </w:r>
    </w:p>
    <w:p>
      <w:pPr>
        <w:pStyle w:val="Heading3"/>
        <w:spacing w:before="0" w:after="0"/>
        <w:ind w:left="0" w:right="0" w:hanging="0"/>
        <w:jc w:val="left"/>
        <w:rPr/>
      </w:pPr>
      <w:r>
        <w:rPr/>
        <w:t> </w:t>
      </w:r>
    </w:p>
    <w:p>
      <w:pPr>
        <w:pStyle w:val="Heading2"/>
        <w:spacing w:before="0" w:after="0"/>
        <w:ind w:left="0" w:right="0" w:hanging="0"/>
        <w:jc w:val="left"/>
        <w:rPr>
          <w:rFonts w:ascii="Times New Roman" w:hAnsi="Times New Roman"/>
          <w:b w:val="false"/>
          <w:sz w:val="17"/>
        </w:rPr>
      </w:pPr>
      <w:bookmarkStart w:id="129" w:name="Section3_4_233611"/>
      <w:bookmarkEnd w:id="129"/>
      <w:r>
        <w:rPr>
          <w:rFonts w:ascii="Times New Roman" w:hAnsi="Times New Roman"/>
          <w:b w:val="false"/>
          <w:sz w:val="17"/>
        </w:rPr>
        <w:t xml:space="preserve">Section 3.4                                      </w:t>
      </w:r>
      <w:r>
        <w:rPr>
          <w:rFonts w:ascii="Times New Roman" w:hAnsi="Times New Roman"/>
          <w:b w:val="false"/>
          <w:sz w:val="17"/>
          <w:u w:val="single"/>
        </w:rPr>
        <w:t>Consents and Approvals</w:t>
      </w:r>
      <w:r>
        <w:rPr>
          <w:rFonts w:ascii="Times New Roman" w:hAnsi="Times New Roman"/>
          <w:b w:val="false"/>
          <w:sz w:val="17"/>
        </w:rPr>
        <w:t>.  No material filing or registration with, declaration or notification to, or order, authorization, consent or approval of, any Governmental Authority or any other Person is required in connection with the execution, delivery and performance of this Agreement by Seller or the consummation by Seller of the transactions contemplated hereby, except for (i) the Seller Approvals and (ii) such consents, approvals, orders, authorizations, notifications, registrations, declarations and filings the failure of which to be obtained or made would not reasonably be expected to have, individually or in the aggregate, a Material Adverse Effect.</w:t>
      </w:r>
    </w:p>
    <w:p>
      <w:pPr>
        <w:pStyle w:val="Heading2"/>
        <w:spacing w:before="0" w:after="0"/>
        <w:ind w:left="0" w:right="0" w:hanging="0"/>
        <w:jc w:val="left"/>
        <w:rPr/>
      </w:pPr>
      <w:r>
        <w:rPr/>
        <w:t> </w:t>
      </w:r>
    </w:p>
    <w:p>
      <w:pPr>
        <w:pStyle w:val="Heading2"/>
        <w:spacing w:before="0" w:after="0"/>
        <w:ind w:left="0" w:right="0" w:hanging="0"/>
        <w:jc w:val="left"/>
        <w:rPr>
          <w:rFonts w:ascii="Times New Roman" w:hAnsi="Times New Roman"/>
          <w:b w:val="false"/>
          <w:sz w:val="17"/>
        </w:rPr>
      </w:pPr>
      <w:bookmarkStart w:id="130" w:name="Section3_5_233612"/>
      <w:bookmarkEnd w:id="130"/>
      <w:r>
        <w:rPr>
          <w:rFonts w:ascii="Times New Roman" w:hAnsi="Times New Roman"/>
          <w:b w:val="false"/>
          <w:sz w:val="17"/>
        </w:rPr>
        <w:t xml:space="preserve">Section 3.5                                      </w:t>
      </w:r>
      <w:r>
        <w:rPr>
          <w:rFonts w:ascii="Times New Roman" w:hAnsi="Times New Roman"/>
          <w:b w:val="false"/>
          <w:sz w:val="17"/>
          <w:u w:val="single"/>
        </w:rPr>
        <w:t>Litigation</w:t>
      </w:r>
      <w:r>
        <w:rPr>
          <w:rFonts w:ascii="Times New Roman" w:hAnsi="Times New Roman"/>
          <w:b w:val="false"/>
          <w:sz w:val="17"/>
        </w:rPr>
        <w:t>.  There is no Litigation pending or, to the Knowledge of Seller, threatened by any Person against Seller or any of its Affiliates (other than the Company or and the Subsidiaries) or any of their properties or assets that would reasonably be expected to have, individually or in the aggregate, a Material Adverse Effect and there is no order or unsatisfied judgment from any Governmental Authority binding upon or affecting Seller or any of its Affiliates (other than the Company or and the Subsidiaries) or any of their properties or assets that would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22</w:t>
      </w:r>
    </w:p>
    <w:p>
      <w:pPr>
        <w:pStyle w:val="HorizontalLine"/>
        <w:pBdr>
          <w:bottom w:val="single" w:sz="12" w:space="0" w:color="808080"/>
        </w:pBdr>
        <w:spacing w:before="0" w:after="0"/>
        <w:jc w:val="left"/>
        <w:rPr/>
      </w:pPr>
      <w:r>
        <w:rPr/>
      </w:r>
      <w:r>
        <w:br w:type="page"/>
      </w:r>
    </w:p>
    <w:p>
      <w:pPr>
        <w:pStyle w:val="TextBody"/>
        <w:spacing w:before="0" w:after="0"/>
        <w:ind w:left="0" w:right="0" w:hanging="0"/>
        <w:jc w:val="center"/>
        <w:rPr/>
      </w:pPr>
      <w:r>
        <w:rPr/>
        <w:t> </w:t>
      </w:r>
    </w:p>
    <w:p>
      <w:pPr>
        <w:pStyle w:val="Heading2"/>
        <w:spacing w:before="0" w:after="0"/>
        <w:ind w:left="0" w:right="0" w:hanging="0"/>
        <w:jc w:val="left"/>
        <w:rPr>
          <w:rFonts w:ascii="Times New Roman" w:hAnsi="Times New Roman"/>
          <w:b w:val="false"/>
          <w:sz w:val="17"/>
        </w:rPr>
      </w:pPr>
      <w:r>
        <w:rPr>
          <w:rFonts w:ascii="Times New Roman" w:hAnsi="Times New Roman"/>
          <w:b w:val="false"/>
          <w:sz w:val="17"/>
        </w:rPr>
        <w:t>reasonably be expected to have, individually or in the aggregate, a Material Adverse Effect.</w:t>
      </w:r>
    </w:p>
    <w:p>
      <w:pPr>
        <w:pStyle w:val="Heading2"/>
        <w:spacing w:before="0" w:after="0"/>
        <w:ind w:left="0" w:right="0" w:hanging="0"/>
        <w:jc w:val="left"/>
        <w:rPr/>
      </w:pPr>
      <w:r>
        <w:rPr/>
        <w:t> </w:t>
      </w:r>
    </w:p>
    <w:p>
      <w:pPr>
        <w:pStyle w:val="Heading2"/>
        <w:spacing w:before="0" w:after="0"/>
        <w:ind w:left="0" w:right="0" w:hanging="0"/>
        <w:jc w:val="left"/>
        <w:rPr>
          <w:rFonts w:ascii="Times New Roman" w:hAnsi="Times New Roman"/>
          <w:b w:val="false"/>
          <w:sz w:val="17"/>
        </w:rPr>
      </w:pPr>
      <w:bookmarkStart w:id="131" w:name="Section3_6_233616"/>
      <w:bookmarkEnd w:id="131"/>
      <w:r>
        <w:rPr>
          <w:rFonts w:ascii="Times New Roman" w:hAnsi="Times New Roman"/>
          <w:b w:val="false"/>
          <w:sz w:val="17"/>
        </w:rPr>
        <w:t xml:space="preserve">Section 3.6                                      </w:t>
      </w:r>
      <w:r>
        <w:rPr>
          <w:rFonts w:ascii="Times New Roman" w:hAnsi="Times New Roman"/>
          <w:b w:val="false"/>
          <w:sz w:val="17"/>
          <w:u w:val="single"/>
        </w:rPr>
        <w:t>Brokers Fees</w:t>
      </w:r>
      <w:r>
        <w:rPr>
          <w:rFonts w:ascii="Times New Roman" w:hAnsi="Times New Roman"/>
          <w:b w:val="false"/>
          <w:sz w:val="17"/>
        </w:rPr>
        <w:t>.  No broker, finder, investment banker or other Person is entitled to any brokerage fee, finders fee or other commission in connection with the transactions contemplated by this Agreement based upon arrangements made by Seller or any of its Affiliates.</w:t>
      </w:r>
    </w:p>
    <w:p>
      <w:pPr>
        <w:pStyle w:val="Heading2"/>
        <w:spacing w:before="0" w:after="0"/>
        <w:ind w:left="0" w:right="0" w:hanging="0"/>
        <w:jc w:val="left"/>
        <w:rPr/>
      </w:pPr>
      <w:r>
        <w:rPr/>
        <w:t> </w:t>
      </w:r>
    </w:p>
    <w:p>
      <w:pPr>
        <w:pStyle w:val="Heading1"/>
        <w:spacing w:before="0" w:after="0"/>
        <w:ind w:left="0" w:right="0" w:hanging="0"/>
        <w:rPr>
          <w:rFonts w:ascii="Times New Roman" w:hAnsi="Times New Roman"/>
          <w:b/>
          <w:sz w:val="17"/>
        </w:rPr>
      </w:pPr>
      <w:bookmarkStart w:id="132" w:name="Articleiv_233618"/>
      <w:bookmarkEnd w:id="132"/>
      <w:r>
        <w:rPr>
          <w:rFonts w:ascii="Times New Roman" w:hAnsi="Times New Roman"/>
          <w:b/>
          <w:sz w:val="17"/>
        </w:rPr>
        <w:t>ARTICLE IV</w:t>
      </w:r>
    </w:p>
    <w:p>
      <w:pPr>
        <w:pStyle w:val="TextBody"/>
        <w:spacing w:before="0" w:after="0"/>
        <w:ind w:left="0" w:right="0" w:hanging="0"/>
        <w:rPr/>
      </w:pPr>
      <w:r>
        <w:rPr/>
        <w:t> </w:t>
      </w:r>
    </w:p>
    <w:p>
      <w:pPr>
        <w:pStyle w:val="Heading1"/>
        <w:spacing w:before="0" w:after="0"/>
        <w:ind w:left="0" w:right="0" w:hanging="0"/>
        <w:rPr>
          <w:rFonts w:ascii="Times New Roman" w:hAnsi="Times New Roman"/>
          <w:sz w:val="17"/>
        </w:rPr>
      </w:pPr>
      <w:r>
        <w:rPr>
          <w:rFonts w:ascii="Times New Roman" w:hAnsi="Times New Roman"/>
          <w:b/>
          <w:sz w:val="17"/>
        </w:rPr>
        <w:t>REPRESENTATIONS AND WARRANTIES REGARDING</w:t>
      </w:r>
      <w:r>
        <w:rPr>
          <w:rFonts w:ascii="Times New Roman" w:hAnsi="Times New Roman"/>
          <w:sz w:val="17"/>
        </w:rPr>
        <w:t xml:space="preserve"> </w:t>
        <w:br/>
        <w:t>THE COMPANY AND THE SUBSIDIARIES</w:t>
      </w:r>
    </w:p>
    <w:p>
      <w:pPr>
        <w:pStyle w:val="TextBody"/>
        <w:spacing w:before="0" w:after="0"/>
        <w:ind w:left="0" w:right="0" w:hanging="0"/>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Except as otherwise disclosed in the Disclosure Schedule (each numbered Schedule of which qualifies only the correspondingly numbered representation, warranty or covenant to the extent specified therein and such other representations, warranties or covenants to the extent a matter in such numbered Schedule is disclosed in such a way as to make its relevance to such other representation, warranty or covenant reasonably apparent), Seller hereby represents and warrants to Buyer as follows:</w:t>
      </w:r>
    </w:p>
    <w:p>
      <w:pPr>
        <w:pStyle w:val="TextBody"/>
        <w:spacing w:before="0" w:after="0"/>
        <w:ind w:left="0" w:right="0" w:hanging="0"/>
        <w:jc w:val="left"/>
        <w:rPr/>
      </w:pPr>
      <w:r>
        <w:rPr/>
        <w:t> </w:t>
      </w:r>
    </w:p>
    <w:p>
      <w:pPr>
        <w:pStyle w:val="Heading2"/>
        <w:spacing w:before="0" w:after="0"/>
        <w:ind w:left="0" w:right="0" w:hanging="0"/>
        <w:jc w:val="left"/>
        <w:rPr>
          <w:rFonts w:ascii="Times New Roman" w:hAnsi="Times New Roman"/>
          <w:b w:val="false"/>
          <w:sz w:val="17"/>
        </w:rPr>
      </w:pPr>
      <w:bookmarkStart w:id="133" w:name="Section4_1_233621"/>
      <w:bookmarkEnd w:id="133"/>
      <w:r>
        <w:rPr>
          <w:rFonts w:ascii="Times New Roman" w:hAnsi="Times New Roman"/>
          <w:b w:val="false"/>
          <w:sz w:val="17"/>
        </w:rPr>
        <w:t xml:space="preserve">Section 4.1                                      </w:t>
      </w:r>
      <w:r>
        <w:rPr>
          <w:rFonts w:ascii="Times New Roman" w:hAnsi="Times New Roman"/>
          <w:b w:val="false"/>
          <w:sz w:val="17"/>
          <w:u w:val="single"/>
        </w:rPr>
        <w:t>Organization of the Company and the Subsidiaries; Authority</w:t>
      </w:r>
      <w:r>
        <w:rPr>
          <w:rFonts w:ascii="Times New Roman" w:hAnsi="Times New Roman"/>
          <w:b w:val="false"/>
          <w:sz w:val="17"/>
        </w:rPr>
        <w:t>.</w:t>
      </w:r>
    </w:p>
    <w:p>
      <w:pPr>
        <w:pStyle w:val="Heading2"/>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(a)                                  The Company and each Subsidiary is duly organized, validly existing and in good standing under the Laws of the jurisdiction of its organization and has the requisite corporate or limited liability company (as applicable) authority and power to own or lease its assets and to conduct its business as currently being conducted or, in the case of PPEC Corp. and PPEC LLC, to develop the Project.</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(b)                                 The Company and each Subsidiary is duly licensed or qualified in each jurisdiction in which the ownership or operation of its assets or the character of its activities is such as to require it to be so licensed or qualified, except where the failure to be so licensed or qualified would not reasonably be expected to have, individually or in the aggregate, a Material Adverse Effect.</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(c)                                  The minute books of the Company and each Subsidiary, true and complete copies of which have been made available to Buyer, contain true and correct records of all meetings and other corporate or organizational actions held or taken since December 31, 2003 of its stockholders and board of directors or similar governing body (including committees thereof).  No meeting of any such board or body or such committees has been held for which minutes have not been prepared and are not contained in such minute books.</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(d)                                 Seller has made available to Buyer true and complete copies of all existing Organizational Documents of the Company and each Subsidiary.</w:t>
      </w:r>
    </w:p>
    <w:p>
      <w:pPr>
        <w:pStyle w:val="Heading3"/>
        <w:spacing w:before="0" w:after="0"/>
        <w:ind w:left="0" w:right="0" w:hanging="0"/>
        <w:jc w:val="left"/>
        <w:rPr/>
      </w:pPr>
      <w:r>
        <w:rPr/>
        <w:t> </w:t>
      </w:r>
    </w:p>
    <w:p>
      <w:pPr>
        <w:pStyle w:val="Heading2"/>
        <w:spacing w:before="0" w:after="0"/>
        <w:ind w:left="0" w:right="0" w:hanging="0"/>
        <w:jc w:val="left"/>
        <w:rPr>
          <w:rFonts w:ascii="Times New Roman" w:hAnsi="Times New Roman"/>
          <w:b w:val="false"/>
          <w:sz w:val="17"/>
        </w:rPr>
      </w:pPr>
      <w:bookmarkStart w:id="134" w:name="Section4_2_233625"/>
      <w:bookmarkEnd w:id="134"/>
      <w:r>
        <w:rPr>
          <w:rFonts w:ascii="Times New Roman" w:hAnsi="Times New Roman"/>
          <w:b w:val="false"/>
          <w:sz w:val="17"/>
        </w:rPr>
        <w:t xml:space="preserve">Section 4.2                                      </w:t>
      </w:r>
      <w:r>
        <w:rPr>
          <w:rFonts w:ascii="Times New Roman" w:hAnsi="Times New Roman"/>
          <w:b w:val="false"/>
          <w:sz w:val="17"/>
          <w:u w:val="single"/>
        </w:rPr>
        <w:t>No Violation</w:t>
      </w:r>
      <w:r>
        <w:rPr>
          <w:rFonts w:ascii="Times New Roman" w:hAnsi="Times New Roman"/>
          <w:b w:val="false"/>
          <w:sz w:val="17"/>
        </w:rPr>
        <w:t>.  The execution, delivery and performance of this Agreement by Seller and the consummation of the transactions contemplated hereby</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23</w:t>
      </w:r>
    </w:p>
    <w:p>
      <w:pPr>
        <w:pStyle w:val="HorizontalLine"/>
        <w:pBdr>
          <w:bottom w:val="single" w:sz="12" w:space="0" w:color="808080"/>
        </w:pBdr>
        <w:spacing w:before="0" w:after="0"/>
        <w:jc w:val="left"/>
        <w:rPr/>
      </w:pPr>
      <w:r>
        <w:rPr/>
      </w:r>
      <w:r>
        <w:br w:type="page"/>
      </w:r>
    </w:p>
    <w:p>
      <w:pPr>
        <w:pStyle w:val="TextBody"/>
        <w:spacing w:before="0" w:after="0"/>
        <w:ind w:left="0" w:right="0" w:hanging="0"/>
        <w:jc w:val="center"/>
        <w:rPr/>
      </w:pPr>
      <w:r>
        <w:rPr/>
        <w:t> </w:t>
      </w:r>
    </w:p>
    <w:p>
      <w:pPr>
        <w:pStyle w:val="Heading2"/>
        <w:spacing w:before="0" w:after="0"/>
        <w:ind w:left="0" w:right="0" w:hanging="0"/>
        <w:jc w:val="left"/>
        <w:rPr>
          <w:rFonts w:ascii="Times New Roman" w:hAnsi="Times New Roman"/>
          <w:b w:val="false"/>
          <w:sz w:val="17"/>
        </w:rPr>
      </w:pPr>
      <w:r>
        <w:rPr>
          <w:rFonts w:ascii="Times New Roman" w:hAnsi="Times New Roman"/>
          <w:b w:val="false"/>
          <w:sz w:val="17"/>
        </w:rPr>
        <w:t>by Seller (assuming all of the Seller Approvals have been made, given or obtained) do not and shall not:</w:t>
      </w:r>
    </w:p>
    <w:p>
      <w:pPr>
        <w:pStyle w:val="Heading2"/>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(a)                                  violate any Organizational Document of the Company or any Subsidiary;</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(b)                                 violate any Law applicable to the Company or any Subsidiary; or</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 xml:space="preserve">(c)                                  other than as set forth in </w:t>
      </w:r>
      <w:r>
        <w:rPr>
          <w:rFonts w:ascii="Times New Roman" w:hAnsi="Times New Roman"/>
          <w:b w:val="false"/>
          <w:sz w:val="17"/>
          <w:u w:val="single"/>
        </w:rPr>
        <w:t>Schedule 4.2(c)</w:t>
      </w:r>
      <w:r>
        <w:rPr>
          <w:rFonts w:ascii="Times New Roman" w:hAnsi="Times New Roman"/>
          <w:b w:val="false"/>
          <w:sz w:val="17"/>
        </w:rPr>
        <w:t>, violate, conflict with, result in a breach of any provision of, constitute a default (or an event which, with notice or lapse of time, or both, would constitute a default) under, result in the termination of or a right of termination, cancellation or amendment under, accelerate the performance required by, or result in the creation of any Lien other than a Permitted Lien upon any of the respective properties or assets of the Company or any Subsidiary under, or result in the acceleration or trigger of any payment, time of payment, vesting or increase in the amount of any compensation or benefit payable pursuant to, any of the terms, conditions or provisions of any Contract to which the Company or any Subsidiary is a party or by which any of them or any of their respective assets or properties may be bound;</w:t>
      </w:r>
    </w:p>
    <w:p>
      <w:pPr>
        <w:pStyle w:val="Heading3"/>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except in the case of clauses (b) and (c) above, as would not reasonably be expected to have, individually or in the aggregate, a Material Adverse Effect.</w:t>
      </w:r>
    </w:p>
    <w:p>
      <w:pPr>
        <w:pStyle w:val="TextBody"/>
        <w:spacing w:before="0" w:after="0"/>
        <w:ind w:left="0" w:right="0" w:hanging="0"/>
        <w:jc w:val="left"/>
        <w:rPr/>
      </w:pPr>
      <w:r>
        <w:rPr/>
        <w:t> </w:t>
      </w:r>
    </w:p>
    <w:p>
      <w:pPr>
        <w:pStyle w:val="Heading2"/>
        <w:spacing w:before="0" w:after="0"/>
        <w:ind w:left="0" w:right="0" w:hanging="0"/>
        <w:jc w:val="left"/>
        <w:rPr>
          <w:rFonts w:ascii="Times New Roman" w:hAnsi="Times New Roman"/>
          <w:b w:val="false"/>
          <w:sz w:val="17"/>
        </w:rPr>
      </w:pPr>
      <w:bookmarkStart w:id="135" w:name="Section4_3_233629"/>
      <w:bookmarkEnd w:id="135"/>
      <w:r>
        <w:rPr>
          <w:rFonts w:ascii="Times New Roman" w:hAnsi="Times New Roman"/>
          <w:b w:val="false"/>
          <w:sz w:val="17"/>
        </w:rPr>
        <w:t xml:space="preserve">Section 4.3                                      </w:t>
      </w:r>
      <w:r>
        <w:rPr>
          <w:rFonts w:ascii="Times New Roman" w:hAnsi="Times New Roman"/>
          <w:b w:val="false"/>
          <w:sz w:val="17"/>
          <w:u w:val="single"/>
        </w:rPr>
        <w:t>Capitalization of the Company</w:t>
      </w:r>
      <w:r>
        <w:rPr>
          <w:rFonts w:ascii="Times New Roman" w:hAnsi="Times New Roman"/>
          <w:b w:val="false"/>
          <w:sz w:val="17"/>
        </w:rPr>
        <w:t>.</w:t>
      </w:r>
    </w:p>
    <w:p>
      <w:pPr>
        <w:pStyle w:val="Heading2"/>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(a)                                  Prior to the Conversion Transactions, the Shares constitute all of the issued and outstanding shares of capital stock of the Company, no shares of capital stock of the Company are held in the treasury of the Company and no shares of capital stock of the Company have been reserved for issuance upon exercise of outstanding stock options, warrants or rights or otherwise.  The Shares have been duly authorized and are validly issued, fully paid and non-assessable and have not been issued and were not issued in violation of any preemptive or other similar right.  Seller has good and valid title to, holds of record and owns beneficially, the Shares, free and clear of any Liens, other than transfer restrictions imposed on equity securities by securities laws.</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(b)                                 From and after the Conversion Transactions, Seller will be the sole member of the Company, the Membership Interests will constitute all of the issued and outstanding membership interests of the Company, no membership interests of the Company will be held in the treasury of the Company and no membership interests of the Company will have been reserved for issuance upon exercise of outstanding options, warrants or rights or otherwise.  From and after the Conversion Transactions, the Membership Interests will have been duly authorized and will be validly issued, fully paid and non-assessable and will not be issued in violation of any preemptive or other similar right.  From and after the Conversion Transactions, Seller will have good and valid title to, will hold of record and own beneficially, the Membership Interests, free and clear of any Liens, other than transfer restrictions imposed on equity securities by securities laws.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24</w:t>
      </w:r>
    </w:p>
    <w:p>
      <w:pPr>
        <w:pStyle w:val="HorizontalLine"/>
        <w:pBdr>
          <w:bottom w:val="single" w:sz="12" w:space="0" w:color="808080"/>
        </w:pBdr>
        <w:spacing w:before="0" w:after="0"/>
        <w:jc w:val="left"/>
        <w:rPr/>
      </w:pPr>
      <w:r>
        <w:rPr/>
      </w:r>
      <w:r>
        <w:br w:type="page"/>
      </w:r>
    </w:p>
    <w:p>
      <w:pPr>
        <w:pStyle w:val="TextBody"/>
        <w:spacing w:before="0" w:after="0"/>
        <w:ind w:left="0" w:right="0" w:hanging="0"/>
        <w:jc w:val="center"/>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(c)                                  As of the Closing, the Company shall have no issued or outstanding Indebtedness for Borrowed Money.</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(d)                                 There are no outstanding subscriptions, options, warrants, rights, calls, commitments or agreements of any character providing for the purchase or issuance of any shares of capital stock or any other equity security or equity interest of the Company or any securities or other instruments representing the right to purchase or otherwise receive any shares of capital stock or any other equity security or equity interest of the Company, and there are no agreements of any kind which may obligate the Company to issue, purchase, redeem or otherwise acquire any shares of capital stock or any other equity security or equity interest of the Company.  There are no voting agreements, proxies or other similar agreements or understandings with respect to the equity interests of the Company.</w:t>
      </w:r>
    </w:p>
    <w:p>
      <w:pPr>
        <w:pStyle w:val="Heading3"/>
        <w:spacing w:before="0" w:after="0"/>
        <w:ind w:left="0" w:right="0" w:hanging="0"/>
        <w:jc w:val="left"/>
        <w:rPr/>
      </w:pPr>
      <w:r>
        <w:rPr/>
        <w:t> </w:t>
      </w:r>
    </w:p>
    <w:p>
      <w:pPr>
        <w:pStyle w:val="Heading2"/>
        <w:spacing w:before="0" w:after="0"/>
        <w:ind w:left="0" w:right="0" w:hanging="0"/>
        <w:jc w:val="left"/>
        <w:rPr>
          <w:rFonts w:ascii="Times New Roman" w:hAnsi="Times New Roman"/>
          <w:b w:val="false"/>
          <w:sz w:val="17"/>
        </w:rPr>
      </w:pPr>
      <w:bookmarkStart w:id="136" w:name="Section4_4_233635"/>
      <w:bookmarkEnd w:id="136"/>
      <w:r>
        <w:rPr>
          <w:rFonts w:ascii="Times New Roman" w:hAnsi="Times New Roman"/>
          <w:b w:val="false"/>
          <w:sz w:val="17"/>
        </w:rPr>
        <w:t xml:space="preserve">Section 4.4                                      </w:t>
      </w:r>
      <w:r>
        <w:rPr>
          <w:rFonts w:ascii="Times New Roman" w:hAnsi="Times New Roman"/>
          <w:b w:val="false"/>
          <w:sz w:val="17"/>
          <w:u w:val="single"/>
        </w:rPr>
        <w:t>Capitalization of the Subsidiaries</w:t>
      </w:r>
      <w:r>
        <w:rPr>
          <w:rFonts w:ascii="Times New Roman" w:hAnsi="Times New Roman"/>
          <w:b w:val="false"/>
          <w:sz w:val="17"/>
        </w:rPr>
        <w:t>.</w:t>
      </w:r>
    </w:p>
    <w:p>
      <w:pPr>
        <w:pStyle w:val="Heading2"/>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 xml:space="preserve">(a)                                  Prior to the Conversion Transactions, the Company owns one hundred percent (100%) of the issued and outstanding capital stock of each of BGS Corp. and PPEC Corp.  From and after the Conversion Transactions, the Company will be the sole member of BGS Corp. and PPEC Corp. owning one hundred percent (100%) of the membership interests in each of BGS Corp. and PPEC Corp.  At the Closing, BGS Corp. will own all of the issued and outstanding shares of capital stock of Newco.  Prior to the BGS LLC Contribution, BGS Corp. is the sole member of BGS LLC and owns one hundred percent (100%) of the membership interests in BGS LLC.  From and after the BGS LLC Contribution, BGS Corp. and Newco together will own one hundred percent (100%) of the membership interests in BGS LLC, and will be the only Members of BGS LLC.  PPEC Corp. is the sole member of PPEC LLC and owns one hundred percent (100%) of the membership interests in PPEC LLC.  </w:t>
      </w:r>
      <w:r>
        <w:rPr>
          <w:rFonts w:ascii="Times New Roman" w:hAnsi="Times New Roman"/>
          <w:b w:val="false"/>
          <w:sz w:val="17"/>
          <w:u w:val="single"/>
        </w:rPr>
        <w:t>Schedule 4.4(a) </w:t>
      </w:r>
      <w:r>
        <w:rPr>
          <w:rFonts w:ascii="Times New Roman" w:hAnsi="Times New Roman"/>
          <w:b w:val="false"/>
          <w:sz w:val="17"/>
        </w:rPr>
        <w:t xml:space="preserve">sets forth the name and jurisdiction of incorporation or formation of each Subsidiary and the jurisdictions in which each Subsidiary is qualified to do business along with the designation, par value and the number of authorized, issued and outstanding shares of capital stock or membership interests for each Subsidiary.  All of the outstanding shares of capital stock or membership interests of each Subsidiary (i) are duly authorized and are validly issued, fully paid and non-assessable and have not been issued and were not issued in violation of any preemptive or other similar right and (ii) are owned of record and beneficially by the Company or the Subsidiary set forth in </w:t>
      </w:r>
      <w:r>
        <w:rPr>
          <w:rFonts w:ascii="Times New Roman" w:hAnsi="Times New Roman"/>
          <w:b w:val="false"/>
          <w:sz w:val="17"/>
          <w:u w:val="single"/>
        </w:rPr>
        <w:t>Schedule 4.4(a)</w:t>
      </w:r>
      <w:r>
        <w:rPr>
          <w:rFonts w:ascii="Times New Roman" w:hAnsi="Times New Roman"/>
          <w:b w:val="false"/>
          <w:sz w:val="17"/>
        </w:rPr>
        <w:t>, in each case, free and clear of any Liens, other than transfer restrictions imposed on equity securities by securities Laws.</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(b)                                 As of the Closing, no Subsidiaries shall have any issued or outstanding Indebtedness for Borrowed Money.</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(c)                                  There are no outstanding subscriptions, options, warrants, rights, calls, commitments or agreements of any character providing for the purchase or issuance of any shares of capital stock or any other equity security or equity interest of any Subsidiary or any securities or other instruments representing the right to purchase or otherwise receive any shares of capital stock or any other equity security or equity</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25</w:t>
      </w:r>
    </w:p>
    <w:p>
      <w:pPr>
        <w:pStyle w:val="HorizontalLine"/>
        <w:pBdr>
          <w:bottom w:val="single" w:sz="12" w:space="0" w:color="808080"/>
        </w:pBdr>
        <w:spacing w:before="0" w:after="0"/>
        <w:jc w:val="left"/>
        <w:rPr/>
      </w:pPr>
      <w:r>
        <w:rPr/>
      </w:r>
      <w:r>
        <w:br w:type="page"/>
      </w:r>
    </w:p>
    <w:p>
      <w:pPr>
        <w:pStyle w:val="TextBody"/>
        <w:spacing w:before="0" w:after="0"/>
        <w:ind w:left="0" w:right="0" w:hanging="0"/>
        <w:jc w:val="center"/>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interest of any Subsidiary, and there are no agreements of any kind which may obligate any of the Subsidiaries to issue, purchase, redeem or otherwise acquire any of their respective equity interests.  There are no voting agreements, proxies or other similar agreements or understandings with respect to the equity interests of any Subsidiary.</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 xml:space="preserve">(d)                                 Other than Newco or as set forth in </w:t>
      </w:r>
      <w:r>
        <w:rPr>
          <w:rFonts w:ascii="Times New Roman" w:hAnsi="Times New Roman"/>
          <w:b w:val="false"/>
          <w:sz w:val="17"/>
          <w:u w:val="single"/>
        </w:rPr>
        <w:t>Schedule 4.4(a)</w:t>
      </w:r>
      <w:r>
        <w:rPr>
          <w:rFonts w:ascii="Times New Roman" w:hAnsi="Times New Roman"/>
          <w:b w:val="false"/>
          <w:sz w:val="17"/>
        </w:rPr>
        <w:t>, neither the Company nor any of the Subsidiaries owns beneficially, directly or indirectly, any equity securities or similar interests of any Person, or any interest in a partnership or joint venture of any kind.</w:t>
      </w:r>
    </w:p>
    <w:p>
      <w:pPr>
        <w:pStyle w:val="Heading3"/>
        <w:spacing w:before="0" w:after="0"/>
        <w:ind w:left="0" w:right="0" w:hanging="0"/>
        <w:jc w:val="left"/>
        <w:rPr/>
      </w:pPr>
      <w:r>
        <w:rPr/>
        <w:t> </w:t>
      </w:r>
    </w:p>
    <w:p>
      <w:pPr>
        <w:pStyle w:val="Heading2"/>
        <w:spacing w:before="0" w:after="0"/>
        <w:ind w:left="0" w:right="0" w:hanging="0"/>
        <w:jc w:val="left"/>
        <w:rPr>
          <w:rFonts w:ascii="Times New Roman" w:hAnsi="Times New Roman"/>
          <w:b w:val="false"/>
          <w:sz w:val="17"/>
        </w:rPr>
      </w:pPr>
      <w:bookmarkStart w:id="137" w:name="Section4_5_233640"/>
      <w:bookmarkEnd w:id="137"/>
      <w:r>
        <w:rPr>
          <w:rFonts w:ascii="Times New Roman" w:hAnsi="Times New Roman"/>
          <w:b w:val="false"/>
          <w:sz w:val="17"/>
        </w:rPr>
        <w:t xml:space="preserve">Section 4.5                                      </w:t>
      </w:r>
      <w:r>
        <w:rPr>
          <w:rFonts w:ascii="Times New Roman" w:hAnsi="Times New Roman"/>
          <w:b w:val="false"/>
          <w:sz w:val="17"/>
          <w:u w:val="single"/>
        </w:rPr>
        <w:t>Financial Statements</w:t>
      </w:r>
      <w:r>
        <w:rPr>
          <w:rFonts w:ascii="Times New Roman" w:hAnsi="Times New Roman"/>
          <w:b w:val="false"/>
          <w:sz w:val="17"/>
        </w:rPr>
        <w:t xml:space="preserve">.  </w:t>
      </w:r>
      <w:r>
        <w:rPr>
          <w:rFonts w:ascii="Times New Roman" w:hAnsi="Times New Roman"/>
          <w:b w:val="false"/>
          <w:sz w:val="17"/>
          <w:u w:val="single"/>
        </w:rPr>
        <w:t>Schedule 4.5</w:t>
      </w:r>
      <w:r>
        <w:rPr>
          <w:rFonts w:ascii="Times New Roman" w:hAnsi="Times New Roman"/>
          <w:b w:val="false"/>
          <w:sz w:val="17"/>
        </w:rPr>
        <w:t xml:space="preserve"> sets forth the unaudited consolidated balance sheet, together with related consolidated statement of income, for the Company and the Subsidiaries as of and for the year ended December 31, 2004 and the unaudited consolidated balance sheet, together with related consolidated statement of income, as of and for the six (6) month period ended June 30, 2005 (together, the </w:t>
      </w:r>
      <w:r>
        <w:rPr>
          <w:rFonts w:ascii="Times New Roman" w:hAnsi="Times New Roman"/>
          <w:b w:val="false"/>
          <w:sz w:val="17"/>
          <w:u w:val="single"/>
        </w:rPr>
        <w:t>Financial Statements</w:t>
      </w:r>
      <w:r>
        <w:rPr>
          <w:rFonts w:ascii="Times New Roman" w:hAnsi="Times New Roman"/>
          <w:b w:val="false"/>
          <w:sz w:val="17"/>
        </w:rPr>
        <w:t xml:space="preserve">).  The Financial Statements have been prepared from the books and records of the Company and the Subsidiaries in accordance with GAAP (except as otherwise noted therein and except for the absence of footnote disclosures) on a consistent basis and fairly present, in all material respects, the consolidated financial position and results of operations of the Company and the Subsidiaries as of the respective dates thereof or for the respective periods set forth therein; </w:t>
      </w:r>
      <w:r>
        <w:rPr>
          <w:rFonts w:ascii="Times New Roman" w:hAnsi="Times New Roman"/>
          <w:b w:val="false"/>
          <w:sz w:val="17"/>
          <w:u w:val="single"/>
        </w:rPr>
        <w:t>provided</w:t>
      </w:r>
      <w:r>
        <w:rPr>
          <w:rFonts w:ascii="Times New Roman" w:hAnsi="Times New Roman"/>
          <w:b w:val="false"/>
          <w:sz w:val="17"/>
        </w:rPr>
        <w:t xml:space="preserve"> that no accruals for any Installment Payments (as defined in the Bluewater PSA) have been made or are reflected therein.</w:t>
      </w:r>
    </w:p>
    <w:p>
      <w:pPr>
        <w:pStyle w:val="Heading2"/>
        <w:spacing w:before="0" w:after="0"/>
        <w:ind w:left="0" w:right="0" w:hanging="0"/>
        <w:jc w:val="left"/>
        <w:rPr/>
      </w:pPr>
      <w:r>
        <w:rPr/>
        <w:t> </w:t>
      </w:r>
    </w:p>
    <w:p>
      <w:pPr>
        <w:pStyle w:val="Heading2"/>
        <w:spacing w:before="0" w:after="0"/>
        <w:ind w:left="0" w:right="0" w:hanging="0"/>
        <w:jc w:val="left"/>
        <w:rPr>
          <w:rFonts w:ascii="Times New Roman" w:hAnsi="Times New Roman"/>
          <w:b w:val="false"/>
          <w:sz w:val="17"/>
        </w:rPr>
      </w:pPr>
      <w:bookmarkStart w:id="138" w:name="Section4_6_233642"/>
      <w:bookmarkEnd w:id="138"/>
      <w:r>
        <w:rPr>
          <w:rFonts w:ascii="Times New Roman" w:hAnsi="Times New Roman"/>
          <w:b w:val="false"/>
          <w:sz w:val="17"/>
        </w:rPr>
        <w:t xml:space="preserve">Section 4.6                                      </w:t>
      </w:r>
      <w:r>
        <w:rPr>
          <w:rFonts w:ascii="Times New Roman" w:hAnsi="Times New Roman"/>
          <w:b w:val="false"/>
          <w:sz w:val="17"/>
          <w:u w:val="single"/>
        </w:rPr>
        <w:t>Absence of Certain Changes</w:t>
      </w:r>
      <w:r>
        <w:rPr>
          <w:rFonts w:ascii="Times New Roman" w:hAnsi="Times New Roman"/>
          <w:b w:val="false"/>
          <w:sz w:val="17"/>
        </w:rPr>
        <w:t xml:space="preserve">.  Except as set forth in </w:t>
      </w:r>
      <w:r>
        <w:rPr>
          <w:rFonts w:ascii="Times New Roman" w:hAnsi="Times New Roman"/>
          <w:b w:val="false"/>
          <w:sz w:val="17"/>
          <w:u w:val="single"/>
        </w:rPr>
        <w:t>Schedule 4.6</w:t>
      </w:r>
      <w:r>
        <w:rPr>
          <w:rFonts w:ascii="Times New Roman" w:hAnsi="Times New Roman"/>
          <w:b w:val="false"/>
          <w:sz w:val="17"/>
        </w:rPr>
        <w:t xml:space="preserve">, (a) since June 30, 2005, there has been no change, development, event or circumstance or combination of changes, developments, events or circumstances which would reasonably be expected to have, individually or in the aggregate, a Material Adverse Effect and (b)(i) from June 30, 2005 to the date of this Agreement, the business of each of the Company, BGS Corp. and BGS LLC has been conducted, in all material respects, only in the ordinary course of business consistent with past practice and (ii) the only activities of PPEC Corp. and PPEC LLC have been in connection with the development of the Project in the ordinary course.  Without limiting the generality of the foregoing clause (b), except as set forth in </w:t>
      </w:r>
      <w:r>
        <w:rPr>
          <w:rFonts w:ascii="Times New Roman" w:hAnsi="Times New Roman"/>
          <w:b w:val="false"/>
          <w:sz w:val="17"/>
          <w:u w:val="single"/>
        </w:rPr>
        <w:t>Schedule 4.6</w:t>
      </w:r>
      <w:r>
        <w:rPr>
          <w:rFonts w:ascii="Times New Roman" w:hAnsi="Times New Roman"/>
          <w:b w:val="false"/>
          <w:sz w:val="17"/>
        </w:rPr>
        <w:t xml:space="preserve"> and </w:t>
      </w:r>
      <w:r>
        <w:rPr>
          <w:rFonts w:ascii="Times New Roman" w:hAnsi="Times New Roman"/>
          <w:b w:val="false"/>
          <w:sz w:val="17"/>
          <w:u w:val="single"/>
        </w:rPr>
        <w:t>Schedule 6.1</w:t>
      </w:r>
      <w:r>
        <w:rPr>
          <w:rFonts w:ascii="Times New Roman" w:hAnsi="Times New Roman"/>
          <w:b w:val="false"/>
          <w:sz w:val="17"/>
        </w:rPr>
        <w:t xml:space="preserve">, from June 30, 2005 to the date of this Agreement, neither the Company nor any Subsidiary has taken any of the prohibited actions set forth in </w:t>
      </w:r>
      <w:r>
        <w:rPr>
          <w:rFonts w:ascii="Times New Roman" w:hAnsi="Times New Roman"/>
          <w:b w:val="false"/>
          <w:sz w:val="17"/>
          <w:u w:val="single"/>
        </w:rPr>
        <w:t>Section 6.1</w:t>
      </w:r>
      <w:r>
        <w:rPr>
          <w:rFonts w:ascii="Times New Roman" w:hAnsi="Times New Roman"/>
          <w:b w:val="false"/>
          <w:sz w:val="17"/>
        </w:rPr>
        <w:t>.</w:t>
      </w:r>
    </w:p>
    <w:p>
      <w:pPr>
        <w:pStyle w:val="Heading2"/>
        <w:spacing w:before="0" w:after="0"/>
        <w:ind w:left="0" w:right="0" w:hanging="0"/>
        <w:jc w:val="left"/>
        <w:rPr/>
      </w:pPr>
      <w:r>
        <w:rPr/>
        <w:t> </w:t>
      </w:r>
    </w:p>
    <w:p>
      <w:pPr>
        <w:pStyle w:val="Heading2"/>
        <w:spacing w:before="0" w:after="0"/>
        <w:ind w:left="0" w:right="0" w:hanging="0"/>
        <w:jc w:val="left"/>
        <w:rPr>
          <w:rFonts w:ascii="Times New Roman" w:hAnsi="Times New Roman"/>
          <w:b w:val="false"/>
          <w:sz w:val="17"/>
        </w:rPr>
      </w:pPr>
      <w:bookmarkStart w:id="139" w:name="Section4_7_233644"/>
      <w:bookmarkEnd w:id="139"/>
      <w:r>
        <w:rPr>
          <w:rFonts w:ascii="Times New Roman" w:hAnsi="Times New Roman"/>
          <w:b w:val="false"/>
          <w:sz w:val="17"/>
        </w:rPr>
        <w:t xml:space="preserve">Section 4.7                                      </w:t>
      </w:r>
      <w:r>
        <w:rPr>
          <w:rFonts w:ascii="Times New Roman" w:hAnsi="Times New Roman"/>
          <w:b w:val="false"/>
          <w:sz w:val="17"/>
          <w:u w:val="single"/>
        </w:rPr>
        <w:t>Contracts</w:t>
      </w:r>
      <w:r>
        <w:rPr>
          <w:rFonts w:ascii="Times New Roman" w:hAnsi="Times New Roman"/>
          <w:b w:val="false"/>
          <w:sz w:val="17"/>
        </w:rPr>
        <w:t>.</w:t>
      </w:r>
    </w:p>
    <w:p>
      <w:pPr>
        <w:pStyle w:val="Heading2"/>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 xml:space="preserve">(a)                                  </w:t>
      </w:r>
      <w:r>
        <w:rPr>
          <w:rFonts w:ascii="Times New Roman" w:hAnsi="Times New Roman"/>
          <w:b w:val="false"/>
          <w:sz w:val="17"/>
          <w:u w:val="single"/>
        </w:rPr>
        <w:t>Schedule 4.7(a) </w:t>
      </w:r>
      <w:r>
        <w:rPr>
          <w:rFonts w:ascii="Times New Roman" w:hAnsi="Times New Roman"/>
          <w:b w:val="false"/>
          <w:sz w:val="17"/>
        </w:rPr>
        <w:t>contains a true and complete list of the following Contracts in effect on the date of this Agreement to which the Company or any Subsidiary is a party or by which it or any of its assets is otherwise bound:</w:t>
      </w:r>
    </w:p>
    <w:p>
      <w:pPr>
        <w:pStyle w:val="Heading3"/>
        <w:spacing w:before="0" w:after="0"/>
        <w:ind w:left="0" w:right="0" w:hanging="0"/>
        <w:jc w:val="left"/>
        <w:rPr/>
      </w:pPr>
      <w:r>
        <w:rPr/>
        <w:t> </w:t>
      </w:r>
    </w:p>
    <w:p>
      <w:pPr>
        <w:pStyle w:val="Heading4"/>
        <w:spacing w:before="0" w:after="0"/>
        <w:ind w:left="0" w:right="0" w:hanging="0"/>
        <w:jc w:val="left"/>
        <w:rPr>
          <w:rFonts w:ascii="Times New Roman" w:hAnsi="Times New Roman"/>
          <w:b w:val="false"/>
          <w:sz w:val="17"/>
        </w:rPr>
      </w:pPr>
      <w:r>
        <w:rPr>
          <w:rFonts w:ascii="Times New Roman" w:hAnsi="Times New Roman"/>
          <w:b w:val="false"/>
          <w:sz w:val="17"/>
        </w:rPr>
        <w:t>(i)                                     each Contract or series of related Contracts, including any natural gas transportation Contract, Contract for the provision of services by the Company or any Subsidiary or storage Contract, including any tariff charged by the Company or any Subsidiary, that (A) involves revenues in excess of</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26</w:t>
      </w:r>
    </w:p>
    <w:p>
      <w:pPr>
        <w:pStyle w:val="HorizontalLine"/>
        <w:pBdr>
          <w:bottom w:val="single" w:sz="12" w:space="0" w:color="808080"/>
        </w:pBdr>
        <w:spacing w:before="0" w:after="0"/>
        <w:jc w:val="left"/>
        <w:rPr/>
      </w:pPr>
      <w:r>
        <w:rPr/>
      </w:r>
      <w:r>
        <w:br w:type="page"/>
      </w:r>
    </w:p>
    <w:p>
      <w:pPr>
        <w:pStyle w:val="TextBody"/>
        <w:spacing w:before="0" w:after="0"/>
        <w:ind w:left="0" w:right="0" w:hanging="0"/>
        <w:jc w:val="center"/>
        <w:rPr/>
      </w:pPr>
      <w:r>
        <w:rPr/>
        <w:t> </w:t>
      </w:r>
    </w:p>
    <w:p>
      <w:pPr>
        <w:pStyle w:val="Heading4"/>
        <w:spacing w:before="0" w:after="0"/>
        <w:ind w:left="0" w:right="0" w:hanging="0"/>
        <w:jc w:val="left"/>
        <w:rPr>
          <w:rFonts w:ascii="Times New Roman" w:hAnsi="Times New Roman"/>
          <w:b w:val="false"/>
          <w:sz w:val="17"/>
        </w:rPr>
      </w:pPr>
      <w:r>
        <w:rPr>
          <w:rFonts w:ascii="Times New Roman" w:hAnsi="Times New Roman"/>
          <w:b w:val="false"/>
          <w:sz w:val="17"/>
        </w:rPr>
        <w:t>$1,000,000 in the current or any future fiscal year, or (B) has a term that extends more than six (6) months past the date of this Agreement;</w:t>
      </w:r>
    </w:p>
    <w:p>
      <w:pPr>
        <w:pStyle w:val="Heading4"/>
        <w:spacing w:before="0" w:after="0"/>
        <w:ind w:left="0" w:right="0" w:hanging="0"/>
        <w:jc w:val="left"/>
        <w:rPr/>
      </w:pPr>
      <w:r>
        <w:rPr/>
        <w:t> </w:t>
      </w:r>
    </w:p>
    <w:p>
      <w:pPr>
        <w:pStyle w:val="Heading4"/>
        <w:spacing w:before="0" w:after="0"/>
        <w:ind w:left="0" w:right="0" w:hanging="0"/>
        <w:jc w:val="left"/>
        <w:rPr>
          <w:rFonts w:ascii="Times New Roman" w:hAnsi="Times New Roman"/>
          <w:b w:val="false"/>
          <w:sz w:val="17"/>
        </w:rPr>
      </w:pPr>
      <w:r>
        <w:rPr>
          <w:rFonts w:ascii="Times New Roman" w:hAnsi="Times New Roman"/>
          <w:b w:val="false"/>
          <w:sz w:val="17"/>
        </w:rPr>
        <w:t>(ii)                                  each Contract or series of related Contracts involving a remaining commitment to make acquisitions or pay capital expenditures with respect to its business in excess of $1,000,000;</w:t>
      </w:r>
    </w:p>
    <w:p>
      <w:pPr>
        <w:pStyle w:val="Heading4"/>
        <w:spacing w:before="0" w:after="0"/>
        <w:ind w:left="0" w:right="0" w:hanging="0"/>
        <w:jc w:val="left"/>
        <w:rPr/>
      </w:pPr>
      <w:r>
        <w:rPr/>
        <w:t> </w:t>
      </w:r>
    </w:p>
    <w:p>
      <w:pPr>
        <w:pStyle w:val="Heading4"/>
        <w:spacing w:before="0" w:after="0"/>
        <w:ind w:left="0" w:right="0" w:hanging="0"/>
        <w:jc w:val="left"/>
        <w:rPr>
          <w:rFonts w:ascii="Times New Roman" w:hAnsi="Times New Roman"/>
          <w:b w:val="false"/>
          <w:sz w:val="17"/>
        </w:rPr>
      </w:pPr>
      <w:r>
        <w:rPr>
          <w:rFonts w:ascii="Times New Roman" w:hAnsi="Times New Roman"/>
          <w:b w:val="false"/>
          <w:sz w:val="17"/>
        </w:rPr>
        <w:t>(iii)                               each Contract or series of related Contracts for lease of property (A) involving aggregate payments in excess of $1,000,000 in the current or any future fiscal year or (B) having a term that extends more than six (6) months past the date of this Agreement;</w:t>
      </w:r>
    </w:p>
    <w:p>
      <w:pPr>
        <w:pStyle w:val="Heading4"/>
        <w:spacing w:before="0" w:after="0"/>
        <w:ind w:left="0" w:right="0" w:hanging="0"/>
        <w:jc w:val="left"/>
        <w:rPr/>
      </w:pPr>
      <w:r>
        <w:rPr/>
        <w:t> </w:t>
      </w:r>
    </w:p>
    <w:p>
      <w:pPr>
        <w:pStyle w:val="Heading4"/>
        <w:spacing w:before="0" w:after="0"/>
        <w:ind w:left="0" w:right="0" w:hanging="0"/>
        <w:jc w:val="left"/>
        <w:rPr>
          <w:rFonts w:ascii="Times New Roman" w:hAnsi="Times New Roman"/>
          <w:b w:val="false"/>
          <w:sz w:val="17"/>
        </w:rPr>
      </w:pPr>
      <w:r>
        <w:rPr>
          <w:rFonts w:ascii="Times New Roman" w:hAnsi="Times New Roman"/>
          <w:b w:val="false"/>
          <w:sz w:val="17"/>
        </w:rPr>
        <w:t>(iv)                              each Contract with respect to the employment, retention or severance of any director, officer, employee or consultant (other than any such Contract with respect to any director, officer or employee that is not a Continuing Employee and for which neither the Company nor any Subsidiary has any contractual liability or obligation following the Closing) or any arrangement or contract with any labor union;</w:t>
      </w:r>
    </w:p>
    <w:p>
      <w:pPr>
        <w:pStyle w:val="Heading4"/>
        <w:spacing w:before="0" w:after="0"/>
        <w:ind w:left="0" w:right="0" w:hanging="0"/>
        <w:jc w:val="left"/>
        <w:rPr/>
      </w:pPr>
      <w:r>
        <w:rPr/>
        <w:t> </w:t>
      </w:r>
    </w:p>
    <w:p>
      <w:pPr>
        <w:pStyle w:val="Heading4"/>
        <w:spacing w:before="0" w:after="0"/>
        <w:ind w:left="0" w:right="0" w:hanging="0"/>
        <w:jc w:val="left"/>
        <w:rPr>
          <w:rFonts w:ascii="Times New Roman" w:hAnsi="Times New Roman"/>
          <w:b w:val="false"/>
          <w:sz w:val="17"/>
        </w:rPr>
      </w:pPr>
      <w:r>
        <w:rPr>
          <w:rFonts w:ascii="Times New Roman" w:hAnsi="Times New Roman"/>
          <w:b w:val="false"/>
          <w:sz w:val="17"/>
        </w:rPr>
        <w:t>(v)                                 each Contract which, pursuant to the consummation of the transactions contemplated by this Agreement, will (either alone or upon the occurrence of additional acts or events or passage of time) result in any payment or benefits (whether of severance pay or otherwise) becoming due, or the acceleration or vesting of any rights to any payment or benefits, from the Company or any Subsidiary to any officer, director, consultant or employee thereof;</w:t>
      </w:r>
    </w:p>
    <w:p>
      <w:pPr>
        <w:pStyle w:val="Heading4"/>
        <w:spacing w:before="0" w:after="0"/>
        <w:ind w:left="0" w:right="0" w:hanging="0"/>
        <w:jc w:val="left"/>
        <w:rPr/>
      </w:pPr>
      <w:r>
        <w:rPr/>
        <w:t> </w:t>
      </w:r>
    </w:p>
    <w:p>
      <w:pPr>
        <w:pStyle w:val="Heading4"/>
        <w:spacing w:before="0" w:after="0"/>
        <w:ind w:left="0" w:right="0" w:hanging="0"/>
        <w:jc w:val="left"/>
        <w:rPr>
          <w:rFonts w:ascii="Times New Roman" w:hAnsi="Times New Roman"/>
          <w:b w:val="false"/>
          <w:sz w:val="17"/>
        </w:rPr>
      </w:pPr>
      <w:r>
        <w:rPr>
          <w:rFonts w:ascii="Times New Roman" w:hAnsi="Times New Roman"/>
          <w:b w:val="false"/>
          <w:sz w:val="17"/>
        </w:rPr>
        <w:t>(vi)                              each Contract between Seller or a Seller Affiliate (other than the Company and the Subsidiaries) on the one hand, and the Company or any Subsidiary, on the other hand, which will survive the Closing;</w:t>
      </w:r>
    </w:p>
    <w:p>
      <w:pPr>
        <w:pStyle w:val="Heading4"/>
        <w:spacing w:before="0" w:after="0"/>
        <w:ind w:left="0" w:right="0" w:hanging="0"/>
        <w:jc w:val="left"/>
        <w:rPr/>
      </w:pPr>
      <w:r>
        <w:rPr/>
        <w:t> </w:t>
      </w:r>
    </w:p>
    <w:p>
      <w:pPr>
        <w:pStyle w:val="Heading4"/>
        <w:spacing w:before="0" w:after="0"/>
        <w:ind w:left="0" w:right="0" w:hanging="0"/>
        <w:jc w:val="left"/>
        <w:rPr>
          <w:rFonts w:ascii="Times New Roman" w:hAnsi="Times New Roman"/>
          <w:b w:val="false"/>
          <w:sz w:val="17"/>
        </w:rPr>
      </w:pPr>
      <w:r>
        <w:rPr>
          <w:rFonts w:ascii="Times New Roman" w:hAnsi="Times New Roman"/>
          <w:b w:val="false"/>
          <w:sz w:val="17"/>
        </w:rPr>
        <w:t>(vii)                           each Contract that provides for a limit on the ability of the Company or any Subsidiary to conduct any line of business or compete with any Person or in any geographic area that will be binding on the Company or any Subsidiary from and after the Closing Date or with respect to which the Company or any Subsidiary shall be liable from and after the Closing Date;</w:t>
      </w:r>
    </w:p>
    <w:p>
      <w:pPr>
        <w:pStyle w:val="Heading4"/>
        <w:spacing w:before="0" w:after="0"/>
        <w:ind w:left="0" w:right="0" w:hanging="0"/>
        <w:jc w:val="left"/>
        <w:rPr/>
      </w:pPr>
      <w:r>
        <w:rPr/>
        <w:t> </w:t>
      </w:r>
    </w:p>
    <w:p>
      <w:pPr>
        <w:pStyle w:val="Heading4"/>
        <w:spacing w:before="0" w:after="0"/>
        <w:ind w:left="0" w:right="0" w:hanging="0"/>
        <w:jc w:val="left"/>
        <w:rPr>
          <w:rFonts w:ascii="Times New Roman" w:hAnsi="Times New Roman"/>
          <w:b w:val="false"/>
          <w:sz w:val="17"/>
        </w:rPr>
      </w:pPr>
      <w:r>
        <w:rPr>
          <w:rFonts w:ascii="Times New Roman" w:hAnsi="Times New Roman"/>
          <w:b w:val="false"/>
          <w:sz w:val="17"/>
        </w:rPr>
        <w:t>(viii)                        each Contract relating to any guaranty by the Company or any Subsidiary of the payment or performance of obligations of any other Person (other than the Company or any Subsidiary);</w:t>
      </w:r>
    </w:p>
    <w:p>
      <w:pPr>
        <w:pStyle w:val="Heading4"/>
        <w:spacing w:before="0" w:after="0"/>
        <w:ind w:left="0" w:right="0" w:hanging="0"/>
        <w:jc w:val="left"/>
        <w:rPr/>
      </w:pPr>
      <w:r>
        <w:rPr/>
        <w:t> </w:t>
      </w:r>
    </w:p>
    <w:p>
      <w:pPr>
        <w:pStyle w:val="Heading4"/>
        <w:spacing w:before="0" w:after="0"/>
        <w:ind w:left="0" w:right="0" w:hanging="0"/>
        <w:jc w:val="left"/>
        <w:rPr>
          <w:rFonts w:ascii="Times New Roman" w:hAnsi="Times New Roman"/>
          <w:b w:val="false"/>
          <w:sz w:val="17"/>
        </w:rPr>
      </w:pPr>
      <w:r>
        <w:rPr>
          <w:rFonts w:ascii="Times New Roman" w:hAnsi="Times New Roman"/>
          <w:b w:val="false"/>
          <w:sz w:val="17"/>
        </w:rPr>
        <w:t>(ix)                                each Contract relating to any partnership, joint venture or other arrangement involving a sharing of profits or expenses (excluding the sharing of expenses in connection with natural gas pipeline interconnection agreements and shared services agreements);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27</w:t>
      </w:r>
    </w:p>
    <w:p>
      <w:pPr>
        <w:pStyle w:val="HorizontalLine"/>
        <w:pBdr>
          <w:bottom w:val="single" w:sz="12" w:space="0" w:color="808080"/>
        </w:pBdr>
        <w:spacing w:before="0" w:after="0"/>
        <w:jc w:val="left"/>
        <w:rPr/>
      </w:pPr>
      <w:r>
        <w:rPr/>
      </w:r>
      <w:r>
        <w:br w:type="page"/>
      </w:r>
    </w:p>
    <w:p>
      <w:pPr>
        <w:pStyle w:val="TextBody"/>
        <w:spacing w:before="0" w:after="0"/>
        <w:ind w:left="0" w:right="0" w:hanging="0"/>
        <w:jc w:val="center"/>
        <w:rPr/>
      </w:pPr>
      <w:r>
        <w:rPr/>
        <w:t> </w:t>
      </w:r>
    </w:p>
    <w:p>
      <w:pPr>
        <w:pStyle w:val="Heading4"/>
        <w:spacing w:before="0" w:after="0"/>
        <w:ind w:left="0" w:right="0" w:hanging="0"/>
        <w:jc w:val="left"/>
        <w:rPr>
          <w:rFonts w:ascii="Times New Roman" w:hAnsi="Times New Roman"/>
          <w:b w:val="false"/>
          <w:sz w:val="17"/>
        </w:rPr>
      </w:pPr>
      <w:r>
        <w:rPr>
          <w:rFonts w:ascii="Times New Roman" w:hAnsi="Times New Roman"/>
          <w:b w:val="false"/>
          <w:sz w:val="17"/>
        </w:rPr>
        <w:t>(x)                                   each Contract that includes any obligation of the Company or any Subsidiary to make payments, contingent or otherwise, arising out of the prior acquisition or disposition of any asset or business;</w:t>
      </w:r>
    </w:p>
    <w:p>
      <w:pPr>
        <w:pStyle w:val="Heading4"/>
        <w:spacing w:before="0" w:after="0"/>
        <w:ind w:left="0" w:right="0" w:hanging="0"/>
        <w:jc w:val="left"/>
        <w:rPr/>
      </w:pPr>
      <w:r>
        <w:rPr/>
        <w:t> </w:t>
      </w:r>
    </w:p>
    <w:p>
      <w:pPr>
        <w:pStyle w:val="Heading4"/>
        <w:spacing w:before="0" w:after="0"/>
        <w:ind w:left="0" w:right="0" w:hanging="0"/>
        <w:jc w:val="left"/>
        <w:rPr>
          <w:rFonts w:ascii="Times New Roman" w:hAnsi="Times New Roman"/>
          <w:b w:val="false"/>
          <w:sz w:val="17"/>
        </w:rPr>
      </w:pPr>
      <w:r>
        <w:rPr>
          <w:rFonts w:ascii="Times New Roman" w:hAnsi="Times New Roman"/>
          <w:b w:val="false"/>
          <w:sz w:val="17"/>
        </w:rPr>
        <w:t>(xi)                                each Contract granting any power of attorney with respect to the affairs of, or to act as agent for, the Company or any Subsidiary;</w:t>
      </w:r>
    </w:p>
    <w:p>
      <w:pPr>
        <w:pStyle w:val="Heading4"/>
        <w:spacing w:before="0" w:after="0"/>
        <w:ind w:left="0" w:right="0" w:hanging="0"/>
        <w:jc w:val="left"/>
        <w:rPr/>
      </w:pPr>
      <w:r>
        <w:rPr/>
        <w:t> </w:t>
      </w:r>
    </w:p>
    <w:p>
      <w:pPr>
        <w:pStyle w:val="Heading4"/>
        <w:spacing w:before="0" w:after="0"/>
        <w:ind w:left="0" w:right="0" w:hanging="0"/>
        <w:jc w:val="left"/>
        <w:rPr>
          <w:rFonts w:ascii="Times New Roman" w:hAnsi="Times New Roman"/>
          <w:b w:val="false"/>
          <w:sz w:val="17"/>
        </w:rPr>
      </w:pPr>
      <w:r>
        <w:rPr>
          <w:rFonts w:ascii="Times New Roman" w:hAnsi="Times New Roman"/>
          <w:b w:val="false"/>
          <w:sz w:val="17"/>
        </w:rPr>
        <w:t>(xii)                             each Tax Sharing Agreement;</w:t>
      </w:r>
    </w:p>
    <w:p>
      <w:pPr>
        <w:pStyle w:val="Heading4"/>
        <w:spacing w:before="0" w:after="0"/>
        <w:ind w:left="0" w:right="0" w:hanging="0"/>
        <w:jc w:val="left"/>
        <w:rPr/>
      </w:pPr>
      <w:r>
        <w:rPr/>
        <w:t> </w:t>
      </w:r>
    </w:p>
    <w:p>
      <w:pPr>
        <w:pStyle w:val="Heading4"/>
        <w:spacing w:before="0" w:after="0"/>
        <w:ind w:left="0" w:right="0" w:hanging="0"/>
        <w:jc w:val="left"/>
        <w:rPr>
          <w:rFonts w:ascii="Times New Roman" w:hAnsi="Times New Roman"/>
          <w:b w:val="false"/>
          <w:sz w:val="17"/>
        </w:rPr>
      </w:pPr>
      <w:r>
        <w:rPr>
          <w:rFonts w:ascii="Times New Roman" w:hAnsi="Times New Roman"/>
          <w:b w:val="false"/>
          <w:sz w:val="17"/>
        </w:rPr>
        <w:t>(xiii)                          each Contract for the grant of any option or preferential right to purchase any material assets, properties or rights;</w:t>
      </w:r>
    </w:p>
    <w:p>
      <w:pPr>
        <w:pStyle w:val="Heading4"/>
        <w:spacing w:before="0" w:after="0"/>
        <w:ind w:left="0" w:right="0" w:hanging="0"/>
        <w:jc w:val="left"/>
        <w:rPr/>
      </w:pPr>
      <w:r>
        <w:rPr/>
        <w:t> </w:t>
      </w:r>
    </w:p>
    <w:p>
      <w:pPr>
        <w:pStyle w:val="Heading4"/>
        <w:spacing w:before="0" w:after="0"/>
        <w:ind w:left="0" w:right="0" w:hanging="0"/>
        <w:jc w:val="left"/>
        <w:rPr>
          <w:rFonts w:ascii="Times New Roman" w:hAnsi="Times New Roman"/>
          <w:b w:val="false"/>
          <w:sz w:val="17"/>
        </w:rPr>
      </w:pPr>
      <w:r>
        <w:rPr>
          <w:rFonts w:ascii="Times New Roman" w:hAnsi="Times New Roman"/>
          <w:b w:val="false"/>
          <w:sz w:val="17"/>
        </w:rPr>
        <w:t>(xiv)                         each Contract to buy or sell natural gas at a fixed price;</w:t>
      </w:r>
    </w:p>
    <w:p>
      <w:pPr>
        <w:pStyle w:val="Heading4"/>
        <w:spacing w:before="0" w:after="0"/>
        <w:ind w:left="0" w:right="0" w:hanging="0"/>
        <w:jc w:val="left"/>
        <w:rPr/>
      </w:pPr>
      <w:r>
        <w:rPr/>
        <w:t> </w:t>
      </w:r>
    </w:p>
    <w:p>
      <w:pPr>
        <w:pStyle w:val="Heading4"/>
        <w:spacing w:before="0" w:after="0"/>
        <w:ind w:left="0" w:right="0" w:hanging="0"/>
        <w:jc w:val="left"/>
        <w:rPr>
          <w:rFonts w:ascii="Times New Roman" w:hAnsi="Times New Roman"/>
          <w:b w:val="false"/>
          <w:sz w:val="17"/>
        </w:rPr>
      </w:pPr>
      <w:r>
        <w:rPr>
          <w:rFonts w:ascii="Times New Roman" w:hAnsi="Times New Roman"/>
          <w:b w:val="false"/>
          <w:sz w:val="17"/>
        </w:rPr>
        <w:t>(xv)                            each interconnection Contract;</w:t>
      </w:r>
    </w:p>
    <w:p>
      <w:pPr>
        <w:pStyle w:val="Heading4"/>
        <w:spacing w:before="0" w:after="0"/>
        <w:ind w:left="0" w:right="0" w:hanging="0"/>
        <w:jc w:val="left"/>
        <w:rPr/>
      </w:pPr>
      <w:r>
        <w:rPr/>
        <w:t> </w:t>
      </w:r>
    </w:p>
    <w:p>
      <w:pPr>
        <w:pStyle w:val="Heading4"/>
        <w:spacing w:before="0" w:after="0"/>
        <w:ind w:left="0" w:right="0" w:hanging="0"/>
        <w:jc w:val="left"/>
        <w:rPr>
          <w:rFonts w:ascii="Times New Roman" w:hAnsi="Times New Roman"/>
          <w:b w:val="false"/>
          <w:sz w:val="17"/>
        </w:rPr>
      </w:pPr>
      <w:r>
        <w:rPr>
          <w:rFonts w:ascii="Times New Roman" w:hAnsi="Times New Roman"/>
          <w:b w:val="false"/>
          <w:sz w:val="17"/>
        </w:rPr>
        <w:t>(xvi)                         each Contract that requires the posting of collateral by the Company or any Subsidiary;</w:t>
      </w:r>
    </w:p>
    <w:p>
      <w:pPr>
        <w:pStyle w:val="Heading4"/>
        <w:spacing w:before="0" w:after="0"/>
        <w:ind w:left="0" w:right="0" w:hanging="0"/>
        <w:jc w:val="left"/>
        <w:rPr/>
      </w:pPr>
      <w:r>
        <w:rPr/>
        <w:t> </w:t>
      </w:r>
    </w:p>
    <w:p>
      <w:pPr>
        <w:pStyle w:val="Heading4"/>
        <w:spacing w:before="0" w:after="0"/>
        <w:ind w:left="0" w:right="0" w:hanging="0"/>
        <w:jc w:val="left"/>
        <w:rPr>
          <w:rFonts w:ascii="Times New Roman" w:hAnsi="Times New Roman"/>
          <w:b w:val="false"/>
          <w:sz w:val="17"/>
        </w:rPr>
      </w:pPr>
      <w:r>
        <w:rPr>
          <w:rFonts w:ascii="Times New Roman" w:hAnsi="Times New Roman"/>
          <w:b w:val="false"/>
          <w:sz w:val="17"/>
        </w:rPr>
        <w:t>(xvii)                      except for Contracts of the nature described in the clauses above, each Contract involving aggregate payments by or to the Company or any Subsidiary in the current fiscal year or any future fiscal year of more than $1,000,000 in any one case (or in the aggregate, in the case of any related Contracts); and</w:t>
      </w:r>
    </w:p>
    <w:p>
      <w:pPr>
        <w:pStyle w:val="Heading4"/>
        <w:spacing w:before="0" w:after="0"/>
        <w:ind w:left="0" w:right="0" w:hanging="0"/>
        <w:jc w:val="left"/>
        <w:rPr/>
      </w:pPr>
      <w:r>
        <w:rPr/>
        <w:t> </w:t>
      </w:r>
    </w:p>
    <w:p>
      <w:pPr>
        <w:pStyle w:val="Heading4"/>
        <w:spacing w:before="0" w:after="0"/>
        <w:ind w:left="0" w:right="0" w:hanging="0"/>
        <w:jc w:val="left"/>
        <w:rPr>
          <w:rFonts w:ascii="Times New Roman" w:hAnsi="Times New Roman"/>
          <w:b w:val="false"/>
          <w:sz w:val="17"/>
        </w:rPr>
      </w:pPr>
      <w:r>
        <w:rPr>
          <w:rFonts w:ascii="Times New Roman" w:hAnsi="Times New Roman"/>
          <w:b w:val="false"/>
          <w:sz w:val="17"/>
        </w:rPr>
        <w:t>(xviii)                   any other Contract that is material to the Company and the Subsidiaries, taken as a whole.</w:t>
      </w:r>
    </w:p>
    <w:p>
      <w:pPr>
        <w:pStyle w:val="Heading4"/>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 xml:space="preserve">(b)                                 Each Contract of the type described in </w:t>
      </w:r>
      <w:r>
        <w:rPr>
          <w:rFonts w:ascii="Times New Roman" w:hAnsi="Times New Roman"/>
          <w:b w:val="false"/>
          <w:sz w:val="17"/>
          <w:u w:val="single"/>
        </w:rPr>
        <w:t>Section 4.7(a)</w:t>
      </w:r>
      <w:r>
        <w:rPr>
          <w:rFonts w:ascii="Times New Roman" w:hAnsi="Times New Roman"/>
          <w:b w:val="false"/>
          <w:sz w:val="17"/>
        </w:rPr>
        <w:t xml:space="preserve">, whether or not set forth in </w:t>
      </w:r>
      <w:r>
        <w:rPr>
          <w:rFonts w:ascii="Times New Roman" w:hAnsi="Times New Roman"/>
          <w:b w:val="false"/>
          <w:sz w:val="17"/>
          <w:u w:val="single"/>
        </w:rPr>
        <w:t>Schedule 4.7(a) </w:t>
      </w:r>
      <w:r>
        <w:rPr>
          <w:rFonts w:ascii="Times New Roman" w:hAnsi="Times New Roman"/>
          <w:b w:val="false"/>
          <w:sz w:val="17"/>
        </w:rPr>
        <w:t>and, for the avoidance of doubt, whether in effect as of the date of this Agreement or entered into or becoming effective between the date of this Agreement and the Closing, is referred to herein as a </w:t>
      </w:r>
      <w:r>
        <w:rPr>
          <w:rFonts w:ascii="Times New Roman" w:hAnsi="Times New Roman"/>
          <w:b w:val="false"/>
          <w:sz w:val="17"/>
          <w:u w:val="single"/>
        </w:rPr>
        <w:t>Material Contract</w:t>
      </w:r>
      <w:r>
        <w:rPr>
          <w:rFonts w:ascii="Times New Roman" w:hAnsi="Times New Roman"/>
          <w:b w:val="false"/>
          <w:sz w:val="17"/>
        </w:rPr>
        <w:t>.  True and complete copies of all Material Contracts in effect as of the date of this Agreement have been made available to Buyer.</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 xml:space="preserve">(c)                                  Except as set forth in </w:t>
      </w:r>
      <w:r>
        <w:rPr>
          <w:rFonts w:ascii="Times New Roman" w:hAnsi="Times New Roman"/>
          <w:b w:val="false"/>
          <w:sz w:val="17"/>
          <w:u w:val="single"/>
        </w:rPr>
        <w:t>Schedule 4.7(c)</w:t>
      </w:r>
      <w:r>
        <w:rPr>
          <w:rFonts w:ascii="Times New Roman" w:hAnsi="Times New Roman"/>
          <w:b w:val="false"/>
          <w:sz w:val="17"/>
        </w:rPr>
        <w:t>, (i) each Material Contract is valid and binding, in full force and effect and enforceable in accordance with its terms, (ii) the Company and each Subsidiary has performed in all material respects all obligations required to be performed by it to date under each Material Contract to which it is a party or by which it or any of its material assets is bound and (iii) no event or condition exists or has occurred which violates, results in a breach of any material provision of or the loss of any material benefit under, constitutes a default (or an event which, with notice or lapse of time, or both, would constitute a default) on the part of any party under, results or will result in a right of termination, cancellation or material amendment on the part of any party under, accelerates the performance required on the part of any party by, or results or will result in the creation of any material Lien upon any of the material properties or assets of the Company or any Subsidiary under, any of the terms, conditions or provisions of any Material Contract, except, in each case, where such</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28</w:t>
      </w:r>
    </w:p>
    <w:p>
      <w:pPr>
        <w:pStyle w:val="HorizontalLine"/>
        <w:pBdr>
          <w:bottom w:val="single" w:sz="12" w:space="0" w:color="808080"/>
        </w:pBdr>
        <w:spacing w:before="0" w:after="0"/>
        <w:jc w:val="left"/>
        <w:rPr/>
      </w:pPr>
      <w:r>
        <w:rPr/>
      </w:r>
      <w:r>
        <w:br w:type="page"/>
      </w:r>
    </w:p>
    <w:p>
      <w:pPr>
        <w:pStyle w:val="TextBody"/>
        <w:spacing w:before="0" w:after="0"/>
        <w:ind w:left="0" w:right="0" w:hanging="0"/>
        <w:jc w:val="center"/>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failure to be valid and binding or in full force and effect, failure to be enforceable, failure to perform or such violation, breach or default would not reasonably be expected to have, individually or in the aggregate, a Material Adverse Effect.  Without limiting the generality of the foregoing, the Company and the Subsidiaries are in compliance with all tariffs applicable to any Material Contract that relates to the provision by the Company or any Subsidiary of regulated services.</w:t>
      </w:r>
    </w:p>
    <w:p>
      <w:pPr>
        <w:pStyle w:val="Heading3"/>
        <w:spacing w:before="0" w:after="0"/>
        <w:ind w:left="0" w:right="0" w:hanging="0"/>
        <w:jc w:val="left"/>
        <w:rPr/>
      </w:pPr>
      <w:r>
        <w:rPr/>
        <w:t> </w:t>
      </w:r>
    </w:p>
    <w:p>
      <w:pPr>
        <w:pStyle w:val="Heading2"/>
        <w:spacing w:before="0" w:after="0"/>
        <w:ind w:left="0" w:right="0" w:hanging="0"/>
        <w:jc w:val="left"/>
        <w:rPr>
          <w:rFonts w:ascii="Times New Roman" w:hAnsi="Times New Roman"/>
          <w:b w:val="false"/>
          <w:sz w:val="17"/>
        </w:rPr>
      </w:pPr>
      <w:bookmarkStart w:id="140" w:name="Section4_8_233657"/>
      <w:bookmarkEnd w:id="140"/>
      <w:r>
        <w:rPr>
          <w:rFonts w:ascii="Times New Roman" w:hAnsi="Times New Roman"/>
          <w:b w:val="false"/>
          <w:sz w:val="17"/>
        </w:rPr>
        <w:t xml:space="preserve">Section 4.8                                      </w:t>
      </w:r>
      <w:r>
        <w:rPr>
          <w:rFonts w:ascii="Times New Roman" w:hAnsi="Times New Roman"/>
          <w:b w:val="false"/>
          <w:sz w:val="17"/>
          <w:u w:val="single"/>
        </w:rPr>
        <w:t>Intellectual Property</w:t>
      </w:r>
      <w:r>
        <w:rPr>
          <w:rFonts w:ascii="Times New Roman" w:hAnsi="Times New Roman"/>
          <w:b w:val="false"/>
          <w:sz w:val="17"/>
        </w:rPr>
        <w:t>.</w:t>
      </w:r>
    </w:p>
    <w:p>
      <w:pPr>
        <w:pStyle w:val="Heading2"/>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 xml:space="preserve">(a)                                  </w:t>
      </w:r>
      <w:r>
        <w:rPr>
          <w:rFonts w:ascii="Times New Roman" w:hAnsi="Times New Roman"/>
          <w:b w:val="false"/>
          <w:sz w:val="17"/>
          <w:u w:val="single"/>
        </w:rPr>
        <w:t>Schedule 4.8(a) </w:t>
      </w:r>
      <w:r>
        <w:rPr>
          <w:rFonts w:ascii="Times New Roman" w:hAnsi="Times New Roman"/>
          <w:b w:val="false"/>
          <w:sz w:val="17"/>
        </w:rPr>
        <w:t>sets forth a true and complete list of all of the following either owned by the Company or any Subsidiary or owned by Seller and used in the business of the Company as currently conducted:  (i) all material registered copyrights and pending copyright applications, (ii) all material patent and pending patent applications, (iii) all material registrations or pending applications for trademarks or service marks, and (iv) all material Software.</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 xml:space="preserve">(b)                                 </w:t>
      </w:r>
      <w:r>
        <w:rPr>
          <w:rFonts w:ascii="Times New Roman" w:hAnsi="Times New Roman"/>
          <w:b w:val="false"/>
          <w:sz w:val="17"/>
          <w:u w:val="single"/>
        </w:rPr>
        <w:t>Schedule 4.8(b) </w:t>
      </w:r>
      <w:r>
        <w:rPr>
          <w:rFonts w:ascii="Times New Roman" w:hAnsi="Times New Roman"/>
          <w:b w:val="false"/>
          <w:sz w:val="17"/>
        </w:rPr>
        <w:t xml:space="preserve">sets forth all material Contracts under which the Company or any Subsidiary is granted or, pursuant to the terms thereof, will be granted, rights in Intellectual Property used in the business of the Company as currently conducted.  </w:t>
      </w:r>
      <w:r>
        <w:rPr>
          <w:rFonts w:ascii="Times New Roman" w:hAnsi="Times New Roman"/>
          <w:b w:val="false"/>
          <w:sz w:val="17"/>
          <w:u w:val="single"/>
        </w:rPr>
        <w:t>Schedule 4.8(b) </w:t>
      </w:r>
      <w:r>
        <w:rPr>
          <w:rFonts w:ascii="Times New Roman" w:hAnsi="Times New Roman"/>
          <w:b w:val="false"/>
          <w:sz w:val="17"/>
        </w:rPr>
        <w:t>identifies the parties to each such Contract and the Intellectual Property related thereto.</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 xml:space="preserve">(c)                                  Except as set forth in </w:t>
      </w:r>
      <w:r>
        <w:rPr>
          <w:rFonts w:ascii="Times New Roman" w:hAnsi="Times New Roman"/>
          <w:b w:val="false"/>
          <w:sz w:val="17"/>
          <w:u w:val="single"/>
        </w:rPr>
        <w:t>Schedule 4.8(c) </w:t>
      </w:r>
      <w:r>
        <w:rPr>
          <w:rFonts w:ascii="Times New Roman" w:hAnsi="Times New Roman"/>
          <w:b w:val="false"/>
          <w:sz w:val="17"/>
        </w:rPr>
        <w:t>and except as would not reasonably be expected to have, individually or in the aggregate, a Material Adverse Effect, (i) each of the Company, BGS Corp. and BGS LLC owns or has a valid license to use all Intellectual Property used in or necessary for the business of the Company, BGS Corp. and BGS LLC as currently conducted, (ii) neither the Company nor any Subsidiary has received any written notice of infringement of or challenge to any such Intellectual Property and, to the Knowledge of Seller, there is no basis for any claim of such infringement, (iii) neither the Company nor any Subsidiary has brought or threatened in writing a claim against any Person involving Intellectual Property, and (iv) to the Knowledge of Seller, no Person has infringed or is infringing any Intellectual Property either owned by the Company or any Subsidiary or owned by Seller and used in the business of the Company as currently conducted.  None of the Software used in or necessary for the business of the Company or any Subsidiary is owned or licensed by Seller or any of its Affiliates (other than the Company and the Subsidiaries).</w:t>
      </w:r>
    </w:p>
    <w:p>
      <w:pPr>
        <w:pStyle w:val="Heading3"/>
        <w:spacing w:before="0" w:after="0"/>
        <w:ind w:left="0" w:right="0" w:hanging="0"/>
        <w:jc w:val="left"/>
        <w:rPr/>
      </w:pPr>
      <w:r>
        <w:rPr/>
        <w:t> </w:t>
      </w:r>
    </w:p>
    <w:p>
      <w:pPr>
        <w:pStyle w:val="Heading2"/>
        <w:spacing w:before="0" w:after="0"/>
        <w:ind w:left="0" w:right="0" w:hanging="0"/>
        <w:jc w:val="left"/>
        <w:rPr>
          <w:rFonts w:ascii="Times New Roman" w:hAnsi="Times New Roman"/>
          <w:b w:val="false"/>
          <w:sz w:val="17"/>
        </w:rPr>
      </w:pPr>
      <w:bookmarkStart w:id="141" w:name="Section4_9_233701"/>
      <w:bookmarkEnd w:id="141"/>
      <w:r>
        <w:rPr>
          <w:rFonts w:ascii="Times New Roman" w:hAnsi="Times New Roman"/>
          <w:b w:val="false"/>
          <w:sz w:val="17"/>
        </w:rPr>
        <w:t xml:space="preserve">Section 4.9                                      </w:t>
      </w:r>
      <w:r>
        <w:rPr>
          <w:rFonts w:ascii="Times New Roman" w:hAnsi="Times New Roman"/>
          <w:b w:val="false"/>
          <w:sz w:val="17"/>
          <w:u w:val="single"/>
        </w:rPr>
        <w:t>Litigation</w:t>
      </w:r>
      <w:r>
        <w:rPr>
          <w:rFonts w:ascii="Times New Roman" w:hAnsi="Times New Roman"/>
          <w:b w:val="false"/>
          <w:sz w:val="17"/>
        </w:rPr>
        <w:t xml:space="preserve">.  Except as set forth in </w:t>
      </w:r>
      <w:r>
        <w:rPr>
          <w:rFonts w:ascii="Times New Roman" w:hAnsi="Times New Roman"/>
          <w:b w:val="false"/>
          <w:sz w:val="17"/>
          <w:u w:val="single"/>
        </w:rPr>
        <w:t>Schedule 4.9</w:t>
      </w:r>
      <w:r>
        <w:rPr>
          <w:rFonts w:ascii="Times New Roman" w:hAnsi="Times New Roman"/>
          <w:b w:val="false"/>
          <w:sz w:val="17"/>
        </w:rPr>
        <w:t xml:space="preserve"> (and except for Tax matters, which are addressed in </w:t>
      </w:r>
      <w:r>
        <w:rPr>
          <w:rFonts w:ascii="Times New Roman" w:hAnsi="Times New Roman"/>
          <w:b w:val="false"/>
          <w:sz w:val="17"/>
          <w:u w:val="single"/>
        </w:rPr>
        <w:t>Section 4.11</w:t>
      </w:r>
      <w:r>
        <w:rPr>
          <w:rFonts w:ascii="Times New Roman" w:hAnsi="Times New Roman"/>
          <w:b w:val="false"/>
          <w:sz w:val="17"/>
        </w:rPr>
        <w:t>), (a) there is no Litigation pending or, to the Knowledge of Seller, threatened by any Person against the Company or any Subsidiary or any of their respective properties or assets that would reasonably be expected to have, individually or in the aggregate, a Material Adverse Effect and (b) there is no order or unsatisfied judgment from any Governmental Authority binding upon or affecting the Company or any Subsidiary or any of their respective properties or assets that would reasonably be expected to have, individually or in the aggregate, a Material Adverse Effect.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29</w:t>
      </w:r>
    </w:p>
    <w:p>
      <w:pPr>
        <w:pStyle w:val="HorizontalLine"/>
        <w:pBdr>
          <w:bottom w:val="single" w:sz="12" w:space="0" w:color="808080"/>
        </w:pBdr>
        <w:spacing w:before="0" w:after="0"/>
        <w:jc w:val="left"/>
        <w:rPr/>
      </w:pPr>
      <w:r>
        <w:rPr/>
      </w:r>
      <w:r>
        <w:br w:type="page"/>
      </w:r>
    </w:p>
    <w:p>
      <w:pPr>
        <w:pStyle w:val="TextBody"/>
        <w:spacing w:before="0" w:after="0"/>
        <w:ind w:left="0" w:right="0" w:hanging="0"/>
        <w:jc w:val="center"/>
        <w:rPr/>
      </w:pPr>
      <w:r>
        <w:rPr/>
        <w:t> </w:t>
      </w:r>
    </w:p>
    <w:p>
      <w:pPr>
        <w:pStyle w:val="Heading2"/>
        <w:spacing w:before="0" w:after="0"/>
        <w:ind w:left="0" w:right="0" w:hanging="0"/>
        <w:jc w:val="left"/>
        <w:rPr>
          <w:rFonts w:ascii="Times New Roman" w:hAnsi="Times New Roman"/>
          <w:b w:val="false"/>
          <w:sz w:val="17"/>
        </w:rPr>
      </w:pPr>
      <w:bookmarkStart w:id="142" w:name="Section4_10_233704"/>
      <w:bookmarkEnd w:id="142"/>
      <w:r>
        <w:rPr>
          <w:rFonts w:ascii="Times New Roman" w:hAnsi="Times New Roman"/>
          <w:b w:val="false"/>
          <w:sz w:val="17"/>
        </w:rPr>
        <w:t xml:space="preserve">Section 4.10                                </w:t>
      </w:r>
      <w:r>
        <w:rPr>
          <w:rFonts w:ascii="Times New Roman" w:hAnsi="Times New Roman"/>
          <w:b w:val="false"/>
          <w:sz w:val="17"/>
          <w:u w:val="single"/>
        </w:rPr>
        <w:t>Employee Benefit Plans</w:t>
      </w:r>
      <w:r>
        <w:rPr>
          <w:rFonts w:ascii="Times New Roman" w:hAnsi="Times New Roman"/>
          <w:b w:val="false"/>
          <w:sz w:val="17"/>
        </w:rPr>
        <w:t>.</w:t>
      </w:r>
    </w:p>
    <w:p>
      <w:pPr>
        <w:pStyle w:val="Heading2"/>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 xml:space="preserve">(a)                                  </w:t>
      </w:r>
      <w:r>
        <w:rPr>
          <w:rFonts w:ascii="Times New Roman" w:hAnsi="Times New Roman"/>
          <w:b w:val="false"/>
          <w:sz w:val="17"/>
          <w:u w:val="single"/>
        </w:rPr>
        <w:t>Schedule 4.10(a) </w:t>
      </w:r>
      <w:r>
        <w:rPr>
          <w:rFonts w:ascii="Times New Roman" w:hAnsi="Times New Roman"/>
          <w:b w:val="false"/>
          <w:sz w:val="17"/>
        </w:rPr>
        <w:t>contains a true and complete list, as of the date of this Agreement, of each Company Plan that covers one or more current or former employees, directors or consultants of the Company or any Subsidiary.  On or before the date of this Agreement, Seller has delivered to Buyer or its Affiliates true and complete copies of each Company Plan (including all amendments thereto) for each written Company Plan or a written description of any Company Plan that is not otherwise in writing.</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 xml:space="preserve">(b)                                 Set forth in </w:t>
      </w:r>
      <w:r>
        <w:rPr>
          <w:rFonts w:ascii="Times New Roman" w:hAnsi="Times New Roman"/>
          <w:b w:val="false"/>
          <w:sz w:val="17"/>
          <w:u w:val="single"/>
        </w:rPr>
        <w:t>Schedule 4.10(b) </w:t>
      </w:r>
      <w:r>
        <w:rPr>
          <w:rFonts w:ascii="Times New Roman" w:hAnsi="Times New Roman"/>
          <w:b w:val="false"/>
          <w:sz w:val="17"/>
        </w:rPr>
        <w:t>is a complete listing of each Continuing Employee, along with such each such employees current title and years of service for purposes of the Company Plans.</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(c)                                  The consummation of the transactions contemplated by this Agreement will not, either alone or in combination with any other event, (i) entitle any current or former employee, officer or director of the Company or any Subsidiary to severance pay, unemployment compensation or any other similar termination payment, or (ii) accelerate the time of payment or vesting, or increase the amount of or otherwise enhance any benefit due any such employee, officer or director.</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(d)                                 With respect to any Company Plan that is an employee benefit plan, within the meaning of Section 3(3) of ERISA no withdrawal liability, within the meaning of Section 4201 of ERISA, has been incurred by Seller, the Company or by any trade or business, whether or not incorporated, that together with Seller or the Company would be a single employer within the meaning of Section 4001(b) of ERISA (a </w:t>
      </w:r>
      <w:r>
        <w:rPr>
          <w:rFonts w:ascii="Times New Roman" w:hAnsi="Times New Roman"/>
          <w:b w:val="false"/>
          <w:sz w:val="17"/>
          <w:u w:val="single"/>
        </w:rPr>
        <w:t>Commonly Controlled Entity</w:t>
      </w:r>
      <w:r>
        <w:rPr>
          <w:rFonts w:ascii="Times New Roman" w:hAnsi="Times New Roman"/>
          <w:b w:val="false"/>
          <w:sz w:val="17"/>
        </w:rPr>
        <w:t>), which withdrawal liability has not been satisfied in full.</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(e)                                  No amounts payable under any of the Company Plans or any other contract, agreement or arrangement with respect to which Seller, the Company or any Commonly Controlled Entity may have any liability with respect to any Continuing Employee could fail to be deductible for federal income tax purposes by virtue of Section 280G of the Code.</w:t>
      </w:r>
    </w:p>
    <w:p>
      <w:pPr>
        <w:pStyle w:val="Heading3"/>
        <w:spacing w:before="0" w:after="0"/>
        <w:ind w:left="0" w:right="0" w:hanging="0"/>
        <w:jc w:val="left"/>
        <w:rPr/>
      </w:pPr>
      <w:r>
        <w:rPr/>
        <w:t> </w:t>
      </w:r>
    </w:p>
    <w:p>
      <w:pPr>
        <w:pStyle w:val="Heading2"/>
        <w:spacing w:before="0" w:after="0"/>
        <w:ind w:left="0" w:right="0" w:hanging="0"/>
        <w:jc w:val="left"/>
        <w:rPr>
          <w:rFonts w:ascii="Times New Roman" w:hAnsi="Times New Roman"/>
          <w:b w:val="false"/>
          <w:sz w:val="17"/>
        </w:rPr>
      </w:pPr>
      <w:bookmarkStart w:id="143" w:name="Section4_11_233708"/>
      <w:bookmarkEnd w:id="143"/>
      <w:r>
        <w:rPr>
          <w:rFonts w:ascii="Times New Roman" w:hAnsi="Times New Roman"/>
          <w:b w:val="false"/>
          <w:sz w:val="17"/>
        </w:rPr>
        <w:t xml:space="preserve">Section 4.11                                </w:t>
      </w:r>
      <w:r>
        <w:rPr>
          <w:rFonts w:ascii="Times New Roman" w:hAnsi="Times New Roman"/>
          <w:b w:val="false"/>
          <w:sz w:val="17"/>
          <w:u w:val="single"/>
        </w:rPr>
        <w:t>Taxes</w:t>
      </w:r>
      <w:r>
        <w:rPr>
          <w:rFonts w:ascii="Times New Roman" w:hAnsi="Times New Roman"/>
          <w:b w:val="false"/>
          <w:sz w:val="17"/>
        </w:rPr>
        <w:t>.</w:t>
      </w:r>
    </w:p>
    <w:p>
      <w:pPr>
        <w:pStyle w:val="Heading2"/>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 xml:space="preserve">(a)                                  Except as set forth in </w:t>
      </w:r>
      <w:r>
        <w:rPr>
          <w:rFonts w:ascii="Times New Roman" w:hAnsi="Times New Roman"/>
          <w:b w:val="false"/>
          <w:sz w:val="17"/>
          <w:u w:val="single"/>
        </w:rPr>
        <w:t>Schedule 4.11</w:t>
      </w:r>
      <w:r>
        <w:rPr>
          <w:rFonts w:ascii="Times New Roman" w:hAnsi="Times New Roman"/>
          <w:b w:val="false"/>
          <w:sz w:val="17"/>
        </w:rPr>
        <w:t xml:space="preserve"> or as would not reasonably be expected to have, individually or in the aggregate, a Material Adverse Effect:</w:t>
      </w:r>
    </w:p>
    <w:p>
      <w:pPr>
        <w:pStyle w:val="Heading3"/>
        <w:spacing w:before="0" w:after="0"/>
        <w:ind w:left="0" w:right="0" w:hanging="0"/>
        <w:jc w:val="left"/>
        <w:rPr/>
      </w:pPr>
      <w:r>
        <w:rPr/>
        <w:t> </w:t>
      </w:r>
    </w:p>
    <w:p>
      <w:pPr>
        <w:pStyle w:val="Heading4"/>
        <w:spacing w:before="0" w:after="0"/>
        <w:ind w:left="0" w:right="0" w:hanging="0"/>
        <w:jc w:val="left"/>
        <w:rPr>
          <w:rFonts w:ascii="Times New Roman" w:hAnsi="Times New Roman"/>
          <w:b w:val="false"/>
          <w:sz w:val="17"/>
        </w:rPr>
      </w:pPr>
      <w:r>
        <w:rPr>
          <w:rFonts w:ascii="Times New Roman" w:hAnsi="Times New Roman"/>
          <w:b w:val="false"/>
          <w:sz w:val="17"/>
        </w:rPr>
        <w:t>(i)                                     all Company Tax Returns have been duly and timely filed (taking into account extensions) and such Company Tax Returns are true, correct and complete, and all Company Taxes have been timely paid;</w:t>
      </w:r>
    </w:p>
    <w:p>
      <w:pPr>
        <w:pStyle w:val="Heading4"/>
        <w:spacing w:before="0" w:after="0"/>
        <w:ind w:left="0" w:right="0" w:hanging="0"/>
        <w:jc w:val="left"/>
        <w:rPr/>
      </w:pPr>
      <w:r>
        <w:rPr/>
        <w:t> </w:t>
      </w:r>
    </w:p>
    <w:p>
      <w:pPr>
        <w:pStyle w:val="Heading4"/>
        <w:spacing w:before="0" w:after="0"/>
        <w:ind w:left="0" w:right="0" w:hanging="0"/>
        <w:jc w:val="left"/>
        <w:rPr>
          <w:rFonts w:ascii="Times New Roman" w:hAnsi="Times New Roman"/>
          <w:b w:val="false"/>
          <w:sz w:val="17"/>
        </w:rPr>
      </w:pPr>
      <w:r>
        <w:rPr>
          <w:rFonts w:ascii="Times New Roman" w:hAnsi="Times New Roman"/>
          <w:b w:val="false"/>
          <w:sz w:val="17"/>
        </w:rPr>
        <w:t>(ii)                                  each of the Company and its Subsidiaries has complied with all applicable Laws relating to the payment and withholding of Taxes (including withholding of Taxes pursuant to sections 1441 and 1442 of the Code or similar provisions under any foreign Laws) and has, within the time and manner prescribed by Law, withheld and paid over to the proper Tax Authorities all</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30</w:t>
      </w:r>
    </w:p>
    <w:p>
      <w:pPr>
        <w:pStyle w:val="HorizontalLine"/>
        <w:pBdr>
          <w:bottom w:val="single" w:sz="12" w:space="0" w:color="808080"/>
        </w:pBdr>
        <w:spacing w:before="0" w:after="0"/>
        <w:jc w:val="left"/>
        <w:rPr/>
      </w:pPr>
      <w:r>
        <w:rPr/>
      </w:r>
      <w:r>
        <w:br w:type="page"/>
      </w:r>
    </w:p>
    <w:p>
      <w:pPr>
        <w:pStyle w:val="TextBody"/>
        <w:spacing w:before="0" w:after="0"/>
        <w:ind w:left="0" w:right="0" w:hanging="0"/>
        <w:jc w:val="center"/>
        <w:rPr/>
      </w:pPr>
      <w:r>
        <w:rPr/>
        <w:t> </w:t>
      </w:r>
    </w:p>
    <w:p>
      <w:pPr>
        <w:pStyle w:val="Heading4"/>
        <w:spacing w:before="0" w:after="0"/>
        <w:ind w:left="0" w:right="0" w:hanging="0"/>
        <w:jc w:val="left"/>
        <w:rPr>
          <w:rFonts w:ascii="Times New Roman" w:hAnsi="Times New Roman"/>
          <w:b w:val="false"/>
          <w:sz w:val="17"/>
        </w:rPr>
      </w:pPr>
      <w:r>
        <w:rPr>
          <w:rFonts w:ascii="Times New Roman" w:hAnsi="Times New Roman"/>
          <w:b w:val="false"/>
          <w:sz w:val="17"/>
        </w:rPr>
        <w:t>amounts required to be withheld and paid over by it (or such amounts have been withheld and paid over on its behalf);</w:t>
      </w:r>
    </w:p>
    <w:p>
      <w:pPr>
        <w:pStyle w:val="Heading4"/>
        <w:spacing w:before="0" w:after="0"/>
        <w:ind w:left="0" w:right="0" w:hanging="0"/>
        <w:jc w:val="left"/>
        <w:rPr/>
      </w:pPr>
      <w:r>
        <w:rPr/>
        <w:t> </w:t>
      </w:r>
    </w:p>
    <w:p>
      <w:pPr>
        <w:pStyle w:val="Heading4"/>
        <w:spacing w:before="0" w:after="0"/>
        <w:ind w:left="0" w:right="0" w:hanging="0"/>
        <w:jc w:val="left"/>
        <w:rPr>
          <w:rFonts w:ascii="Times New Roman" w:hAnsi="Times New Roman"/>
          <w:b w:val="false"/>
          <w:sz w:val="17"/>
        </w:rPr>
      </w:pPr>
      <w:r>
        <w:rPr>
          <w:rFonts w:ascii="Times New Roman" w:hAnsi="Times New Roman"/>
          <w:b w:val="false"/>
          <w:sz w:val="17"/>
        </w:rPr>
        <w:t>(iii)                               there are no outstanding waivers, extensions or comparable consents regarding the application of the statute of limitations with respect to any Company Tax or Company Tax Return;</w:t>
      </w:r>
    </w:p>
    <w:p>
      <w:pPr>
        <w:pStyle w:val="Heading4"/>
        <w:spacing w:before="0" w:after="0"/>
        <w:ind w:left="0" w:right="0" w:hanging="0"/>
        <w:jc w:val="left"/>
        <w:rPr/>
      </w:pPr>
      <w:r>
        <w:rPr/>
        <w:t> </w:t>
      </w:r>
    </w:p>
    <w:p>
      <w:pPr>
        <w:pStyle w:val="Heading4"/>
        <w:spacing w:before="0" w:after="0"/>
        <w:ind w:left="0" w:right="0" w:hanging="0"/>
        <w:jc w:val="left"/>
        <w:rPr>
          <w:rFonts w:ascii="Times New Roman" w:hAnsi="Times New Roman"/>
          <w:b w:val="false"/>
          <w:sz w:val="17"/>
        </w:rPr>
      </w:pPr>
      <w:r>
        <w:rPr>
          <w:rFonts w:ascii="Times New Roman" w:hAnsi="Times New Roman"/>
          <w:b w:val="false"/>
          <w:sz w:val="17"/>
        </w:rPr>
        <w:t>(iv)                              none of the Company or any of its Subsidiaries has requested an extension of time within which to file any Company Tax Return which Company Tax Return has not since been filed;</w:t>
      </w:r>
    </w:p>
    <w:p>
      <w:pPr>
        <w:pStyle w:val="Heading4"/>
        <w:spacing w:before="0" w:after="0"/>
        <w:ind w:left="0" w:right="0" w:hanging="0"/>
        <w:jc w:val="left"/>
        <w:rPr/>
      </w:pPr>
      <w:r>
        <w:rPr/>
        <w:t> </w:t>
      </w:r>
    </w:p>
    <w:p>
      <w:pPr>
        <w:pStyle w:val="Heading4"/>
        <w:spacing w:before="0" w:after="0"/>
        <w:ind w:left="0" w:right="0" w:hanging="0"/>
        <w:jc w:val="left"/>
        <w:rPr>
          <w:rFonts w:ascii="Times New Roman" w:hAnsi="Times New Roman"/>
          <w:b w:val="false"/>
          <w:sz w:val="17"/>
        </w:rPr>
      </w:pPr>
      <w:r>
        <w:rPr>
          <w:rFonts w:ascii="Times New Roman" w:hAnsi="Times New Roman"/>
          <w:b w:val="false"/>
          <w:sz w:val="17"/>
        </w:rPr>
        <w:t>(v)                                 no written claim has been made by any Tax Authority in a jurisdiction where the Company or any Subsidiary does not file a Company Tax Return that the Company or such Subsidiary is or may be subject to taxation in that jurisdiction;</w:t>
      </w:r>
    </w:p>
    <w:p>
      <w:pPr>
        <w:pStyle w:val="Heading4"/>
        <w:spacing w:before="0" w:after="0"/>
        <w:ind w:left="0" w:right="0" w:hanging="0"/>
        <w:jc w:val="left"/>
        <w:rPr/>
      </w:pPr>
      <w:r>
        <w:rPr/>
        <w:t> </w:t>
      </w:r>
    </w:p>
    <w:p>
      <w:pPr>
        <w:pStyle w:val="Heading4"/>
        <w:spacing w:before="0" w:after="0"/>
        <w:ind w:left="0" w:right="0" w:hanging="0"/>
        <w:jc w:val="left"/>
        <w:rPr>
          <w:rFonts w:ascii="Times New Roman" w:hAnsi="Times New Roman"/>
          <w:b w:val="false"/>
          <w:sz w:val="17"/>
        </w:rPr>
      </w:pPr>
      <w:r>
        <w:rPr>
          <w:rFonts w:ascii="Times New Roman" w:hAnsi="Times New Roman"/>
          <w:b w:val="false"/>
          <w:sz w:val="17"/>
        </w:rPr>
        <w:t>(vi)                              (A) no Tax Proceeding has been formally commenced or is presently pending with regard to any Company Tax or Company Tax Return, and no notification has been received that such a Tax Proceeding is pending or threatened, and (B) no deficiency for any Company Tax has been proposed, asserted or assessed by any Tax Authority that has not been finally resolved and paid in full;</w:t>
      </w:r>
    </w:p>
    <w:p>
      <w:pPr>
        <w:pStyle w:val="Heading4"/>
        <w:spacing w:before="0" w:after="0"/>
        <w:ind w:left="0" w:right="0" w:hanging="0"/>
        <w:jc w:val="left"/>
        <w:rPr/>
      </w:pPr>
      <w:r>
        <w:rPr/>
        <w:t> </w:t>
      </w:r>
    </w:p>
    <w:p>
      <w:pPr>
        <w:pStyle w:val="Heading4"/>
        <w:spacing w:before="0" w:after="0"/>
        <w:ind w:left="0" w:right="0" w:hanging="0"/>
        <w:jc w:val="left"/>
        <w:rPr>
          <w:rFonts w:ascii="Times New Roman" w:hAnsi="Times New Roman"/>
          <w:b w:val="false"/>
          <w:sz w:val="17"/>
        </w:rPr>
      </w:pPr>
      <w:r>
        <w:rPr>
          <w:rFonts w:ascii="Times New Roman" w:hAnsi="Times New Roman"/>
          <w:b w:val="false"/>
          <w:sz w:val="17"/>
        </w:rPr>
        <w:t>(vii)                           none of the Company or any of its Subsidiaries has engaged in any transaction that gives rise to (x) a registration obligation under section 6111 of the Code or the Treasury Regulations thereunder, (y) a list maintenance obligation under section 6112 of the Code or the Treasury Regulations thereunder or (z) a disclosure obligation as a reportable transaction under section 6011 of the Code and the Treasury Regulations thereunder; and</w:t>
      </w:r>
    </w:p>
    <w:p>
      <w:pPr>
        <w:pStyle w:val="Heading4"/>
        <w:spacing w:before="0" w:after="0"/>
        <w:ind w:left="0" w:right="0" w:hanging="0"/>
        <w:jc w:val="left"/>
        <w:rPr/>
      </w:pPr>
      <w:r>
        <w:rPr/>
        <w:t> </w:t>
      </w:r>
    </w:p>
    <w:p>
      <w:pPr>
        <w:pStyle w:val="Heading4"/>
        <w:spacing w:before="0" w:after="0"/>
        <w:ind w:left="0" w:right="0" w:hanging="0"/>
        <w:jc w:val="left"/>
        <w:rPr>
          <w:rFonts w:ascii="Times New Roman" w:hAnsi="Times New Roman"/>
          <w:b w:val="false"/>
          <w:sz w:val="17"/>
        </w:rPr>
      </w:pPr>
      <w:r>
        <w:rPr>
          <w:rFonts w:ascii="Times New Roman" w:hAnsi="Times New Roman"/>
          <w:b w:val="false"/>
          <w:sz w:val="17"/>
        </w:rPr>
        <w:t>(viii)                        all assets of the Company and any of its Subsidiaries have been properly listed and described on the property tax rolls for all periods prior to Closing and no portion of the assets of the Company or any of the Subsidiaries constitutes omitted property for property tax purposes.</w:t>
      </w:r>
    </w:p>
    <w:p>
      <w:pPr>
        <w:pStyle w:val="Heading4"/>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(b)                                 No power of attorney that is currently in force has been granted by the Company or its Subsidiaries with respect to any matter relating to Company Taxes.  None of the Company or its Subsidiaries has changed any method of Tax accounting, received a ruling from any Tax Authority or signed an agreement with any Tax Authority that could, in each case, adversely affect Buyer (or any of its Affiliates) after the Closing.</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(c)                                  There are no Liens for Taxes upon the assets or properties of any of the Company or its Subsidiaries other than Permitted Liens.</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(d)                                 None of the Company or any of its Subsidiaries has been a member of any consolidated group (as defined under Treasury Regulations section 1.1502-1(h)) (or similar group under applicable state, local or foreign Tax Law) other than the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31</w:t>
      </w:r>
    </w:p>
    <w:p>
      <w:pPr>
        <w:pStyle w:val="HorizontalLine"/>
        <w:pBdr>
          <w:bottom w:val="single" w:sz="12" w:space="0" w:color="808080"/>
        </w:pBdr>
        <w:spacing w:before="0" w:after="0"/>
        <w:jc w:val="left"/>
        <w:rPr/>
      </w:pPr>
      <w:r>
        <w:rPr/>
      </w:r>
      <w:r>
        <w:br w:type="page"/>
      </w:r>
    </w:p>
    <w:p>
      <w:pPr>
        <w:pStyle w:val="TextBody"/>
        <w:spacing w:before="0" w:after="0"/>
        <w:ind w:left="0" w:right="0" w:hanging="0"/>
        <w:jc w:val="center"/>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consolidated group (or similar group under applicable state, local or foreign Tax Law) of which Seller Parent is the common parent.</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(e)                                  None of the Company or any of its Subsidiaries has been a distributing corporation or a controlled corporation in a distribution intended to qualify under section 355(a) of the Code.</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(f)                                    (i)  Seller owns one hundred percent (100%) of the issued and outstanding stock of the Company (and after the Conversion Transactions, will own one hundred percent (100%) of the outstanding membership interests of the Company), (ii) the Company owns one hundred percent (100%) of the issued and outstanding stock of each of BGS Corp. and PPEC Corp. (and after the Conversion Transactions, will own one hundred percent (100%) of the outstanding membership interests of each of BGS Corp. and PPEC Corp.), (iii) BGS Corp. owns one hundred percent (100%) of the outstanding membership interests of BGS LLC and, after the BGS LLC Contribution, BGS Corp. and Newco together will own one hundred percent (100%) of the outstanding membership interests in BGS LLC, (iv) PPEC Corp. owns one hundred percent (100%) of the outstanding membership interests of PPEC LLC, (v) as of the Closing Date, BGS Corp. will own one hundred percent (100%) of the issued and outstanding stock of Newco and (vi) no election has been made pursuant to Treasury Regulations section 301.7701-3 to change the U.S. federal income tax entity classification of any of the Company, BGS Corp., PPEC Corp., BGS LLC, or PPEC LLC.</w:t>
      </w:r>
    </w:p>
    <w:p>
      <w:pPr>
        <w:pStyle w:val="Heading3"/>
        <w:spacing w:before="0" w:after="0"/>
        <w:ind w:left="0" w:right="0" w:hanging="0"/>
        <w:jc w:val="left"/>
        <w:rPr/>
      </w:pPr>
      <w:r>
        <w:rPr/>
        <w:t> </w:t>
      </w:r>
    </w:p>
    <w:p>
      <w:pPr>
        <w:pStyle w:val="Heading2"/>
        <w:spacing w:before="0" w:after="0"/>
        <w:ind w:left="0" w:right="0" w:hanging="0"/>
        <w:jc w:val="left"/>
        <w:rPr>
          <w:rFonts w:ascii="Times New Roman" w:hAnsi="Times New Roman"/>
          <w:b w:val="false"/>
          <w:sz w:val="17"/>
        </w:rPr>
      </w:pPr>
      <w:bookmarkStart w:id="144" w:name="Section4_12_233718"/>
      <w:bookmarkEnd w:id="144"/>
      <w:r>
        <w:rPr>
          <w:rFonts w:ascii="Times New Roman" w:hAnsi="Times New Roman"/>
          <w:b w:val="false"/>
          <w:sz w:val="17"/>
        </w:rPr>
        <w:t xml:space="preserve">Section 4.12                                </w:t>
      </w:r>
      <w:r>
        <w:rPr>
          <w:rFonts w:ascii="Times New Roman" w:hAnsi="Times New Roman"/>
          <w:b w:val="false"/>
          <w:sz w:val="17"/>
          <w:u w:val="single"/>
        </w:rPr>
        <w:t>Environmental Matters</w:t>
      </w:r>
      <w:r>
        <w:rPr>
          <w:rFonts w:ascii="Times New Roman" w:hAnsi="Times New Roman"/>
          <w:b w:val="false"/>
          <w:sz w:val="17"/>
        </w:rPr>
        <w:t>.</w:t>
      </w:r>
    </w:p>
    <w:p>
      <w:pPr>
        <w:pStyle w:val="Heading2"/>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 xml:space="preserve">(a)                                  To the Knowledge of Seller, except as set forth in </w:t>
      </w:r>
      <w:r>
        <w:rPr>
          <w:rFonts w:ascii="Times New Roman" w:hAnsi="Times New Roman"/>
          <w:b w:val="false"/>
          <w:sz w:val="17"/>
          <w:u w:val="single"/>
        </w:rPr>
        <w:t>Schedule 4.12(a)</w:t>
      </w:r>
      <w:r>
        <w:rPr>
          <w:rFonts w:ascii="Times New Roman" w:hAnsi="Times New Roman"/>
          <w:b w:val="false"/>
          <w:sz w:val="17"/>
        </w:rPr>
        <w:t xml:space="preserve">, the Company and each of the Subsidiaries are and have been in compliance in all material respects with all Environmental Laws.  Except as set forth in </w:t>
      </w:r>
      <w:r>
        <w:rPr>
          <w:rFonts w:ascii="Times New Roman" w:hAnsi="Times New Roman"/>
          <w:b w:val="false"/>
          <w:sz w:val="17"/>
          <w:u w:val="single"/>
        </w:rPr>
        <w:t>Schedule 4.12(a)</w:t>
      </w:r>
      <w:r>
        <w:rPr>
          <w:rFonts w:ascii="Times New Roman" w:hAnsi="Times New Roman"/>
          <w:b w:val="false"/>
          <w:sz w:val="17"/>
        </w:rPr>
        <w:t>, none of Seller, the Company or any of the Subsidiaries has received any written communication, whether from a Governmental Authority, citizens group, employee or otherwise, alleging that the Company or any of the Subsidiaries is not in such compliance that has not been resolved, and, to the Knowledge of Seller, there are no present or past actions, activities, circumstances conditions, events or incidents that may prevent or interfere with such compliance in the future.</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 xml:space="preserve">(b)                                 Except as set forth in </w:t>
      </w:r>
      <w:r>
        <w:rPr>
          <w:rFonts w:ascii="Times New Roman" w:hAnsi="Times New Roman"/>
          <w:b w:val="false"/>
          <w:sz w:val="17"/>
          <w:u w:val="single"/>
        </w:rPr>
        <w:t>Schedule 4.12(b) </w:t>
      </w:r>
      <w:r>
        <w:rPr>
          <w:rFonts w:ascii="Times New Roman" w:hAnsi="Times New Roman"/>
          <w:b w:val="false"/>
          <w:sz w:val="17"/>
        </w:rPr>
        <w:t>or as would not reasonably be expected to have, individually or in the aggregate, a Material Adverse Effect, (i)(A) each of the Company, BGS Corp. and BGS LLC possesses all Permits necessary under Environmental Laws for it to own its assets and operate its business as currently conducted, (B) BGS LLC has applied for and, where action by a Governmental Authority is required, has received all Permits necessary to enable BGS LLC to commence construction of the BGS Dewpoint Reduction Facility as planned as of the date of this Agreement, the application for which is currently required based on the current construction schedule, and (C) PPEC LLC has applied for and, where action by a Governmental Authority is required, has received all Permits necessary to enable PPEC LLC to commence construction of the Project, the application for which or receipt thereof is currently required based on industry practice or applicable Law as it relates to the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32</w:t>
      </w:r>
    </w:p>
    <w:p>
      <w:pPr>
        <w:pStyle w:val="HorizontalLine"/>
        <w:pBdr>
          <w:bottom w:val="single" w:sz="12" w:space="0" w:color="808080"/>
        </w:pBdr>
        <w:spacing w:before="0" w:after="0"/>
        <w:jc w:val="left"/>
        <w:rPr/>
      </w:pPr>
      <w:r>
        <w:rPr/>
      </w:r>
      <w:r>
        <w:br w:type="page"/>
      </w:r>
    </w:p>
    <w:p>
      <w:pPr>
        <w:pStyle w:val="TextBody"/>
        <w:spacing w:before="0" w:after="0"/>
        <w:ind w:left="0" w:right="0" w:hanging="0"/>
        <w:jc w:val="center"/>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construction schedule as of the date of this Agreement, and (ii) all such Permits are in full force and effect and there are no lawsuits or other proceedings pending or threatened in writing before any Governmental Authority that seek the revocation, cancellation, suspension or adverse modification thereof.</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 xml:space="preserve">(c)                                  Except as set forth in </w:t>
      </w:r>
      <w:r>
        <w:rPr>
          <w:rFonts w:ascii="Times New Roman" w:hAnsi="Times New Roman"/>
          <w:b w:val="false"/>
          <w:sz w:val="17"/>
          <w:u w:val="single"/>
        </w:rPr>
        <w:t>Schedule 4.12(c)</w:t>
      </w:r>
      <w:r>
        <w:rPr>
          <w:rFonts w:ascii="Times New Roman" w:hAnsi="Times New Roman"/>
          <w:b w:val="false"/>
          <w:sz w:val="17"/>
        </w:rPr>
        <w:t>, there are no Environmental Claims or other actions under Environmental Laws before any Governmental Authority pending or, to the Knowledge of Seller, threatened in writing by any Person against the Company, any Subsidiary or any Person whose liability the Company or any Subsidiary has assumed or retained either contractually or by operation of Law that would reasonably be expected to have, individually or in the aggregate, a Material Adverse Effect, and there is no order to or unsatisfied judgment against the Company or any Subsidiary from any Governmental Authority that would reasonably be expected to have, individually or in the aggregate, a Material Adverse Effect.</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 xml:space="preserve">(d)                                 Seller has delivered or otherwise made available for inspection to Buyer or its Affiliates true, complete and correct copies and results of any material reports, studies, analyses, tests or monitoring possessed by Seller, the Company or any Subsidiary or, to the Knowledge of Seller, any of its Affiliates (other than the Company or any Subsidiary) pertaining to Hazardous Materials in, on, beneath or adjacent to any property currently or formerly owned, operated or leased by the Company or any Subsidiary, or regarding the Companys or any Subsidiarys compliance with applicable Environmental Laws and such material reports, studies, analyses, tests or monitoring are set forth in </w:t>
      </w:r>
      <w:r>
        <w:rPr>
          <w:rFonts w:ascii="Times New Roman" w:hAnsi="Times New Roman"/>
          <w:b w:val="false"/>
          <w:sz w:val="17"/>
          <w:u w:val="single"/>
        </w:rPr>
        <w:t>Schedule 4.12(d)</w:t>
      </w:r>
      <w:r>
        <w:rPr>
          <w:rFonts w:ascii="Times New Roman" w:hAnsi="Times New Roman"/>
          <w:b w:val="false"/>
          <w:sz w:val="17"/>
        </w:rPr>
        <w:t>.</w:t>
      </w:r>
    </w:p>
    <w:p>
      <w:pPr>
        <w:pStyle w:val="Heading3"/>
        <w:spacing w:before="0" w:after="0"/>
        <w:ind w:left="0" w:right="0" w:hanging="0"/>
        <w:jc w:val="left"/>
        <w:rPr/>
      </w:pPr>
      <w:r>
        <w:rPr/>
        <w:t> </w:t>
      </w:r>
    </w:p>
    <w:p>
      <w:pPr>
        <w:pStyle w:val="Heading2"/>
        <w:spacing w:before="0" w:after="0"/>
        <w:ind w:left="0" w:right="0" w:hanging="0"/>
        <w:jc w:val="left"/>
        <w:rPr>
          <w:rFonts w:ascii="Times New Roman" w:hAnsi="Times New Roman"/>
          <w:b w:val="false"/>
          <w:sz w:val="17"/>
        </w:rPr>
      </w:pPr>
      <w:bookmarkStart w:id="145" w:name="Section4_13_233723"/>
      <w:bookmarkEnd w:id="145"/>
      <w:r>
        <w:rPr>
          <w:rFonts w:ascii="Times New Roman" w:hAnsi="Times New Roman"/>
          <w:b w:val="false"/>
          <w:sz w:val="17"/>
        </w:rPr>
        <w:t xml:space="preserve">Section 4.13                                </w:t>
      </w:r>
      <w:r>
        <w:rPr>
          <w:rFonts w:ascii="Times New Roman" w:hAnsi="Times New Roman"/>
          <w:b w:val="false"/>
          <w:sz w:val="17"/>
          <w:u w:val="single"/>
        </w:rPr>
        <w:t>Legal Compliance</w:t>
      </w:r>
      <w:r>
        <w:rPr>
          <w:rFonts w:ascii="Times New Roman" w:hAnsi="Times New Roman"/>
          <w:b w:val="false"/>
          <w:sz w:val="17"/>
        </w:rPr>
        <w:t xml:space="preserve">.  Except with respect to matters set forth in </w:t>
      </w:r>
      <w:r>
        <w:rPr>
          <w:rFonts w:ascii="Times New Roman" w:hAnsi="Times New Roman"/>
          <w:b w:val="false"/>
          <w:sz w:val="17"/>
          <w:u w:val="single"/>
        </w:rPr>
        <w:t>Schedule 4.13</w:t>
      </w:r>
      <w:r>
        <w:rPr>
          <w:rFonts w:ascii="Times New Roman" w:hAnsi="Times New Roman"/>
          <w:b w:val="false"/>
          <w:sz w:val="17"/>
        </w:rPr>
        <w:t xml:space="preserve"> (and except for laws relating to Taxes and Environmental Laws, which are addressed in </w:t>
      </w:r>
      <w:r>
        <w:rPr>
          <w:rFonts w:ascii="Times New Roman" w:hAnsi="Times New Roman"/>
          <w:b w:val="false"/>
          <w:sz w:val="17"/>
          <w:u w:val="single"/>
        </w:rPr>
        <w:t>Sections 4.11</w:t>
      </w:r>
      <w:r>
        <w:rPr>
          <w:rFonts w:ascii="Times New Roman" w:hAnsi="Times New Roman"/>
          <w:b w:val="false"/>
          <w:sz w:val="17"/>
        </w:rPr>
        <w:t xml:space="preserve"> and </w:t>
      </w:r>
      <w:r>
        <w:rPr>
          <w:rFonts w:ascii="Times New Roman" w:hAnsi="Times New Roman"/>
          <w:b w:val="false"/>
          <w:sz w:val="17"/>
          <w:u w:val="single"/>
        </w:rPr>
        <w:t>4.12</w:t>
      </w:r>
      <w:r>
        <w:rPr>
          <w:rFonts w:ascii="Times New Roman" w:hAnsi="Times New Roman"/>
          <w:b w:val="false"/>
          <w:sz w:val="17"/>
        </w:rPr>
        <w:t>, respectively), the Company and each Subsidiary is in compliance with all Laws except for noncompliance which would not reasonably be expected to have, individually or in the aggregate, a Material Adverse Effect.</w:t>
      </w:r>
    </w:p>
    <w:p>
      <w:pPr>
        <w:pStyle w:val="Heading2"/>
        <w:spacing w:before="0" w:after="0"/>
        <w:ind w:left="0" w:right="0" w:hanging="0"/>
        <w:jc w:val="left"/>
        <w:rPr/>
      </w:pPr>
      <w:r>
        <w:rPr/>
        <w:t> </w:t>
      </w:r>
    </w:p>
    <w:p>
      <w:pPr>
        <w:pStyle w:val="Heading2"/>
        <w:spacing w:before="0" w:after="0"/>
        <w:ind w:left="0" w:right="0" w:hanging="0"/>
        <w:jc w:val="left"/>
        <w:rPr>
          <w:rFonts w:ascii="Times New Roman" w:hAnsi="Times New Roman"/>
          <w:b w:val="false"/>
          <w:sz w:val="17"/>
        </w:rPr>
      </w:pPr>
      <w:bookmarkStart w:id="146" w:name="Section4_14_233725"/>
      <w:bookmarkEnd w:id="146"/>
      <w:r>
        <w:rPr>
          <w:rFonts w:ascii="Times New Roman" w:hAnsi="Times New Roman"/>
          <w:b w:val="false"/>
          <w:sz w:val="17"/>
        </w:rPr>
        <w:t xml:space="preserve">Section 4.14                                </w:t>
      </w:r>
      <w:r>
        <w:rPr>
          <w:rFonts w:ascii="Times New Roman" w:hAnsi="Times New Roman"/>
          <w:b w:val="false"/>
          <w:sz w:val="17"/>
          <w:u w:val="single"/>
        </w:rPr>
        <w:t>Permits</w:t>
      </w:r>
      <w:r>
        <w:rPr>
          <w:rFonts w:ascii="Times New Roman" w:hAnsi="Times New Roman"/>
          <w:b w:val="false"/>
          <w:sz w:val="17"/>
        </w:rPr>
        <w:t xml:space="preserve">.  Except with respect to Permits necessary under Environmental Laws (as to which certain representations and warranties are made pursuant to </w:t>
      </w:r>
      <w:r>
        <w:rPr>
          <w:rFonts w:ascii="Times New Roman" w:hAnsi="Times New Roman"/>
          <w:b w:val="false"/>
          <w:sz w:val="17"/>
          <w:u w:val="single"/>
        </w:rPr>
        <w:t>Section 4.12</w:t>
      </w:r>
      <w:r>
        <w:rPr>
          <w:rFonts w:ascii="Times New Roman" w:hAnsi="Times New Roman"/>
          <w:b w:val="false"/>
          <w:sz w:val="17"/>
        </w:rPr>
        <w:t xml:space="preserve">) and except as set forth in </w:t>
      </w:r>
      <w:r>
        <w:rPr>
          <w:rFonts w:ascii="Times New Roman" w:hAnsi="Times New Roman"/>
          <w:b w:val="false"/>
          <w:sz w:val="17"/>
          <w:u w:val="single"/>
        </w:rPr>
        <w:t>Schedule 4.14</w:t>
      </w:r>
      <w:r>
        <w:rPr>
          <w:rFonts w:ascii="Times New Roman" w:hAnsi="Times New Roman"/>
          <w:b w:val="false"/>
          <w:sz w:val="17"/>
        </w:rPr>
        <w:t>, (a) the Company and each of the Subsidiaries possesses all Permits necessary (i) in the case of BGS Corp. and BGS LLC, (x) to own its assets and operate its businesses as currently conducted, and (y) with respect to the BGS Dewpoint Reduction Facility, to commence construction of the BGS Dewpoint Reduction Facility as planned as of the date of this Agreement and (ii) in the case of PPEC LLC to commence construction of the Project, the receipt of which is currently required based on the construction schedule as of the date of this Agreement, except where, in each case, the failure to possess such Permits would not reasonably be expected to have, individually or in the aggregate, a Material Adverse Effect, (b) to the Knowledge of Seller, the Permits possessed by the Company and the Subsidiaries are in full force and effect and (c) there is no Litigation pending or, to the Knowledge of Seller, threatened in writing before any Governmental Authority that seeks the revocation, cancellation, suspension or adverse modification of any material Permit of the Company or any Subsidiary, except as would not reasonably be expected to have, individually or in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33</w:t>
      </w:r>
    </w:p>
    <w:p>
      <w:pPr>
        <w:pStyle w:val="HorizontalLine"/>
        <w:pBdr>
          <w:bottom w:val="single" w:sz="12" w:space="0" w:color="808080"/>
        </w:pBdr>
        <w:spacing w:before="0" w:after="0"/>
        <w:jc w:val="left"/>
        <w:rPr/>
      </w:pPr>
      <w:r>
        <w:rPr/>
      </w:r>
      <w:r>
        <w:br w:type="page"/>
      </w:r>
    </w:p>
    <w:p>
      <w:pPr>
        <w:pStyle w:val="Heading2"/>
        <w:spacing w:before="0" w:after="0"/>
        <w:ind w:left="0" w:right="0" w:hanging="0"/>
        <w:jc w:val="left"/>
        <w:rPr/>
      </w:pPr>
      <w:r>
        <w:rPr/>
        <w:t> </w:t>
      </w:r>
    </w:p>
    <w:p>
      <w:pPr>
        <w:pStyle w:val="Heading2"/>
        <w:spacing w:before="0" w:after="0"/>
        <w:ind w:left="0" w:right="0" w:hanging="0"/>
        <w:jc w:val="left"/>
        <w:rPr>
          <w:rFonts w:ascii="Times New Roman" w:hAnsi="Times New Roman"/>
          <w:b w:val="false"/>
          <w:sz w:val="17"/>
        </w:rPr>
      </w:pPr>
      <w:r>
        <w:rPr>
          <w:rFonts w:ascii="Times New Roman" w:hAnsi="Times New Roman"/>
          <w:b w:val="false"/>
          <w:sz w:val="17"/>
        </w:rPr>
        <w:t xml:space="preserve">the aggregate, a Material Adverse Effect.  </w:t>
      </w:r>
      <w:r>
        <w:rPr>
          <w:rFonts w:ascii="Times New Roman" w:hAnsi="Times New Roman"/>
          <w:b w:val="false"/>
          <w:sz w:val="17"/>
          <w:u w:val="single"/>
        </w:rPr>
        <w:t>Schedule 4.14</w:t>
      </w:r>
      <w:r>
        <w:rPr>
          <w:rFonts w:ascii="Times New Roman" w:hAnsi="Times New Roman"/>
          <w:b w:val="false"/>
          <w:sz w:val="17"/>
        </w:rPr>
        <w:t xml:space="preserve"> sets forth a true and complete list of all United States Federal Communications Commission licenses held or used by the Company or any Subsidiary.</w:t>
      </w:r>
    </w:p>
    <w:p>
      <w:pPr>
        <w:pStyle w:val="Heading2"/>
        <w:spacing w:before="0" w:after="0"/>
        <w:ind w:left="0" w:right="0" w:hanging="0"/>
        <w:jc w:val="left"/>
        <w:rPr/>
      </w:pPr>
      <w:r>
        <w:rPr/>
        <w:t> </w:t>
      </w:r>
    </w:p>
    <w:p>
      <w:pPr>
        <w:pStyle w:val="Heading2"/>
        <w:spacing w:before="0" w:after="0"/>
        <w:ind w:left="0" w:right="0" w:hanging="0"/>
        <w:jc w:val="left"/>
        <w:rPr>
          <w:rFonts w:ascii="Times New Roman" w:hAnsi="Times New Roman"/>
          <w:b w:val="false"/>
          <w:sz w:val="17"/>
        </w:rPr>
      </w:pPr>
      <w:bookmarkStart w:id="147" w:name="Section4_15_233729"/>
      <w:bookmarkEnd w:id="147"/>
      <w:r>
        <w:rPr>
          <w:rFonts w:ascii="Times New Roman" w:hAnsi="Times New Roman"/>
          <w:b w:val="false"/>
          <w:sz w:val="17"/>
        </w:rPr>
        <w:t xml:space="preserve">Section 4.15                                </w:t>
      </w:r>
      <w:r>
        <w:rPr>
          <w:rFonts w:ascii="Times New Roman" w:hAnsi="Times New Roman"/>
          <w:b w:val="false"/>
          <w:sz w:val="17"/>
          <w:u w:val="single"/>
        </w:rPr>
        <w:t>Insurance</w:t>
      </w:r>
      <w:r>
        <w:rPr>
          <w:rFonts w:ascii="Times New Roman" w:hAnsi="Times New Roman"/>
          <w:b w:val="false"/>
          <w:sz w:val="17"/>
        </w:rPr>
        <w:t xml:space="preserve">.  </w:t>
      </w:r>
      <w:r>
        <w:rPr>
          <w:rFonts w:ascii="Times New Roman" w:hAnsi="Times New Roman"/>
          <w:b w:val="false"/>
          <w:sz w:val="17"/>
          <w:u w:val="single"/>
        </w:rPr>
        <w:t>Schedule 4.15</w:t>
      </w:r>
      <w:r>
        <w:rPr>
          <w:rFonts w:ascii="Times New Roman" w:hAnsi="Times New Roman"/>
          <w:b w:val="false"/>
          <w:sz w:val="17"/>
        </w:rPr>
        <w:t xml:space="preserve"> sets forth (a) a true and complete list and description of all insurance policies, other insurance arrangements and other contracts or arrangements for the transfer or sharing of insurance risks by the Company or any Subsidiary in force on the date hereof with respect to the business or assets of the Company or any Subsidiary, together with a statement of the aggregate amount of claims paid out and claims pending under each such insurance policy or other arrangement through the date hereof and (b) a description of such risks that the Company or any Subsidiary, or the board of directors (or similar governing body) or officers thereof, has designated as being self-insured.  All such policies are in full force and effect, all premiums due thereon have been paid by the Company or one or more of the Subsidiaries, and the Company and each Subsidiary is otherwise in compliance in all material respects with the terms and provisions of such policies.  Furthermore, (a) neither the Company nor any Subsidiary has received any written notice of cancellation or non-renewal of any such policy or arrangement nor, to the Knowledge of Seller, is the termination of any such policies or arrangements threatened, (b) there is no claim pending under any of such policies or arrangements as to which coverage has been denied or is currently being disputed by the underwriters of such policies or arrangements, (c) neither the Company nor any Subsidiary has received any written notice from any of its insurance carriers stating that any insurance premiums will be increased in the future or that any insurance coverage presently provided for will not be available to the Company or any Subsidiary in the future on substantially the same terms as now in effect and (d) none of such policies or arrangements provides for any retrospective premium adjustment, experienced-based liability or loss sharing arrangement affecting the Company or any Subsidiary.</w:t>
      </w:r>
    </w:p>
    <w:p>
      <w:pPr>
        <w:pStyle w:val="Heading2"/>
        <w:spacing w:before="0" w:after="0"/>
        <w:ind w:left="0" w:right="0" w:hanging="0"/>
        <w:jc w:val="left"/>
        <w:rPr/>
      </w:pPr>
      <w:r>
        <w:rPr/>
        <w:t> </w:t>
      </w:r>
    </w:p>
    <w:p>
      <w:pPr>
        <w:pStyle w:val="Heading2"/>
        <w:spacing w:before="0" w:after="0"/>
        <w:ind w:left="0" w:right="0" w:hanging="0"/>
        <w:jc w:val="left"/>
        <w:rPr>
          <w:rFonts w:ascii="Times New Roman" w:hAnsi="Times New Roman"/>
          <w:b w:val="false"/>
          <w:sz w:val="17"/>
        </w:rPr>
      </w:pPr>
      <w:bookmarkStart w:id="148" w:name="Section4_16_233732"/>
      <w:bookmarkEnd w:id="148"/>
      <w:r>
        <w:rPr>
          <w:rFonts w:ascii="Times New Roman" w:hAnsi="Times New Roman"/>
          <w:b w:val="false"/>
          <w:sz w:val="17"/>
        </w:rPr>
        <w:t xml:space="preserve">Section 4.16                                </w:t>
      </w:r>
      <w:r>
        <w:rPr>
          <w:rFonts w:ascii="Times New Roman" w:hAnsi="Times New Roman"/>
          <w:b w:val="false"/>
          <w:sz w:val="17"/>
          <w:u w:val="single"/>
        </w:rPr>
        <w:t>Labor Relations and Employment Matters</w:t>
      </w:r>
      <w:r>
        <w:rPr>
          <w:rFonts w:ascii="Times New Roman" w:hAnsi="Times New Roman"/>
          <w:b w:val="false"/>
          <w:sz w:val="17"/>
        </w:rPr>
        <w:t xml:space="preserve">.  Except as set forth in </w:t>
      </w:r>
      <w:r>
        <w:rPr>
          <w:rFonts w:ascii="Times New Roman" w:hAnsi="Times New Roman"/>
          <w:b w:val="false"/>
          <w:sz w:val="17"/>
          <w:u w:val="single"/>
        </w:rPr>
        <w:t>Schedule 4.16</w:t>
      </w:r>
      <w:r>
        <w:rPr>
          <w:rFonts w:ascii="Times New Roman" w:hAnsi="Times New Roman"/>
          <w:b w:val="false"/>
          <w:sz w:val="17"/>
        </w:rPr>
        <w:t>, as of the date of this Agreement, none of the Company or any Subsidiary (a) is a party to any collective bargaining agreement or other labor union contract applicable to persons employed by the Company or any Subsidiary and, to the Knowledge of Seller, there are no organizational campaigns, petitions or other unionization activities focusing on persons employed by the Company or any Subsidiary which seeks recognition of a collective bargaining unit, nor have there been any such campaigns, petitions or union organizational activities since the inception of the Company or (b) is currently or since the inception of such Company or Subsidiary has been subject to any strikes, material slowdowns, material grievances or material work stoppages and, to the Knowledge of Seller, no such event is currently threatened between the Company and any group of its respective employees.  The Company and each Subsidiary is in compliance in all material respects with all applicable Laws respecting employment, employment practices, terms, conditions and classifications of employment, employee safety and health, immigration status and wages and hours.  There are no material actions, grievances, investigations, suits, claims or administrative matters pending, or, to the Knowledge of Seller, threatened or reasonably anticipated against the Company or any Subsidiary by any current or former employee or applicant.  Within the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34</w:t>
      </w:r>
    </w:p>
    <w:p>
      <w:pPr>
        <w:pStyle w:val="HorizontalLine"/>
        <w:pBdr>
          <w:bottom w:val="single" w:sz="12" w:space="0" w:color="808080"/>
        </w:pBdr>
        <w:spacing w:before="0" w:after="0"/>
        <w:jc w:val="left"/>
        <w:rPr/>
      </w:pPr>
      <w:r>
        <w:rPr/>
      </w:r>
      <w:r>
        <w:br w:type="page"/>
      </w:r>
    </w:p>
    <w:p>
      <w:pPr>
        <w:pStyle w:val="TextBody"/>
        <w:spacing w:before="0" w:after="0"/>
        <w:ind w:left="0" w:right="0" w:hanging="0"/>
        <w:jc w:val="center"/>
        <w:rPr/>
      </w:pPr>
      <w:r>
        <w:rPr/>
        <w:t> </w:t>
      </w:r>
    </w:p>
    <w:p>
      <w:pPr>
        <w:pStyle w:val="Heading2"/>
        <w:spacing w:before="0" w:after="0"/>
        <w:ind w:left="0" w:right="0" w:hanging="0"/>
        <w:jc w:val="left"/>
        <w:rPr>
          <w:rFonts w:ascii="Times New Roman" w:hAnsi="Times New Roman"/>
          <w:b w:val="false"/>
          <w:sz w:val="17"/>
        </w:rPr>
      </w:pPr>
      <w:r>
        <w:rPr>
          <w:rFonts w:ascii="Times New Roman" w:hAnsi="Times New Roman"/>
          <w:b w:val="false"/>
          <w:sz w:val="17"/>
        </w:rPr>
        <w:t>past year, none of the Company or any Subsidiary has incurred any liability or obligation under the Worker Adjustment and Retraining Notification Act (the </w:t>
      </w:r>
      <w:r>
        <w:rPr>
          <w:rFonts w:ascii="Times New Roman" w:hAnsi="Times New Roman"/>
          <w:b w:val="false"/>
          <w:sz w:val="17"/>
          <w:u w:val="single"/>
        </w:rPr>
        <w:t>WARN Act</w:t>
      </w:r>
      <w:r>
        <w:rPr>
          <w:rFonts w:ascii="Times New Roman" w:hAnsi="Times New Roman"/>
          <w:b w:val="false"/>
          <w:sz w:val="17"/>
        </w:rPr>
        <w:t>) or any similar state or local law.</w:t>
      </w:r>
    </w:p>
    <w:p>
      <w:pPr>
        <w:pStyle w:val="Heading2"/>
        <w:spacing w:before="0" w:after="0"/>
        <w:ind w:left="0" w:right="0" w:hanging="0"/>
        <w:jc w:val="left"/>
        <w:rPr/>
      </w:pPr>
      <w:r>
        <w:rPr/>
        <w:t> </w:t>
      </w:r>
    </w:p>
    <w:p>
      <w:pPr>
        <w:pStyle w:val="Heading2"/>
        <w:spacing w:before="0" w:after="0"/>
        <w:ind w:left="0" w:right="0" w:hanging="0"/>
        <w:jc w:val="left"/>
        <w:rPr>
          <w:rFonts w:ascii="Times New Roman" w:hAnsi="Times New Roman"/>
          <w:b w:val="false"/>
          <w:sz w:val="17"/>
        </w:rPr>
      </w:pPr>
      <w:bookmarkStart w:id="149" w:name="Section4_17_233736"/>
      <w:bookmarkEnd w:id="149"/>
      <w:r>
        <w:rPr>
          <w:rFonts w:ascii="Times New Roman" w:hAnsi="Times New Roman"/>
          <w:b w:val="false"/>
          <w:sz w:val="17"/>
        </w:rPr>
        <w:t xml:space="preserve">Section 4.17                                </w:t>
      </w:r>
      <w:r>
        <w:rPr>
          <w:rFonts w:ascii="Times New Roman" w:hAnsi="Times New Roman"/>
          <w:b w:val="false"/>
          <w:sz w:val="17"/>
          <w:u w:val="single"/>
        </w:rPr>
        <w:t>Assets</w:t>
      </w:r>
      <w:r>
        <w:rPr>
          <w:rFonts w:ascii="Times New Roman" w:hAnsi="Times New Roman"/>
          <w:b w:val="false"/>
          <w:sz w:val="17"/>
        </w:rPr>
        <w:t>.</w:t>
      </w:r>
    </w:p>
    <w:p>
      <w:pPr>
        <w:pStyle w:val="Heading2"/>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(a)                                  The Company or one of the Subsidiaries has (i) good and marketable title to all of the personal property currently used in connection with the business of the Company and the Subsidiaries, or (ii) good and marketable title to the lessee interest in all personal property currently used in connection with the businesses of the Company and the Subsidiaries, in each case, including those assets reflected on the June 30, 2005 consolidated balance sheet of the Company and the Subsidiaries (collectively, the </w:t>
      </w:r>
      <w:r>
        <w:rPr>
          <w:rFonts w:ascii="Times New Roman" w:hAnsi="Times New Roman"/>
          <w:b w:val="false"/>
          <w:sz w:val="17"/>
          <w:u w:val="single"/>
        </w:rPr>
        <w:t>Physical Assets</w:t>
      </w:r>
      <w:r>
        <w:rPr>
          <w:rFonts w:ascii="Times New Roman" w:hAnsi="Times New Roman"/>
          <w:b w:val="false"/>
          <w:sz w:val="17"/>
        </w:rPr>
        <w:t xml:space="preserve">), free and clear of all Liens other than Permitted Liens.  The Company or one of the Subsidiaries has good and marketable title to all of the personal property acquired for use in the BGS Dewpoint Reduction Facility or the Project, free and clear of all Liens other than Permitted Liens (and other than Liens for Taxes, which are addressed exclusively by </w:t>
      </w:r>
      <w:r>
        <w:rPr>
          <w:rFonts w:ascii="Times New Roman" w:hAnsi="Times New Roman"/>
          <w:b w:val="false"/>
          <w:sz w:val="17"/>
          <w:u w:val="single"/>
        </w:rPr>
        <w:t>Section 4.11(c)</w:t>
      </w:r>
      <w:r>
        <w:rPr>
          <w:rFonts w:ascii="Times New Roman" w:hAnsi="Times New Roman"/>
          <w:b w:val="false"/>
          <w:sz w:val="17"/>
        </w:rPr>
        <w:t>).</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(b)                                 With respect to BGS LLC, the Physical Assets (excluding the assets relating to the BGS Dewpoint Reduction Facility) include all equipment, assets, and pipeline, storage and related facilities that are necessary for BGS LLC to conduct its businesses (excluding the BGS Dewpoint Reduction Facility) in substantially the manner it is being conducted on the date of this Agreement.</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(c)                                  The Physical Assets, including the equipment, assets, pipeline, storage and related facilities, owned or used by BGS LLC are, to the Knowledge of Seller, structurally sound with no material Known defects and are in good operating condition subject to ordinary, routine maintenance and repairs.</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(d)                                 As of the Closing Date, none of the Physical Assets will be owned, leased or otherwise held by Seller or any Affiliate of Seller (other than the Company and the Subsidiaries).</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(e)                                  The Physical Assets include all books and Records, including accounting, financial, operations, engineering, environmental and government reports prepared or maintained in connection with the businesses of the Company and the Subsidiaries.</w:t>
      </w:r>
    </w:p>
    <w:p>
      <w:pPr>
        <w:pStyle w:val="Heading3"/>
        <w:spacing w:before="0" w:after="0"/>
        <w:ind w:left="0" w:right="0" w:hanging="0"/>
        <w:jc w:val="left"/>
        <w:rPr/>
      </w:pPr>
      <w:r>
        <w:rPr/>
        <w:t> </w:t>
      </w:r>
    </w:p>
    <w:p>
      <w:pPr>
        <w:pStyle w:val="Heading2"/>
        <w:spacing w:before="0" w:after="0"/>
        <w:ind w:left="0" w:right="0" w:hanging="0"/>
        <w:jc w:val="left"/>
        <w:rPr>
          <w:rFonts w:ascii="Times New Roman" w:hAnsi="Times New Roman"/>
          <w:b w:val="false"/>
          <w:sz w:val="17"/>
        </w:rPr>
      </w:pPr>
      <w:bookmarkStart w:id="150" w:name="Section4_18_233741"/>
      <w:bookmarkEnd w:id="150"/>
      <w:r>
        <w:rPr>
          <w:rFonts w:ascii="Times New Roman" w:hAnsi="Times New Roman"/>
          <w:b w:val="false"/>
          <w:sz w:val="17"/>
        </w:rPr>
        <w:t xml:space="preserve">Section 4.18                                </w:t>
      </w:r>
      <w:r>
        <w:rPr>
          <w:rFonts w:ascii="Times New Roman" w:hAnsi="Times New Roman"/>
          <w:b w:val="false"/>
          <w:sz w:val="17"/>
          <w:u w:val="single"/>
        </w:rPr>
        <w:t>Bank Accounts</w:t>
      </w:r>
      <w:r>
        <w:rPr>
          <w:rFonts w:ascii="Times New Roman" w:hAnsi="Times New Roman"/>
          <w:b w:val="false"/>
          <w:sz w:val="17"/>
        </w:rPr>
        <w:t xml:space="preserve">.  </w:t>
      </w:r>
      <w:r>
        <w:rPr>
          <w:rFonts w:ascii="Times New Roman" w:hAnsi="Times New Roman"/>
          <w:b w:val="false"/>
          <w:sz w:val="17"/>
          <w:u w:val="single"/>
        </w:rPr>
        <w:t>Schedule 4.18</w:t>
      </w:r>
      <w:r>
        <w:rPr>
          <w:rFonts w:ascii="Times New Roman" w:hAnsi="Times New Roman"/>
          <w:b w:val="false"/>
          <w:sz w:val="17"/>
        </w:rPr>
        <w:t xml:space="preserve"> sets forth all bank accounts maintained by the Company and the Subsidiaries and identifies each individual having signatory authority with respect to each such account.</w:t>
      </w:r>
    </w:p>
    <w:p>
      <w:pPr>
        <w:pStyle w:val="Heading2"/>
        <w:spacing w:before="0" w:after="0"/>
        <w:ind w:left="0" w:right="0" w:hanging="0"/>
        <w:jc w:val="left"/>
        <w:rPr/>
      </w:pPr>
      <w:r>
        <w:rPr/>
        <w:t> </w:t>
      </w:r>
    </w:p>
    <w:p>
      <w:pPr>
        <w:pStyle w:val="Heading2"/>
        <w:spacing w:before="0" w:after="0"/>
        <w:ind w:left="0" w:right="0" w:hanging="0"/>
        <w:jc w:val="left"/>
        <w:rPr>
          <w:rFonts w:ascii="Times New Roman" w:hAnsi="Times New Roman"/>
          <w:b w:val="false"/>
          <w:sz w:val="17"/>
        </w:rPr>
      </w:pPr>
      <w:bookmarkStart w:id="151" w:name="Section4_19_233742"/>
      <w:bookmarkEnd w:id="151"/>
      <w:r>
        <w:rPr>
          <w:rFonts w:ascii="Times New Roman" w:hAnsi="Times New Roman"/>
          <w:b w:val="false"/>
          <w:sz w:val="17"/>
        </w:rPr>
        <w:t xml:space="preserve">Section 4.19                                </w:t>
      </w:r>
      <w:r>
        <w:rPr>
          <w:rFonts w:ascii="Times New Roman" w:hAnsi="Times New Roman"/>
          <w:b w:val="false"/>
          <w:sz w:val="17"/>
          <w:u w:val="single"/>
        </w:rPr>
        <w:t>Real Property</w:t>
      </w:r>
      <w:r>
        <w:rPr>
          <w:rFonts w:ascii="Times New Roman" w:hAnsi="Times New Roman"/>
          <w:b w:val="false"/>
          <w:sz w:val="17"/>
        </w:rPr>
        <w:t>.</w:t>
      </w:r>
    </w:p>
    <w:p>
      <w:pPr>
        <w:pStyle w:val="Heading2"/>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 xml:space="preserve">(a)                                  </w:t>
      </w:r>
      <w:r>
        <w:rPr>
          <w:rFonts w:ascii="Times New Roman" w:hAnsi="Times New Roman"/>
          <w:b w:val="false"/>
          <w:sz w:val="17"/>
          <w:u w:val="single"/>
        </w:rPr>
        <w:t>Schedule 4.19(a) </w:t>
      </w:r>
      <w:r>
        <w:rPr>
          <w:rFonts w:ascii="Times New Roman" w:hAnsi="Times New Roman"/>
          <w:b w:val="false"/>
          <w:sz w:val="17"/>
        </w:rPr>
        <w:t>sets forth the address or other description of each parcel of Owned Real Property.  With respect to each parcel of Owned Real Property: (i) the Company or one of the Subsidiaries has good and marketable indefeasible fee simple title, free and clear of all Liens, except for the Permitted Liens (and other than Liens for</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35</w:t>
      </w:r>
    </w:p>
    <w:p>
      <w:pPr>
        <w:pStyle w:val="HorizontalLine"/>
        <w:pBdr>
          <w:bottom w:val="single" w:sz="12" w:space="0" w:color="808080"/>
        </w:pBdr>
        <w:spacing w:before="0" w:after="0"/>
        <w:jc w:val="left"/>
        <w:rPr/>
      </w:pPr>
      <w:r>
        <w:rPr/>
      </w:r>
      <w:r>
        <w:br w:type="page"/>
      </w:r>
    </w:p>
    <w:p>
      <w:pPr>
        <w:pStyle w:val="TextBody"/>
        <w:spacing w:before="0" w:after="0"/>
        <w:ind w:left="0" w:right="0" w:hanging="0"/>
        <w:jc w:val="center"/>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 xml:space="preserve">Taxes, which are addressed exclusively by </w:t>
      </w:r>
      <w:r>
        <w:rPr>
          <w:rFonts w:ascii="Times New Roman" w:hAnsi="Times New Roman"/>
          <w:b w:val="false"/>
          <w:sz w:val="17"/>
          <w:u w:val="single"/>
        </w:rPr>
        <w:t>Section 4.11(c)</w:t>
      </w:r>
      <w:r>
        <w:rPr>
          <w:rFonts w:ascii="Times New Roman" w:hAnsi="Times New Roman"/>
          <w:b w:val="false"/>
          <w:sz w:val="17"/>
        </w:rPr>
        <w:t xml:space="preserve">), including, without limitation, those Liens set forth in </w:t>
      </w:r>
      <w:r>
        <w:rPr>
          <w:rFonts w:ascii="Times New Roman" w:hAnsi="Times New Roman"/>
          <w:b w:val="false"/>
          <w:sz w:val="17"/>
          <w:u w:val="single"/>
        </w:rPr>
        <w:t>Schedule 4.19(a)(i)</w:t>
      </w:r>
      <w:r>
        <w:rPr>
          <w:rFonts w:ascii="Times New Roman" w:hAnsi="Times New Roman"/>
          <w:b w:val="false"/>
          <w:sz w:val="17"/>
        </w:rPr>
        <w:t xml:space="preserve">; (ii) except as set forth in </w:t>
      </w:r>
      <w:r>
        <w:rPr>
          <w:rFonts w:ascii="Times New Roman" w:hAnsi="Times New Roman"/>
          <w:b w:val="false"/>
          <w:sz w:val="17"/>
          <w:u w:val="single"/>
        </w:rPr>
        <w:t>Schedule 4.19(a)(ii) </w:t>
      </w:r>
      <w:r>
        <w:rPr>
          <w:rFonts w:ascii="Times New Roman" w:hAnsi="Times New Roman"/>
          <w:b w:val="false"/>
          <w:sz w:val="17"/>
        </w:rPr>
        <w:t xml:space="preserve">and Permitted Liens, neither the Company nor any Subsidiary has leased or otherwise granted to any Person (other than employees, invitees, affiliates, directors and other Persons who have the temporary right to use such Owned Real Property in the ordinary course of business consistent with past practice) the right to use or occupy such Owned Real Property or any portion thereof; (iii) other than the right of Buyer pursuant to this Agreement and as set forth in </w:t>
      </w:r>
      <w:r>
        <w:rPr>
          <w:rFonts w:ascii="Times New Roman" w:hAnsi="Times New Roman"/>
          <w:b w:val="false"/>
          <w:sz w:val="17"/>
          <w:u w:val="single"/>
        </w:rPr>
        <w:t>Schedule 4.19(a)(iii)</w:t>
      </w:r>
      <w:r>
        <w:rPr>
          <w:rFonts w:ascii="Times New Roman" w:hAnsi="Times New Roman"/>
          <w:b w:val="false"/>
          <w:sz w:val="17"/>
        </w:rPr>
        <w:t>, there are no outstanding options, rights of first offer, rights of reverter or rights of first refusal to purchase such Owned Real Property or any portion thereof or interest therein; and (iv) neither the Company nor any Subsidiary is a party to any agreement or option to purchase any real property or interest therein.</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 xml:space="preserve">(b)                                 To the Knowledge of Seller, </w:t>
      </w:r>
      <w:r>
        <w:rPr>
          <w:rFonts w:ascii="Times New Roman" w:hAnsi="Times New Roman"/>
          <w:b w:val="false"/>
          <w:sz w:val="17"/>
          <w:u w:val="single"/>
        </w:rPr>
        <w:t>Schedule 4.19(b) </w:t>
      </w:r>
      <w:r>
        <w:rPr>
          <w:rFonts w:ascii="Times New Roman" w:hAnsi="Times New Roman"/>
          <w:b w:val="false"/>
          <w:sz w:val="17"/>
        </w:rPr>
        <w:t xml:space="preserve">contains a true and correct list of all of the Leases for Leased Real Property.  Seller has delivered or made available to Buyer or its Affiliates a true and complete copy of each of the Lease documents with respect to the BGS Storage Facility and the Project.  Seller has not received written notice from any Person that the present use of the land, buildings, structures and improvements leased by the Company or any Subsidiary on the Leased Real Property is not in conformity with any applicable Laws, rules, regulations or ordinances, including any applicable zoning laws, ordinances and regulations, except for such non-conformance as would not, individually or in the aggregate, materially interfere with the conduct of the business of the Company as currently conducted and, with respect to PPEC Corp. and PPEC LLC, with the commencement of construction of the Project as contemplated as of the date hereof.  Except as set forth on </w:t>
      </w:r>
      <w:r>
        <w:rPr>
          <w:rFonts w:ascii="Times New Roman" w:hAnsi="Times New Roman"/>
          <w:b w:val="false"/>
          <w:sz w:val="17"/>
          <w:u w:val="single"/>
        </w:rPr>
        <w:t>Schedule 4.19(b)</w:t>
      </w:r>
      <w:r>
        <w:rPr>
          <w:rFonts w:ascii="Times New Roman" w:hAnsi="Times New Roman"/>
          <w:b w:val="false"/>
          <w:sz w:val="17"/>
        </w:rPr>
        <w:t>, (i) all Leases are valid and binding, in full force and effect and enforceable in accordance with their terms, (ii) the Company and each Subsidiary has performed in all material respects all obligations required to be performed by it to date under each Lease to which it is a party and (iii) no event or condition exists or has occurred which violates, results in a breach of any material provision of or the loss of any material benefit under, constitutes a default (or an event which, with notice or lapse of time, or both, would constitute a default) on the part of any party under, results or will result in a right of termination, cancellation or material amendment on the part of any party under, accelerates the performance required on the part of any party by, or results or will result in the creation of any material Lien upon any of the material properties or assets of the Company or any Subsidiary under, any of the terms, conditions or provisions of any Lease, except, in each case, where such failure to be valid and binding or in full force and effect, failure to be enforceable or failure to perform, or such violation, breach or default, would not reasonably be expected to have, individually or in the aggregate, a Material Adverse Effect.</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 xml:space="preserve">(c)                                  Except as set forth in </w:t>
      </w:r>
      <w:r>
        <w:rPr>
          <w:rFonts w:ascii="Times New Roman" w:hAnsi="Times New Roman"/>
          <w:b w:val="false"/>
          <w:sz w:val="17"/>
          <w:u w:val="single"/>
        </w:rPr>
        <w:t>Schedule 4.19(c)</w:t>
      </w:r>
      <w:r>
        <w:rPr>
          <w:rFonts w:ascii="Times New Roman" w:hAnsi="Times New Roman"/>
          <w:b w:val="false"/>
          <w:sz w:val="17"/>
        </w:rPr>
        <w:t>, the Real Property constitutes all real property interests (including subsurface rights, storage rights, mineral rights and rights of way) necessary to conduct the businesses of the Company and its Subsidiaries as currently conducted and, with respect to PPEC Corp. and PPEC LLC, as contemplated to be conducted.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36</w:t>
      </w:r>
    </w:p>
    <w:p>
      <w:pPr>
        <w:pStyle w:val="HorizontalLine"/>
        <w:pBdr>
          <w:bottom w:val="single" w:sz="12" w:space="0" w:color="808080"/>
        </w:pBdr>
        <w:spacing w:before="0" w:after="0"/>
        <w:jc w:val="left"/>
        <w:rPr/>
      </w:pPr>
      <w:r>
        <w:rPr/>
      </w:r>
      <w:r>
        <w:br w:type="page"/>
      </w:r>
    </w:p>
    <w:p>
      <w:pPr>
        <w:pStyle w:val="TextBody"/>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 xml:space="preserve">(d)                                 Except as set forth in </w:t>
      </w:r>
      <w:r>
        <w:rPr>
          <w:rFonts w:ascii="Times New Roman" w:hAnsi="Times New Roman"/>
          <w:b w:val="false"/>
          <w:sz w:val="17"/>
          <w:u w:val="single"/>
        </w:rPr>
        <w:t>Schedule 4.19(d)</w:t>
      </w:r>
      <w:r>
        <w:rPr>
          <w:rFonts w:ascii="Times New Roman" w:hAnsi="Times New Roman"/>
          <w:b w:val="false"/>
          <w:sz w:val="17"/>
        </w:rPr>
        <w:t xml:space="preserve">, the present use of the land, buildings, structures and improvements owned by the Company or any Subsidiary on the Real Property is in conformity with all applicable Laws, rules, regulations and ordinances, including all applicable zoning laws, ordinances and regulations and with all registered deed or other restrictions of record, except for such non-conformance as would not, individually or in the aggregate, materially interfere with the conduct of the business of the Company as currently conducted and, with respect to PPEC Corp. and PPEC LLC, with the commencement of construction of the Project as contemplated as of the date hereof, and Seller does not have Knowledge of any proposed change therein that would so affect any of the Real Property or its use and neither the Company nor any of the Subsidiaries has received any written notice of violation thereof.  Except as set forth in </w:t>
      </w:r>
      <w:r>
        <w:rPr>
          <w:rFonts w:ascii="Times New Roman" w:hAnsi="Times New Roman"/>
          <w:b w:val="false"/>
          <w:sz w:val="17"/>
          <w:u w:val="single"/>
        </w:rPr>
        <w:t>Schedule 4.19(d)</w:t>
      </w:r>
      <w:r>
        <w:rPr>
          <w:rFonts w:ascii="Times New Roman" w:hAnsi="Times New Roman"/>
          <w:b w:val="false"/>
          <w:sz w:val="17"/>
        </w:rPr>
        <w:t>, there exists no conflict or dispute with any regulatory authority relating to any Real Property or the activities thereon.</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 xml:space="preserve">(e)                                  Prior to the date hereof, Seller has delivered to, or made available for review by, Buyer or its Affiliates true and correct copies of all deeds, mortgages, surveys, licenses, title insurance policies, permanent certificates of occupancy, or equivalent documentation with respect to the Owned Real Property and other documents relating to or affecting the title to the Owned Real Property or leasehold interests in the Leased Real Property, and all of the same are identified in </w:t>
      </w:r>
      <w:r>
        <w:rPr>
          <w:rFonts w:ascii="Times New Roman" w:hAnsi="Times New Roman"/>
          <w:b w:val="false"/>
          <w:sz w:val="17"/>
          <w:u w:val="single"/>
        </w:rPr>
        <w:t>Schedule 4.19(a) </w:t>
      </w:r>
      <w:r>
        <w:rPr>
          <w:rFonts w:ascii="Times New Roman" w:hAnsi="Times New Roman"/>
          <w:b w:val="false"/>
          <w:sz w:val="17"/>
        </w:rPr>
        <w:t xml:space="preserve">or </w:t>
      </w:r>
      <w:r>
        <w:rPr>
          <w:rFonts w:ascii="Times New Roman" w:hAnsi="Times New Roman"/>
          <w:b w:val="false"/>
          <w:sz w:val="17"/>
          <w:u w:val="single"/>
        </w:rPr>
        <w:t>(b)</w:t>
      </w:r>
      <w:r>
        <w:rPr>
          <w:rFonts w:ascii="Times New Roman" w:hAnsi="Times New Roman"/>
          <w:b w:val="false"/>
          <w:sz w:val="17"/>
        </w:rPr>
        <w:t xml:space="preserve">, as applicable.  None of the documents identified in </w:t>
      </w:r>
      <w:r>
        <w:rPr>
          <w:rFonts w:ascii="Times New Roman" w:hAnsi="Times New Roman"/>
          <w:b w:val="false"/>
          <w:sz w:val="17"/>
          <w:u w:val="single"/>
        </w:rPr>
        <w:t>Schedule 4.19(a) </w:t>
      </w:r>
      <w:r>
        <w:rPr>
          <w:rFonts w:ascii="Times New Roman" w:hAnsi="Times New Roman"/>
          <w:b w:val="false"/>
          <w:sz w:val="17"/>
        </w:rPr>
        <w:t xml:space="preserve">or </w:t>
      </w:r>
      <w:r>
        <w:rPr>
          <w:rFonts w:ascii="Times New Roman" w:hAnsi="Times New Roman"/>
          <w:b w:val="false"/>
          <w:sz w:val="17"/>
          <w:u w:val="single"/>
        </w:rPr>
        <w:t>(b) </w:t>
      </w:r>
      <w:r>
        <w:rPr>
          <w:rFonts w:ascii="Times New Roman" w:hAnsi="Times New Roman"/>
          <w:b w:val="false"/>
          <w:sz w:val="17"/>
        </w:rPr>
        <w:t>and delivered to Buyer or its Affiliates have been amended or rescinded.</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 xml:space="preserve">(f)                                    Except as set forth in </w:t>
      </w:r>
      <w:r>
        <w:rPr>
          <w:rFonts w:ascii="Times New Roman" w:hAnsi="Times New Roman"/>
          <w:b w:val="false"/>
          <w:sz w:val="17"/>
          <w:u w:val="single"/>
        </w:rPr>
        <w:t>Schedule 4.19(f)</w:t>
      </w:r>
      <w:r>
        <w:rPr>
          <w:rFonts w:ascii="Times New Roman" w:hAnsi="Times New Roman"/>
          <w:b w:val="false"/>
          <w:sz w:val="17"/>
        </w:rPr>
        <w:t>, to Sellers Knowledge, none of Seller or any of its Affiliates has received any written notification from any Governmental Authority that any work is required to be done by Seller and such Affiliates upon the Real Property, where such work remains outstanding and, if unaddressed, would have a material adverse effect on the use of the Real Property as currently owned and operated.</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(g)                                 To Sellers Knowledge, none of Seller or any of its Affiliates has received any written notice from any insurance company or board of fire underwriters of any defects or inadequacies in or on the Real Property or any part or component thereof that would materially and adversely affect the insurability of the Real Property or cause any material increase in the premiums for insurance for the Real Property that have not been cured or repaired.</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 xml:space="preserve">(h)                                 To the Knowledge of Seller, </w:t>
      </w:r>
      <w:r>
        <w:rPr>
          <w:rFonts w:ascii="Times New Roman" w:hAnsi="Times New Roman"/>
          <w:b w:val="false"/>
          <w:sz w:val="17"/>
          <w:u w:val="single"/>
        </w:rPr>
        <w:t>Schedule 4.19(h) </w:t>
      </w:r>
      <w:r>
        <w:rPr>
          <w:rFonts w:ascii="Times New Roman" w:hAnsi="Times New Roman"/>
          <w:b w:val="false"/>
          <w:sz w:val="17"/>
        </w:rPr>
        <w:t>sets forth a true and correct list of all Real Property other than Owned Real Property and Leased Real Property (the </w:t>
      </w:r>
      <w:r>
        <w:rPr>
          <w:rFonts w:ascii="Times New Roman" w:hAnsi="Times New Roman"/>
          <w:b w:val="false"/>
          <w:sz w:val="17"/>
          <w:u w:val="single"/>
        </w:rPr>
        <w:t>Other Real Property</w:t>
      </w:r>
      <w:r>
        <w:rPr>
          <w:rFonts w:ascii="Times New Roman" w:hAnsi="Times New Roman"/>
          <w:b w:val="false"/>
          <w:sz w:val="17"/>
        </w:rPr>
        <w:t>).  Seller has delivered or made available to Buyer or its Affiliates a true and complete copy of each document by which the Other Real Property or rights therein were purchased by or granted to, as the case may be, the Company or its Subsidiaries (the </w:t>
      </w:r>
      <w:r>
        <w:rPr>
          <w:rFonts w:ascii="Times New Roman" w:hAnsi="Times New Roman"/>
          <w:b w:val="false"/>
          <w:sz w:val="17"/>
          <w:u w:val="single"/>
        </w:rPr>
        <w:t>Other Real Property Documents</w:t>
      </w:r>
      <w:r>
        <w:rPr>
          <w:rFonts w:ascii="Times New Roman" w:hAnsi="Times New Roman"/>
          <w:b w:val="false"/>
          <w:sz w:val="17"/>
        </w:rPr>
        <w:t xml:space="preserve">).  Neither the Company nor any Subsidiary has assigned or conveyed to any other Person the interest purchased by or granted to it by any Other Real Property Document.  Except as set forth on </w:t>
      </w:r>
      <w:r>
        <w:rPr>
          <w:rFonts w:ascii="Times New Roman" w:hAnsi="Times New Roman"/>
          <w:b w:val="false"/>
          <w:sz w:val="17"/>
          <w:u w:val="single"/>
        </w:rPr>
        <w:t>Schedule 4.19(h)</w:t>
      </w:r>
      <w:r>
        <w:rPr>
          <w:rFonts w:ascii="Times New Roman" w:hAnsi="Times New Roman"/>
          <w:b w:val="false"/>
          <w:sz w:val="17"/>
        </w:rPr>
        <w:t>, (i) the Company or one of the Subsidiaries has good and valid title to the Other Real Property, except for the Permitted Liens, and (ii) no Person other than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37</w:t>
      </w:r>
    </w:p>
    <w:p>
      <w:pPr>
        <w:pStyle w:val="HorizontalLine"/>
        <w:pBdr>
          <w:bottom w:val="single" w:sz="12" w:space="0" w:color="808080"/>
        </w:pBdr>
        <w:spacing w:before="0" w:after="0"/>
        <w:jc w:val="left"/>
        <w:rPr/>
      </w:pPr>
      <w:r>
        <w:rPr/>
      </w:r>
      <w:r>
        <w:br w:type="page"/>
      </w:r>
    </w:p>
    <w:p>
      <w:pPr>
        <w:pStyle w:val="TextBody"/>
        <w:spacing w:before="0" w:after="0"/>
        <w:ind w:left="0" w:right="0" w:hanging="0"/>
        <w:jc w:val="center"/>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the Company or any Subsidiary has any rights in or to all or any part of the Other Real Property that would materially impede or impair Buyers ability to use any of the Other Real Property as currently used by the Company or any Subsidiary.</w:t>
      </w:r>
    </w:p>
    <w:p>
      <w:pPr>
        <w:pStyle w:val="Heading3"/>
        <w:spacing w:before="0" w:after="0"/>
        <w:ind w:left="0" w:right="0" w:hanging="0"/>
        <w:jc w:val="left"/>
        <w:rPr/>
      </w:pPr>
      <w:r>
        <w:rPr/>
        <w:t> </w:t>
      </w:r>
    </w:p>
    <w:p>
      <w:pPr>
        <w:pStyle w:val="Heading2"/>
        <w:spacing w:before="0" w:after="0"/>
        <w:ind w:left="0" w:right="0" w:hanging="0"/>
        <w:jc w:val="left"/>
        <w:rPr>
          <w:rFonts w:ascii="Times New Roman" w:hAnsi="Times New Roman"/>
          <w:b w:val="false"/>
          <w:sz w:val="17"/>
        </w:rPr>
      </w:pPr>
      <w:bookmarkStart w:id="152" w:name="Section4_20_234128"/>
      <w:bookmarkEnd w:id="152"/>
      <w:r>
        <w:rPr>
          <w:rFonts w:ascii="Times New Roman" w:hAnsi="Times New Roman"/>
          <w:b w:val="false"/>
          <w:sz w:val="17"/>
        </w:rPr>
        <w:t xml:space="preserve">Section 4.20                                </w:t>
      </w:r>
      <w:r>
        <w:rPr>
          <w:rFonts w:ascii="Times New Roman" w:hAnsi="Times New Roman"/>
          <w:b w:val="false"/>
          <w:sz w:val="17"/>
          <w:u w:val="single"/>
        </w:rPr>
        <w:t>No FERC Proceedings; Compliance With Pipeline Safety Act</w:t>
      </w:r>
      <w:r>
        <w:rPr>
          <w:rFonts w:ascii="Times New Roman" w:hAnsi="Times New Roman"/>
          <w:b w:val="false"/>
          <w:sz w:val="17"/>
        </w:rPr>
        <w:t xml:space="preserve">.  There are no pending or, to the Knowledge of Seller, threatened FERC proceedings, actions or orders (including non-public investigations or enforcement actions) involving the Company, any of the Subsidiaries or their respective assets.  Except as set forth in </w:t>
      </w:r>
      <w:r>
        <w:rPr>
          <w:rFonts w:ascii="Times New Roman" w:hAnsi="Times New Roman"/>
          <w:b w:val="false"/>
          <w:sz w:val="17"/>
          <w:u w:val="single"/>
        </w:rPr>
        <w:t>Schedule 4.20</w:t>
      </w:r>
      <w:r>
        <w:rPr>
          <w:rFonts w:ascii="Times New Roman" w:hAnsi="Times New Roman"/>
          <w:b w:val="false"/>
          <w:sz w:val="17"/>
        </w:rPr>
        <w:t>, the Company and each Subsidiary is, and has been, in compliance with all applicable provisions of the Natural Gas Pipeline Safety Act of 1968, as amended, and all rules and regulations promulgated thereunder.</w:t>
      </w:r>
    </w:p>
    <w:p>
      <w:pPr>
        <w:pStyle w:val="Heading2"/>
        <w:spacing w:before="0" w:after="0"/>
        <w:ind w:left="0" w:right="0" w:hanging="0"/>
        <w:jc w:val="left"/>
        <w:rPr/>
      </w:pPr>
      <w:r>
        <w:rPr/>
        <w:t> </w:t>
      </w:r>
    </w:p>
    <w:p>
      <w:pPr>
        <w:pStyle w:val="Heading2"/>
        <w:spacing w:before="0" w:after="0"/>
        <w:ind w:left="0" w:right="0" w:hanging="0"/>
        <w:jc w:val="left"/>
        <w:rPr>
          <w:rFonts w:ascii="Times New Roman" w:hAnsi="Times New Roman"/>
          <w:b w:val="false"/>
          <w:sz w:val="17"/>
        </w:rPr>
      </w:pPr>
      <w:bookmarkStart w:id="153" w:name="Section4_21_234131"/>
      <w:bookmarkEnd w:id="153"/>
      <w:r>
        <w:rPr>
          <w:rFonts w:ascii="Times New Roman" w:hAnsi="Times New Roman"/>
          <w:b w:val="false"/>
          <w:sz w:val="17"/>
        </w:rPr>
        <w:t xml:space="preserve">Section 4.21                                </w:t>
      </w:r>
      <w:r>
        <w:rPr>
          <w:rFonts w:ascii="Times New Roman" w:hAnsi="Times New Roman"/>
          <w:b w:val="false"/>
          <w:sz w:val="17"/>
          <w:u w:val="single"/>
        </w:rPr>
        <w:t>Regulatory Matters</w:t>
      </w:r>
      <w:r>
        <w:rPr>
          <w:rFonts w:ascii="Times New Roman" w:hAnsi="Times New Roman"/>
          <w:b w:val="false"/>
          <w:sz w:val="17"/>
        </w:rPr>
        <w:t>.  Neither the Company nor any Subsidiary is a public utility company or a holding company as such terms are defined in the Public Utility Holding Company Act of 1935, as amended (the </w:t>
      </w:r>
      <w:r>
        <w:rPr>
          <w:rFonts w:ascii="Times New Roman" w:hAnsi="Times New Roman"/>
          <w:b w:val="false"/>
          <w:sz w:val="17"/>
          <w:u w:val="single"/>
        </w:rPr>
        <w:t>1935 Act</w:t>
      </w:r>
      <w:r>
        <w:rPr>
          <w:rFonts w:ascii="Times New Roman" w:hAnsi="Times New Roman"/>
          <w:b w:val="false"/>
          <w:sz w:val="17"/>
        </w:rPr>
        <w:t>).  The Company and each Subsidiary is in compliance with all applicable rules and regulations promulgated by FERC pursuant to the Natural Gas Act of 1938, as amended (the </w:t>
      </w:r>
      <w:r>
        <w:rPr>
          <w:rFonts w:ascii="Times New Roman" w:hAnsi="Times New Roman"/>
          <w:b w:val="false"/>
          <w:sz w:val="17"/>
          <w:u w:val="single"/>
        </w:rPr>
        <w:t>Natural Gas Act</w:t>
      </w:r>
      <w:r>
        <w:rPr>
          <w:rFonts w:ascii="Times New Roman" w:hAnsi="Times New Roman"/>
          <w:b w:val="false"/>
          <w:sz w:val="17"/>
        </w:rPr>
        <w:t>) and the Natural Gas Policy Act of 1978, as amended (the </w:t>
      </w:r>
      <w:r>
        <w:rPr>
          <w:rFonts w:ascii="Times New Roman" w:hAnsi="Times New Roman"/>
          <w:b w:val="false"/>
          <w:sz w:val="17"/>
          <w:u w:val="single"/>
        </w:rPr>
        <w:t>NGPA</w:t>
      </w:r>
      <w:r>
        <w:rPr>
          <w:rFonts w:ascii="Times New Roman" w:hAnsi="Times New Roman"/>
          <w:b w:val="false"/>
          <w:sz w:val="17"/>
        </w:rPr>
        <w:t>) and with all orders, certificates, authorizations and permits applicable to the Subsidiaries issued by FERC, including those that pertain to all terms and conditions and rates charged for services, except as would not reasonably be expected to have, individually or in the aggregate, a Material Adverse Effect.  No consent, approval, authorization or certificate of, or notice to (a) the United States Securities and Exchange Commission under the 1935 Act or (b) FERC under the Natural Gas Act, the NGPA, or the Federal Power Act is required in order for Seller to execute, deliver and perform this Agreement or in advance of the consummation of the transactions contemplated hereby.</w:t>
      </w:r>
    </w:p>
    <w:p>
      <w:pPr>
        <w:pStyle w:val="Heading2"/>
        <w:spacing w:before="0" w:after="0"/>
        <w:ind w:left="0" w:right="0" w:hanging="0"/>
        <w:jc w:val="left"/>
        <w:rPr/>
      </w:pPr>
      <w:r>
        <w:rPr/>
        <w:t> </w:t>
      </w:r>
    </w:p>
    <w:p>
      <w:pPr>
        <w:pStyle w:val="Heading2"/>
        <w:spacing w:before="0" w:after="0"/>
        <w:ind w:left="0" w:right="0" w:hanging="0"/>
        <w:jc w:val="left"/>
        <w:rPr>
          <w:rFonts w:ascii="Times New Roman" w:hAnsi="Times New Roman"/>
          <w:b w:val="false"/>
          <w:sz w:val="17"/>
        </w:rPr>
      </w:pPr>
      <w:bookmarkStart w:id="154" w:name="Section4_22_234133"/>
      <w:bookmarkEnd w:id="154"/>
      <w:r>
        <w:rPr>
          <w:rFonts w:ascii="Times New Roman" w:hAnsi="Times New Roman"/>
          <w:b w:val="false"/>
          <w:sz w:val="17"/>
        </w:rPr>
        <w:t xml:space="preserve">Section 4.22                                </w:t>
      </w:r>
      <w:r>
        <w:rPr>
          <w:rFonts w:ascii="Times New Roman" w:hAnsi="Times New Roman"/>
          <w:b w:val="false"/>
          <w:sz w:val="17"/>
          <w:u w:val="single"/>
        </w:rPr>
        <w:t>Transportation and Storage Contracts</w:t>
      </w:r>
      <w:r>
        <w:rPr>
          <w:rFonts w:ascii="Times New Roman" w:hAnsi="Times New Roman"/>
          <w:b w:val="false"/>
          <w:sz w:val="17"/>
        </w:rPr>
        <w:t>.  There are no currently effective Contracts pursuant to which BGS LLC or PPEC LLC is legally obligated to transport or store natural gas owned by a third party or is legally obligated to undertake any such transportation or storage, other than those Contracts entered into pursuant to tariffs or agreements approved or authorized by or on file with the FERC in the case of PPEC LLC and the Michigan Public Service Commission in the case of BGS LLC.</w:t>
      </w:r>
    </w:p>
    <w:p>
      <w:pPr>
        <w:pStyle w:val="Heading2"/>
        <w:spacing w:before="0" w:after="0"/>
        <w:ind w:left="0" w:right="0" w:hanging="0"/>
        <w:jc w:val="left"/>
        <w:rPr/>
      </w:pPr>
      <w:r>
        <w:rPr/>
        <w:t> </w:t>
      </w:r>
    </w:p>
    <w:p>
      <w:pPr>
        <w:pStyle w:val="Heading2"/>
        <w:spacing w:before="0" w:after="0"/>
        <w:ind w:left="0" w:right="0" w:hanging="0"/>
        <w:jc w:val="left"/>
        <w:rPr>
          <w:rFonts w:ascii="Times New Roman" w:hAnsi="Times New Roman"/>
          <w:b w:val="false"/>
          <w:sz w:val="17"/>
        </w:rPr>
      </w:pPr>
      <w:bookmarkStart w:id="155" w:name="Section4_23_234136"/>
      <w:bookmarkEnd w:id="155"/>
      <w:r>
        <w:rPr>
          <w:rFonts w:ascii="Times New Roman" w:hAnsi="Times New Roman"/>
          <w:b w:val="false"/>
          <w:sz w:val="17"/>
        </w:rPr>
        <w:t xml:space="preserve">Section 4.23                                </w:t>
      </w:r>
      <w:r>
        <w:rPr>
          <w:rFonts w:ascii="Times New Roman" w:hAnsi="Times New Roman"/>
          <w:b w:val="false"/>
          <w:sz w:val="17"/>
          <w:u w:val="single"/>
        </w:rPr>
        <w:t>Effective and Pending Tariffs and Other Filings</w:t>
      </w:r>
      <w:r>
        <w:rPr>
          <w:rFonts w:ascii="Times New Roman" w:hAnsi="Times New Roman"/>
          <w:b w:val="false"/>
          <w:sz w:val="17"/>
        </w:rPr>
        <w:t xml:space="preserve">.  </w:t>
      </w:r>
      <w:r>
        <w:rPr>
          <w:rFonts w:ascii="Times New Roman" w:hAnsi="Times New Roman"/>
          <w:b w:val="false"/>
          <w:sz w:val="17"/>
          <w:u w:val="single"/>
        </w:rPr>
        <w:t>Schedule 4.23</w:t>
      </w:r>
      <w:r>
        <w:rPr>
          <w:rFonts w:ascii="Times New Roman" w:hAnsi="Times New Roman"/>
          <w:b w:val="false"/>
          <w:sz w:val="17"/>
        </w:rPr>
        <w:t xml:space="preserve"> lists (i) all of the currently effective tariffs authorized and approved or on file as of the date of this Agreement applicable to PPEC LLC and BGS LLC and (ii) all of the currently pending rates, certificates, applications, Permits, or other filings made with any Governmental Authority prior to the date of this Agreement by either BGS LLC or PPEC LLC, including the status of each such filing as of the date of this Agreement.</w:t>
      </w:r>
    </w:p>
    <w:p>
      <w:pPr>
        <w:pStyle w:val="Heading2"/>
        <w:spacing w:before="0" w:after="0"/>
        <w:ind w:left="0" w:right="0" w:hanging="0"/>
        <w:jc w:val="left"/>
        <w:rPr/>
      </w:pPr>
      <w:r>
        <w:rPr/>
        <w:t> </w:t>
      </w:r>
    </w:p>
    <w:p>
      <w:pPr>
        <w:pStyle w:val="Heading2"/>
        <w:spacing w:before="0" w:after="0"/>
        <w:ind w:left="0" w:right="0" w:hanging="0"/>
        <w:jc w:val="left"/>
        <w:rPr>
          <w:rFonts w:ascii="Times New Roman" w:hAnsi="Times New Roman"/>
          <w:b w:val="false"/>
          <w:sz w:val="17"/>
        </w:rPr>
      </w:pPr>
      <w:bookmarkStart w:id="156" w:name="Section4_24_234138"/>
      <w:bookmarkEnd w:id="156"/>
      <w:r>
        <w:rPr>
          <w:rFonts w:ascii="Times New Roman" w:hAnsi="Times New Roman"/>
          <w:b w:val="false"/>
          <w:sz w:val="17"/>
        </w:rPr>
        <w:t xml:space="preserve">Section 4.24                                </w:t>
      </w:r>
      <w:r>
        <w:rPr>
          <w:rFonts w:ascii="Times New Roman" w:hAnsi="Times New Roman"/>
          <w:b w:val="false"/>
          <w:sz w:val="17"/>
          <w:u w:val="single"/>
        </w:rPr>
        <w:t>Personnel</w:t>
      </w:r>
      <w:r>
        <w:rPr>
          <w:rFonts w:ascii="Times New Roman" w:hAnsi="Times New Roman"/>
          <w:b w:val="false"/>
          <w:sz w:val="17"/>
        </w:rPr>
        <w:t>.  Seller and the Company have provided to representatives of Buyer a true and complete list of (i) the names and current salaries of all Continuing Employees, and the family relationships, if any, among such persons and (ii) the wage rates for non-salaried and non-executive salaried Continuing Employees by classification.  To the Knowledge of Seller (without the inquiry of any Person required),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38</w:t>
      </w:r>
    </w:p>
    <w:p>
      <w:pPr>
        <w:pStyle w:val="HorizontalLine"/>
        <w:pBdr>
          <w:bottom w:val="single" w:sz="12" w:space="0" w:color="808080"/>
        </w:pBdr>
        <w:spacing w:before="0" w:after="0"/>
        <w:jc w:val="left"/>
        <w:rPr/>
      </w:pPr>
      <w:r>
        <w:rPr/>
      </w:r>
      <w:r>
        <w:br w:type="page"/>
      </w:r>
    </w:p>
    <w:p>
      <w:pPr>
        <w:pStyle w:val="TextBody"/>
        <w:spacing w:before="0" w:after="0"/>
        <w:ind w:left="0" w:right="0" w:hanging="0"/>
        <w:jc w:val="center"/>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as of the date of this Agreement no Continuing Employees have any plans to terminate employment with the Company or any Subsidiary as a result of this Agreement or the transactions contemplated hereunder or otherwise.</w:t>
      </w:r>
    </w:p>
    <w:p>
      <w:pPr>
        <w:pStyle w:val="Heading2"/>
        <w:spacing w:before="0" w:after="0"/>
        <w:ind w:left="0" w:right="0" w:hanging="0"/>
        <w:jc w:val="left"/>
        <w:rPr/>
      </w:pPr>
      <w:r>
        <w:rPr/>
        <w:t> </w:t>
      </w:r>
    </w:p>
    <w:p>
      <w:pPr>
        <w:pStyle w:val="Heading2"/>
        <w:spacing w:before="0" w:after="0"/>
        <w:ind w:left="0" w:right="0" w:hanging="0"/>
        <w:jc w:val="left"/>
        <w:rPr>
          <w:rFonts w:ascii="Times New Roman" w:hAnsi="Times New Roman"/>
          <w:b w:val="false"/>
          <w:sz w:val="17"/>
        </w:rPr>
      </w:pPr>
      <w:bookmarkStart w:id="157" w:name="Section4_25_234143"/>
      <w:bookmarkEnd w:id="157"/>
      <w:r>
        <w:rPr>
          <w:rFonts w:ascii="Times New Roman" w:hAnsi="Times New Roman"/>
          <w:b w:val="false"/>
          <w:sz w:val="17"/>
        </w:rPr>
        <w:t xml:space="preserve">Section 4.25                                </w:t>
      </w:r>
      <w:r>
        <w:rPr>
          <w:rFonts w:ascii="Times New Roman" w:hAnsi="Times New Roman"/>
          <w:b w:val="false"/>
          <w:sz w:val="17"/>
          <w:u w:val="single"/>
        </w:rPr>
        <w:t>Books and Records</w:t>
      </w:r>
      <w:r>
        <w:rPr>
          <w:rFonts w:ascii="Times New Roman" w:hAnsi="Times New Roman"/>
          <w:b w:val="false"/>
          <w:sz w:val="17"/>
        </w:rPr>
        <w:t>.  The books of account, minute books, stock record books and other records of the Company and each Subsidiary are complete and correct in all material respects and have been maintained in accordance with practices which are generally applicable to Seller and its subsidiaries.</w:t>
      </w:r>
    </w:p>
    <w:p>
      <w:pPr>
        <w:pStyle w:val="Heading2"/>
        <w:spacing w:before="0" w:after="0"/>
        <w:ind w:left="0" w:right="0" w:hanging="0"/>
        <w:jc w:val="left"/>
        <w:rPr/>
      </w:pPr>
      <w:r>
        <w:rPr/>
        <w:t> </w:t>
      </w:r>
    </w:p>
    <w:p>
      <w:pPr>
        <w:pStyle w:val="Heading2"/>
        <w:spacing w:before="0" w:after="0"/>
        <w:ind w:left="0" w:right="0" w:hanging="0"/>
        <w:jc w:val="left"/>
        <w:rPr>
          <w:rFonts w:ascii="Times New Roman" w:hAnsi="Times New Roman"/>
          <w:b w:val="false"/>
          <w:sz w:val="17"/>
        </w:rPr>
      </w:pPr>
      <w:bookmarkStart w:id="158" w:name="Section4_26_234150"/>
      <w:bookmarkEnd w:id="158"/>
      <w:r>
        <w:rPr>
          <w:rFonts w:ascii="Times New Roman" w:hAnsi="Times New Roman"/>
          <w:b w:val="false"/>
          <w:sz w:val="17"/>
        </w:rPr>
        <w:t xml:space="preserve">Section 4.26                                </w:t>
      </w:r>
      <w:r>
        <w:rPr>
          <w:rFonts w:ascii="Times New Roman" w:hAnsi="Times New Roman"/>
          <w:b w:val="false"/>
          <w:sz w:val="17"/>
          <w:u w:val="single"/>
        </w:rPr>
        <w:t>Financial Derivatives/Hedging Agreements</w:t>
      </w:r>
      <w:r>
        <w:rPr>
          <w:rFonts w:ascii="Times New Roman" w:hAnsi="Times New Roman"/>
          <w:b w:val="false"/>
          <w:sz w:val="17"/>
        </w:rPr>
        <w:t xml:space="preserve">.  Except as set forth in </w:t>
      </w:r>
      <w:r>
        <w:rPr>
          <w:rFonts w:ascii="Times New Roman" w:hAnsi="Times New Roman"/>
          <w:b w:val="false"/>
          <w:sz w:val="17"/>
          <w:u w:val="single"/>
        </w:rPr>
        <w:t>Schedule 4.26</w:t>
      </w:r>
      <w:r>
        <w:rPr>
          <w:rFonts w:ascii="Times New Roman" w:hAnsi="Times New Roman"/>
          <w:b w:val="false"/>
          <w:sz w:val="17"/>
        </w:rPr>
        <w:t>, neither the Company nor any Subsidiary is party to or is otherwise bound by any Financial Derivative/Hedging Agreement.</w:t>
      </w:r>
    </w:p>
    <w:p>
      <w:pPr>
        <w:pStyle w:val="Heading2"/>
        <w:spacing w:before="0" w:after="0"/>
        <w:ind w:left="0" w:right="0" w:hanging="0"/>
        <w:jc w:val="left"/>
        <w:rPr/>
      </w:pPr>
      <w:r>
        <w:rPr/>
        <w:t> </w:t>
      </w:r>
    </w:p>
    <w:p>
      <w:pPr>
        <w:pStyle w:val="Heading2"/>
        <w:spacing w:before="0" w:after="0"/>
        <w:ind w:left="0" w:right="0" w:hanging="0"/>
        <w:jc w:val="left"/>
        <w:rPr>
          <w:rFonts w:ascii="Times New Roman" w:hAnsi="Times New Roman"/>
          <w:b w:val="false"/>
          <w:sz w:val="17"/>
        </w:rPr>
      </w:pPr>
      <w:bookmarkStart w:id="159" w:name="Section4_27_234152"/>
      <w:bookmarkEnd w:id="159"/>
      <w:r>
        <w:rPr>
          <w:rFonts w:ascii="Times New Roman" w:hAnsi="Times New Roman"/>
          <w:b w:val="false"/>
          <w:sz w:val="17"/>
        </w:rPr>
        <w:t xml:space="preserve">Section 4.27                                </w:t>
      </w:r>
      <w:r>
        <w:rPr>
          <w:rFonts w:ascii="Times New Roman" w:hAnsi="Times New Roman"/>
          <w:b w:val="false"/>
          <w:sz w:val="17"/>
          <w:u w:val="single"/>
        </w:rPr>
        <w:t>Bluewater PSA</w:t>
      </w:r>
      <w:r>
        <w:rPr>
          <w:rFonts w:ascii="Times New Roman" w:hAnsi="Times New Roman"/>
          <w:b w:val="false"/>
          <w:sz w:val="17"/>
        </w:rPr>
        <w:t>.</w:t>
      </w:r>
    </w:p>
    <w:p>
      <w:pPr>
        <w:pStyle w:val="TextBody"/>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(a)                                  The Bluewater PSA has not been amended or modified and contains the entire agreement among BGS LLC, Columbus III Production, L.C. and Stephen D. Beauchamp with respect to the subject matter addressed therein including the terms upon which the Installment Payments are required to be made.</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(b)                                 With respect to the Bluewater PSA:</w:t>
      </w:r>
    </w:p>
    <w:p>
      <w:pPr>
        <w:pStyle w:val="TextBody"/>
        <w:spacing w:before="0" w:after="0"/>
        <w:ind w:left="0" w:right="0" w:hanging="0"/>
        <w:jc w:val="left"/>
        <w:rPr/>
      </w:pPr>
      <w:r>
        <w:rPr/>
        <w:t> </w:t>
      </w:r>
    </w:p>
    <w:p>
      <w:pPr>
        <w:pStyle w:val="Heading4"/>
        <w:spacing w:before="0" w:after="0"/>
        <w:ind w:left="0" w:right="0" w:hanging="0"/>
        <w:jc w:val="left"/>
        <w:rPr>
          <w:rFonts w:ascii="Times New Roman" w:hAnsi="Times New Roman"/>
          <w:b w:val="false"/>
          <w:sz w:val="17"/>
        </w:rPr>
      </w:pPr>
      <w:r>
        <w:rPr>
          <w:rFonts w:ascii="Times New Roman" w:hAnsi="Times New Roman"/>
          <w:b w:val="false"/>
          <w:sz w:val="17"/>
        </w:rPr>
        <w:t>(i)                                     Operational Completion of the Project occurred in May of 2004.</w:t>
      </w:r>
    </w:p>
    <w:p>
      <w:pPr>
        <w:pStyle w:val="Heading4"/>
        <w:spacing w:before="0" w:after="0"/>
        <w:ind w:left="0" w:right="0" w:hanging="0"/>
        <w:jc w:val="left"/>
        <w:rPr/>
      </w:pPr>
      <w:r>
        <w:rPr/>
        <w:t> </w:t>
      </w:r>
    </w:p>
    <w:p>
      <w:pPr>
        <w:pStyle w:val="Heading4"/>
        <w:spacing w:before="0" w:after="0"/>
        <w:ind w:left="0" w:right="0" w:hanging="0"/>
        <w:jc w:val="left"/>
        <w:rPr>
          <w:rFonts w:ascii="Times New Roman" w:hAnsi="Times New Roman"/>
          <w:b w:val="false"/>
          <w:sz w:val="17"/>
        </w:rPr>
      </w:pPr>
      <w:r>
        <w:rPr>
          <w:rFonts w:ascii="Times New Roman" w:hAnsi="Times New Roman"/>
          <w:b w:val="false"/>
          <w:sz w:val="17"/>
        </w:rPr>
        <w:t>(ii)                                  Investment Recoupment has not occurred.</w:t>
      </w:r>
    </w:p>
    <w:p>
      <w:pPr>
        <w:pStyle w:val="Heading4"/>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(c)                                  As soon as is reasonably practicable after the Closing Date, Seller shall provide Buyer with a calculation of the Installment Payments and Investment Recoupment as of the Closing Date.</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 xml:space="preserve">(d)                                 The calculation of the Installment Payments and the Investment Recoupment as of December 31, 2004 are set forth in </w:t>
      </w:r>
      <w:r>
        <w:rPr>
          <w:rFonts w:ascii="Times New Roman" w:hAnsi="Times New Roman"/>
          <w:b w:val="false"/>
          <w:sz w:val="17"/>
          <w:u w:val="single"/>
        </w:rPr>
        <w:t>Schedule 4.27</w:t>
      </w:r>
      <w:r>
        <w:rPr>
          <w:rFonts w:ascii="Times New Roman" w:hAnsi="Times New Roman"/>
          <w:b w:val="false"/>
          <w:sz w:val="17"/>
        </w:rPr>
        <w:t xml:space="preserve">.  All terms used in this </w:t>
      </w:r>
      <w:r>
        <w:rPr>
          <w:rFonts w:ascii="Times New Roman" w:hAnsi="Times New Roman"/>
          <w:b w:val="false"/>
          <w:sz w:val="17"/>
          <w:u w:val="single"/>
        </w:rPr>
        <w:t>Section 4.27</w:t>
      </w:r>
      <w:r>
        <w:rPr>
          <w:rFonts w:ascii="Times New Roman" w:hAnsi="Times New Roman"/>
          <w:b w:val="false"/>
          <w:sz w:val="17"/>
        </w:rPr>
        <w:t xml:space="preserve"> but not otherwise defined in this Agreement shall have the meanings ascribed to such terms in the Bluewater PSA.</w:t>
      </w:r>
    </w:p>
    <w:p>
      <w:pPr>
        <w:pStyle w:val="Heading3"/>
        <w:spacing w:before="0" w:after="0"/>
        <w:ind w:left="0" w:right="0" w:hanging="0"/>
        <w:jc w:val="left"/>
        <w:rPr/>
      </w:pPr>
      <w:r>
        <w:rPr/>
        <w:t> </w:t>
      </w:r>
    </w:p>
    <w:p>
      <w:pPr>
        <w:pStyle w:val="Heading2"/>
        <w:spacing w:before="0" w:after="0"/>
        <w:ind w:left="0" w:right="0" w:hanging="0"/>
        <w:jc w:val="left"/>
        <w:rPr>
          <w:rFonts w:ascii="Times New Roman" w:hAnsi="Times New Roman"/>
          <w:b w:val="false"/>
          <w:sz w:val="17"/>
        </w:rPr>
      </w:pPr>
      <w:bookmarkStart w:id="160" w:name="Section4_28_234157"/>
      <w:bookmarkEnd w:id="160"/>
      <w:r>
        <w:rPr>
          <w:rFonts w:ascii="Times New Roman" w:hAnsi="Times New Roman"/>
          <w:b w:val="false"/>
          <w:sz w:val="17"/>
        </w:rPr>
        <w:t xml:space="preserve">Section 4.28                                </w:t>
      </w:r>
      <w:r>
        <w:rPr>
          <w:rFonts w:ascii="Times New Roman" w:hAnsi="Times New Roman"/>
          <w:b w:val="false"/>
          <w:sz w:val="17"/>
          <w:u w:val="single"/>
        </w:rPr>
        <w:t>No Other Representations or Warranties</w:t>
      </w:r>
      <w:r>
        <w:rPr>
          <w:rFonts w:ascii="Times New Roman" w:hAnsi="Times New Roman"/>
          <w:b w:val="false"/>
          <w:sz w:val="17"/>
        </w:rPr>
        <w:t>.</w:t>
      </w:r>
    </w:p>
    <w:p>
      <w:pPr>
        <w:pStyle w:val="TextBody"/>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(a)                                  Notwithstanding anything to the contrary herein, it is the explicit intent of each Party, and the Parties hereby agree, that none of Seller or any of its Affiliates or Representatives has made or is making any representation or warranty whatsoever, express or implied, written or oral, including any implied representation or warranty as to the condition, merchantability, usage, suitability or fitness for any particular purpose with respect to the Membership Interests, the Company and the Subsidiaries, their assets, or any part thereof, except those representations and warranties contained in this Agreement, and without in any way limiting the foregoing, Seller makes no representation or warranty to Buyer with respect to any financial projections,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39</w:t>
      </w:r>
    </w:p>
    <w:p>
      <w:pPr>
        <w:pStyle w:val="HorizontalLine"/>
        <w:pBdr>
          <w:bottom w:val="single" w:sz="12" w:space="0" w:color="808080"/>
        </w:pBdr>
        <w:spacing w:before="0" w:after="0"/>
        <w:jc w:val="left"/>
        <w:rPr/>
      </w:pPr>
      <w:r>
        <w:rPr/>
      </w:r>
      <w:r>
        <w:br w:type="page"/>
      </w:r>
    </w:p>
    <w:p>
      <w:pPr>
        <w:pStyle w:val="TextBody"/>
        <w:spacing w:before="0" w:after="0"/>
        <w:ind w:left="0" w:right="0" w:hanging="0"/>
        <w:jc w:val="center"/>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forecasts, budgets or the adequacy of future capital expenditures relating to the Company or the Subsidiaries or the viability of the Project as a storage business.</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(b)                                 EXCEPT AS OTHERWISE EXPRESSLY PROVIDED HEREIN, SELLERS INTEREST IN THE COMPANY AND ITS ASSETS IS BEING TRANSFERRED THROUGH THE SALE OF THE MEMBERSHIP INTERESTS AS IS, WHERE IS, WITH ALL FAULTS, AND SELLER EXPRESSLY DISCLAIMS ANY REPRESENTATIONS OR WARRANTIES OF ANY KIND OR NATURE, EXPRESS OR IMPLIED, AS TO THE CONDITION, VALUE OR QUALITY OF THE COMPANY AND ITS ASSETS OR THE PROSPECTS (FINANCIAL OR OTHERWISE), RISKS AND OTHER INCIDENTS OF THE COMPANY AND ITS ASSETS.</w:t>
      </w:r>
    </w:p>
    <w:p>
      <w:pPr>
        <w:pStyle w:val="Heading3"/>
        <w:spacing w:before="0" w:after="0"/>
        <w:ind w:left="0" w:right="0" w:hanging="0"/>
        <w:jc w:val="left"/>
        <w:rPr/>
      </w:pPr>
      <w:r>
        <w:rPr/>
        <w:t> </w:t>
      </w:r>
    </w:p>
    <w:p>
      <w:pPr>
        <w:pStyle w:val="Heading2"/>
        <w:spacing w:before="0" w:after="0"/>
        <w:ind w:left="0" w:right="0" w:hanging="0"/>
        <w:jc w:val="left"/>
        <w:rPr>
          <w:rFonts w:ascii="Times New Roman" w:hAnsi="Times New Roman"/>
          <w:b w:val="false"/>
          <w:sz w:val="17"/>
        </w:rPr>
      </w:pPr>
      <w:bookmarkStart w:id="161" w:name="Section4_29_234200"/>
      <w:bookmarkEnd w:id="161"/>
      <w:r>
        <w:rPr>
          <w:rFonts w:ascii="Times New Roman" w:hAnsi="Times New Roman"/>
          <w:b w:val="false"/>
          <w:sz w:val="17"/>
        </w:rPr>
        <w:t xml:space="preserve">Section 4.29                                </w:t>
      </w:r>
      <w:r>
        <w:rPr>
          <w:rFonts w:ascii="Times New Roman" w:hAnsi="Times New Roman"/>
          <w:b w:val="false"/>
          <w:sz w:val="17"/>
          <w:u w:val="single"/>
        </w:rPr>
        <w:t>No Undisclosed Liabilities</w:t>
      </w:r>
      <w:r>
        <w:rPr>
          <w:rFonts w:ascii="Times New Roman" w:hAnsi="Times New Roman"/>
          <w:b w:val="false"/>
          <w:sz w:val="17"/>
        </w:rPr>
        <w:t xml:space="preserve">.  Except (a) as disclosed on the June 30, 2005 balance sheet included in the Financial Statements and (b) for liabilities and obligations incurred in the ordinary course of business (including liabilities and obligations incurred pursuant to and in accordance with </w:t>
      </w:r>
      <w:r>
        <w:rPr>
          <w:rFonts w:ascii="Times New Roman" w:hAnsi="Times New Roman"/>
          <w:b w:val="false"/>
          <w:sz w:val="17"/>
          <w:u w:val="single"/>
        </w:rPr>
        <w:t>Section 6.1</w:t>
      </w:r>
      <w:r>
        <w:rPr>
          <w:rFonts w:ascii="Times New Roman" w:hAnsi="Times New Roman"/>
          <w:b w:val="false"/>
          <w:sz w:val="17"/>
        </w:rPr>
        <w:t>) and consistent with past practice since the Balance Sheet Date and that have not had and would not reasonably be expected to have, individually or in the aggregate, a Material Adverse Effect, neither the Company nor any Subsidiary has any liability or obligation (whether absolute, accrued, contingent or otherwise) of a nature required by GAAP to be reflected in a balance sheet or disclosed in the notes thereto.</w:t>
      </w:r>
    </w:p>
    <w:p>
      <w:pPr>
        <w:pStyle w:val="Heading2"/>
        <w:spacing w:before="0" w:after="0"/>
        <w:ind w:left="0" w:right="0" w:hanging="0"/>
        <w:jc w:val="left"/>
        <w:rPr/>
      </w:pPr>
      <w:r>
        <w:rPr/>
        <w:t> </w:t>
      </w:r>
    </w:p>
    <w:p>
      <w:pPr>
        <w:pStyle w:val="Heading2"/>
        <w:spacing w:before="0" w:after="0"/>
        <w:ind w:left="0" w:right="0" w:hanging="0"/>
        <w:jc w:val="left"/>
        <w:rPr>
          <w:rFonts w:ascii="Times New Roman" w:hAnsi="Times New Roman"/>
          <w:b w:val="false"/>
          <w:sz w:val="17"/>
        </w:rPr>
      </w:pPr>
      <w:bookmarkStart w:id="162" w:name="Section4_30_234204"/>
      <w:bookmarkEnd w:id="162"/>
      <w:r>
        <w:rPr>
          <w:rFonts w:ascii="Times New Roman" w:hAnsi="Times New Roman"/>
          <w:b w:val="false"/>
          <w:sz w:val="17"/>
        </w:rPr>
        <w:t xml:space="preserve">Section 4.30                                </w:t>
      </w:r>
      <w:r>
        <w:rPr>
          <w:rFonts w:ascii="Times New Roman" w:hAnsi="Times New Roman"/>
          <w:b w:val="false"/>
          <w:sz w:val="17"/>
          <w:u w:val="single"/>
        </w:rPr>
        <w:t>Base Gas</w:t>
      </w:r>
      <w:r>
        <w:rPr>
          <w:rFonts w:ascii="Times New Roman" w:hAnsi="Times New Roman"/>
          <w:b w:val="false"/>
          <w:sz w:val="17"/>
        </w:rPr>
        <w:t>.  As of July 31, 2005, BGS LLC purchased and received 4,850,250 MMBtu of base gas.  BGS LLC paid $6.456 per MMBtu for the 2,400,000 MMBtu of base gas purchased and received during the month of July 2005.  On or before the Closing Date, BGS LLC shall not have sold, disposed of or otherwise utilized any of such 4,850,250 MMBtu of base gas except to the extent replaced by BGS LLC or accrued as a current liability on the financial statements of BGS LLC as of the Closing Date and reflected in Net Working Capital.</w:t>
      </w:r>
    </w:p>
    <w:p>
      <w:pPr>
        <w:pStyle w:val="Heading2"/>
        <w:spacing w:before="0" w:after="0"/>
        <w:ind w:left="0" w:right="0" w:hanging="0"/>
        <w:jc w:val="left"/>
        <w:rPr/>
      </w:pPr>
      <w:r>
        <w:rPr/>
        <w:t> </w:t>
      </w:r>
    </w:p>
    <w:p>
      <w:pPr>
        <w:pStyle w:val="Heading2"/>
        <w:spacing w:before="0" w:after="0"/>
        <w:ind w:left="0" w:right="0" w:hanging="0"/>
        <w:jc w:val="left"/>
        <w:rPr>
          <w:rFonts w:ascii="Times New Roman" w:hAnsi="Times New Roman"/>
          <w:b w:val="false"/>
          <w:sz w:val="17"/>
        </w:rPr>
      </w:pPr>
      <w:bookmarkStart w:id="163" w:name="Section4_31_234208"/>
      <w:bookmarkEnd w:id="163"/>
      <w:r>
        <w:rPr>
          <w:rFonts w:ascii="Times New Roman" w:hAnsi="Times New Roman"/>
          <w:b w:val="false"/>
          <w:sz w:val="17"/>
        </w:rPr>
        <w:t xml:space="preserve">Section 4.31                                </w:t>
      </w:r>
      <w:r>
        <w:rPr>
          <w:rFonts w:ascii="Times New Roman" w:hAnsi="Times New Roman"/>
          <w:b w:val="false"/>
          <w:sz w:val="17"/>
          <w:u w:val="single"/>
        </w:rPr>
        <w:t>Bluewater Oil Reserves</w:t>
      </w:r>
      <w:r>
        <w:rPr>
          <w:rFonts w:ascii="Times New Roman" w:hAnsi="Times New Roman"/>
          <w:b w:val="false"/>
          <w:sz w:val="17"/>
        </w:rPr>
        <w:t>.</w:t>
      </w:r>
    </w:p>
    <w:p>
      <w:pPr>
        <w:pStyle w:val="Heading2"/>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(a)                                  The factual, non-interpretive data provided by the Company or its Subsidiaries to NSAI in connection with NSAIs determination of the NSAI Reserve Value will be accurate in all material respects.</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(b)                                 All material proceeds due from the sale of Oil produced from the Bluewater Oil Reserves are being received by the Company and its Subsidiaries in a timely manner and are not being held in suspense for any reason (except in the ordinary course of business).</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(c)                                  Neither the Company nor any of its Subsidiaries has received any material advance, take-or-pay or other similar payments with respect to the Bluewater Oil Reserves that entitle purchasers of production from such reserves to receive deliveries of Oil without paying therefor, and, on a net basis, with respect to the Bluewater Oil</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40</w:t>
      </w:r>
    </w:p>
    <w:p>
      <w:pPr>
        <w:pStyle w:val="HorizontalLine"/>
        <w:pBdr>
          <w:bottom w:val="single" w:sz="12" w:space="0" w:color="808080"/>
        </w:pBdr>
        <w:spacing w:before="0" w:after="0"/>
        <w:jc w:val="left"/>
        <w:rPr/>
      </w:pPr>
      <w:r>
        <w:rPr/>
      </w:r>
      <w:r>
        <w:br w:type="page"/>
      </w:r>
    </w:p>
    <w:p>
      <w:pPr>
        <w:pStyle w:val="TextBody"/>
        <w:spacing w:before="0" w:after="0"/>
        <w:ind w:left="0" w:right="0" w:hanging="0"/>
        <w:jc w:val="center"/>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Reserves, the Company is neither underproduced nor overproduced, in either case, to any material extent, under balancing or similar arrangements.</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(d)                                 No claim, notice or order from any Governmental Authority or other Person has been received by the Company or any of its Subsidiaries with respect to the Bluewater Oil Reserves due to Oil production in excess of allowables or similar violations that could result in curtailment of production after the Closing Date from any unit or oil and gas properties of the Company or any of its Subsidiaries with respect to the Bluewater Oil Reserves, except any such violations which individually or in the aggregate has not had, and would not be reasonably likely to have or result in, a Material Adverse Effect.</w:t>
      </w:r>
    </w:p>
    <w:p>
      <w:pPr>
        <w:pStyle w:val="Heading3"/>
        <w:spacing w:before="0" w:after="0"/>
        <w:ind w:left="0" w:right="0" w:hanging="0"/>
        <w:jc w:val="left"/>
        <w:rPr/>
      </w:pPr>
      <w:r>
        <w:rPr/>
        <w:t> </w:t>
      </w:r>
    </w:p>
    <w:p>
      <w:pPr>
        <w:pStyle w:val="Heading1"/>
        <w:spacing w:before="0" w:after="0"/>
        <w:ind w:left="0" w:right="0" w:hanging="0"/>
        <w:rPr>
          <w:rFonts w:ascii="Times New Roman" w:hAnsi="Times New Roman"/>
          <w:b/>
          <w:sz w:val="17"/>
        </w:rPr>
      </w:pPr>
      <w:bookmarkStart w:id="164" w:name="Articlev_234216"/>
      <w:bookmarkEnd w:id="164"/>
      <w:r>
        <w:rPr>
          <w:rFonts w:ascii="Times New Roman" w:hAnsi="Times New Roman"/>
          <w:b/>
          <w:sz w:val="17"/>
        </w:rPr>
        <w:t>ARTICLE V</w:t>
      </w:r>
    </w:p>
    <w:p>
      <w:pPr>
        <w:pStyle w:val="TextBody"/>
        <w:spacing w:before="0" w:after="0"/>
        <w:ind w:left="0" w:right="0" w:hanging="0"/>
        <w:jc w:val="left"/>
        <w:rPr/>
      </w:pPr>
      <w:r>
        <w:rPr/>
        <w:t> </w:t>
      </w:r>
    </w:p>
    <w:p>
      <w:pPr>
        <w:pStyle w:val="Heading1"/>
        <w:spacing w:before="0" w:after="0"/>
        <w:ind w:left="0" w:right="0" w:hanging="0"/>
        <w:rPr>
          <w:rFonts w:ascii="Times New Roman" w:hAnsi="Times New Roman"/>
          <w:b/>
          <w:sz w:val="17"/>
        </w:rPr>
      </w:pPr>
      <w:r>
        <w:rPr>
          <w:rFonts w:ascii="Times New Roman" w:hAnsi="Times New Roman"/>
          <w:b/>
          <w:sz w:val="17"/>
        </w:rPr>
        <w:t>REPRESENTATIONS AND WARRANTIES RELATING TO BUYER</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Buyer hereby represents and warrants to Seller as follows:</w:t>
      </w:r>
    </w:p>
    <w:p>
      <w:pPr>
        <w:pStyle w:val="TextBody"/>
        <w:spacing w:before="0" w:after="0"/>
        <w:ind w:left="0" w:right="0" w:hanging="0"/>
        <w:jc w:val="left"/>
        <w:rPr/>
      </w:pPr>
      <w:r>
        <w:rPr/>
        <w:t> </w:t>
      </w:r>
    </w:p>
    <w:p>
      <w:pPr>
        <w:pStyle w:val="Heading2"/>
        <w:spacing w:before="0" w:after="0"/>
        <w:ind w:left="0" w:right="0" w:hanging="0"/>
        <w:jc w:val="left"/>
        <w:rPr>
          <w:rFonts w:ascii="Times New Roman" w:hAnsi="Times New Roman"/>
          <w:b w:val="false"/>
          <w:sz w:val="17"/>
        </w:rPr>
      </w:pPr>
      <w:bookmarkStart w:id="165" w:name="Section5_1_234238"/>
      <w:bookmarkEnd w:id="165"/>
      <w:r>
        <w:rPr>
          <w:rFonts w:ascii="Times New Roman" w:hAnsi="Times New Roman"/>
          <w:b w:val="false"/>
          <w:sz w:val="17"/>
        </w:rPr>
        <w:t xml:space="preserve">Section 5.1                                      </w:t>
      </w:r>
      <w:r>
        <w:rPr>
          <w:rFonts w:ascii="Times New Roman" w:hAnsi="Times New Roman"/>
          <w:b w:val="false"/>
          <w:sz w:val="17"/>
          <w:u w:val="single"/>
        </w:rPr>
        <w:t>Organization of Buyer; Authority</w:t>
      </w:r>
      <w:r>
        <w:rPr>
          <w:rFonts w:ascii="Times New Roman" w:hAnsi="Times New Roman"/>
          <w:b w:val="false"/>
          <w:sz w:val="17"/>
        </w:rPr>
        <w:t>.  Buyer is a limited liability company, duly organized, validly existing and in good standing under the Laws of the State of Delaware and has all requisite power and authority to own, lease and operate its properties and to carry on its business as now being conducted.  Buyer is duly qualified or licensed to do business as a foreign entity in good standing in every jurisdiction in which such qualification is required, except where the failure to be so duly qualified or licensed would not, in the aggregate, have a material adverse effect on the Buyers ability to perform its obligations under this Agreement, including its obligation to complete the transactions contemplated hereby.</w:t>
      </w:r>
    </w:p>
    <w:p>
      <w:pPr>
        <w:pStyle w:val="Heading2"/>
        <w:spacing w:before="0" w:after="0"/>
        <w:ind w:left="0" w:right="0" w:hanging="0"/>
        <w:jc w:val="left"/>
        <w:rPr/>
      </w:pPr>
      <w:r>
        <w:rPr/>
        <w:t> </w:t>
      </w:r>
    </w:p>
    <w:p>
      <w:pPr>
        <w:pStyle w:val="Heading2"/>
        <w:spacing w:before="0" w:after="0"/>
        <w:ind w:left="0" w:right="0" w:hanging="0"/>
        <w:jc w:val="left"/>
        <w:rPr>
          <w:rFonts w:ascii="Times New Roman" w:hAnsi="Times New Roman"/>
          <w:b w:val="false"/>
          <w:sz w:val="17"/>
        </w:rPr>
      </w:pPr>
      <w:bookmarkStart w:id="166" w:name="Section5_2_234240"/>
      <w:bookmarkEnd w:id="166"/>
      <w:r>
        <w:rPr>
          <w:rFonts w:ascii="Times New Roman" w:hAnsi="Times New Roman"/>
          <w:b w:val="false"/>
          <w:sz w:val="17"/>
        </w:rPr>
        <w:t xml:space="preserve">Section 5.2                                      </w:t>
      </w:r>
      <w:r>
        <w:rPr>
          <w:rFonts w:ascii="Times New Roman" w:hAnsi="Times New Roman"/>
          <w:b w:val="false"/>
          <w:sz w:val="17"/>
          <w:u w:val="single"/>
        </w:rPr>
        <w:t>Authorization; Enforceability</w:t>
      </w:r>
      <w:r>
        <w:rPr>
          <w:rFonts w:ascii="Times New Roman" w:hAnsi="Times New Roman"/>
          <w:b w:val="false"/>
          <w:sz w:val="17"/>
        </w:rPr>
        <w:t>.  Buyer has all requisite power and authority to execute and deliver this Agreement and to perform all obligations to be performed by it hereunder.  The execution, delivery and performance of this Agreement and the consummation of the transactions contemplated hereby have been duly and validly authorized and approved by all requisite action on the part of Buyer, and no additional authorization on the part of Buyer is necessary in connection with the execution, delivery and performance by Buyer of this Agreement.  This Agreement has been duly and validly executed and delivered by Buyer, and this Agreement constitutes a legal, valid and binding obligation of Buyer, enforceable against Buyer in accordance with its terms, subject to applicable bankruptcy, insolvency, fraudulent conveyance, reorganization, moratorium and similar Laws affecting creditors rights generally and subject, as to enforceability, to general principles of equity.</w:t>
      </w:r>
    </w:p>
    <w:p>
      <w:pPr>
        <w:pStyle w:val="Heading2"/>
        <w:spacing w:before="0" w:after="0"/>
        <w:ind w:left="0" w:right="0" w:hanging="0"/>
        <w:jc w:val="left"/>
        <w:rPr/>
      </w:pPr>
      <w:r>
        <w:rPr/>
        <w:t> </w:t>
      </w:r>
    </w:p>
    <w:p>
      <w:pPr>
        <w:pStyle w:val="Heading2"/>
        <w:spacing w:before="0" w:after="0"/>
        <w:ind w:left="0" w:right="0" w:hanging="0"/>
        <w:jc w:val="left"/>
        <w:rPr>
          <w:rFonts w:ascii="Times New Roman" w:hAnsi="Times New Roman"/>
          <w:b w:val="false"/>
          <w:sz w:val="17"/>
        </w:rPr>
      </w:pPr>
      <w:bookmarkStart w:id="167" w:name="Section5_3_234244"/>
      <w:bookmarkEnd w:id="167"/>
      <w:r>
        <w:rPr>
          <w:rFonts w:ascii="Times New Roman" w:hAnsi="Times New Roman"/>
          <w:b w:val="false"/>
          <w:sz w:val="17"/>
        </w:rPr>
        <w:t xml:space="preserve">Section 5.3                                      </w:t>
      </w:r>
      <w:r>
        <w:rPr>
          <w:rFonts w:ascii="Times New Roman" w:hAnsi="Times New Roman"/>
          <w:b w:val="false"/>
          <w:sz w:val="17"/>
          <w:u w:val="single"/>
        </w:rPr>
        <w:t>No Conflict</w:t>
      </w:r>
      <w:r>
        <w:rPr>
          <w:rFonts w:ascii="Times New Roman" w:hAnsi="Times New Roman"/>
          <w:b w:val="false"/>
          <w:sz w:val="17"/>
        </w:rPr>
        <w:t xml:space="preserve">.  The execution, delivery and performance of this Agreement by Buyer and the consummation of the transactions contemplated hereby by Buyer, assuming all required filings, consents, approvals, registrations, declarations, orders, authorizations and notices set forth in </w:t>
      </w:r>
      <w:r>
        <w:rPr>
          <w:rFonts w:ascii="Times New Roman" w:hAnsi="Times New Roman"/>
          <w:b w:val="false"/>
          <w:sz w:val="17"/>
          <w:u w:val="single"/>
        </w:rPr>
        <w:t>Schedule 5.3</w:t>
      </w:r>
      <w:r>
        <w:rPr>
          <w:rFonts w:ascii="Times New Roman" w:hAnsi="Times New Roman"/>
          <w:b w:val="false"/>
          <w:sz w:val="17"/>
        </w:rPr>
        <w:t xml:space="preserve"> (collectively, the </w:t>
      </w:r>
      <w:r>
        <w:rPr>
          <w:rFonts w:ascii="Times New Roman" w:hAnsi="Times New Roman"/>
          <w:b w:val="false"/>
          <w:sz w:val="17"/>
          <w:u w:val="single"/>
        </w:rPr>
        <w:t>Buyer Approvals</w:t>
      </w:r>
      <w:r>
        <w:rPr>
          <w:rFonts w:ascii="Times New Roman" w:hAnsi="Times New Roman"/>
          <w:b w:val="false"/>
          <w:sz w:val="17"/>
        </w:rPr>
        <w:t>) have been made, given or obtained, do not and shall not: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41</w:t>
      </w:r>
    </w:p>
    <w:p>
      <w:pPr>
        <w:pStyle w:val="HorizontalLine"/>
        <w:pBdr>
          <w:bottom w:val="single" w:sz="12" w:space="0" w:color="808080"/>
        </w:pBdr>
        <w:spacing w:before="0" w:after="0"/>
        <w:jc w:val="left"/>
        <w:rPr/>
      </w:pPr>
      <w:r>
        <w:rPr/>
      </w:r>
      <w:r>
        <w:br w:type="page"/>
      </w:r>
    </w:p>
    <w:p>
      <w:pPr>
        <w:pStyle w:val="TextBody"/>
        <w:spacing w:before="0" w:after="0"/>
        <w:ind w:left="0" w:right="0" w:hanging="0"/>
        <w:jc w:val="center"/>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(a)                                  violate any Organizational Document of Buyer;</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(b)                                 violate any Law applicable to Buyer; or</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(c)                                  violate, conflict with, result in a breach of any provision of, constitute a default (or an event which, with notice or lapse of time, or both, would constitute a default) under, or result in the termination of, any of the terms, conditions or provisions of any Contract to which Buyer is a party or by which it or its assets or properties may be bound;</w:t>
      </w:r>
    </w:p>
    <w:p>
      <w:pPr>
        <w:pStyle w:val="Heading3"/>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except in the case of clause (b) or (c) above, as would not reasonably be expected to have, individually or in the aggregate, a material adverse effect on the Buyers ability to perform its obligations under this Agreement, including its obligation to complete the transactions contemplated hereby.</w:t>
      </w:r>
    </w:p>
    <w:p>
      <w:pPr>
        <w:pStyle w:val="TextBody"/>
        <w:spacing w:before="0" w:after="0"/>
        <w:ind w:left="0" w:right="0" w:hanging="0"/>
        <w:jc w:val="left"/>
        <w:rPr/>
      </w:pPr>
      <w:r>
        <w:rPr/>
        <w:t> </w:t>
      </w:r>
    </w:p>
    <w:p>
      <w:pPr>
        <w:pStyle w:val="Heading2"/>
        <w:spacing w:before="0" w:after="0"/>
        <w:ind w:left="0" w:right="0" w:hanging="0"/>
        <w:jc w:val="left"/>
        <w:rPr>
          <w:rFonts w:ascii="Times New Roman" w:hAnsi="Times New Roman"/>
          <w:b w:val="false"/>
          <w:sz w:val="17"/>
        </w:rPr>
      </w:pPr>
      <w:bookmarkStart w:id="168" w:name="Section5_4_234246"/>
      <w:bookmarkEnd w:id="168"/>
      <w:r>
        <w:rPr>
          <w:rFonts w:ascii="Times New Roman" w:hAnsi="Times New Roman"/>
          <w:b w:val="false"/>
          <w:sz w:val="17"/>
        </w:rPr>
        <w:t xml:space="preserve">Section 5.4                                      </w:t>
      </w:r>
      <w:r>
        <w:rPr>
          <w:rFonts w:ascii="Times New Roman" w:hAnsi="Times New Roman"/>
          <w:b w:val="false"/>
          <w:sz w:val="17"/>
          <w:u w:val="single"/>
        </w:rPr>
        <w:t>Litigation</w:t>
      </w:r>
      <w:r>
        <w:rPr>
          <w:rFonts w:ascii="Times New Roman" w:hAnsi="Times New Roman"/>
          <w:b w:val="false"/>
          <w:sz w:val="17"/>
        </w:rPr>
        <w:t>.  There is no Litigation pending or, to the Knowledge of Buyer, threatened by any Person against Buyer that would reasonably be expected to have, individually or in the aggregate, a material adverse effect on the Buyers ability to perform its obligations under this Agreement, including its obligation to complete the transactions contemplated hereby and there is no order or unsatisfied judgment from any Governmental Authority binding upon or affecting Buyer that would reasonably be expected to have, individually or in the aggregate, a material adverse effect on the Buyers ability to perform its obligations under this Agreement, including its obligation to complete the transactions contemplated hereby.</w:t>
      </w:r>
    </w:p>
    <w:p>
      <w:pPr>
        <w:pStyle w:val="Heading2"/>
        <w:spacing w:before="0" w:after="0"/>
        <w:ind w:left="0" w:right="0" w:hanging="0"/>
        <w:jc w:val="left"/>
        <w:rPr/>
      </w:pPr>
      <w:r>
        <w:rPr/>
        <w:t> </w:t>
      </w:r>
    </w:p>
    <w:p>
      <w:pPr>
        <w:pStyle w:val="Heading2"/>
        <w:spacing w:before="0" w:after="0"/>
        <w:ind w:left="0" w:right="0" w:hanging="0"/>
        <w:jc w:val="left"/>
        <w:rPr>
          <w:rFonts w:ascii="Times New Roman" w:hAnsi="Times New Roman"/>
          <w:b w:val="false"/>
          <w:sz w:val="17"/>
        </w:rPr>
      </w:pPr>
      <w:bookmarkStart w:id="169" w:name="Section5_5_234248"/>
      <w:bookmarkEnd w:id="169"/>
      <w:r>
        <w:rPr>
          <w:rFonts w:ascii="Times New Roman" w:hAnsi="Times New Roman"/>
          <w:b w:val="false"/>
          <w:sz w:val="17"/>
        </w:rPr>
        <w:t xml:space="preserve">Section 5.5                                      </w:t>
      </w:r>
      <w:r>
        <w:rPr>
          <w:rFonts w:ascii="Times New Roman" w:hAnsi="Times New Roman"/>
          <w:b w:val="false"/>
          <w:sz w:val="17"/>
          <w:u w:val="single"/>
        </w:rPr>
        <w:t>Brokers Fees</w:t>
      </w:r>
      <w:r>
        <w:rPr>
          <w:rFonts w:ascii="Times New Roman" w:hAnsi="Times New Roman"/>
          <w:b w:val="false"/>
          <w:sz w:val="17"/>
        </w:rPr>
        <w:t>.  No broker, finder, investment banker or other Person is entitled to any brokerage fee, finders fee or other commission in connection with the transactions contemplated by this Agreement based upon arrangements made by, or otherwise Known to, Buyer or any of its Affiliates, other than the fees and expenses of Simmons &amp; Company, which shall be paid by Buyer.</w:t>
      </w:r>
    </w:p>
    <w:p>
      <w:pPr>
        <w:pStyle w:val="Heading2"/>
        <w:spacing w:before="0" w:after="0"/>
        <w:ind w:left="0" w:right="0" w:hanging="0"/>
        <w:jc w:val="left"/>
        <w:rPr/>
      </w:pPr>
      <w:r>
        <w:rPr/>
        <w:t> </w:t>
      </w:r>
    </w:p>
    <w:p>
      <w:pPr>
        <w:pStyle w:val="Heading2"/>
        <w:spacing w:before="0" w:after="0"/>
        <w:ind w:left="0" w:right="0" w:hanging="0"/>
        <w:jc w:val="left"/>
        <w:rPr>
          <w:rFonts w:ascii="Times New Roman" w:hAnsi="Times New Roman"/>
          <w:b w:val="false"/>
          <w:sz w:val="17"/>
        </w:rPr>
      </w:pPr>
      <w:bookmarkStart w:id="170" w:name="Section5_6_234252"/>
      <w:bookmarkEnd w:id="170"/>
      <w:r>
        <w:rPr>
          <w:rFonts w:ascii="Times New Roman" w:hAnsi="Times New Roman"/>
          <w:b w:val="false"/>
          <w:sz w:val="17"/>
        </w:rPr>
        <w:t xml:space="preserve">Section 5.6                                      </w:t>
      </w:r>
      <w:r>
        <w:rPr>
          <w:rFonts w:ascii="Times New Roman" w:hAnsi="Times New Roman"/>
          <w:b w:val="false"/>
          <w:sz w:val="17"/>
          <w:u w:val="single"/>
        </w:rPr>
        <w:t>Financial Ability</w:t>
      </w:r>
      <w:r>
        <w:rPr>
          <w:rFonts w:ascii="Times New Roman" w:hAnsi="Times New Roman"/>
          <w:b w:val="false"/>
          <w:sz w:val="17"/>
        </w:rPr>
        <w:t>.  Buyer will have cash on hand or existing and available lines of credit at the Closing to provide, in the aggregate, monies sufficient to fund the consummation of the transactions contemplated by this Agreement and satisfy all other costs and expenses arising in connection therewith.  There is no default existing, or which with notice or the passage of time may exist, under the credit or other agreements with respect to such lines of credit, and Buyer has no reason to believe that any of the conditions precedent to the draw-down of such lines of credit will not be satisfied in connection with the consummation of the transactions contemplated hereby.</w:t>
      </w:r>
    </w:p>
    <w:p>
      <w:pPr>
        <w:pStyle w:val="Heading2"/>
        <w:spacing w:before="0" w:after="0"/>
        <w:ind w:left="0" w:right="0" w:hanging="0"/>
        <w:jc w:val="left"/>
        <w:rPr/>
      </w:pPr>
      <w:r>
        <w:rPr/>
        <w:t> </w:t>
      </w:r>
    </w:p>
    <w:p>
      <w:pPr>
        <w:pStyle w:val="Heading2"/>
        <w:spacing w:before="0" w:after="0"/>
        <w:ind w:left="0" w:right="0" w:hanging="0"/>
        <w:jc w:val="left"/>
        <w:rPr>
          <w:rFonts w:ascii="Times New Roman" w:hAnsi="Times New Roman"/>
          <w:b w:val="false"/>
          <w:sz w:val="17"/>
        </w:rPr>
      </w:pPr>
      <w:bookmarkStart w:id="171" w:name="Section5_7_234255"/>
      <w:bookmarkEnd w:id="171"/>
      <w:r>
        <w:rPr>
          <w:rFonts w:ascii="Times New Roman" w:hAnsi="Times New Roman"/>
          <w:b w:val="false"/>
          <w:sz w:val="17"/>
        </w:rPr>
        <w:t xml:space="preserve">Section 5.7                                      </w:t>
      </w:r>
      <w:r>
        <w:rPr>
          <w:rFonts w:ascii="Times New Roman" w:hAnsi="Times New Roman"/>
          <w:b w:val="false"/>
          <w:sz w:val="17"/>
          <w:u w:val="single"/>
        </w:rPr>
        <w:t>Investment Representation</w:t>
      </w:r>
      <w:r>
        <w:rPr>
          <w:rFonts w:ascii="Times New Roman" w:hAnsi="Times New Roman"/>
          <w:b w:val="false"/>
          <w:sz w:val="17"/>
        </w:rPr>
        <w:t>.  Buyer is purchasing the Membership Interests for its own account with the present intention of holding the Membership Interests for investment purposes and not with a view to or for sale in connection with any public distribution of the Membership Interests in violation of any federal or state securities Laws.  Buyer acknowledges that the Membership Interests have not been registered under applicable federal and state securities Laws and that the Membership Interests may not be sold, transferred, offered for sale, pledged,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42</w:t>
      </w:r>
    </w:p>
    <w:p>
      <w:pPr>
        <w:pStyle w:val="HorizontalLine"/>
        <w:pBdr>
          <w:bottom w:val="single" w:sz="12" w:space="0" w:color="808080"/>
        </w:pBdr>
        <w:spacing w:before="0" w:after="0"/>
        <w:jc w:val="left"/>
        <w:rPr/>
      </w:pPr>
      <w:r>
        <w:rPr/>
      </w:r>
      <w:r>
        <w:br w:type="page"/>
      </w:r>
    </w:p>
    <w:p>
      <w:pPr>
        <w:pStyle w:val="TextBody"/>
        <w:spacing w:before="0" w:after="0"/>
        <w:ind w:left="0" w:right="0" w:hanging="0"/>
        <w:jc w:val="center"/>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hypothecated or otherwise disposed of unless such transfer, sale, assignment, pledge, hypothecation or other disposition is registered under applicable federal and state securities Laws or pursuant to an exemption from registration under applicable federal and state securities Laws.</w:t>
      </w:r>
    </w:p>
    <w:p>
      <w:pPr>
        <w:pStyle w:val="Heading2"/>
        <w:spacing w:before="0" w:after="0"/>
        <w:ind w:left="0" w:right="0" w:hanging="0"/>
        <w:jc w:val="left"/>
        <w:rPr/>
      </w:pPr>
      <w:r>
        <w:rPr/>
        <w:t> </w:t>
      </w:r>
    </w:p>
    <w:p>
      <w:pPr>
        <w:pStyle w:val="Heading2"/>
        <w:spacing w:before="0" w:after="0"/>
        <w:ind w:left="0" w:right="0" w:hanging="0"/>
        <w:jc w:val="left"/>
        <w:rPr>
          <w:rFonts w:ascii="Times New Roman" w:hAnsi="Times New Roman"/>
          <w:b w:val="false"/>
          <w:sz w:val="17"/>
        </w:rPr>
      </w:pPr>
      <w:bookmarkStart w:id="172" w:name="Section5_8_234259"/>
      <w:bookmarkEnd w:id="172"/>
      <w:r>
        <w:rPr>
          <w:rFonts w:ascii="Times New Roman" w:hAnsi="Times New Roman"/>
          <w:b w:val="false"/>
          <w:sz w:val="17"/>
        </w:rPr>
        <w:t xml:space="preserve">Section 5.8                                      </w:t>
      </w:r>
      <w:r>
        <w:rPr>
          <w:rFonts w:ascii="Times New Roman" w:hAnsi="Times New Roman"/>
          <w:b w:val="false"/>
          <w:sz w:val="17"/>
          <w:u w:val="single"/>
        </w:rPr>
        <w:t>Accredited Investor</w:t>
      </w:r>
      <w:r>
        <w:rPr>
          <w:rFonts w:ascii="Times New Roman" w:hAnsi="Times New Roman"/>
          <w:b w:val="false"/>
          <w:sz w:val="17"/>
        </w:rPr>
        <w:t>.  Buyer represents and warrants that it (a) is an accredited investor as such term is defined in Rule 501(a) under the Securities Act of 1933, as amended and (b) has such knowledge and experience in financial and business matters that it is capable of evaluating the merits and risks of an investment in the Membership Interests.</w:t>
      </w:r>
    </w:p>
    <w:p>
      <w:pPr>
        <w:pStyle w:val="Heading2"/>
        <w:spacing w:before="0" w:after="0"/>
        <w:ind w:left="0" w:right="0" w:hanging="0"/>
        <w:jc w:val="left"/>
        <w:rPr/>
      </w:pPr>
      <w:r>
        <w:rPr/>
        <w:t> </w:t>
      </w:r>
    </w:p>
    <w:p>
      <w:pPr>
        <w:pStyle w:val="Heading2"/>
        <w:spacing w:before="0" w:after="0"/>
        <w:ind w:left="0" w:right="0" w:hanging="0"/>
        <w:jc w:val="left"/>
        <w:rPr>
          <w:rFonts w:ascii="Times New Roman" w:hAnsi="Times New Roman"/>
          <w:b w:val="false"/>
          <w:sz w:val="17"/>
        </w:rPr>
      </w:pPr>
      <w:bookmarkStart w:id="173" w:name="Section5_9_234302"/>
      <w:bookmarkEnd w:id="173"/>
      <w:r>
        <w:rPr>
          <w:rFonts w:ascii="Times New Roman" w:hAnsi="Times New Roman"/>
          <w:b w:val="false"/>
          <w:sz w:val="17"/>
        </w:rPr>
        <w:t xml:space="preserve">Section 5.9                                      </w:t>
      </w:r>
      <w:r>
        <w:rPr>
          <w:rFonts w:ascii="Times New Roman" w:hAnsi="Times New Roman"/>
          <w:b w:val="false"/>
          <w:sz w:val="17"/>
          <w:u w:val="single"/>
        </w:rPr>
        <w:t>Independent Investigation</w:t>
      </w:r>
      <w:r>
        <w:rPr>
          <w:rFonts w:ascii="Times New Roman" w:hAnsi="Times New Roman"/>
          <w:b w:val="false"/>
          <w:sz w:val="17"/>
        </w:rPr>
        <w:t>.  Buyer acknowledges and affirms that it and its Affiliates have completed their own independent investigation, analysis and evaluation of the Company and the Subsidiaries, that they have made all such reviews and inspections of the business, assets, results of operations, condition (financial or otherwise) and prospects of the Company and the Subsidiaries as they have deemed necessary or appropriate, and that in making its decision to enter into this Agreement and to consummate the transactions contemplated hereby, Buyer has relied solely on the representations, warranties, covenants and agreements of Seller set forth in this Agreement and on Buyers and its Affiliates own independent investigation, analysis and evaluation of the Company and the Subsidiaries.  Buyer hereby acknowledges that all of the documents set forth on the Disclosure Schedule have been delivered or otherwise made available to Buyer or its Affiliates.</w:t>
      </w:r>
    </w:p>
    <w:p>
      <w:pPr>
        <w:pStyle w:val="Heading2"/>
        <w:spacing w:before="0" w:after="0"/>
        <w:ind w:left="0" w:right="0" w:hanging="0"/>
        <w:jc w:val="left"/>
        <w:rPr/>
      </w:pPr>
      <w:r>
        <w:rPr/>
        <w:t> </w:t>
      </w:r>
    </w:p>
    <w:p>
      <w:pPr>
        <w:pStyle w:val="Heading1"/>
        <w:spacing w:before="0" w:after="0"/>
        <w:ind w:left="0" w:right="0" w:hanging="0"/>
        <w:rPr>
          <w:rFonts w:ascii="Times New Roman" w:hAnsi="Times New Roman"/>
          <w:b/>
          <w:sz w:val="17"/>
        </w:rPr>
      </w:pPr>
      <w:bookmarkStart w:id="174" w:name="Articlevi_234316"/>
      <w:bookmarkEnd w:id="174"/>
      <w:r>
        <w:rPr>
          <w:rFonts w:ascii="Times New Roman" w:hAnsi="Times New Roman"/>
          <w:b/>
          <w:sz w:val="17"/>
        </w:rPr>
        <w:t>ARTICLE VI</w:t>
      </w:r>
    </w:p>
    <w:p>
      <w:pPr>
        <w:pStyle w:val="TextBody"/>
        <w:spacing w:before="0" w:after="0"/>
        <w:ind w:left="0" w:right="0" w:hanging="0"/>
        <w:jc w:val="left"/>
        <w:rPr/>
      </w:pPr>
      <w:r>
        <w:rPr/>
        <w:t> </w:t>
      </w:r>
    </w:p>
    <w:p>
      <w:pPr>
        <w:pStyle w:val="Heading1"/>
        <w:spacing w:before="0" w:after="0"/>
        <w:ind w:left="0" w:right="0" w:hanging="0"/>
        <w:rPr>
          <w:rFonts w:ascii="Times New Roman" w:hAnsi="Times New Roman"/>
          <w:b/>
          <w:sz w:val="17"/>
        </w:rPr>
      </w:pPr>
      <w:r>
        <w:rPr>
          <w:rFonts w:ascii="Times New Roman" w:hAnsi="Times New Roman"/>
          <w:b/>
          <w:sz w:val="17"/>
        </w:rPr>
        <w:t>COVENANTS</w:t>
      </w:r>
    </w:p>
    <w:p>
      <w:pPr>
        <w:pStyle w:val="TextBody"/>
        <w:spacing w:before="0" w:after="0"/>
        <w:ind w:left="0" w:right="0" w:hanging="0"/>
        <w:jc w:val="left"/>
        <w:rPr/>
      </w:pPr>
      <w:r>
        <w:rPr/>
        <w:t> </w:t>
      </w:r>
    </w:p>
    <w:p>
      <w:pPr>
        <w:pStyle w:val="Heading2"/>
        <w:spacing w:before="0" w:after="0"/>
        <w:ind w:left="0" w:right="0" w:hanging="0"/>
        <w:jc w:val="left"/>
        <w:rPr>
          <w:rFonts w:ascii="Times New Roman" w:hAnsi="Times New Roman"/>
          <w:b w:val="false"/>
          <w:sz w:val="17"/>
        </w:rPr>
      </w:pPr>
      <w:bookmarkStart w:id="175" w:name="Section6_1_234305"/>
      <w:bookmarkEnd w:id="175"/>
      <w:r>
        <w:rPr>
          <w:rFonts w:ascii="Times New Roman" w:hAnsi="Times New Roman"/>
          <w:b w:val="false"/>
          <w:sz w:val="17"/>
        </w:rPr>
        <w:t xml:space="preserve">Section 6.1                                      </w:t>
      </w:r>
      <w:r>
        <w:rPr>
          <w:rFonts w:ascii="Times New Roman" w:hAnsi="Times New Roman"/>
          <w:b w:val="false"/>
          <w:sz w:val="17"/>
          <w:u w:val="single"/>
        </w:rPr>
        <w:t>Conduct of Business</w:t>
      </w:r>
      <w:r>
        <w:rPr>
          <w:rFonts w:ascii="Times New Roman" w:hAnsi="Times New Roman"/>
          <w:b w:val="false"/>
          <w:sz w:val="17"/>
        </w:rPr>
        <w:t xml:space="preserve">.  From the date of this Agreement through the Closing, except as set forth in </w:t>
      </w:r>
      <w:r>
        <w:rPr>
          <w:rFonts w:ascii="Times New Roman" w:hAnsi="Times New Roman"/>
          <w:b w:val="false"/>
          <w:sz w:val="17"/>
          <w:u w:val="single"/>
        </w:rPr>
        <w:t>Schedule 6.1</w:t>
      </w:r>
      <w:r>
        <w:rPr>
          <w:rFonts w:ascii="Times New Roman" w:hAnsi="Times New Roman"/>
          <w:b w:val="false"/>
          <w:sz w:val="17"/>
        </w:rPr>
        <w:t>, as contemplated by this Agreement or as consented to by Buyer in writing, (a) Seller shall cause the Company and each Subsidiary to, (x) in the case of the Company, BGS Corp. and BGS LLC, operate its business in the ordinary course consistent with past practice and in the case of PPEC Corp. and PPEC LLC, operate in the ordinary course and (y) use commercially reasonable efforts to preserve intact its business and its relationship with customers, suppliers and others having business relationships with the Company or any Subsidiary and (b) without limiting the foregoing, Seller shall cause the Company and each Subsidiary not to:</w:t>
      </w:r>
    </w:p>
    <w:p>
      <w:pPr>
        <w:pStyle w:val="Heading2"/>
        <w:spacing w:before="0" w:after="0"/>
        <w:ind w:left="0" w:right="0" w:hanging="0"/>
        <w:jc w:val="left"/>
        <w:rPr/>
      </w:pPr>
      <w:r>
        <w:rPr/>
        <w:t> </w:t>
      </w:r>
    </w:p>
    <w:p>
      <w:pPr>
        <w:pStyle w:val="Heading4"/>
        <w:spacing w:before="0" w:after="0"/>
        <w:ind w:left="0" w:right="0" w:hanging="0"/>
        <w:jc w:val="left"/>
        <w:rPr>
          <w:rFonts w:ascii="Times New Roman" w:hAnsi="Times New Roman"/>
          <w:b w:val="false"/>
          <w:sz w:val="17"/>
        </w:rPr>
      </w:pPr>
      <w:r>
        <w:rPr>
          <w:rFonts w:ascii="Times New Roman" w:hAnsi="Times New Roman"/>
          <w:b w:val="false"/>
          <w:sz w:val="17"/>
        </w:rPr>
        <w:t>(i)                                     amend any of its Organizational Documents;</w:t>
      </w:r>
    </w:p>
    <w:p>
      <w:pPr>
        <w:pStyle w:val="Heading4"/>
        <w:spacing w:before="0" w:after="0"/>
        <w:ind w:left="0" w:right="0" w:hanging="0"/>
        <w:jc w:val="left"/>
        <w:rPr/>
      </w:pPr>
      <w:r>
        <w:rPr/>
        <w:t> </w:t>
      </w:r>
    </w:p>
    <w:p>
      <w:pPr>
        <w:pStyle w:val="Heading4"/>
        <w:spacing w:before="0" w:after="0"/>
        <w:ind w:left="0" w:right="0" w:hanging="0"/>
        <w:jc w:val="left"/>
        <w:rPr>
          <w:rFonts w:ascii="Times New Roman" w:hAnsi="Times New Roman"/>
          <w:b w:val="false"/>
          <w:sz w:val="17"/>
        </w:rPr>
      </w:pPr>
      <w:r>
        <w:rPr>
          <w:rFonts w:ascii="Times New Roman" w:hAnsi="Times New Roman"/>
          <w:b w:val="false"/>
          <w:sz w:val="17"/>
        </w:rPr>
        <w:t>(ii)                                  liquidate, dissolve, recapitalize (excluding the conversion of indebtedness to equity (it being understood that no such conversion shall increase the Purchase Price)) or otherwise wind up its business;</w:t>
      </w:r>
    </w:p>
    <w:p>
      <w:pPr>
        <w:pStyle w:val="Heading4"/>
        <w:spacing w:before="0" w:after="0"/>
        <w:ind w:left="0" w:right="0" w:hanging="0"/>
        <w:jc w:val="left"/>
        <w:rPr/>
      </w:pPr>
      <w:r>
        <w:rPr/>
        <w:t> </w:t>
      </w:r>
    </w:p>
    <w:p>
      <w:pPr>
        <w:pStyle w:val="Heading4"/>
        <w:spacing w:before="0" w:after="0"/>
        <w:ind w:left="0" w:right="0" w:hanging="0"/>
        <w:jc w:val="left"/>
        <w:rPr>
          <w:rFonts w:ascii="Times New Roman" w:hAnsi="Times New Roman"/>
          <w:b w:val="false"/>
          <w:sz w:val="17"/>
        </w:rPr>
      </w:pPr>
      <w:r>
        <w:rPr>
          <w:rFonts w:ascii="Times New Roman" w:hAnsi="Times New Roman"/>
          <w:b w:val="false"/>
          <w:sz w:val="17"/>
        </w:rPr>
        <w:t>(iii)                               except as required by Law, (A) grant or increase any bonus, salary, severance, termination or other compensation or benefits or other enhancement to</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43</w:t>
      </w:r>
    </w:p>
    <w:p>
      <w:pPr>
        <w:pStyle w:val="HorizontalLine"/>
        <w:pBdr>
          <w:bottom w:val="single" w:sz="12" w:space="0" w:color="808080"/>
        </w:pBdr>
        <w:spacing w:before="0" w:after="0"/>
        <w:jc w:val="left"/>
        <w:rPr/>
      </w:pPr>
      <w:r>
        <w:rPr/>
      </w:r>
      <w:r>
        <w:br w:type="page"/>
      </w:r>
    </w:p>
    <w:p>
      <w:pPr>
        <w:pStyle w:val="TextBody"/>
        <w:spacing w:before="0" w:after="0"/>
        <w:ind w:left="0" w:right="0" w:hanging="0"/>
        <w:jc w:val="center"/>
        <w:rPr/>
      </w:pPr>
      <w:r>
        <w:rPr/>
        <w:t> </w:t>
      </w:r>
    </w:p>
    <w:p>
      <w:pPr>
        <w:pStyle w:val="Heading4"/>
        <w:spacing w:before="0" w:after="0"/>
        <w:ind w:left="0" w:right="0" w:hanging="0"/>
        <w:jc w:val="left"/>
        <w:rPr>
          <w:rFonts w:ascii="Times New Roman" w:hAnsi="Times New Roman"/>
          <w:b w:val="false"/>
          <w:sz w:val="17"/>
        </w:rPr>
      </w:pPr>
      <w:r>
        <w:rPr>
          <w:rFonts w:ascii="Times New Roman" w:hAnsi="Times New Roman"/>
          <w:b w:val="false"/>
          <w:sz w:val="17"/>
        </w:rPr>
        <w:t>the terms or conditions of employment to any of its employees (other than bonuses granted at or prior to the Closing in connection with the transactions contemplated hereby and paid prior to the Closing and accrued as a current liability in the Net Working Capital), (B) make any change in its senior management structure, (C) adopt, enter into or amend any Benefit Plan or collective bargaining agreement or other union labor contract or arrangement;</w:t>
      </w:r>
    </w:p>
    <w:p>
      <w:pPr>
        <w:pStyle w:val="Heading4"/>
        <w:spacing w:before="0" w:after="0"/>
        <w:ind w:left="0" w:right="0" w:hanging="0"/>
        <w:jc w:val="left"/>
        <w:rPr/>
      </w:pPr>
      <w:r>
        <w:rPr/>
        <w:t> </w:t>
      </w:r>
    </w:p>
    <w:p>
      <w:pPr>
        <w:pStyle w:val="Heading4"/>
        <w:spacing w:before="0" w:after="0"/>
        <w:ind w:left="0" w:right="0" w:hanging="0"/>
        <w:jc w:val="left"/>
        <w:rPr>
          <w:rFonts w:ascii="Times New Roman" w:hAnsi="Times New Roman"/>
          <w:b w:val="false"/>
          <w:sz w:val="17"/>
        </w:rPr>
      </w:pPr>
      <w:r>
        <w:rPr>
          <w:rFonts w:ascii="Times New Roman" w:hAnsi="Times New Roman"/>
          <w:b w:val="false"/>
          <w:sz w:val="17"/>
        </w:rPr>
        <w:t>(iv)                              adjust, split, combine or reclassify any capital stock or other equity interest or issue, grant, sell, transfer, pledge, dispose of or encumber any additional shares of, or securities convertible into or exchangeable for, or options, warrants, calls, commitments or rights of any kind to acquire, any shares of capital stock or other equity interest of any class or of any other such securities or agreements of the Company or any Subsidiary;</w:t>
      </w:r>
    </w:p>
    <w:p>
      <w:pPr>
        <w:pStyle w:val="Heading4"/>
        <w:spacing w:before="0" w:after="0"/>
        <w:ind w:left="0" w:right="0" w:hanging="0"/>
        <w:jc w:val="left"/>
        <w:rPr/>
      </w:pPr>
      <w:r>
        <w:rPr/>
        <w:t> </w:t>
      </w:r>
    </w:p>
    <w:p>
      <w:pPr>
        <w:pStyle w:val="Heading4"/>
        <w:spacing w:before="0" w:after="0"/>
        <w:ind w:left="0" w:right="0" w:hanging="0"/>
        <w:jc w:val="left"/>
        <w:rPr>
          <w:rFonts w:ascii="Times New Roman" w:hAnsi="Times New Roman"/>
          <w:b w:val="false"/>
          <w:sz w:val="17"/>
        </w:rPr>
      </w:pPr>
      <w:r>
        <w:rPr>
          <w:rFonts w:ascii="Times New Roman" w:hAnsi="Times New Roman"/>
          <w:b w:val="false"/>
          <w:sz w:val="17"/>
        </w:rPr>
        <w:t>(v)                                 (solely with respect to the Company and any Subsidiary that is not wholly owned) declare, set aside or pay any non-cash dividend or other distribution with respect to its capital stock or other equity interests; or redeem, purchase or otherwise acquire, in each case, other than for cash, directly or indirectly any shares of any class or series of its capital stock or other equity interests, or any instrument or security which consists of or includes a right to acquire such shares or other equity interests;</w:t>
      </w:r>
    </w:p>
    <w:p>
      <w:pPr>
        <w:pStyle w:val="Heading4"/>
        <w:spacing w:before="0" w:after="0"/>
        <w:ind w:left="0" w:right="0" w:hanging="0"/>
        <w:jc w:val="left"/>
        <w:rPr/>
      </w:pPr>
      <w:r>
        <w:rPr/>
        <w:t> </w:t>
      </w:r>
    </w:p>
    <w:p>
      <w:pPr>
        <w:pStyle w:val="Heading4"/>
        <w:spacing w:before="0" w:after="0"/>
        <w:ind w:left="0" w:right="0" w:hanging="0"/>
        <w:jc w:val="left"/>
        <w:rPr>
          <w:rFonts w:ascii="Times New Roman" w:hAnsi="Times New Roman"/>
          <w:b w:val="false"/>
          <w:sz w:val="17"/>
        </w:rPr>
      </w:pPr>
      <w:r>
        <w:rPr>
          <w:rFonts w:ascii="Times New Roman" w:hAnsi="Times New Roman"/>
          <w:b w:val="false"/>
          <w:sz w:val="17"/>
        </w:rPr>
        <w:t>(vi)                              change its accounting methods, policies or practices, except as required by GAAP;</w:t>
      </w:r>
    </w:p>
    <w:p>
      <w:pPr>
        <w:pStyle w:val="Heading4"/>
        <w:spacing w:before="0" w:after="0"/>
        <w:ind w:left="0" w:right="0" w:hanging="0"/>
        <w:jc w:val="left"/>
        <w:rPr/>
      </w:pPr>
      <w:r>
        <w:rPr/>
        <w:t> </w:t>
      </w:r>
    </w:p>
    <w:p>
      <w:pPr>
        <w:pStyle w:val="Heading4"/>
        <w:spacing w:before="0" w:after="0"/>
        <w:ind w:left="0" w:right="0" w:hanging="0"/>
        <w:jc w:val="left"/>
        <w:rPr>
          <w:rFonts w:ascii="Times New Roman" w:hAnsi="Times New Roman"/>
          <w:b w:val="false"/>
          <w:sz w:val="17"/>
        </w:rPr>
      </w:pPr>
      <w:r>
        <w:rPr>
          <w:rFonts w:ascii="Times New Roman" w:hAnsi="Times New Roman"/>
          <w:b w:val="false"/>
          <w:sz w:val="17"/>
        </w:rPr>
        <w:t>(vii)                           sell, assign, transfer, lease or otherwise dispose of any material non-current assets;</w:t>
      </w:r>
    </w:p>
    <w:p>
      <w:pPr>
        <w:pStyle w:val="Heading4"/>
        <w:spacing w:before="0" w:after="0"/>
        <w:ind w:left="0" w:right="0" w:hanging="0"/>
        <w:jc w:val="left"/>
        <w:rPr/>
      </w:pPr>
      <w:r>
        <w:rPr/>
        <w:t> </w:t>
      </w:r>
    </w:p>
    <w:p>
      <w:pPr>
        <w:pStyle w:val="Heading4"/>
        <w:spacing w:before="0" w:after="0"/>
        <w:ind w:left="0" w:right="0" w:hanging="0"/>
        <w:jc w:val="left"/>
        <w:rPr>
          <w:rFonts w:ascii="Times New Roman" w:hAnsi="Times New Roman"/>
          <w:b w:val="false"/>
          <w:sz w:val="17"/>
        </w:rPr>
      </w:pPr>
      <w:r>
        <w:rPr>
          <w:rFonts w:ascii="Times New Roman" w:hAnsi="Times New Roman"/>
          <w:b w:val="false"/>
          <w:sz w:val="17"/>
        </w:rPr>
        <w:t>(viii)                        (A) incur, create, or assume any long-term or short-term Indebtedness for Borrowed Money, (B) modify the terms of any indebtedness to increase the Companys obligations with respect thereto, (C) assume, guarantee, endorse or indemnify the obligations of any other Person, or (D) make any loans, advances or capital contributions to, or investments in, any other Person (other than by the Company to any Subsidiary, or by any Subsidiary to the Company);</w:t>
      </w:r>
    </w:p>
    <w:p>
      <w:pPr>
        <w:pStyle w:val="Heading4"/>
        <w:spacing w:before="0" w:after="0"/>
        <w:ind w:left="0" w:right="0" w:hanging="0"/>
        <w:jc w:val="left"/>
        <w:rPr/>
      </w:pPr>
      <w:r>
        <w:rPr/>
        <w:t> </w:t>
      </w:r>
    </w:p>
    <w:p>
      <w:pPr>
        <w:pStyle w:val="Heading4"/>
        <w:spacing w:before="0" w:after="0"/>
        <w:ind w:left="0" w:right="0" w:hanging="0"/>
        <w:jc w:val="left"/>
        <w:rPr>
          <w:rFonts w:ascii="Times New Roman" w:hAnsi="Times New Roman"/>
          <w:b w:val="false"/>
          <w:sz w:val="17"/>
        </w:rPr>
      </w:pPr>
      <w:r>
        <w:rPr>
          <w:rFonts w:ascii="Times New Roman" w:hAnsi="Times New Roman"/>
          <w:b w:val="false"/>
          <w:sz w:val="17"/>
        </w:rPr>
        <w:t>(ix)                                make any single capital expenditure in excess of $100,000, or any series of capital expenditures that in the aggregate exceed $1,000,000, in either case, that is or are outside the capital budget previously made available to Buyer;</w:t>
      </w:r>
    </w:p>
    <w:p>
      <w:pPr>
        <w:pStyle w:val="Heading4"/>
        <w:spacing w:before="0" w:after="0"/>
        <w:ind w:left="0" w:right="0" w:hanging="0"/>
        <w:jc w:val="left"/>
        <w:rPr/>
      </w:pPr>
      <w:r>
        <w:rPr/>
        <w:t> </w:t>
      </w:r>
    </w:p>
    <w:p>
      <w:pPr>
        <w:pStyle w:val="Heading4"/>
        <w:spacing w:before="0" w:after="0"/>
        <w:ind w:left="0" w:right="0" w:hanging="0"/>
        <w:jc w:val="left"/>
        <w:rPr>
          <w:rFonts w:ascii="Times New Roman" w:hAnsi="Times New Roman"/>
          <w:b w:val="false"/>
          <w:sz w:val="17"/>
        </w:rPr>
      </w:pPr>
      <w:r>
        <w:rPr>
          <w:rFonts w:ascii="Times New Roman" w:hAnsi="Times New Roman"/>
          <w:b w:val="false"/>
          <w:sz w:val="17"/>
        </w:rPr>
        <w:t>(x)                                   acquire, merge or consolidate with, or purchase substantially all of the assets or business of, or equity interests in, or make an investment in any Person (other than in the Company or any Subsidiary or extensions of credit to customers in the ordinary course of business consistent with past practice);</w:t>
      </w:r>
    </w:p>
    <w:p>
      <w:pPr>
        <w:pStyle w:val="Heading4"/>
        <w:spacing w:before="0" w:after="0"/>
        <w:ind w:left="0" w:right="0" w:hanging="0"/>
        <w:jc w:val="left"/>
        <w:rPr/>
      </w:pPr>
      <w:r>
        <w:rPr/>
        <w:t> </w:t>
      </w:r>
    </w:p>
    <w:p>
      <w:pPr>
        <w:pStyle w:val="Heading4"/>
        <w:spacing w:before="0" w:after="0"/>
        <w:ind w:left="0" w:right="0" w:hanging="0"/>
        <w:jc w:val="left"/>
        <w:rPr>
          <w:rFonts w:ascii="Times New Roman" w:hAnsi="Times New Roman"/>
          <w:b w:val="false"/>
          <w:sz w:val="17"/>
        </w:rPr>
      </w:pPr>
      <w:r>
        <w:rPr>
          <w:rFonts w:ascii="Times New Roman" w:hAnsi="Times New Roman"/>
          <w:b w:val="false"/>
          <w:sz w:val="17"/>
        </w:rPr>
        <w:t xml:space="preserve">(xi)                                compromise, settle, grant any waiver or release any material claims relating to any Litigation, other than settlements or compromises of Litigation where the amount paid or to be paid does not exceed $200,000 individually or $500,000 in the aggregate; </w:t>
      </w:r>
      <w:r>
        <w:rPr>
          <w:rFonts w:ascii="Times New Roman" w:hAnsi="Times New Roman"/>
          <w:b w:val="false"/>
          <w:sz w:val="17"/>
          <w:u w:val="single"/>
        </w:rPr>
        <w:t>provided</w:t>
      </w:r>
      <w:r>
        <w:rPr>
          <w:rFonts w:ascii="Times New Roman" w:hAnsi="Times New Roman"/>
          <w:b w:val="false"/>
          <w:sz w:val="17"/>
        </w:rPr>
        <w:t xml:space="preserve">, </w:t>
      </w:r>
      <w:r>
        <w:rPr>
          <w:rFonts w:ascii="Times New Roman" w:hAnsi="Times New Roman"/>
          <w:b w:val="false"/>
          <w:sz w:val="17"/>
          <w:u w:val="single"/>
        </w:rPr>
        <w:t>however</w:t>
      </w:r>
      <w:r>
        <w:rPr>
          <w:rFonts w:ascii="Times New Roman" w:hAnsi="Times New Roman"/>
          <w:b w:val="false"/>
          <w:sz w:val="17"/>
        </w:rPr>
        <w:t>, that no such compromise or</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44</w:t>
      </w:r>
    </w:p>
    <w:p>
      <w:pPr>
        <w:pStyle w:val="HorizontalLine"/>
        <w:pBdr>
          <w:bottom w:val="single" w:sz="12" w:space="0" w:color="808080"/>
        </w:pBdr>
        <w:spacing w:before="0" w:after="0"/>
        <w:jc w:val="left"/>
        <w:rPr/>
      </w:pPr>
      <w:r>
        <w:rPr/>
      </w:r>
      <w:r>
        <w:br w:type="page"/>
      </w:r>
    </w:p>
    <w:p>
      <w:pPr>
        <w:pStyle w:val="TextBody"/>
        <w:spacing w:before="0" w:after="0"/>
        <w:ind w:left="0" w:right="0" w:hanging="0"/>
        <w:jc w:val="center"/>
        <w:rPr/>
      </w:pPr>
      <w:r>
        <w:rPr/>
        <w:t> </w:t>
      </w:r>
    </w:p>
    <w:p>
      <w:pPr>
        <w:pStyle w:val="Heading4"/>
        <w:spacing w:before="0" w:after="0"/>
        <w:ind w:left="0" w:right="0" w:hanging="0"/>
        <w:jc w:val="left"/>
        <w:rPr>
          <w:rFonts w:ascii="Times New Roman" w:hAnsi="Times New Roman"/>
          <w:b w:val="false"/>
          <w:sz w:val="17"/>
        </w:rPr>
      </w:pPr>
      <w:r>
        <w:rPr>
          <w:rFonts w:ascii="Times New Roman" w:hAnsi="Times New Roman"/>
          <w:b w:val="false"/>
          <w:sz w:val="17"/>
        </w:rPr>
        <w:t>settlement shall impose any ongoing material obligation or material restriction on the Company or any of its Subsidiaries;</w:t>
      </w:r>
    </w:p>
    <w:p>
      <w:pPr>
        <w:pStyle w:val="Heading4"/>
        <w:spacing w:before="0" w:after="0"/>
        <w:ind w:left="0" w:right="0" w:hanging="0"/>
        <w:jc w:val="left"/>
        <w:rPr/>
      </w:pPr>
      <w:r>
        <w:rPr/>
        <w:t> </w:t>
      </w:r>
    </w:p>
    <w:p>
      <w:pPr>
        <w:pStyle w:val="Heading4"/>
        <w:spacing w:before="0" w:after="0"/>
        <w:ind w:left="0" w:right="0" w:hanging="0"/>
        <w:jc w:val="left"/>
        <w:rPr>
          <w:rFonts w:ascii="Times New Roman" w:hAnsi="Times New Roman"/>
          <w:b w:val="false"/>
          <w:sz w:val="17"/>
        </w:rPr>
      </w:pPr>
      <w:r>
        <w:rPr>
          <w:rFonts w:ascii="Times New Roman" w:hAnsi="Times New Roman"/>
          <w:b w:val="false"/>
          <w:sz w:val="17"/>
        </w:rPr>
        <w:t>(xii)                             mortgage, pledge, hypothecate, grant any security interest in, or otherwise subject to any other Lien, other than Permitted Liens, in the case of BGS Corp. and BGS LLC, in the ordinary course consistent with past practice, and in the case of PPEC Corp. and PPEC LLC, in the ordinary course consistent with industry practice, any material asset;</w:t>
      </w:r>
    </w:p>
    <w:p>
      <w:pPr>
        <w:pStyle w:val="Heading4"/>
        <w:spacing w:before="0" w:after="0"/>
        <w:ind w:left="0" w:right="0" w:hanging="0"/>
        <w:jc w:val="left"/>
        <w:rPr/>
      </w:pPr>
      <w:r>
        <w:rPr/>
        <w:t> </w:t>
      </w:r>
    </w:p>
    <w:p>
      <w:pPr>
        <w:pStyle w:val="Heading4"/>
        <w:spacing w:before="0" w:after="0"/>
        <w:ind w:left="0" w:right="0" w:hanging="0"/>
        <w:jc w:val="left"/>
        <w:rPr>
          <w:rFonts w:ascii="Times New Roman" w:hAnsi="Times New Roman"/>
          <w:b w:val="false"/>
          <w:sz w:val="17"/>
        </w:rPr>
      </w:pPr>
      <w:r>
        <w:rPr>
          <w:rFonts w:ascii="Times New Roman" w:hAnsi="Times New Roman"/>
          <w:b w:val="false"/>
          <w:sz w:val="17"/>
        </w:rPr>
        <w:t>(xiii)                          make, change or revoke any Tax election of the Company or any of its Subsidiaries if such election could reasonably be expected to adversely affect any of the Company or its Subsidiaries for any Post-Closing Period or any Post-Closing Portion of a Straddle Period, amend any Company Tax Return if such amendment could reasonably be expected to adversely affect any of the Company or its Subsidiaries for any Post-Closing Period or any Post-Closing Portion of a Straddle Period, settle or compromise any material Company Tax liability, consent to any extension or waiver of the statute of limitations period applicable to any Company Tax or Company Tax Return, or enter into any closing or similar agreement with respect to any Company Tax;</w:t>
      </w:r>
    </w:p>
    <w:p>
      <w:pPr>
        <w:pStyle w:val="Heading4"/>
        <w:spacing w:before="0" w:after="0"/>
        <w:ind w:left="0" w:right="0" w:hanging="0"/>
        <w:jc w:val="left"/>
        <w:rPr/>
      </w:pPr>
      <w:r>
        <w:rPr/>
        <w:t> </w:t>
      </w:r>
    </w:p>
    <w:p>
      <w:pPr>
        <w:pStyle w:val="Heading4"/>
        <w:spacing w:before="0" w:after="0"/>
        <w:ind w:left="0" w:right="0" w:hanging="0"/>
        <w:jc w:val="left"/>
        <w:rPr>
          <w:rFonts w:ascii="Times New Roman" w:hAnsi="Times New Roman"/>
          <w:b w:val="false"/>
          <w:sz w:val="17"/>
        </w:rPr>
      </w:pPr>
      <w:r>
        <w:rPr>
          <w:rFonts w:ascii="Times New Roman" w:hAnsi="Times New Roman"/>
          <w:b w:val="false"/>
          <w:sz w:val="17"/>
        </w:rPr>
        <w:t>(xiv)                         change any existing practices regarding accounts receivable or accounts payable;</w:t>
      </w:r>
    </w:p>
    <w:p>
      <w:pPr>
        <w:pStyle w:val="Heading4"/>
        <w:spacing w:before="0" w:after="0"/>
        <w:ind w:left="0" w:right="0" w:hanging="0"/>
        <w:jc w:val="left"/>
        <w:rPr/>
      </w:pPr>
      <w:r>
        <w:rPr/>
        <w:t> </w:t>
      </w:r>
    </w:p>
    <w:p>
      <w:pPr>
        <w:pStyle w:val="Heading4"/>
        <w:spacing w:before="0" w:after="0"/>
        <w:ind w:left="0" w:right="0" w:hanging="0"/>
        <w:jc w:val="left"/>
        <w:rPr>
          <w:rFonts w:ascii="Times New Roman" w:hAnsi="Times New Roman"/>
          <w:b w:val="false"/>
          <w:sz w:val="17"/>
        </w:rPr>
      </w:pPr>
      <w:r>
        <w:rPr>
          <w:rFonts w:ascii="Times New Roman" w:hAnsi="Times New Roman"/>
          <w:b w:val="false"/>
          <w:sz w:val="17"/>
        </w:rPr>
        <w:t>(xv)                            change any material Tax accounting principle, method or practice with respect to Company Taxes, except as required by law or by GAAP;</w:t>
      </w:r>
    </w:p>
    <w:p>
      <w:pPr>
        <w:pStyle w:val="Heading4"/>
        <w:spacing w:before="0" w:after="0"/>
        <w:ind w:left="0" w:right="0" w:hanging="0"/>
        <w:jc w:val="left"/>
        <w:rPr/>
      </w:pPr>
      <w:r>
        <w:rPr/>
        <w:t> </w:t>
      </w:r>
    </w:p>
    <w:p>
      <w:pPr>
        <w:pStyle w:val="Heading4"/>
        <w:spacing w:before="0" w:after="0"/>
        <w:ind w:left="0" w:right="0" w:hanging="0"/>
        <w:jc w:val="left"/>
        <w:rPr>
          <w:rFonts w:ascii="Times New Roman" w:hAnsi="Times New Roman"/>
          <w:b w:val="false"/>
          <w:sz w:val="17"/>
        </w:rPr>
      </w:pPr>
      <w:r>
        <w:rPr>
          <w:rFonts w:ascii="Times New Roman" w:hAnsi="Times New Roman"/>
          <w:b w:val="false"/>
          <w:sz w:val="17"/>
        </w:rPr>
        <w:t>(xvi)                         enter into any agreement or commitment that materially restrains, limits or impedes the Companys or any Subsidiarys ability to compete with or conduct any line of business, including geographic limitations on the Companys or any Subsidiarys activities;</w:t>
      </w:r>
    </w:p>
    <w:p>
      <w:pPr>
        <w:pStyle w:val="Heading4"/>
        <w:spacing w:before="0" w:after="0"/>
        <w:ind w:left="0" w:right="0" w:hanging="0"/>
        <w:jc w:val="left"/>
        <w:rPr/>
      </w:pPr>
      <w:r>
        <w:rPr/>
        <w:t> </w:t>
      </w:r>
    </w:p>
    <w:p>
      <w:pPr>
        <w:pStyle w:val="Heading4"/>
        <w:spacing w:before="0" w:after="0"/>
        <w:ind w:left="0" w:right="0" w:hanging="0"/>
        <w:jc w:val="left"/>
        <w:rPr>
          <w:rFonts w:ascii="Times New Roman" w:hAnsi="Times New Roman"/>
          <w:b w:val="false"/>
          <w:sz w:val="17"/>
        </w:rPr>
      </w:pPr>
      <w:r>
        <w:rPr>
          <w:rFonts w:ascii="Times New Roman" w:hAnsi="Times New Roman"/>
          <w:b w:val="false"/>
          <w:sz w:val="17"/>
        </w:rPr>
        <w:t xml:space="preserve">(xvii)                      enter into or engage in any transaction with Seller or any of its Affiliates (other than the Company or any of the Subsidiaries), except for (A) performance under storage agreements in existence as of the date of execution of this Agreement and listed in </w:t>
      </w:r>
      <w:r>
        <w:rPr>
          <w:rFonts w:ascii="Times New Roman" w:hAnsi="Times New Roman"/>
          <w:b w:val="false"/>
          <w:sz w:val="17"/>
          <w:u w:val="single"/>
        </w:rPr>
        <w:t>Schedule 4.7(a)(vi) </w:t>
      </w:r>
      <w:r>
        <w:rPr>
          <w:rFonts w:ascii="Times New Roman" w:hAnsi="Times New Roman"/>
          <w:b w:val="false"/>
          <w:sz w:val="17"/>
        </w:rPr>
        <w:t>or entered into in the ordinary course of business on an arms-length basis after the date hereof and (B) hub services transactions entered into in the ordinary course of business on an arms-length basis;</w:t>
      </w:r>
    </w:p>
    <w:p>
      <w:pPr>
        <w:pStyle w:val="Heading4"/>
        <w:spacing w:before="0" w:after="0"/>
        <w:ind w:left="0" w:right="0" w:hanging="0"/>
        <w:jc w:val="left"/>
        <w:rPr/>
      </w:pPr>
      <w:r>
        <w:rPr/>
        <w:t> </w:t>
      </w:r>
    </w:p>
    <w:p>
      <w:pPr>
        <w:pStyle w:val="Heading4"/>
        <w:spacing w:before="0" w:after="0"/>
        <w:ind w:left="0" w:right="0" w:hanging="0"/>
        <w:jc w:val="left"/>
        <w:rPr>
          <w:rFonts w:ascii="Times New Roman" w:hAnsi="Times New Roman"/>
          <w:b w:val="false"/>
          <w:sz w:val="17"/>
        </w:rPr>
      </w:pPr>
      <w:r>
        <w:rPr>
          <w:rFonts w:ascii="Times New Roman" w:hAnsi="Times New Roman"/>
          <w:b w:val="false"/>
          <w:sz w:val="17"/>
        </w:rPr>
        <w:t xml:space="preserve">(xviii)                   (A) enter into any Contract that would constitute a Material Contract, other than an interconnect agreement, storage agreement or hub services agreement entered into in the ordinary course of business consistent with past practice, (B) materially modify, amend a material term of or terminate any Material Contract, or waive or assign any of its material rights or claims under any Material Contract, or (C) modify or amend any Contract in a manner that would increase the exposure under any Company Guarantee, except as permitted under </w:t>
      </w:r>
      <w:r>
        <w:rPr>
          <w:rFonts w:ascii="Times New Roman" w:hAnsi="Times New Roman"/>
          <w:b w:val="false"/>
          <w:sz w:val="17"/>
          <w:u w:val="single"/>
        </w:rPr>
        <w:t>Section 6.6</w:t>
      </w:r>
      <w:r>
        <w:rPr>
          <w:rFonts w:ascii="Times New Roman" w:hAnsi="Times New Roman"/>
          <w:b w:val="false"/>
          <w:sz w:val="17"/>
        </w:rPr>
        <w:t>; or</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45</w:t>
      </w:r>
    </w:p>
    <w:p>
      <w:pPr>
        <w:pStyle w:val="HorizontalLine"/>
        <w:pBdr>
          <w:bottom w:val="single" w:sz="12" w:space="0" w:color="808080"/>
        </w:pBdr>
        <w:spacing w:before="0" w:after="0"/>
        <w:jc w:val="left"/>
        <w:rPr/>
      </w:pPr>
      <w:r>
        <w:rPr/>
      </w:r>
      <w:r>
        <w:br w:type="page"/>
      </w:r>
    </w:p>
    <w:p>
      <w:pPr>
        <w:pStyle w:val="TextBody"/>
        <w:spacing w:before="0" w:after="0"/>
        <w:ind w:left="0" w:right="0" w:hanging="0"/>
        <w:jc w:val="center"/>
        <w:rPr/>
      </w:pPr>
      <w:r>
        <w:rPr/>
        <w:t> </w:t>
      </w:r>
    </w:p>
    <w:p>
      <w:pPr>
        <w:pStyle w:val="Heading4"/>
        <w:spacing w:before="0" w:after="0"/>
        <w:ind w:left="0" w:right="0" w:hanging="0"/>
        <w:jc w:val="left"/>
        <w:rPr>
          <w:rFonts w:ascii="Times New Roman" w:hAnsi="Times New Roman"/>
          <w:b w:val="false"/>
          <w:sz w:val="17"/>
        </w:rPr>
      </w:pPr>
      <w:r>
        <w:rPr>
          <w:rFonts w:ascii="Times New Roman" w:hAnsi="Times New Roman"/>
          <w:b w:val="false"/>
          <w:sz w:val="17"/>
        </w:rPr>
        <w:t>(xix)                           agree, whether in writing or otherwise, to do any of the foregoing.</w:t>
      </w:r>
    </w:p>
    <w:p>
      <w:pPr>
        <w:pStyle w:val="Heading4"/>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 xml:space="preserve">Notwithstanding the foregoing, (1) Seller may permit the Company and the Subsidiaries to take commercially reasonable actions with respect to emergency situations and to comply with any applicable Law so long as Seller shall, upon receipt of notice of any such actions, promptly inform Buyer of any such emergency actions taken outside the ordinary course of business consistent with past practices and (2) if the Closing does not occur on or before October 15, 2005, Seller may cause PPEC LLC to enter into a project financing with ABN Amro Bank NV or one or more other lenders (which may include an Affiliate of the Company, and may include equity financing provided by an Affiliate of the Company) on terms and conditions reasonably satisfactory to Seller and Seller may take all such actions reasonably necessary in connection with such financing, including the pledge of the equity interests of PPEC Corp. and/or PPEC LLC; </w:t>
      </w:r>
      <w:r>
        <w:rPr>
          <w:rFonts w:ascii="Times New Roman" w:hAnsi="Times New Roman"/>
          <w:sz w:val="17"/>
          <w:u w:val="single"/>
        </w:rPr>
        <w:t>provided</w:t>
      </w:r>
      <w:r>
        <w:rPr>
          <w:rFonts w:ascii="Times New Roman" w:hAnsi="Times New Roman"/>
          <w:sz w:val="17"/>
        </w:rPr>
        <w:t xml:space="preserve"> that (A) such financing does not contain any covenant, restriction or event of default that relates to the Company, BGS Corp. or BGS LLC, (B) the execution of this Agreement or consummation of the transactions contemplated by this Agreement would not violate, conflict with or result in a breach of any provision of, constitute a default (or an event which, with notice or lapse of time or both, would constitute a default) under, or result in the termination of, or any repricing under, such financing and (C) such financing is prepayable at par, without any premium (including any make-whole premium) or prepayment penalty (or the equivalent for a sale leaseback transaction), in the event that Buyer prepays such financing within six (6) months following the Closing Date, unless neither the Company nor any Subsidiary is liable with respect to such premium or prepayment penalty (or the equivalent for a sale leaseback transaction) and the lenders sole recourse with respect to such premium or prepayment penalty (or the equivalent for a sale leaseback transaction) is against Seller.</w:t>
      </w:r>
    </w:p>
    <w:p>
      <w:pPr>
        <w:pStyle w:val="TextBody"/>
        <w:spacing w:before="0" w:after="0"/>
        <w:ind w:left="0" w:right="0" w:hanging="0"/>
        <w:jc w:val="left"/>
        <w:rPr/>
      </w:pPr>
      <w:r>
        <w:rPr/>
        <w:t> </w:t>
      </w:r>
    </w:p>
    <w:p>
      <w:pPr>
        <w:pStyle w:val="Heading2"/>
        <w:spacing w:before="0" w:after="0"/>
        <w:ind w:left="0" w:right="0" w:hanging="0"/>
        <w:jc w:val="left"/>
        <w:rPr>
          <w:rFonts w:ascii="Times New Roman" w:hAnsi="Times New Roman"/>
          <w:b w:val="false"/>
          <w:sz w:val="17"/>
        </w:rPr>
      </w:pPr>
      <w:bookmarkStart w:id="176" w:name="Section6_2_234310"/>
      <w:bookmarkEnd w:id="176"/>
      <w:r>
        <w:rPr>
          <w:rFonts w:ascii="Times New Roman" w:hAnsi="Times New Roman"/>
          <w:b w:val="false"/>
          <w:sz w:val="17"/>
        </w:rPr>
        <w:t xml:space="preserve">Section 6.2                                      </w:t>
      </w:r>
      <w:r>
        <w:rPr>
          <w:rFonts w:ascii="Times New Roman" w:hAnsi="Times New Roman"/>
          <w:b w:val="false"/>
          <w:sz w:val="17"/>
          <w:u w:val="single"/>
        </w:rPr>
        <w:t>Access</w:t>
      </w:r>
      <w:r>
        <w:rPr>
          <w:rFonts w:ascii="Times New Roman" w:hAnsi="Times New Roman"/>
          <w:b w:val="false"/>
          <w:sz w:val="17"/>
        </w:rPr>
        <w:t xml:space="preserve">.  From the date hereof through the Closing, upon the prior written request of Buyer, Seller shall afford to Buyer and its authorized Representatives reasonable access, during normal business hours and in such manner as not to unreasonably interfere with normal operation of the business of the Company and the Subsidiaries, to the properties, books, contracts, records and appropriate officers and employees of the Company and the Subsidiaries and shall furnish such authorized Representatives with all financial and operating data and other information concerning the affairs of the Company and the Subsidiaries as Buyer and such Representatives may reasonably request; </w:t>
      </w:r>
      <w:r>
        <w:rPr>
          <w:rFonts w:ascii="Times New Roman" w:hAnsi="Times New Roman"/>
          <w:b w:val="false"/>
          <w:sz w:val="17"/>
          <w:u w:val="single"/>
        </w:rPr>
        <w:t>provided</w:t>
      </w:r>
      <w:r>
        <w:rPr>
          <w:rFonts w:ascii="Times New Roman" w:hAnsi="Times New Roman"/>
          <w:b w:val="false"/>
          <w:sz w:val="17"/>
        </w:rPr>
        <w:t xml:space="preserve"> that neither Buyer nor its Representatives shall be permitted to collect or analyze any environmental samples (including building materials, indoor and outdoor air, surface and ground water, and surface and subsurface soils) without the prior written consent of Seller, which consent may be withheld by Seller in its sole discretion.  Seller shall have the right to have a Representative present at all times during any such inspections, interviews, and examinations.  Notwithstanding the foregoing and subject to, and except as provided by, </w:t>
      </w:r>
      <w:r>
        <w:rPr>
          <w:rFonts w:ascii="Times New Roman" w:hAnsi="Times New Roman"/>
          <w:b w:val="false"/>
          <w:sz w:val="17"/>
          <w:u w:val="single"/>
        </w:rPr>
        <w:t>Section 6.12</w:t>
      </w:r>
      <w:r>
        <w:rPr>
          <w:rFonts w:ascii="Times New Roman" w:hAnsi="Times New Roman"/>
          <w:b w:val="false"/>
          <w:sz w:val="17"/>
        </w:rPr>
        <w:t>, Buyer shall have no right of access to, and Seller shall have no obligation to provide to Buyer, information relating to (a) bids received from third parties in connection with the transactions contemplated by this Agreement and information and analysis (including financial analysis) relating to such bids, (b) any information the disclosure of which would jeopardize any privilege available to Seller, the Company, any Subsidiary or any Seller Affiliate relating to such information or</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46</w:t>
      </w:r>
    </w:p>
    <w:p>
      <w:pPr>
        <w:pStyle w:val="HorizontalLine"/>
        <w:pBdr>
          <w:bottom w:val="single" w:sz="12" w:space="0" w:color="808080"/>
        </w:pBdr>
        <w:spacing w:before="0" w:after="0"/>
        <w:jc w:val="left"/>
        <w:rPr/>
      </w:pPr>
      <w:r>
        <w:rPr/>
      </w:r>
      <w:r>
        <w:br w:type="page"/>
      </w:r>
    </w:p>
    <w:p>
      <w:pPr>
        <w:pStyle w:val="TextBody"/>
        <w:spacing w:before="0" w:after="0"/>
        <w:ind w:left="0" w:right="0" w:hanging="0"/>
        <w:jc w:val="center"/>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 xml:space="preserve">would cause Seller, the Company, any Subsidiary or any Seller Affiliate to breach a confidentiality obligation or (c) any information the disclosure of which would result in a violation of Law.  To the extent reasonably practicable, Seller and Buyer shall make appropriate substitute disclosure arrangements under circumstances in which the restriction of the preceding sentence apply.  Buyer and Seller shall cooperate to ensure that the provision of access hereunder to Buyer and its authorized Representatives shall comply in all respects with the FERCs Standards of Conduct for Transmission Providers set forth in 18 C.F.R. Part 358, </w:t>
      </w:r>
      <w:r>
        <w:rPr>
          <w:rFonts w:ascii="Times New Roman" w:hAnsi="Times New Roman"/>
          <w:i/>
          <w:sz w:val="17"/>
        </w:rPr>
        <w:t>et al</w:t>
      </w:r>
      <w:r>
        <w:rPr>
          <w:rFonts w:ascii="Times New Roman" w:hAnsi="Times New Roman"/>
          <w:sz w:val="17"/>
        </w:rPr>
        <w:t>.</w:t>
      </w:r>
    </w:p>
    <w:p>
      <w:pPr>
        <w:pStyle w:val="Heading2"/>
        <w:spacing w:before="0" w:after="0"/>
        <w:ind w:left="0" w:right="0" w:hanging="0"/>
        <w:jc w:val="left"/>
        <w:rPr/>
      </w:pPr>
      <w:r>
        <w:rPr/>
        <w:t> </w:t>
      </w:r>
    </w:p>
    <w:p>
      <w:pPr>
        <w:pStyle w:val="Heading2"/>
        <w:spacing w:before="0" w:after="0"/>
        <w:ind w:left="0" w:right="0" w:hanging="0"/>
        <w:jc w:val="left"/>
        <w:rPr>
          <w:rFonts w:ascii="Times New Roman" w:hAnsi="Times New Roman"/>
          <w:b w:val="false"/>
          <w:sz w:val="17"/>
        </w:rPr>
      </w:pPr>
      <w:bookmarkStart w:id="177" w:name="Section6_3_234319"/>
      <w:bookmarkEnd w:id="177"/>
      <w:r>
        <w:rPr>
          <w:rFonts w:ascii="Times New Roman" w:hAnsi="Times New Roman"/>
          <w:b w:val="false"/>
          <w:sz w:val="17"/>
        </w:rPr>
        <w:t xml:space="preserve">Section 6.3                                      </w:t>
      </w:r>
      <w:r>
        <w:rPr>
          <w:rFonts w:ascii="Times New Roman" w:hAnsi="Times New Roman"/>
          <w:b w:val="false"/>
          <w:sz w:val="17"/>
          <w:u w:val="single"/>
        </w:rPr>
        <w:t>Third-Party Approvals</w:t>
      </w:r>
      <w:r>
        <w:rPr>
          <w:rFonts w:ascii="Times New Roman" w:hAnsi="Times New Roman"/>
          <w:b w:val="false"/>
          <w:sz w:val="17"/>
        </w:rPr>
        <w:t>.  Buyer and Seller shall (and shall each cause their respective Affiliates to) use commercially reasonable efforts to obtain all material consents and approvals of third parties that any of Buyer, Seller or their respective Affiliates are required to obtain in order to consummate the transactions contemplated hereby and maintain such consents in full force and effect once obtained.</w:t>
      </w:r>
    </w:p>
    <w:p>
      <w:pPr>
        <w:pStyle w:val="Heading2"/>
        <w:spacing w:before="0" w:after="0"/>
        <w:ind w:left="0" w:right="0" w:hanging="0"/>
        <w:jc w:val="left"/>
        <w:rPr/>
      </w:pPr>
      <w:r>
        <w:rPr/>
        <w:t> </w:t>
      </w:r>
    </w:p>
    <w:p>
      <w:pPr>
        <w:pStyle w:val="Heading2"/>
        <w:spacing w:before="0" w:after="0"/>
        <w:ind w:left="0" w:right="0" w:hanging="0"/>
        <w:jc w:val="left"/>
        <w:rPr>
          <w:rFonts w:ascii="Times New Roman" w:hAnsi="Times New Roman"/>
          <w:b w:val="false"/>
          <w:sz w:val="17"/>
        </w:rPr>
      </w:pPr>
      <w:bookmarkStart w:id="178" w:name="Section6_4_234322"/>
      <w:bookmarkEnd w:id="178"/>
      <w:r>
        <w:rPr>
          <w:rFonts w:ascii="Times New Roman" w:hAnsi="Times New Roman"/>
          <w:b w:val="false"/>
          <w:sz w:val="17"/>
        </w:rPr>
        <w:t xml:space="preserve">Section 6.4                                      </w:t>
      </w:r>
      <w:r>
        <w:rPr>
          <w:rFonts w:ascii="Times New Roman" w:hAnsi="Times New Roman"/>
          <w:b w:val="false"/>
          <w:sz w:val="17"/>
          <w:u w:val="single"/>
        </w:rPr>
        <w:t>Regulatory Filings</w:t>
      </w:r>
      <w:r>
        <w:rPr>
          <w:rFonts w:ascii="Times New Roman" w:hAnsi="Times New Roman"/>
          <w:b w:val="false"/>
          <w:sz w:val="17"/>
        </w:rPr>
        <w:t>.  From the date of this Agreement until the Closing:</w:t>
      </w:r>
    </w:p>
    <w:p>
      <w:pPr>
        <w:pStyle w:val="TextBody"/>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(a)                                  each of Buyer and Seller shall, and shall cause their respective Affiliates to, (i) within five (5) Business Days after the date hereof, make or cause to be made the filings required of such party or any of its Affiliates under any Laws with respect to the transactions contemplated by this Agreement and to pay any fees due of it in connection with such filings, as promptly as is reasonably practicable, and in any event, (ii) cooperate with the other Party and furnish all information in such Partys possession that is necessary in connection with such other Partys filings, (iii) use commercially reasonable efforts to cause the expiration of the notice or waiting periods under the HSR Act and any other Laws with respect to the transactions contemplated by this Agreement as promptly as is reasonably practicable, (iv) promptly inform the other Party of any communication from or to, and any proposed understanding or agreement with, any Governmental Authority in respect of such filings, (v) consult and cooperate with the other Party in connection with any analyses, appearances, presentations, memoranda, briefs, arguments and opinions made or submitted by or on behalf of any Party in connection with all meetings, actions and proceedings with Governmental Authorities relating to such filings, (vi) comply, as promptly as is reasonably practicable, with any requests received by such Party or any of its Affiliates under the HSR Act and any other Laws for additional information, documents or other materials, (vii) use commercially reasonable efforts to resolve any objections as may be asserted by any Governmental Authority with respect to the transactions contemplated by this Agreement and (viii) use commercially reasonable efforts to contest and resist any action or proceeding instituted (or threatened in writing to be instituted) by any Governmental Authority challenging the transactions contemplated by this Agreement as violative of any Law.  If a Party intends to participate in any meeting with any Governmental Authority with respect to such filings, it shall give the other Party reasonable prior notice of, and an opportunity to observe, such meeting.</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(b)                                 Seller shall, and shall cause its Affiliates to, diligently and in good faith continue to prepare for filing with FERC an application by BGS LLC for a</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47</w:t>
      </w:r>
    </w:p>
    <w:p>
      <w:pPr>
        <w:pStyle w:val="HorizontalLine"/>
        <w:pBdr>
          <w:bottom w:val="single" w:sz="12" w:space="0" w:color="808080"/>
        </w:pBdr>
        <w:spacing w:before="0" w:after="0"/>
        <w:jc w:val="left"/>
        <w:rPr/>
      </w:pPr>
      <w:r>
        <w:rPr/>
      </w:r>
      <w:r>
        <w:br w:type="page"/>
      </w:r>
    </w:p>
    <w:p>
      <w:pPr>
        <w:pStyle w:val="TextBody"/>
        <w:spacing w:before="0" w:after="0"/>
        <w:ind w:left="0" w:right="0" w:hanging="0"/>
        <w:jc w:val="center"/>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 xml:space="preserve">certificate of public convenience and necessity under Section 7 of the Natural Gas Act to provide natural gas transportation and storage services in interstate commerce;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that neither Seller nor its Affiliates shall be obliged to make such certificate application filing prior to Closing.</w:t>
      </w:r>
    </w:p>
    <w:p>
      <w:pPr>
        <w:pStyle w:val="Heading3"/>
        <w:spacing w:before="0" w:after="0"/>
        <w:ind w:left="0" w:right="0" w:hanging="0"/>
        <w:jc w:val="left"/>
        <w:rPr/>
      </w:pPr>
      <w:r>
        <w:rPr/>
        <w:t> </w:t>
      </w:r>
    </w:p>
    <w:p>
      <w:pPr>
        <w:pStyle w:val="Heading2"/>
        <w:spacing w:before="0" w:after="0"/>
        <w:ind w:left="0" w:right="0" w:hanging="0"/>
        <w:jc w:val="left"/>
        <w:rPr>
          <w:rFonts w:ascii="Times New Roman" w:hAnsi="Times New Roman"/>
          <w:b w:val="false"/>
          <w:sz w:val="17"/>
        </w:rPr>
      </w:pPr>
      <w:bookmarkStart w:id="179" w:name="Section6_5_234325"/>
      <w:bookmarkEnd w:id="179"/>
      <w:r>
        <w:rPr>
          <w:rFonts w:ascii="Times New Roman" w:hAnsi="Times New Roman"/>
          <w:b w:val="false"/>
          <w:sz w:val="17"/>
        </w:rPr>
        <w:t xml:space="preserve">Section 6.5                                      </w:t>
      </w:r>
      <w:r>
        <w:rPr>
          <w:rFonts w:ascii="Times New Roman" w:hAnsi="Times New Roman"/>
          <w:b w:val="false"/>
          <w:sz w:val="17"/>
          <w:u w:val="single"/>
        </w:rPr>
        <w:t>Employee and Benefit Matters</w:t>
      </w:r>
      <w:r>
        <w:rPr>
          <w:rFonts w:ascii="Times New Roman" w:hAnsi="Times New Roman"/>
          <w:b w:val="false"/>
          <w:sz w:val="17"/>
        </w:rPr>
        <w:t>.</w:t>
      </w:r>
    </w:p>
    <w:p>
      <w:pPr>
        <w:pStyle w:val="TextBody"/>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 xml:space="preserve">(a)                                  On or prior to the Closing Date, Seller shall take all actions necessary, if any, to cause the Company to cease to be an adopting or participating employer under all Company Plans.  Except as expressly provided in the remaining paragraphs of this </w:t>
      </w:r>
      <w:r>
        <w:rPr>
          <w:rFonts w:ascii="Times New Roman" w:hAnsi="Times New Roman"/>
          <w:b w:val="false"/>
          <w:sz w:val="17"/>
          <w:u w:val="single"/>
        </w:rPr>
        <w:t>Section 6.5</w:t>
      </w:r>
      <w:r>
        <w:rPr>
          <w:rFonts w:ascii="Times New Roman" w:hAnsi="Times New Roman"/>
          <w:b w:val="false"/>
          <w:sz w:val="17"/>
        </w:rPr>
        <w:t>, Buyer shall not, and from and after the Closing Date the Company shall not, have any responsibility or liability with respect to Company Plans and no Continuing Employee will participate in any Company Plans after the Closing Date.</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 xml:space="preserve">(b)                                 For a period of at least one (1) year beginning on the Closing Date and subject to the remaining paragraphs of this </w:t>
      </w:r>
      <w:r>
        <w:rPr>
          <w:rFonts w:ascii="Times New Roman" w:hAnsi="Times New Roman"/>
          <w:b w:val="false"/>
          <w:sz w:val="17"/>
          <w:u w:val="single"/>
        </w:rPr>
        <w:t>Section 6.5</w:t>
      </w:r>
      <w:r>
        <w:rPr>
          <w:rFonts w:ascii="Times New Roman" w:hAnsi="Times New Roman"/>
          <w:b w:val="false"/>
          <w:sz w:val="17"/>
        </w:rPr>
        <w:t xml:space="preserve"> and an individuals continued employment with the Company, Buyer or any of their respective Affiliates, which, for purposes of this </w:t>
      </w:r>
      <w:r>
        <w:rPr>
          <w:rFonts w:ascii="Times New Roman" w:hAnsi="Times New Roman"/>
          <w:b w:val="false"/>
          <w:sz w:val="17"/>
          <w:u w:val="single"/>
        </w:rPr>
        <w:t>Section 6.5</w:t>
      </w:r>
      <w:r>
        <w:rPr>
          <w:rFonts w:ascii="Times New Roman" w:hAnsi="Times New Roman"/>
          <w:b w:val="false"/>
          <w:sz w:val="17"/>
        </w:rPr>
        <w:t xml:space="preserve">, shall include Plains All American Pipeline, L.P. and its subsidiaries, Buyer or one of its respective Affiliates shall provide the Continuing Employee with salaries, incentives opportunities and benefit plans, programs and arrangements no less favorable in the aggregate than those provided to similarly situated employees of Buyer. No provision of this Agreement (other than </w:t>
      </w:r>
      <w:r>
        <w:rPr>
          <w:rFonts w:ascii="Times New Roman" w:hAnsi="Times New Roman"/>
          <w:b w:val="false"/>
          <w:sz w:val="17"/>
          <w:u w:val="single"/>
        </w:rPr>
        <w:t>Section 6.5(h) </w:t>
      </w:r>
      <w:r>
        <w:rPr>
          <w:rFonts w:ascii="Times New Roman" w:hAnsi="Times New Roman"/>
          <w:b w:val="false"/>
          <w:sz w:val="17"/>
        </w:rPr>
        <w:t>below) shall be construed to limit the authority of Buyer and its Affiliates to discontinue, suspend or modify any particular benefit or compensation program provided to Continuing Employees at any time after the Closing Date, or to terminate employment of any Continuing Employee at any time after the Closing Date.</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(c)                                  Buyer or one of its respective Affiliates shall waive any waiting periods and limitations regarding pre-existing conditions under any welfare or other employee benefit plan under which Continuing Employees may participate following the Closing except to the extent such waiting periods and limitations were applicable to such employees under a comparable plan prior to the Closing Date.  Any amounts paid under any Company Plan by a Continuing Employee for deductibles and copayments during the plan year in which the Closing Date occurs shall be credited toward deductibles and out-of-pocket limits under any medical plan of Buyer or any of its Affiliates under which Continuing Employees may participate following the Closing.</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(d)                                 Seller shall permit each Continuing Employee to elect on the Closing Date (or as soon thereafter as reasonably practicable) a direct rollover of his or her rolloverable account balance under the Seller Savings Plan to a Buyer Savings Plan.  Buyer shall cause the Buyer Savings Plan to accept the direct rollover of electing Continuing Employees benefits in cash and, if applicable, any promissory notes from the Seller Savings Plan.  The foregoing obligations of each party are contingent upon each party providing reasonable satisfaction to the other consistent with the regulations under Section 401(a)(31) of the Code that its respective savings plan meets the requirements for qualification under Section 401(a) of the Code at the time of the proposed rollover.</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48</w:t>
      </w:r>
    </w:p>
    <w:p>
      <w:pPr>
        <w:pStyle w:val="HorizontalLine"/>
        <w:pBdr>
          <w:bottom w:val="single" w:sz="12" w:space="0" w:color="808080"/>
        </w:pBdr>
        <w:spacing w:before="0" w:after="0"/>
        <w:jc w:val="left"/>
        <w:rPr/>
      </w:pPr>
      <w:r>
        <w:rPr/>
      </w:r>
      <w:r>
        <w:br w:type="page"/>
      </w:r>
    </w:p>
    <w:p>
      <w:pPr>
        <w:pStyle w:val="TextBody"/>
        <w:spacing w:before="0" w:after="0"/>
        <w:ind w:left="0" w:right="0" w:hanging="0"/>
        <w:jc w:val="center"/>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 xml:space="preserve">(e)                                  Buyer or its Affiliate shall recognize service of Continuing Employees with the Company, for purposes of eligibility, vesting credit and entitlement to benefits, but not for purposes of benefit accrual, under any employee benefit plans in which such employees may be eligible to participate after the Closing Date; </w:t>
      </w:r>
      <w:r>
        <w:rPr>
          <w:rFonts w:ascii="Times New Roman" w:hAnsi="Times New Roman"/>
          <w:b w:val="false"/>
          <w:sz w:val="17"/>
          <w:u w:val="single"/>
        </w:rPr>
        <w:t>provided</w:t>
      </w:r>
      <w:r>
        <w:rPr>
          <w:rFonts w:ascii="Times New Roman" w:hAnsi="Times New Roman"/>
          <w:b w:val="false"/>
          <w:sz w:val="17"/>
        </w:rPr>
        <w:t xml:space="preserve"> that the foregoing shall not apply to the extent it would result in duplication of benefits with respect to the same period of service.</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(f)                                    Claims of Continuing Employees and their eligible beneficiaries and dependents for medical, dental, prescription drug, life insurance, and/or other welfare benefits (collectively, </w:t>
      </w:r>
      <w:r>
        <w:rPr>
          <w:rFonts w:ascii="Times New Roman" w:hAnsi="Times New Roman"/>
          <w:b w:val="false"/>
          <w:sz w:val="17"/>
          <w:u w:val="single"/>
        </w:rPr>
        <w:t>Welfare Benefits</w:t>
      </w:r>
      <w:r>
        <w:rPr>
          <w:rFonts w:ascii="Times New Roman" w:hAnsi="Times New Roman"/>
          <w:b w:val="false"/>
          <w:sz w:val="17"/>
        </w:rPr>
        <w:t>) (other than disability benefits) that are incurred before the Closing Date shall be the sole responsibility of the Seller and the Company Plan.  For purposes of the preceding provisions of this paragraph, a medical/dental claim shall be considered incurred on the date when the medical/dental services are rendered or medical/dental supplies are provided, and not when the condition arose or when the course of treatment began.  Claims of individuals receiving (i) short-term or long-term disability benefits under a Company Plan as of the Closing Date or (ii) short-term disability benefits and who become eligible to receive a long-term disability benefit upon expiration of such short-term disability leave following the Closing Date shall be the sole responsibility of Seller and the Company Plan.</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(g)                                 Seller shall continue to be responsible for any continuation healthcare coverage requirements of Section 4980D of the Code and Sections 601 through 608 of ERISA (</w:t>
      </w:r>
      <w:r>
        <w:rPr>
          <w:rFonts w:ascii="Times New Roman" w:hAnsi="Times New Roman"/>
          <w:b w:val="false"/>
          <w:sz w:val="17"/>
          <w:u w:val="single"/>
        </w:rPr>
        <w:t>COBRA</w:t>
      </w:r>
      <w:r>
        <w:rPr>
          <w:rFonts w:ascii="Times New Roman" w:hAnsi="Times New Roman"/>
          <w:b w:val="false"/>
          <w:sz w:val="17"/>
        </w:rPr>
        <w:t>) (including the provision of any COBRA notices) with respect to any Continuing Employee who has a qualifying event occurring prior to the Closing Date.</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 xml:space="preserve">(h)                                 For a period of sixty (60) days after the Closing Date, Buyer shall not effect any termination or layoff that results in an employment loss (as that term is defined in the WARN Act) during any thirty (30) day period of more than thirty-three percent (33%) of the Continuing Employees working full-time.  For purposes of this </w:t>
      </w:r>
      <w:r>
        <w:rPr>
          <w:rFonts w:ascii="Times New Roman" w:hAnsi="Times New Roman"/>
          <w:b w:val="false"/>
          <w:sz w:val="17"/>
          <w:u w:val="single"/>
        </w:rPr>
        <w:t>Section 6.5(h)</w:t>
      </w:r>
      <w:r>
        <w:rPr>
          <w:rFonts w:ascii="Times New Roman" w:hAnsi="Times New Roman"/>
          <w:b w:val="false"/>
          <w:sz w:val="17"/>
        </w:rPr>
        <w:t>, the number of employees shall be based on the number of Continuing Employees at the Closing Date.</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(i)                                     Nothing contained herein: (i) shall confer upon any former, current or future employee of the Company or any legal representative or beneficiary thereof, including any labor union or collective bargaining representative, any rights or remedies, including any right to employment or continued employment of any nature, for any specified period; or (ii) shall cause the employment status of any former, present or future employee of Buyer to be other than terminable at will.</w:t>
      </w:r>
    </w:p>
    <w:p>
      <w:pPr>
        <w:pStyle w:val="Heading3"/>
        <w:spacing w:before="0" w:after="0"/>
        <w:ind w:left="0" w:right="0" w:hanging="0"/>
        <w:jc w:val="left"/>
        <w:rPr/>
      </w:pPr>
      <w:r>
        <w:rPr/>
        <w:t> </w:t>
      </w:r>
    </w:p>
    <w:p>
      <w:pPr>
        <w:pStyle w:val="Heading2"/>
        <w:spacing w:before="0" w:after="0"/>
        <w:ind w:left="0" w:right="0" w:hanging="0"/>
        <w:jc w:val="left"/>
        <w:rPr>
          <w:rFonts w:ascii="Times New Roman" w:hAnsi="Times New Roman"/>
          <w:b w:val="false"/>
          <w:sz w:val="17"/>
        </w:rPr>
      </w:pPr>
      <w:bookmarkStart w:id="180" w:name="Section6_6_234343"/>
      <w:bookmarkEnd w:id="180"/>
      <w:r>
        <w:rPr>
          <w:rFonts w:ascii="Times New Roman" w:hAnsi="Times New Roman"/>
          <w:b w:val="false"/>
          <w:sz w:val="17"/>
        </w:rPr>
        <w:t xml:space="preserve">Section 6.6                                      </w:t>
      </w:r>
      <w:r>
        <w:rPr>
          <w:rFonts w:ascii="Times New Roman" w:hAnsi="Times New Roman"/>
          <w:b w:val="false"/>
          <w:sz w:val="17"/>
          <w:u w:val="single"/>
        </w:rPr>
        <w:t>Company Guarantees</w:t>
      </w:r>
      <w:r>
        <w:rPr>
          <w:rFonts w:ascii="Times New Roman" w:hAnsi="Times New Roman"/>
          <w:b w:val="false"/>
          <w:sz w:val="17"/>
        </w:rPr>
        <w:t>.</w:t>
      </w:r>
    </w:p>
    <w:p>
      <w:pPr>
        <w:pStyle w:val="TextBody"/>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 xml:space="preserve">(a)                                  Seller shall be permitted to update and amend </w:t>
      </w:r>
      <w:r>
        <w:rPr>
          <w:rFonts w:ascii="Times New Roman" w:hAnsi="Times New Roman"/>
          <w:b w:val="false"/>
          <w:sz w:val="17"/>
          <w:u w:val="single"/>
        </w:rPr>
        <w:t>Schedule 6.6(a) </w:t>
      </w:r>
      <w:r>
        <w:rPr>
          <w:rFonts w:ascii="Times New Roman" w:hAnsi="Times New Roman"/>
          <w:b w:val="false"/>
          <w:sz w:val="17"/>
        </w:rPr>
        <w:t xml:space="preserve">between the date of this Agreement and the Closing (i) to reflect any increase in the amount of exposure under any guarantee set forth on </w:t>
      </w:r>
      <w:r>
        <w:rPr>
          <w:rFonts w:ascii="Times New Roman" w:hAnsi="Times New Roman"/>
          <w:b w:val="false"/>
          <w:sz w:val="17"/>
          <w:u w:val="single"/>
        </w:rPr>
        <w:t>Schedule 6.6(a) </w:t>
      </w:r>
      <w:r>
        <w:rPr>
          <w:rFonts w:ascii="Times New Roman" w:hAnsi="Times New Roman"/>
          <w:b w:val="false"/>
          <w:sz w:val="17"/>
        </w:rPr>
        <w:t>on the date of this Agreement (which may include an increase in the guaranteed amounts) by an aggregate amount for all such Company Guarantees not to exceed a Dollar amount equivalent to 1</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49</w:t>
      </w:r>
    </w:p>
    <w:p>
      <w:pPr>
        <w:pStyle w:val="HorizontalLine"/>
        <w:pBdr>
          <w:bottom w:val="single" w:sz="12" w:space="0" w:color="808080"/>
        </w:pBdr>
        <w:spacing w:before="0" w:after="0"/>
        <w:jc w:val="left"/>
        <w:rPr/>
      </w:pPr>
      <w:r>
        <w:rPr/>
      </w:r>
      <w:r>
        <w:br w:type="page"/>
      </w:r>
    </w:p>
    <w:p>
      <w:pPr>
        <w:pStyle w:val="TextBody"/>
        <w:spacing w:before="0" w:after="0"/>
        <w:ind w:left="0" w:right="0" w:hanging="0"/>
        <w:jc w:val="center"/>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 xml:space="preserve">Bcf of natural gas, based upon the applicable forward NYMEX price curve, to the extent such increased exposure results from any Contract or Contracts for gas storage entered into or amended by the Company or any Subsidiary in the ordinary course of business after the date of this Agreement; </w:t>
      </w:r>
      <w:r>
        <w:rPr>
          <w:rFonts w:ascii="Times New Roman" w:hAnsi="Times New Roman"/>
          <w:sz w:val="17"/>
          <w:u w:val="single"/>
        </w:rPr>
        <w:t>provided</w:t>
      </w:r>
      <w:r>
        <w:rPr>
          <w:rFonts w:ascii="Times New Roman" w:hAnsi="Times New Roman"/>
          <w:sz w:val="17"/>
        </w:rPr>
        <w:t xml:space="preserve"> that any such Contract expires on or before March 31, 2006, and (ii) to include any  guarantee provided by Seller after the date of this Agreement in accordance with </w:t>
      </w:r>
      <w:r>
        <w:rPr>
          <w:rFonts w:ascii="Times New Roman" w:hAnsi="Times New Roman"/>
          <w:sz w:val="17"/>
          <w:u w:val="single"/>
        </w:rPr>
        <w:t>Section 6.6(b)</w:t>
      </w:r>
      <w:r>
        <w:rPr>
          <w:rFonts w:ascii="Times New Roman" w:hAnsi="Times New Roman"/>
          <w:sz w:val="17"/>
        </w:rPr>
        <w:t xml:space="preserve">.  Any guarantee entered into in accordance with  </w:t>
      </w:r>
      <w:r>
        <w:rPr>
          <w:rFonts w:ascii="Times New Roman" w:hAnsi="Times New Roman"/>
          <w:sz w:val="17"/>
          <w:u w:val="single"/>
        </w:rPr>
        <w:t>Section 6.6(b) </w:t>
      </w:r>
      <w:r>
        <w:rPr>
          <w:rFonts w:ascii="Times New Roman" w:hAnsi="Times New Roman"/>
          <w:sz w:val="17"/>
        </w:rPr>
        <w:t xml:space="preserve">and included in an amendment to </w:t>
      </w:r>
      <w:r>
        <w:rPr>
          <w:rFonts w:ascii="Times New Roman" w:hAnsi="Times New Roman"/>
          <w:sz w:val="17"/>
          <w:u w:val="single"/>
        </w:rPr>
        <w:t>Schedule 6.6(a) </w:t>
      </w:r>
      <w:r>
        <w:rPr>
          <w:rFonts w:ascii="Times New Roman" w:hAnsi="Times New Roman"/>
          <w:sz w:val="17"/>
        </w:rPr>
        <w:t>pursuant to clause (ii) of the immediately preceding sentence on or prior to the Closing, shall be deemed a Company Guarantee for all purposes of this Agreement.</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 xml:space="preserve">(b)                                 During the forty-five (45) day period following the date of this Agreement, Seller shall be permitted to update and amend </w:t>
      </w:r>
      <w:r>
        <w:rPr>
          <w:rFonts w:ascii="Times New Roman" w:hAnsi="Times New Roman"/>
          <w:b w:val="false"/>
          <w:sz w:val="17"/>
          <w:u w:val="single"/>
        </w:rPr>
        <w:t>Schedule 6.6(a) </w:t>
      </w:r>
      <w:r>
        <w:rPr>
          <w:rFonts w:ascii="Times New Roman" w:hAnsi="Times New Roman"/>
          <w:b w:val="false"/>
          <w:sz w:val="17"/>
        </w:rPr>
        <w:t xml:space="preserve">to include new guarantees (but not letters of credit) entered into by Seller or any of its Affiliates in connection with construction contracts, obligations to vendors or purchase orders entered into by the Company or any Subsidiary in connection with the Project and consistent with the development budget set forth and described on </w:t>
      </w:r>
      <w:r>
        <w:rPr>
          <w:rFonts w:ascii="Times New Roman" w:hAnsi="Times New Roman"/>
          <w:b w:val="false"/>
          <w:sz w:val="17"/>
          <w:u w:val="single"/>
        </w:rPr>
        <w:t>Schedule 6.1</w:t>
      </w:r>
      <w:r>
        <w:rPr>
          <w:rFonts w:ascii="Times New Roman" w:hAnsi="Times New Roman"/>
          <w:b w:val="false"/>
          <w:sz w:val="17"/>
        </w:rPr>
        <w:t xml:space="preserve">, with Buyers written consent, such consent not to be unreasonably withheld, and after such forty-five (45) day period, Seller shall be permitted to update and amend </w:t>
      </w:r>
      <w:r>
        <w:rPr>
          <w:rFonts w:ascii="Times New Roman" w:hAnsi="Times New Roman"/>
          <w:b w:val="false"/>
          <w:sz w:val="17"/>
          <w:u w:val="single"/>
        </w:rPr>
        <w:t>Schedule 6.6(a) </w:t>
      </w:r>
      <w:r>
        <w:rPr>
          <w:rFonts w:ascii="Times New Roman" w:hAnsi="Times New Roman"/>
          <w:b w:val="false"/>
          <w:sz w:val="17"/>
        </w:rPr>
        <w:t xml:space="preserve">to include any new guarantees (but not letters of credit) entered into by Seller or any of its Affiliates without Buyers consent in connection with construction contracts, obligations to vendors or purchase orders entered into by the Company or any Subsidiary in connection with the Project and consistent with the development budget set forth and described on </w:t>
      </w:r>
      <w:r>
        <w:rPr>
          <w:rFonts w:ascii="Times New Roman" w:hAnsi="Times New Roman"/>
          <w:b w:val="false"/>
          <w:sz w:val="17"/>
          <w:u w:val="single"/>
        </w:rPr>
        <w:t>Schedule 6.1</w:t>
      </w:r>
      <w:r>
        <w:rPr>
          <w:rFonts w:ascii="Times New Roman" w:hAnsi="Times New Roman"/>
          <w:b w:val="false"/>
          <w:sz w:val="17"/>
        </w:rPr>
        <w:t xml:space="preserve">; </w:t>
      </w:r>
      <w:r>
        <w:rPr>
          <w:rFonts w:ascii="Times New Roman" w:hAnsi="Times New Roman"/>
          <w:b w:val="false"/>
          <w:sz w:val="17"/>
          <w:u w:val="single"/>
        </w:rPr>
        <w:t>provided</w:t>
      </w:r>
      <w:r>
        <w:rPr>
          <w:rFonts w:ascii="Times New Roman" w:hAnsi="Times New Roman"/>
          <w:b w:val="false"/>
          <w:sz w:val="17"/>
        </w:rPr>
        <w:t xml:space="preserve"> that, in respect of such guarantees entered into after forty-five (45) days from the date of this Agreement, Seller shall use commercially reasonable efforts to (i) limit the amount of exposure under any such guarantee to the maximum progress payment under the underlying contract, obligation or purchase order and (ii) limit the guarantee in favor of the counterparty to the underlying contract, obligation or purchase order to a guarantee from the Company and/or the Subsidiaries only and not from Seller or any of its Affiliates.</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 xml:space="preserve">(c)                                  For the avoidance of doubt, no guarantee, letter of credit, bond, surety or other credit support or assurance provided by Seller or any of its Affiliates in support of obligations of the Company or any Subsidiary which is not set forth on </w:t>
      </w:r>
      <w:r>
        <w:rPr>
          <w:rFonts w:ascii="Times New Roman" w:hAnsi="Times New Roman"/>
          <w:b w:val="false"/>
          <w:sz w:val="17"/>
          <w:u w:val="single"/>
        </w:rPr>
        <w:t>Schedule 6.6(a) </w:t>
      </w:r>
      <w:r>
        <w:rPr>
          <w:rFonts w:ascii="Times New Roman" w:hAnsi="Times New Roman"/>
          <w:b w:val="false"/>
          <w:sz w:val="17"/>
        </w:rPr>
        <w:t xml:space="preserve">as of the date of this Agreement or as such schedule may be amended in accordance with </w:t>
      </w:r>
      <w:r>
        <w:rPr>
          <w:rFonts w:ascii="Times New Roman" w:hAnsi="Times New Roman"/>
          <w:b w:val="false"/>
          <w:sz w:val="17"/>
          <w:u w:val="single"/>
        </w:rPr>
        <w:t>Section 6.6(a)</w:t>
      </w:r>
      <w:r>
        <w:rPr>
          <w:rFonts w:ascii="Times New Roman" w:hAnsi="Times New Roman"/>
          <w:b w:val="false"/>
          <w:sz w:val="17"/>
        </w:rPr>
        <w:t>, whether such guarantee, letter of credit, bond, surety or other credit support or assurance was entered into or effective before or after the date of this Agreement, shall constitute a Company Guarantee.</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(d)                                 From and after the Closing Buyer shall not, and shall cause the Company and the Subsidiaries not to, amend, restate, extend, renew or otherwise change any Contract containing obligations covered under any Company Guarantee surviving the Closing if such amendment, restatement, extension, renewal or other change could result in an increase of the amount of the obligations existing under such Contract at the Closing.</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(e)                                  In the event Seller receives notice of a claim under any Company Guarantee surviving the Closing, Buyer shall, and shall cause the Company, the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50</w:t>
      </w:r>
    </w:p>
    <w:p>
      <w:pPr>
        <w:pStyle w:val="HorizontalLine"/>
        <w:pBdr>
          <w:bottom w:val="single" w:sz="12" w:space="0" w:color="808080"/>
        </w:pBdr>
        <w:spacing w:before="0" w:after="0"/>
        <w:jc w:val="left"/>
        <w:rPr/>
      </w:pPr>
      <w:r>
        <w:rPr/>
      </w:r>
      <w:r>
        <w:br w:type="page"/>
      </w:r>
    </w:p>
    <w:p>
      <w:pPr>
        <w:pStyle w:val="TextBody"/>
        <w:spacing w:before="0" w:after="0"/>
        <w:ind w:left="0" w:right="0" w:hanging="0"/>
        <w:jc w:val="center"/>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Subsidiaries and any of its Affiliates to afford to Seller and its Representatives reasonable access to the properties, books, records, employees and auditors of or relating to the Company and the Subsidiaries to the extent necessary to permit Seller to determine any matter relating to its rights and obligations under such guarantee.</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(f)                                    The Parties acknowledge and agree that at any time on or after the Closing Date, any of Seller and its Affiliates may, in its sole discretion, take any action to terminate, obtain release of or otherwise limit its liability under any and all outstanding Company Guarantees.</w:t>
      </w:r>
    </w:p>
    <w:p>
      <w:pPr>
        <w:pStyle w:val="Heading3"/>
        <w:spacing w:before="0" w:after="0"/>
        <w:ind w:left="0" w:right="0" w:hanging="0"/>
        <w:jc w:val="left"/>
        <w:rPr/>
      </w:pPr>
      <w:r>
        <w:rPr/>
        <w:t> </w:t>
      </w:r>
    </w:p>
    <w:p>
      <w:pPr>
        <w:pStyle w:val="Heading2"/>
        <w:spacing w:before="0" w:after="0"/>
        <w:ind w:left="0" w:right="0" w:hanging="0"/>
        <w:jc w:val="left"/>
        <w:rPr>
          <w:rFonts w:ascii="Times New Roman" w:hAnsi="Times New Roman"/>
          <w:b w:val="false"/>
          <w:sz w:val="17"/>
        </w:rPr>
      </w:pPr>
      <w:bookmarkStart w:id="181" w:name="Section6_7_234333"/>
      <w:bookmarkEnd w:id="181"/>
      <w:r>
        <w:rPr>
          <w:rFonts w:ascii="Times New Roman" w:hAnsi="Times New Roman"/>
          <w:b w:val="false"/>
          <w:sz w:val="17"/>
        </w:rPr>
        <w:t xml:space="preserve">Section 6.7                                      </w:t>
      </w:r>
      <w:r>
        <w:rPr>
          <w:rFonts w:ascii="Times New Roman" w:hAnsi="Times New Roman"/>
          <w:b w:val="false"/>
          <w:sz w:val="17"/>
          <w:u w:val="single"/>
        </w:rPr>
        <w:t>Intercompany Accounts</w:t>
      </w:r>
      <w:r>
        <w:rPr>
          <w:rFonts w:ascii="Times New Roman" w:hAnsi="Times New Roman"/>
          <w:b w:val="false"/>
          <w:sz w:val="17"/>
        </w:rPr>
        <w:t>.  Prior to the Closing, Seller shall have caused all intercompany accounts between the Company or any Subsidiary, on the one hand, and Seller and its Affiliates (except the Company and the Subsidiaries) on the other hand, to have been converted to equity or be eliminated without the transfer of cash or other assets from the Company or any Subsidiary and without the Company or any Subsidiary incurring or retaining any liability with respect thereto.</w:t>
      </w:r>
    </w:p>
    <w:p>
      <w:pPr>
        <w:pStyle w:val="Heading2"/>
        <w:spacing w:before="0" w:after="0"/>
        <w:ind w:left="0" w:right="0" w:hanging="0"/>
        <w:jc w:val="left"/>
        <w:rPr/>
      </w:pPr>
      <w:r>
        <w:rPr/>
        <w:t> </w:t>
      </w:r>
    </w:p>
    <w:p>
      <w:pPr>
        <w:pStyle w:val="Heading2"/>
        <w:spacing w:before="0" w:after="0"/>
        <w:ind w:left="0" w:right="0" w:hanging="0"/>
        <w:jc w:val="left"/>
        <w:rPr>
          <w:rFonts w:ascii="Times New Roman" w:hAnsi="Times New Roman"/>
          <w:b w:val="false"/>
          <w:sz w:val="17"/>
        </w:rPr>
      </w:pPr>
      <w:bookmarkStart w:id="182" w:name="Section6_8_234348"/>
      <w:bookmarkEnd w:id="182"/>
      <w:r>
        <w:rPr>
          <w:rFonts w:ascii="Times New Roman" w:hAnsi="Times New Roman"/>
          <w:b w:val="false"/>
          <w:sz w:val="17"/>
        </w:rPr>
        <w:t xml:space="preserve">Section 6.8                                      </w:t>
      </w:r>
      <w:r>
        <w:rPr>
          <w:rFonts w:ascii="Times New Roman" w:hAnsi="Times New Roman"/>
          <w:b w:val="false"/>
          <w:sz w:val="17"/>
          <w:u w:val="single"/>
        </w:rPr>
        <w:t>Notice of Failure of Closing Conditions</w:t>
      </w:r>
      <w:r>
        <w:rPr>
          <w:rFonts w:ascii="Times New Roman" w:hAnsi="Times New Roman"/>
          <w:b w:val="false"/>
          <w:sz w:val="17"/>
        </w:rPr>
        <w:t>.  Prior to the Closing, each of Buyer and Seller shall give the other party prompt written notice of any development that is reasonably likely to result in a failure of a condition to the Closing.</w:t>
      </w:r>
    </w:p>
    <w:p>
      <w:pPr>
        <w:pStyle w:val="Heading2"/>
        <w:spacing w:before="0" w:after="0"/>
        <w:ind w:left="0" w:right="0" w:hanging="0"/>
        <w:jc w:val="left"/>
        <w:rPr/>
      </w:pPr>
      <w:r>
        <w:rPr/>
        <w:t> </w:t>
      </w:r>
    </w:p>
    <w:p>
      <w:pPr>
        <w:pStyle w:val="Heading2"/>
        <w:spacing w:before="0" w:after="0"/>
        <w:ind w:left="0" w:right="0" w:hanging="0"/>
        <w:jc w:val="left"/>
        <w:rPr>
          <w:rFonts w:ascii="Times New Roman" w:hAnsi="Times New Roman"/>
          <w:b w:val="false"/>
          <w:sz w:val="17"/>
        </w:rPr>
      </w:pPr>
      <w:bookmarkStart w:id="183" w:name="Section6_9_234350"/>
      <w:bookmarkEnd w:id="183"/>
      <w:r>
        <w:rPr>
          <w:rFonts w:ascii="Times New Roman" w:hAnsi="Times New Roman"/>
          <w:b w:val="false"/>
          <w:sz w:val="17"/>
        </w:rPr>
        <w:t xml:space="preserve">Section 6.9                                      </w:t>
      </w:r>
      <w:r>
        <w:rPr>
          <w:rFonts w:ascii="Times New Roman" w:hAnsi="Times New Roman"/>
          <w:b w:val="false"/>
          <w:sz w:val="17"/>
          <w:u w:val="single"/>
        </w:rPr>
        <w:t>Seller Marks</w:t>
      </w:r>
      <w:r>
        <w:rPr>
          <w:rFonts w:ascii="Times New Roman" w:hAnsi="Times New Roman"/>
          <w:b w:val="false"/>
          <w:sz w:val="17"/>
        </w:rPr>
        <w:t>.  Buyer shall obtain no right, title, interest, license or any other right whatsoever to use the words Sempra, Sempra Energy, Sempra Energy Trading, Sempra Commodities, the Sempra Energy logo which depicts a red person carrying a blue flame or any trademarks containing or comprising the foregoing, or any trademark confusingly similar thereto or dilutive thereof (collectively, the </w:t>
      </w:r>
      <w:r>
        <w:rPr>
          <w:rFonts w:ascii="Times New Roman" w:hAnsi="Times New Roman"/>
          <w:b w:val="false"/>
          <w:sz w:val="17"/>
          <w:u w:val="single"/>
        </w:rPr>
        <w:t>Seller Marks</w:t>
      </w:r>
      <w:r>
        <w:rPr>
          <w:rFonts w:ascii="Times New Roman" w:hAnsi="Times New Roman"/>
          <w:b w:val="false"/>
          <w:sz w:val="17"/>
        </w:rPr>
        <w:t>).  Within sixty (60) days after the Closing, Buyer shall (a) cause the Company and each Subsidiary to cease using the Seller Marks in any manner, directly or indirectly, except for such limited uses as cannot be promptly terminated (</w:t>
      </w:r>
      <w:r>
        <w:rPr>
          <w:rFonts w:ascii="Times New Roman" w:hAnsi="Times New Roman"/>
          <w:b w:val="false"/>
          <w:i/>
          <w:sz w:val="17"/>
        </w:rPr>
        <w:t>e.g.</w:t>
      </w:r>
      <w:r>
        <w:rPr>
          <w:rFonts w:ascii="Times New Roman" w:hAnsi="Times New Roman"/>
          <w:b w:val="false"/>
          <w:sz w:val="17"/>
        </w:rPr>
        <w:t>, signage, e-mail addresses, and as a referral or pointer to the acquired website), and to cease such limited usage of the Seller Marks as promptly as possible after the Closing, (b) remove, strike over or otherwise obliterate all Seller Marks from all assets and all other materials owned, possessed or used by the Company or any Subsidiary and (c) use commercially reasonable efforts to cause any third parties using or licensing Seller Marks on behalf of or with the consent of the Company or any Subsidiary, to remove, strike over or otherwise obliterate all Seller Marks from all materials owned, possessed or used by such third parties.  The Parties agree, because damages would be an inadequate remedy, that Seller shall be entitled to seek specific performance and injunctive relief as remedies for any breach thereof in addition to other remedies available at law or in equity.</w:t>
      </w:r>
    </w:p>
    <w:p>
      <w:pPr>
        <w:pStyle w:val="Heading2"/>
        <w:spacing w:before="0" w:after="0"/>
        <w:ind w:left="0" w:right="0" w:hanging="0"/>
        <w:jc w:val="left"/>
        <w:rPr/>
      </w:pPr>
      <w:r>
        <w:rPr/>
        <w:t> </w:t>
      </w:r>
    </w:p>
    <w:p>
      <w:pPr>
        <w:pStyle w:val="Heading2"/>
        <w:spacing w:before="0" w:after="0"/>
        <w:ind w:left="0" w:right="0" w:hanging="0"/>
        <w:jc w:val="left"/>
        <w:rPr>
          <w:rFonts w:ascii="Times New Roman" w:hAnsi="Times New Roman"/>
          <w:b w:val="false"/>
          <w:sz w:val="17"/>
        </w:rPr>
      </w:pPr>
      <w:bookmarkStart w:id="184" w:name="Section6_10_234353"/>
      <w:bookmarkEnd w:id="184"/>
      <w:r>
        <w:rPr>
          <w:rFonts w:ascii="Times New Roman" w:hAnsi="Times New Roman"/>
          <w:b w:val="false"/>
          <w:sz w:val="17"/>
        </w:rPr>
        <w:t xml:space="preserve">Section 6.10                                </w:t>
      </w:r>
      <w:r>
        <w:rPr>
          <w:rFonts w:ascii="Times New Roman" w:hAnsi="Times New Roman"/>
          <w:b w:val="false"/>
          <w:sz w:val="17"/>
          <w:u w:val="single"/>
        </w:rPr>
        <w:t>Books and Records</w:t>
      </w:r>
      <w:r>
        <w:rPr>
          <w:rFonts w:ascii="Times New Roman" w:hAnsi="Times New Roman"/>
          <w:b w:val="false"/>
          <w:sz w:val="17"/>
        </w:rPr>
        <w:t>.  From and after the Closing:</w:t>
      </w:r>
    </w:p>
    <w:p>
      <w:pPr>
        <w:pStyle w:val="TextBody"/>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 xml:space="preserve">(a)                                  Within fifteen (15) days after the Closing Date, Seller shall deliver to Buyer all Records in the possession of Seller; </w:t>
      </w:r>
      <w:r>
        <w:rPr>
          <w:rFonts w:ascii="Times New Roman" w:hAnsi="Times New Roman"/>
          <w:b w:val="false"/>
          <w:sz w:val="17"/>
          <w:u w:val="single"/>
        </w:rPr>
        <w:t>provided</w:t>
      </w:r>
      <w:r>
        <w:rPr>
          <w:rFonts w:ascii="Times New Roman" w:hAnsi="Times New Roman"/>
          <w:b w:val="false"/>
          <w:sz w:val="17"/>
        </w:rPr>
        <w:t xml:space="preserve">, </w:t>
      </w:r>
      <w:r>
        <w:rPr>
          <w:rFonts w:ascii="Times New Roman" w:hAnsi="Times New Roman"/>
          <w:b w:val="false"/>
          <w:sz w:val="17"/>
          <w:u w:val="single"/>
        </w:rPr>
        <w:t>however</w:t>
      </w:r>
      <w:r>
        <w:rPr>
          <w:rFonts w:ascii="Times New Roman" w:hAnsi="Times New Roman"/>
          <w:b w:val="false"/>
          <w:sz w:val="17"/>
        </w:rPr>
        <w:t xml:space="preserve">, that notwithstanding the foregoing, Seller shall deliver to Buyer at the Closing the Records described on </w:t>
      </w:r>
      <w:r>
        <w:rPr>
          <w:rFonts w:ascii="Times New Roman" w:hAnsi="Times New Roman"/>
          <w:b w:val="false"/>
          <w:sz w:val="17"/>
          <w:u w:val="single"/>
        </w:rPr>
        <w:t>Schedule 6.10(a)</w:t>
      </w:r>
      <w:r>
        <w:rPr>
          <w:rFonts w:ascii="Times New Roman" w:hAnsi="Times New Roman"/>
          <w:b w:val="false"/>
          <w:sz w:val="17"/>
        </w:rPr>
        <w: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51</w:t>
      </w:r>
    </w:p>
    <w:p>
      <w:pPr>
        <w:pStyle w:val="HorizontalLine"/>
        <w:pBdr>
          <w:bottom w:val="single" w:sz="12" w:space="0" w:color="808080"/>
        </w:pBdr>
        <w:spacing w:before="0" w:after="0"/>
        <w:jc w:val="left"/>
        <w:rPr/>
      </w:pPr>
      <w:r>
        <w:rPr/>
      </w:r>
      <w:r>
        <w:br w:type="page"/>
      </w:r>
    </w:p>
    <w:p>
      <w:pPr>
        <w:pStyle w:val="TextBody"/>
        <w:spacing w:before="0" w:after="0"/>
        <w:ind w:left="0" w:right="0" w:hanging="0"/>
        <w:jc w:val="center"/>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 xml:space="preserve">(b)                                 Seller and its Affiliates may retain a copy of any or all of the data room materials and other books and records (other than Tax Records, which are addressed in </w:t>
      </w:r>
      <w:r>
        <w:rPr>
          <w:rFonts w:ascii="Times New Roman" w:hAnsi="Times New Roman"/>
          <w:b w:val="false"/>
          <w:sz w:val="17"/>
          <w:u w:val="single"/>
        </w:rPr>
        <w:t>Article VII</w:t>
      </w:r>
      <w:r>
        <w:rPr>
          <w:rFonts w:ascii="Times New Roman" w:hAnsi="Times New Roman"/>
          <w:b w:val="false"/>
          <w:sz w:val="17"/>
        </w:rPr>
        <w:t>) relating to the business or operations of the Company and the Subsidiaries on or before the Closing Date.</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(c)                                  Buyer shall preserve and keep a copy of all data room materials and all books and records relating to the business or operations of the Company and the Subsidiaries on or before the Closing Date in Buyers possession for a period of at least seven (7) years after the Closing Date.  During such seven (7) year period, Seller shall have the right with at least thirty (30) days prior written notice to such effect, at its cost and expense, to copy for its records all or any part of such data room materials and books and records as Seller may select.  Buyer shall provide to Seller reasonable access, during normal business hours and in such manner as not to unreasonably interfere with normal operation of the business of the Company and the Subsidiaries to (i) such data room materials and books and records as remain in Buyers possession in connection with matters relating to the business or operations of the Company and the Subsidiaries on or before the Closing Date and any disputes relating to this Agreement and (ii) the properties and employees of the Company and the Subsidiaries in connection with matters relating to the business or operations of the Company and the Subsidiaries on or before the Closing Date.  Seller shall provide to Buyer reasonable access, during normal business hours and in such manner as not to unreasonably interfere with normal operation of the business of Seller to the employees of Seller in connection with matters relating to the business or operations of the Company and the Subsidiaries on or before the Closing Date.</w:t>
      </w:r>
    </w:p>
    <w:p>
      <w:pPr>
        <w:pStyle w:val="Heading3"/>
        <w:spacing w:before="0" w:after="0"/>
        <w:ind w:left="0" w:right="0" w:hanging="0"/>
        <w:jc w:val="left"/>
        <w:rPr/>
      </w:pPr>
      <w:r>
        <w:rPr/>
        <w:t> </w:t>
      </w:r>
    </w:p>
    <w:p>
      <w:pPr>
        <w:pStyle w:val="Heading2"/>
        <w:spacing w:before="0" w:after="0"/>
        <w:ind w:left="0" w:right="0" w:hanging="0"/>
        <w:jc w:val="left"/>
        <w:rPr>
          <w:rFonts w:ascii="Times New Roman" w:hAnsi="Times New Roman"/>
          <w:b w:val="false"/>
          <w:sz w:val="17"/>
        </w:rPr>
      </w:pPr>
      <w:bookmarkStart w:id="185" w:name="Section6_11_234356"/>
      <w:bookmarkEnd w:id="185"/>
      <w:r>
        <w:rPr>
          <w:rFonts w:ascii="Times New Roman" w:hAnsi="Times New Roman"/>
          <w:b w:val="false"/>
          <w:sz w:val="17"/>
        </w:rPr>
        <w:t xml:space="preserve">Section 6.11                                </w:t>
      </w:r>
      <w:r>
        <w:rPr>
          <w:rFonts w:ascii="Times New Roman" w:hAnsi="Times New Roman"/>
          <w:b w:val="false"/>
          <w:sz w:val="17"/>
          <w:u w:val="single"/>
        </w:rPr>
        <w:t>Transitional Support</w:t>
      </w:r>
      <w:r>
        <w:rPr>
          <w:rFonts w:ascii="Times New Roman" w:hAnsi="Times New Roman"/>
          <w:b w:val="false"/>
          <w:sz w:val="17"/>
        </w:rPr>
        <w:t>.  For a period of up to six (6) months from the Closing Date, Seller agrees to provide Buyer with transitional support in accordance with the terms of the Transition Services Agreement in order to effectuate a smooth transition from Seller to Buyer of the informational technology systems of the Company and the Subsidiaries.</w:t>
      </w:r>
    </w:p>
    <w:p>
      <w:pPr>
        <w:pStyle w:val="Heading2"/>
        <w:spacing w:before="0" w:after="0"/>
        <w:ind w:left="0" w:right="0" w:hanging="0"/>
        <w:jc w:val="left"/>
        <w:rPr/>
      </w:pPr>
      <w:r>
        <w:rPr/>
        <w:t> </w:t>
      </w:r>
    </w:p>
    <w:p>
      <w:pPr>
        <w:pStyle w:val="Heading2"/>
        <w:spacing w:before="0" w:after="0"/>
        <w:ind w:left="0" w:right="0" w:hanging="0"/>
        <w:jc w:val="left"/>
        <w:rPr>
          <w:rFonts w:ascii="Times New Roman" w:hAnsi="Times New Roman"/>
          <w:b w:val="false"/>
          <w:sz w:val="17"/>
        </w:rPr>
      </w:pPr>
      <w:bookmarkStart w:id="186" w:name="Section6_12_234358"/>
      <w:bookmarkEnd w:id="186"/>
      <w:r>
        <w:rPr>
          <w:rFonts w:ascii="Times New Roman" w:hAnsi="Times New Roman"/>
          <w:b w:val="false"/>
          <w:sz w:val="17"/>
        </w:rPr>
        <w:t xml:space="preserve">Section 6.12                                </w:t>
      </w:r>
      <w:r>
        <w:rPr>
          <w:rFonts w:ascii="Times New Roman" w:hAnsi="Times New Roman"/>
          <w:b w:val="false"/>
          <w:sz w:val="17"/>
          <w:u w:val="single"/>
        </w:rPr>
        <w:t>Confidentiality</w:t>
      </w:r>
      <w:r>
        <w:rPr>
          <w:rFonts w:ascii="Times New Roman" w:hAnsi="Times New Roman"/>
          <w:b w:val="false"/>
          <w:sz w:val="17"/>
        </w:rPr>
        <w:t>.</w:t>
      </w:r>
    </w:p>
    <w:p>
      <w:pPr>
        <w:pStyle w:val="TextBody"/>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 xml:space="preserve">(a)                                  All information furnished to Buyer pursuant to </w:t>
      </w:r>
      <w:r>
        <w:rPr>
          <w:rFonts w:ascii="Times New Roman" w:hAnsi="Times New Roman"/>
          <w:b w:val="false"/>
          <w:sz w:val="17"/>
          <w:u w:val="single"/>
        </w:rPr>
        <w:t>Section 6.2</w:t>
      </w:r>
      <w:r>
        <w:rPr>
          <w:rFonts w:ascii="Times New Roman" w:hAnsi="Times New Roman"/>
          <w:b w:val="false"/>
          <w:sz w:val="17"/>
        </w:rPr>
        <w:t xml:space="preserve"> shall be subject to, and Buyer shall hold all such information in confidence in accordance with, the provisions of the Confidentiality Agreement.  Notwithstanding the foregoing or any provision of the Confidentiality Agreement, Seller acknowledges and agrees that from and after the Closing, all information relating to the Company or any Subsidiary or any of their respective businesses or assets shall be deemed to be confidential information of Buyer and shall not be subject to the terms of the Confidentiality Agreement.</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(b)                                 From and after the Closing Date, Seller shall, and shall cause its Affiliates and their respective Representatives to, keep confidential and not disclose all information relating to the Company or any Subsidiary or any of their respective businesses or assets (the </w:t>
      </w:r>
      <w:r>
        <w:rPr>
          <w:rFonts w:ascii="Times New Roman" w:hAnsi="Times New Roman"/>
          <w:b w:val="false"/>
          <w:sz w:val="17"/>
          <w:u w:val="single"/>
        </w:rPr>
        <w:t>Restricted Information</w:t>
      </w:r>
      <w:r>
        <w:rPr>
          <w:rFonts w:ascii="Times New Roman" w:hAnsi="Times New Roman"/>
          <w:b w:val="false"/>
          <w:sz w:val="17"/>
        </w:rPr>
        <w:t>) (whether in the possession of Seller, such Affiliate or such Representative at the time of the Closing or subsequently obtained by Seller, such Affiliate of Seller or any such Representative from Buyer pursuant to this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52</w:t>
      </w:r>
    </w:p>
    <w:p>
      <w:pPr>
        <w:pStyle w:val="HorizontalLine"/>
        <w:pBdr>
          <w:bottom w:val="single" w:sz="12" w:space="0" w:color="808080"/>
        </w:pBdr>
        <w:spacing w:before="0" w:after="0"/>
        <w:jc w:val="left"/>
        <w:rPr/>
      </w:pPr>
      <w:r>
        <w:rPr/>
      </w:r>
      <w:r>
        <w:br w:type="page"/>
      </w:r>
    </w:p>
    <w:p>
      <w:pPr>
        <w:pStyle w:val="TextBody"/>
        <w:spacing w:before="0" w:after="0"/>
        <w:ind w:left="0" w:right="0" w:hanging="0"/>
        <w:jc w:val="center"/>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 xml:space="preserve">Agreement or the Transition Services Agreement or otherwise), and shall not directly or indirectly use such Restricted Information for any purpose, except as and to the extent permitted by the terms of this Agreement or the Transition Services Agreement.  The obligation to keep such Restricted Information confidential shall continue indefinitely from the Closing Date and shall not apply to any information which (i) is in the public domain, (ii) is published or otherwise becomes part of the public domain through no fault of Seller, any of its Affiliates or any of their Representatives or (iii) becomes available to Seller, any of its Affiliates or any of their Representatives on a non-confidential basis from a source that did not acquire such information (directly or indirectly) from Seller or Buyer or any of their Affiliates on a confidential basis.  Notwithstanding the foregoing, Seller may make disclosures required by Law and in connection with disputes hereunder or disputes that are covered under </w:t>
      </w:r>
      <w:r>
        <w:rPr>
          <w:rFonts w:ascii="Times New Roman" w:hAnsi="Times New Roman"/>
          <w:sz w:val="17"/>
          <w:u w:val="single"/>
        </w:rPr>
        <w:t>Section 9.2(a)</w:t>
      </w:r>
      <w:r>
        <w:rPr>
          <w:rFonts w:ascii="Times New Roman" w:hAnsi="Times New Roman"/>
          <w:sz w:val="17"/>
        </w:rPr>
        <w:t xml:space="preserve">; </w:t>
      </w:r>
      <w:r>
        <w:rPr>
          <w:rFonts w:ascii="Times New Roman" w:hAnsi="Times New Roman"/>
          <w:sz w:val="17"/>
          <w:u w:val="single"/>
        </w:rPr>
        <w:t>provided</w:t>
      </w:r>
      <w:r>
        <w:rPr>
          <w:rFonts w:ascii="Times New Roman" w:hAnsi="Times New Roman"/>
          <w:sz w:val="17"/>
        </w:rPr>
        <w:t xml:space="preserve"> that Seller, to the extent practicable, shall provide Buyer with prompt notice thereof so that Buyer may seek a protective order or other appropriate remedy or waive compliance with the provisions of this </w:t>
      </w:r>
      <w:r>
        <w:rPr>
          <w:rFonts w:ascii="Times New Roman" w:hAnsi="Times New Roman"/>
          <w:sz w:val="17"/>
          <w:u w:val="single"/>
        </w:rPr>
        <w:t>Section 6.12</w:t>
      </w:r>
      <w:r>
        <w:rPr>
          <w:rFonts w:ascii="Times New Roman" w:hAnsi="Times New Roman"/>
          <w:sz w:val="17"/>
        </w:rPr>
        <w:t xml:space="preserve">.  In the event that such protective order or other remedy is not obtained or Buyer waives compliance with the provisions of this </w:t>
      </w:r>
      <w:r>
        <w:rPr>
          <w:rFonts w:ascii="Times New Roman" w:hAnsi="Times New Roman"/>
          <w:sz w:val="17"/>
          <w:u w:val="single"/>
        </w:rPr>
        <w:t>Section 6.12</w:t>
      </w:r>
      <w:r>
        <w:rPr>
          <w:rFonts w:ascii="Times New Roman" w:hAnsi="Times New Roman"/>
          <w:sz w:val="17"/>
        </w:rPr>
        <w:t>, Seller shall or shall cause the Person required to disclose such Restricted Information to furnish only that portion of the information that such Person is advised by an opinion of Sellers counsel is legally required, and, to the extent practicable, Seller shall exercise its reasonable best efforts to obtain reliable assurance that confidential treatment is accorded the Restricted Information so furnished.</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(c)                                  As soon as reasonably practicable following the Closing, to the extent assignable, Seller shall assign to Buyer all confidentiality agreements entered into by or on behalf of Seller or any of its Affiliates in connection with any prospective sale of or investment in all or any part of the assets or equity of the Company or any of the Subsidiaries or related to any third party bid to purchase or invest in all or any part of the assets or equity of the Company or any of the Subsidiaries.</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 xml:space="preserve">(d)                                 With respect to any confidentiality agreement that is not assignable and is not assigned to Buyer pursuant to </w:t>
      </w:r>
      <w:r>
        <w:rPr>
          <w:rFonts w:ascii="Times New Roman" w:hAnsi="Times New Roman"/>
          <w:b w:val="false"/>
          <w:sz w:val="17"/>
          <w:u w:val="single"/>
        </w:rPr>
        <w:t>Section 6.12(c)</w:t>
      </w:r>
      <w:r>
        <w:rPr>
          <w:rFonts w:ascii="Times New Roman" w:hAnsi="Times New Roman"/>
          <w:b w:val="false"/>
          <w:sz w:val="17"/>
        </w:rPr>
        <w:t>, at Buyers cost and expense (which, at Sellers option, will be prepaid periodically based on Sellers reasonable estimates), Seller shall use commercially reasonable efforts to enforce the provisions of such confidentiality agreement on behalf of Buyer, including initiating and prosecuting litigation seeking appropriate equitable relief (where available) and, to the extent applicable, Losses.  Any such Losses recovered shall be paid to Buyer, net of all out-of-pocket expenses incurred by Seller that have not been prepaid by Buyer.  In the event that Seller becomes aware of any material breach of any such confidentiality agreement, Seller shall promptly notify Buyer of such breach (and the details thereof) and the immediately preceding sentence shall apply with respect thereto.</w:t>
      </w:r>
    </w:p>
    <w:p>
      <w:pPr>
        <w:pStyle w:val="Heading3"/>
        <w:spacing w:before="0" w:after="0"/>
        <w:ind w:left="0" w:right="0" w:hanging="0"/>
        <w:jc w:val="left"/>
        <w:rPr/>
      </w:pPr>
      <w:r>
        <w:rPr/>
        <w:t> </w:t>
      </w:r>
    </w:p>
    <w:p>
      <w:pPr>
        <w:pStyle w:val="Heading2"/>
        <w:spacing w:before="0" w:after="0"/>
        <w:ind w:left="0" w:right="0" w:hanging="0"/>
        <w:jc w:val="left"/>
        <w:rPr>
          <w:rFonts w:ascii="Times New Roman" w:hAnsi="Times New Roman"/>
          <w:b w:val="false"/>
          <w:sz w:val="17"/>
        </w:rPr>
      </w:pPr>
      <w:bookmarkStart w:id="187" w:name="Section6_13_234403"/>
      <w:bookmarkEnd w:id="187"/>
      <w:r>
        <w:rPr>
          <w:rFonts w:ascii="Times New Roman" w:hAnsi="Times New Roman"/>
          <w:b w:val="false"/>
          <w:sz w:val="17"/>
        </w:rPr>
        <w:t xml:space="preserve">Section 6.13                                </w:t>
      </w:r>
      <w:r>
        <w:rPr>
          <w:rFonts w:ascii="Times New Roman" w:hAnsi="Times New Roman"/>
          <w:b w:val="false"/>
          <w:sz w:val="17"/>
          <w:u w:val="single"/>
        </w:rPr>
        <w:t>Further Assurances; Duty to Cooperate</w:t>
      </w:r>
      <w:r>
        <w:rPr>
          <w:rFonts w:ascii="Times New Roman" w:hAnsi="Times New Roman"/>
          <w:b w:val="false"/>
          <w:sz w:val="17"/>
        </w:rPr>
        <w:t>.  Subject to the terms and conditions of this Agreement, at any time or from time to time after the Closing, at any Partys request and without further consideration, the other Party shall execute and deliver to such Party such other instruments of sale, transfer, conveyance, assignment and confirmation, provide such materials and information and take such other actions and execute and deliver such other documents as such Party may reasonably</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53</w:t>
      </w:r>
    </w:p>
    <w:p>
      <w:pPr>
        <w:pStyle w:val="HorizontalLine"/>
        <w:pBdr>
          <w:bottom w:val="single" w:sz="12" w:space="0" w:color="808080"/>
        </w:pBdr>
        <w:spacing w:before="0" w:after="0"/>
        <w:jc w:val="left"/>
        <w:rPr/>
      </w:pPr>
      <w:r>
        <w:rPr/>
      </w:r>
      <w:r>
        <w:br w:type="page"/>
      </w:r>
    </w:p>
    <w:p>
      <w:pPr>
        <w:pStyle w:val="TextBody"/>
        <w:spacing w:before="0" w:after="0"/>
        <w:ind w:left="0" w:right="0" w:hanging="0"/>
        <w:jc w:val="center"/>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request in order to consummate the transactions contemplated by this Agreement.  Seller and Buyer agree to, and to cause their Affiliates (in the case of Seller excluding its Regulated Affiliates) and their respective Representatives to, reasonably cooperate with each other after the Closing Date in connection with the transactions contemplated by this Agreement.</w:t>
      </w:r>
    </w:p>
    <w:p>
      <w:pPr>
        <w:pStyle w:val="Heading2"/>
        <w:spacing w:before="0" w:after="0"/>
        <w:ind w:left="0" w:right="0" w:hanging="0"/>
        <w:jc w:val="left"/>
        <w:rPr/>
      </w:pPr>
      <w:r>
        <w:rPr/>
        <w:t> </w:t>
      </w:r>
    </w:p>
    <w:p>
      <w:pPr>
        <w:pStyle w:val="Heading2"/>
        <w:spacing w:before="0" w:after="0"/>
        <w:ind w:left="0" w:right="0" w:hanging="0"/>
        <w:jc w:val="left"/>
        <w:rPr>
          <w:rFonts w:ascii="Times New Roman" w:hAnsi="Times New Roman"/>
          <w:b w:val="false"/>
          <w:sz w:val="17"/>
        </w:rPr>
      </w:pPr>
      <w:bookmarkStart w:id="188" w:name="Section6_14_234406"/>
      <w:bookmarkEnd w:id="188"/>
      <w:r>
        <w:rPr>
          <w:rFonts w:ascii="Times New Roman" w:hAnsi="Times New Roman"/>
          <w:b w:val="false"/>
          <w:sz w:val="17"/>
        </w:rPr>
        <w:t xml:space="preserve">Section 6.14                                </w:t>
      </w:r>
      <w:r>
        <w:rPr>
          <w:rFonts w:ascii="Times New Roman" w:hAnsi="Times New Roman"/>
          <w:b w:val="false"/>
          <w:sz w:val="17"/>
          <w:u w:val="single"/>
        </w:rPr>
        <w:t>Non-Solicitation of Employees</w:t>
      </w:r>
      <w:r>
        <w:rPr>
          <w:rFonts w:ascii="Times New Roman" w:hAnsi="Times New Roman"/>
          <w:b w:val="false"/>
          <w:sz w:val="17"/>
        </w:rPr>
        <w:t xml:space="preserve">.  From and after the Closing Date, neither Seller nor any of its Affiliates, excluding its Regulated Affiliates, shall, without the prior written approval of Buyer, for a period of three (3) years from the Closing Date, directly or indirectly, solicit, encourage, entice or induce any person who is an employee of the Company or any Subsidiary as of the Closing Date to terminate his or her employment with the Company, such Subsidiary or any successor thereto, as applicable; </w:t>
      </w:r>
      <w:r>
        <w:rPr>
          <w:rFonts w:ascii="Times New Roman" w:hAnsi="Times New Roman"/>
          <w:b w:val="false"/>
          <w:sz w:val="17"/>
          <w:u w:val="single"/>
        </w:rPr>
        <w:t>provided</w:t>
      </w:r>
      <w:r>
        <w:rPr>
          <w:rFonts w:ascii="Times New Roman" w:hAnsi="Times New Roman"/>
          <w:b w:val="false"/>
          <w:sz w:val="17"/>
        </w:rPr>
        <w:t xml:space="preserve"> that the foregoing shall not be deemed to restrict general advertising or other general solicitations not targeted to the employees of the Company or any Subsidiary, nor shall Seller or any of its Affiliates, excluding its Regulated Affiliates, hire any such employee unless such employee has been terminated by the Company or any Subsidiary or has not been employed by the Company, any Subsidiary or any successor thereto for at least six (6) months.</w:t>
      </w:r>
    </w:p>
    <w:p>
      <w:pPr>
        <w:pStyle w:val="Heading2"/>
        <w:spacing w:before="0" w:after="0"/>
        <w:ind w:left="0" w:right="0" w:hanging="0"/>
        <w:jc w:val="left"/>
        <w:rPr/>
      </w:pPr>
      <w:r>
        <w:rPr/>
        <w:t> </w:t>
      </w:r>
    </w:p>
    <w:p>
      <w:pPr>
        <w:pStyle w:val="Heading2"/>
        <w:spacing w:before="0" w:after="0"/>
        <w:ind w:left="0" w:right="0" w:hanging="0"/>
        <w:jc w:val="left"/>
        <w:rPr>
          <w:rFonts w:ascii="Times New Roman" w:hAnsi="Times New Roman"/>
          <w:b w:val="false"/>
          <w:sz w:val="17"/>
        </w:rPr>
      </w:pPr>
      <w:bookmarkStart w:id="189" w:name="Section6_15_234409"/>
      <w:bookmarkEnd w:id="189"/>
      <w:r>
        <w:rPr>
          <w:rFonts w:ascii="Times New Roman" w:hAnsi="Times New Roman"/>
          <w:b w:val="false"/>
          <w:sz w:val="17"/>
        </w:rPr>
        <w:t xml:space="preserve">Section 6.15                                </w:t>
      </w:r>
      <w:r>
        <w:rPr>
          <w:rFonts w:ascii="Times New Roman" w:hAnsi="Times New Roman"/>
          <w:b w:val="false"/>
          <w:sz w:val="17"/>
          <w:u w:val="single"/>
        </w:rPr>
        <w:t>Acquisition Agreements; Consent Order</w:t>
      </w:r>
      <w:r>
        <w:rPr>
          <w:rFonts w:ascii="Times New Roman" w:hAnsi="Times New Roman"/>
          <w:b w:val="false"/>
          <w:sz w:val="17"/>
        </w:rPr>
        <w:t xml:space="preserve">.  Seller has made available to Buyer true and complete copies of the Acquisition Agreements, including the Bluewater PSA.  Buyer hereby acknowledges receipt of the Acquisition Agreements, including the Bluewater PSA, and has read and understands all of the terms and conditions and all of the rights and obligations of the parties thereto.  From and after the Closing, Buyer shall cause BGS LLC to perform all of its obligations under the Acquisition Agreements, including the Bluewater PSA, arising from and after the Closing (other than any indemnification obligation to the extent such indemnification obligation relates to any circumstance, event, condition, act or omission that occurred or existed prior to the Closing) and, from and after the Closing, Buyer agrees to hold Seller and its Affiliates (excluding the Company and the Subsidiaries) harmless from any Losses under the Acquisition Agreements arising out of or relating to the execution of this Agreement or the consummation of the transactions contemplated by this Agreement.  The parties agree that Buyers performance of its obligations under this </w:t>
      </w:r>
      <w:r>
        <w:rPr>
          <w:rFonts w:ascii="Times New Roman" w:hAnsi="Times New Roman"/>
          <w:b w:val="false"/>
          <w:sz w:val="17"/>
          <w:u w:val="single"/>
        </w:rPr>
        <w:t>Section 6.15</w:t>
      </w:r>
      <w:r>
        <w:rPr>
          <w:rFonts w:ascii="Times New Roman" w:hAnsi="Times New Roman"/>
          <w:b w:val="false"/>
          <w:sz w:val="17"/>
        </w:rPr>
        <w:t xml:space="preserve"> is without prejudice of its rights, if any, in the event of any inaccuracy or breach (or deemed inaccuracy or breach) of </w:t>
      </w:r>
      <w:r>
        <w:rPr>
          <w:rFonts w:ascii="Times New Roman" w:hAnsi="Times New Roman"/>
          <w:b w:val="false"/>
          <w:sz w:val="17"/>
          <w:u w:val="single"/>
        </w:rPr>
        <w:t>Section 4.27</w:t>
      </w:r>
      <w:r>
        <w:rPr>
          <w:rFonts w:ascii="Times New Roman" w:hAnsi="Times New Roman"/>
          <w:b w:val="false"/>
          <w:sz w:val="17"/>
        </w:rPr>
        <w:t>.  Buyer has received and has had the opportunity to review the State of Michigan, Department of Environmental Quality May 16, 2005 Stipulation for Entry of Final Order by Consent, AQD 5-2002 SRN: N7303.  Buyer understands and agrees that BGS LLC is subject to the terms thereof.</w:t>
      </w:r>
    </w:p>
    <w:p>
      <w:pPr>
        <w:pStyle w:val="Heading2"/>
        <w:spacing w:before="0" w:after="0"/>
        <w:ind w:left="0" w:right="0" w:hanging="0"/>
        <w:jc w:val="left"/>
        <w:rPr/>
      </w:pPr>
      <w:r>
        <w:rPr/>
        <w:t> </w:t>
      </w:r>
    </w:p>
    <w:p>
      <w:pPr>
        <w:pStyle w:val="Heading2"/>
        <w:spacing w:before="0" w:after="0"/>
        <w:ind w:left="0" w:right="0" w:hanging="0"/>
        <w:jc w:val="left"/>
        <w:rPr>
          <w:rFonts w:ascii="Times New Roman" w:hAnsi="Times New Roman"/>
          <w:b w:val="false"/>
          <w:sz w:val="17"/>
        </w:rPr>
      </w:pPr>
      <w:bookmarkStart w:id="190" w:name="Section6_16_234413"/>
      <w:bookmarkEnd w:id="190"/>
      <w:r>
        <w:rPr>
          <w:rFonts w:ascii="Times New Roman" w:hAnsi="Times New Roman"/>
          <w:b w:val="false"/>
          <w:sz w:val="17"/>
        </w:rPr>
        <w:t xml:space="preserve">Section 6.16                                </w:t>
      </w:r>
      <w:r>
        <w:rPr>
          <w:rFonts w:ascii="Times New Roman" w:hAnsi="Times New Roman"/>
          <w:b w:val="false"/>
          <w:sz w:val="17"/>
          <w:u w:val="single"/>
        </w:rPr>
        <w:t>Certain Restrictions</w:t>
      </w:r>
      <w:r>
        <w:rPr>
          <w:rFonts w:ascii="Times New Roman" w:hAnsi="Times New Roman"/>
          <w:b w:val="false"/>
          <w:sz w:val="17"/>
        </w:rPr>
        <w:t>.  From the date of this Agreement until the Closing, Buyer agrees that except as may be agreed in writing by Seller or as may be expressly permitted pursuant to this Agreement, it shall not, and shall not permit any of its subsidiaries or Affiliates to, make any acquisition of, develop or construct any, natural gas storage facility or, with respect to the transactions contemplated by this Agreement, take any action with any Governmental Authority in respect of the transactions contemplated hereby, or agree, in writing or otherwise, to do any of the foregoing, which could reasonably be expected to materially delay the consummation of the transactions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54</w:t>
      </w:r>
    </w:p>
    <w:p>
      <w:pPr>
        <w:pStyle w:val="HorizontalLine"/>
        <w:pBdr>
          <w:bottom w:val="single" w:sz="12" w:space="0" w:color="808080"/>
        </w:pBdr>
        <w:spacing w:before="0" w:after="0"/>
        <w:jc w:val="left"/>
        <w:rPr/>
      </w:pPr>
      <w:r>
        <w:rPr/>
      </w:r>
      <w:r>
        <w:br w:type="page"/>
      </w:r>
    </w:p>
    <w:p>
      <w:pPr>
        <w:pStyle w:val="TextBody"/>
        <w:spacing w:before="0" w:after="0"/>
        <w:ind w:left="0" w:right="0" w:hanging="0"/>
        <w:jc w:val="center"/>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contemplated hereby, result in the failure to satisfy any condition to consummation of the transactions contemplated hereby or affect either BGS LLCs or PPEC LLCs eligibility to charge market-based rates for the storage and hub services.</w:t>
      </w:r>
    </w:p>
    <w:p>
      <w:pPr>
        <w:pStyle w:val="Heading2"/>
        <w:spacing w:before="0" w:after="0"/>
        <w:ind w:left="0" w:right="0" w:hanging="0"/>
        <w:jc w:val="left"/>
        <w:rPr/>
      </w:pPr>
      <w:r>
        <w:rPr/>
        <w:t> </w:t>
      </w:r>
    </w:p>
    <w:p>
      <w:pPr>
        <w:pStyle w:val="Heading2"/>
        <w:spacing w:before="0" w:after="0"/>
        <w:ind w:left="0" w:right="0" w:hanging="0"/>
        <w:jc w:val="left"/>
        <w:rPr>
          <w:rFonts w:ascii="Times New Roman" w:hAnsi="Times New Roman"/>
          <w:b w:val="false"/>
          <w:sz w:val="17"/>
        </w:rPr>
      </w:pPr>
      <w:bookmarkStart w:id="191" w:name="Section6_17_234415"/>
      <w:bookmarkEnd w:id="191"/>
      <w:r>
        <w:rPr>
          <w:rFonts w:ascii="Times New Roman" w:hAnsi="Times New Roman"/>
          <w:b w:val="false"/>
          <w:sz w:val="17"/>
        </w:rPr>
        <w:t xml:space="preserve">Section 6.17                                </w:t>
      </w:r>
      <w:r>
        <w:rPr>
          <w:rFonts w:ascii="Times New Roman" w:hAnsi="Times New Roman"/>
          <w:b w:val="false"/>
          <w:sz w:val="17"/>
          <w:u w:val="single"/>
        </w:rPr>
        <w:t>Title Commitments</w:t>
      </w:r>
      <w:r>
        <w:rPr>
          <w:rFonts w:ascii="Times New Roman" w:hAnsi="Times New Roman"/>
          <w:b w:val="false"/>
          <w:sz w:val="17"/>
        </w:rPr>
        <w:t>.  Prior to the Closing, Seller shall use commercially reasonable efforts to cooperate with Buyer to obtain the Title Commitments, including cooperating with the title company selected by Buyer to issue the Title Commitments and any title policy pursuant to such Title Commitments.  The cost of the Title Commitments, of any title policy or policies of title insurance obtained pursuant to the Title Commitments and of any endorsements thereto shall all be at the sole cost and expense of Buyer.</w:t>
      </w:r>
    </w:p>
    <w:p>
      <w:pPr>
        <w:pStyle w:val="Heading2"/>
        <w:spacing w:before="0" w:after="0"/>
        <w:ind w:left="0" w:right="0" w:hanging="0"/>
        <w:jc w:val="left"/>
        <w:rPr/>
      </w:pPr>
      <w:r>
        <w:rPr/>
        <w:t> </w:t>
      </w:r>
    </w:p>
    <w:p>
      <w:pPr>
        <w:pStyle w:val="Heading2"/>
        <w:spacing w:before="0" w:after="0"/>
        <w:ind w:left="0" w:right="0" w:hanging="0"/>
        <w:jc w:val="left"/>
        <w:rPr>
          <w:rFonts w:ascii="Times New Roman" w:hAnsi="Times New Roman"/>
          <w:b w:val="false"/>
          <w:sz w:val="17"/>
        </w:rPr>
      </w:pPr>
      <w:bookmarkStart w:id="192" w:name="Section6_18_234417"/>
      <w:bookmarkEnd w:id="192"/>
      <w:r>
        <w:rPr>
          <w:rFonts w:ascii="Times New Roman" w:hAnsi="Times New Roman"/>
          <w:b w:val="false"/>
          <w:sz w:val="17"/>
        </w:rPr>
        <w:t xml:space="preserve">Section 6.18                                </w:t>
      </w:r>
      <w:r>
        <w:rPr>
          <w:rFonts w:ascii="Times New Roman" w:hAnsi="Times New Roman"/>
          <w:b w:val="false"/>
          <w:sz w:val="17"/>
          <w:u w:val="single"/>
        </w:rPr>
        <w:t>Conversion Transactions</w:t>
      </w:r>
      <w:r>
        <w:rPr>
          <w:rFonts w:ascii="Times New Roman" w:hAnsi="Times New Roman"/>
          <w:b w:val="false"/>
          <w:sz w:val="17"/>
        </w:rPr>
        <w:t>.</w:t>
      </w:r>
    </w:p>
    <w:p>
      <w:pPr>
        <w:pStyle w:val="TextBody"/>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(a)                                  No later than the day prior to the Closing Date, Seller shall cause each of the Company, BGS Corp. and PPEC Corp. to be converted from a Delaware corporation to a Delaware limited liability company in accordance with Section 266 of the Delaware General Corporation Law, including, in respect of the Company, causing the exchange of the Shares for the Membership Interests (collectively, the </w:t>
      </w:r>
      <w:r>
        <w:rPr>
          <w:rFonts w:ascii="Times New Roman" w:hAnsi="Times New Roman"/>
          <w:b w:val="false"/>
          <w:sz w:val="17"/>
          <w:u w:val="single"/>
        </w:rPr>
        <w:t>Conversion Transactions</w:t>
      </w:r>
      <w:r>
        <w:rPr>
          <w:rFonts w:ascii="Times New Roman" w:hAnsi="Times New Roman"/>
          <w:b w:val="false"/>
          <w:sz w:val="17"/>
        </w:rPr>
        <w:t xml:space="preserve">).  Each limited liability company resulting from the Conversion Transactions shall have an operating agreement substantially in the form of </w:t>
      </w:r>
      <w:r>
        <w:rPr>
          <w:rFonts w:ascii="Times New Roman" w:hAnsi="Times New Roman"/>
          <w:b w:val="false"/>
          <w:sz w:val="17"/>
          <w:u w:val="single"/>
        </w:rPr>
        <w:t>Exhibit C</w:t>
      </w:r>
      <w:r>
        <w:rPr>
          <w:rFonts w:ascii="Times New Roman" w:hAnsi="Times New Roman"/>
          <w:b w:val="false"/>
          <w:sz w:val="17"/>
        </w:rPr>
        <w:t>.</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(b)                                 Seller shall not take (or cause to be taken) any action or fail to take (or fail to cause to be taken) any action that could result in PPEC LLC or, after the Conversion Transactions, any of the Company, BGS Corp. or PPEC Corp. not being treated for U.S. federal income tax purposes as disregarded as an entity separate from its sole owner.</w:t>
      </w:r>
    </w:p>
    <w:p>
      <w:pPr>
        <w:pStyle w:val="Heading3"/>
        <w:spacing w:before="0" w:after="0"/>
        <w:ind w:left="0" w:right="0" w:hanging="0"/>
        <w:jc w:val="left"/>
        <w:rPr/>
      </w:pPr>
      <w:r>
        <w:rPr/>
        <w:t> </w:t>
      </w:r>
    </w:p>
    <w:p>
      <w:pPr>
        <w:pStyle w:val="Heading2"/>
        <w:spacing w:before="0" w:after="0"/>
        <w:ind w:left="0" w:right="0" w:hanging="0"/>
        <w:jc w:val="left"/>
        <w:rPr>
          <w:rFonts w:ascii="Times New Roman" w:hAnsi="Times New Roman"/>
          <w:b w:val="false"/>
          <w:sz w:val="17"/>
        </w:rPr>
      </w:pPr>
      <w:bookmarkStart w:id="193" w:name="Section6_19_234420"/>
      <w:bookmarkEnd w:id="193"/>
      <w:r>
        <w:rPr>
          <w:rFonts w:ascii="Times New Roman" w:hAnsi="Times New Roman"/>
          <w:b w:val="false"/>
          <w:sz w:val="17"/>
        </w:rPr>
        <w:t xml:space="preserve">Section 6.19                                </w:t>
      </w:r>
      <w:r>
        <w:rPr>
          <w:rFonts w:ascii="Times New Roman" w:hAnsi="Times New Roman"/>
          <w:b w:val="false"/>
          <w:sz w:val="17"/>
          <w:u w:val="single"/>
        </w:rPr>
        <w:t>Tax Filings</w:t>
      </w:r>
      <w:r>
        <w:rPr>
          <w:rFonts w:ascii="Times New Roman" w:hAnsi="Times New Roman"/>
          <w:b w:val="false"/>
          <w:sz w:val="17"/>
        </w:rPr>
        <w:t>.  From the date of this Agreement until Closing, Seller shall cause each of the Company and its Subsidiaries to: (i) timely file or cause to be filed (taking into account extensions) all Company Tax Returns required to be filed on or prior to the Closing Date (</w:t>
      </w:r>
      <w:r>
        <w:rPr>
          <w:rFonts w:ascii="Times New Roman" w:hAnsi="Times New Roman"/>
          <w:b w:val="false"/>
          <w:sz w:val="17"/>
          <w:u w:val="single"/>
        </w:rPr>
        <w:t>Post-Signing Tax Returns</w:t>
      </w:r>
      <w:r>
        <w:rPr>
          <w:rFonts w:ascii="Times New Roman" w:hAnsi="Times New Roman"/>
          <w:b w:val="false"/>
          <w:sz w:val="17"/>
        </w:rPr>
        <w:t xml:space="preserve">), and all such Post-Signing Tax Returns shall be prepared in a manner consistent with past practice in all material respects except as otherwise required by law or as a result of the transactions contemplated by </w:t>
      </w:r>
      <w:r>
        <w:rPr>
          <w:rFonts w:ascii="Times New Roman" w:hAnsi="Times New Roman"/>
          <w:b w:val="false"/>
          <w:sz w:val="17"/>
          <w:u w:val="single"/>
        </w:rPr>
        <w:t>Sections 6.19</w:t>
      </w:r>
      <w:r>
        <w:rPr>
          <w:rFonts w:ascii="Times New Roman" w:hAnsi="Times New Roman"/>
          <w:b w:val="false"/>
          <w:sz w:val="17"/>
        </w:rPr>
        <w:t xml:space="preserve"> and </w:t>
      </w:r>
      <w:r>
        <w:rPr>
          <w:rFonts w:ascii="Times New Roman" w:hAnsi="Times New Roman"/>
          <w:b w:val="false"/>
          <w:sz w:val="17"/>
          <w:u w:val="single"/>
        </w:rPr>
        <w:t>6.20</w:t>
      </w:r>
      <w:r>
        <w:rPr>
          <w:rFonts w:ascii="Times New Roman" w:hAnsi="Times New Roman"/>
          <w:b w:val="false"/>
          <w:sz w:val="17"/>
        </w:rPr>
        <w:t>, (ii) timely pay or cause to be paid all Company Taxes required to be paid (taking into account any extensions) on or prior to the Closing Date and (iii) promptly notify Buyer of any Tax Proceeding arising during such period (or any significant developments with respect to any ongoing Tax Proceeding) with respect to any Company Tax or Company Tax Return.</w:t>
      </w:r>
    </w:p>
    <w:p>
      <w:pPr>
        <w:pStyle w:val="Heading2"/>
        <w:spacing w:before="0" w:after="0"/>
        <w:ind w:left="0" w:right="0" w:hanging="0"/>
        <w:jc w:val="left"/>
        <w:rPr/>
      </w:pPr>
      <w:r>
        <w:rPr/>
        <w:t> </w:t>
      </w:r>
    </w:p>
    <w:p>
      <w:pPr>
        <w:pStyle w:val="Heading2"/>
        <w:spacing w:before="0" w:after="0"/>
        <w:ind w:left="0" w:right="0" w:hanging="0"/>
        <w:jc w:val="left"/>
        <w:rPr>
          <w:rFonts w:ascii="Times New Roman" w:hAnsi="Times New Roman"/>
          <w:b w:val="false"/>
          <w:sz w:val="17"/>
        </w:rPr>
      </w:pPr>
      <w:bookmarkStart w:id="194" w:name="Section6_20_234423"/>
      <w:bookmarkEnd w:id="194"/>
      <w:r>
        <w:rPr>
          <w:rFonts w:ascii="Times New Roman" w:hAnsi="Times New Roman"/>
          <w:b w:val="false"/>
          <w:sz w:val="17"/>
        </w:rPr>
        <w:t xml:space="preserve">Section 6.20                                </w:t>
      </w:r>
      <w:r>
        <w:rPr>
          <w:rFonts w:ascii="Times New Roman" w:hAnsi="Times New Roman"/>
          <w:b w:val="false"/>
          <w:sz w:val="17"/>
          <w:u w:val="single"/>
        </w:rPr>
        <w:t>BGS LLC Contribution</w:t>
      </w:r>
      <w:r>
        <w:rPr>
          <w:rFonts w:ascii="Times New Roman" w:hAnsi="Times New Roman"/>
          <w:b w:val="false"/>
          <w:sz w:val="17"/>
        </w:rPr>
        <w:t>.</w:t>
      </w:r>
    </w:p>
    <w:p>
      <w:pPr>
        <w:pStyle w:val="TextBody"/>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(a)                                  Prior to the BGS LLC Contribution, BGS Corp. shall (i) form a new Delaware corporation (</w:t>
      </w:r>
      <w:r>
        <w:rPr>
          <w:rFonts w:ascii="Times New Roman" w:hAnsi="Times New Roman"/>
          <w:b w:val="false"/>
          <w:sz w:val="17"/>
          <w:u w:val="single"/>
        </w:rPr>
        <w:t>Newco</w:t>
      </w:r>
      <w:r>
        <w:rPr>
          <w:rFonts w:ascii="Times New Roman" w:hAnsi="Times New Roman"/>
          <w:b w:val="false"/>
          <w:sz w:val="17"/>
        </w:rPr>
        <w:t>), which shall be wholly-owned by BGS Corp. and (ii) contribute $10,000 to Newco.</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55</w:t>
      </w:r>
    </w:p>
    <w:p>
      <w:pPr>
        <w:pStyle w:val="HorizontalLine"/>
        <w:pBdr>
          <w:bottom w:val="single" w:sz="12" w:space="0" w:color="808080"/>
        </w:pBdr>
        <w:spacing w:before="0" w:after="0"/>
        <w:jc w:val="left"/>
        <w:rPr/>
      </w:pPr>
      <w:r>
        <w:rPr/>
      </w:r>
      <w:r>
        <w:br w:type="page"/>
      </w:r>
    </w:p>
    <w:p>
      <w:pPr>
        <w:pStyle w:val="TextBody"/>
        <w:spacing w:before="0" w:after="0"/>
        <w:ind w:left="0" w:right="0" w:hanging="0"/>
        <w:jc w:val="center"/>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(b)                                 After the Conversion Transactions and no later than the day prior to the Closing, Newco shall contribute $10,000 to BGS LLC in exchange for a membership interest in BGS LLC (the </w:t>
      </w:r>
      <w:r>
        <w:rPr>
          <w:rFonts w:ascii="Times New Roman" w:hAnsi="Times New Roman"/>
          <w:b w:val="false"/>
          <w:sz w:val="17"/>
          <w:u w:val="single"/>
        </w:rPr>
        <w:t>BGS LLC Contribution</w:t>
      </w:r>
      <w:r>
        <w:rPr>
          <w:rFonts w:ascii="Times New Roman" w:hAnsi="Times New Roman"/>
          <w:b w:val="false"/>
          <w:sz w:val="17"/>
        </w:rPr>
        <w:t>).</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(c)                                  The Parties agree and intend that (i) after the BGS LLC Contribution, BGS LLC shall be treated as a partnership for income Tax purposes and (ii) the purchase and sale of the Membership Interests pursuant to this Agreement shall be treated as resulting in a termination of such partnership pursuant to section 708 of the Code (the </w:t>
      </w:r>
      <w:r>
        <w:rPr>
          <w:rFonts w:ascii="Times New Roman" w:hAnsi="Times New Roman"/>
          <w:b w:val="false"/>
          <w:sz w:val="17"/>
          <w:u w:val="single"/>
        </w:rPr>
        <w:t>Termination</w:t>
      </w:r>
      <w:r>
        <w:rPr>
          <w:rFonts w:ascii="Times New Roman" w:hAnsi="Times New Roman"/>
          <w:b w:val="false"/>
          <w:sz w:val="17"/>
        </w:rPr>
        <w:t>).  The Parties agree that Seller shall be designated the tax matters partner of such partnership in accordance with section 6231(a)(7) of the Code and Treasury Regulations section 301.6231(a)(7)-1 for all Pre-Closing Periods.</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(d)                                 Seller agrees to prepare and file (or cause to be prepared and filed) an IRS Form 1065 short-year partnership Tax Return for the taxable period of BGS LLC ending with the Termination.</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(e)                                  Buyer agrees to prepare and file (or cause to be prepared and filed) an IRS Form 1065 short-year partnership Tax Return for the taxable period of BGS LLC that begins immediately after the Termination.</w:t>
      </w:r>
    </w:p>
    <w:p>
      <w:pPr>
        <w:pStyle w:val="Heading3"/>
        <w:spacing w:before="0" w:after="0"/>
        <w:ind w:left="0" w:right="0" w:hanging="0"/>
        <w:jc w:val="left"/>
        <w:rPr/>
      </w:pPr>
      <w:r>
        <w:rPr/>
        <w:t> </w:t>
      </w:r>
    </w:p>
    <w:p>
      <w:pPr>
        <w:pStyle w:val="Heading1"/>
        <w:spacing w:before="0" w:after="0"/>
        <w:ind w:left="0" w:right="0" w:hanging="0"/>
        <w:rPr>
          <w:rFonts w:ascii="Times New Roman" w:hAnsi="Times New Roman"/>
          <w:b/>
          <w:sz w:val="17"/>
        </w:rPr>
      </w:pPr>
      <w:bookmarkStart w:id="195" w:name="Articlevii_234428"/>
      <w:bookmarkEnd w:id="195"/>
      <w:r>
        <w:rPr>
          <w:rFonts w:ascii="Times New Roman" w:hAnsi="Times New Roman"/>
          <w:b/>
          <w:sz w:val="17"/>
        </w:rPr>
        <w:t>ARTICLE VII</w:t>
      </w:r>
    </w:p>
    <w:p>
      <w:pPr>
        <w:pStyle w:val="TextBody"/>
        <w:spacing w:before="0" w:after="0"/>
        <w:ind w:left="0" w:right="0" w:hanging="0"/>
        <w:jc w:val="left"/>
        <w:rPr/>
      </w:pPr>
      <w:r>
        <w:rPr/>
        <w:t> </w:t>
      </w:r>
    </w:p>
    <w:p>
      <w:pPr>
        <w:pStyle w:val="Heading1"/>
        <w:spacing w:before="0" w:after="0"/>
        <w:ind w:left="0" w:right="0" w:hanging="0"/>
        <w:rPr>
          <w:rFonts w:ascii="Times New Roman" w:hAnsi="Times New Roman"/>
          <w:b/>
          <w:sz w:val="17"/>
        </w:rPr>
      </w:pPr>
      <w:r>
        <w:rPr>
          <w:rFonts w:ascii="Times New Roman" w:hAnsi="Times New Roman"/>
          <w:b/>
          <w:sz w:val="17"/>
        </w:rPr>
        <w:t>TAX MATTERS</w:t>
      </w:r>
    </w:p>
    <w:p>
      <w:pPr>
        <w:pStyle w:val="TextBody"/>
        <w:spacing w:before="0" w:after="0"/>
        <w:ind w:left="0" w:right="0" w:hanging="0"/>
        <w:jc w:val="left"/>
        <w:rPr/>
      </w:pPr>
      <w:r>
        <w:rPr/>
        <w:t> </w:t>
      </w:r>
    </w:p>
    <w:p>
      <w:pPr>
        <w:pStyle w:val="Heading2"/>
        <w:spacing w:before="0" w:after="0"/>
        <w:ind w:left="0" w:right="0" w:hanging="0"/>
        <w:jc w:val="left"/>
        <w:rPr>
          <w:rFonts w:ascii="Times New Roman" w:hAnsi="Times New Roman"/>
          <w:b w:val="false"/>
          <w:sz w:val="17"/>
        </w:rPr>
      </w:pPr>
      <w:bookmarkStart w:id="196" w:name="Section7_1_234431"/>
      <w:bookmarkEnd w:id="196"/>
      <w:r>
        <w:rPr>
          <w:rFonts w:ascii="Times New Roman" w:hAnsi="Times New Roman"/>
          <w:b w:val="false"/>
          <w:sz w:val="17"/>
        </w:rPr>
        <w:t xml:space="preserve">Section 7.1                                      </w:t>
      </w:r>
      <w:r>
        <w:rPr>
          <w:rFonts w:ascii="Times New Roman" w:hAnsi="Times New Roman"/>
          <w:b w:val="false"/>
          <w:sz w:val="17"/>
          <w:u w:val="single"/>
        </w:rPr>
        <w:t>Purchase Price Allocation</w:t>
      </w:r>
      <w:r>
        <w:rPr>
          <w:rFonts w:ascii="Times New Roman" w:hAnsi="Times New Roman"/>
          <w:b w:val="false"/>
          <w:sz w:val="17"/>
        </w:rPr>
        <w:t>.</w:t>
      </w:r>
    </w:p>
    <w:p>
      <w:pPr>
        <w:pStyle w:val="TextBody"/>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(a)                                  Buyer and Seller shall allocate the sum of the Purchase Price and the liabilities of the Company and its Subsidiaries among the assets of the Company and its Subsidiaries in the manner required by section 1060 of the Code and the Treasury Regulations thereunder.  Within seventy-five (75) days after the Closing Date, Buyer shall prepare and deliver to Seller a proposed IRS Form 8594 (and any required exhibits thereto) allocating all such amounts as provided herein, and a statement specifying a methodology for the allocation of any adjustments to the Purchase Price under this Agreement (together, the </w:t>
      </w:r>
      <w:r>
        <w:rPr>
          <w:rFonts w:ascii="Times New Roman" w:hAnsi="Times New Roman"/>
          <w:b w:val="false"/>
          <w:sz w:val="17"/>
          <w:u w:val="single"/>
        </w:rPr>
        <w:t>Asset Acquisition Statement</w:t>
      </w:r>
      <w:r>
        <w:rPr>
          <w:rFonts w:ascii="Times New Roman" w:hAnsi="Times New Roman"/>
          <w:b w:val="false"/>
          <w:sz w:val="17"/>
        </w:rPr>
        <w:t xml:space="preserve">).  Such Asset Acquisition Statement shall become final for purposes of this </w:t>
      </w:r>
      <w:r>
        <w:rPr>
          <w:rFonts w:ascii="Times New Roman" w:hAnsi="Times New Roman"/>
          <w:b w:val="false"/>
          <w:sz w:val="17"/>
          <w:u w:val="single"/>
        </w:rPr>
        <w:t>Section 7.1</w:t>
      </w:r>
      <w:r>
        <w:rPr>
          <w:rFonts w:ascii="Times New Roman" w:hAnsi="Times New Roman"/>
          <w:b w:val="false"/>
          <w:sz w:val="17"/>
        </w:rPr>
        <w:t xml:space="preserve"> unless Seller objects in writing to the Asset Acquisition Statement within thirty (30) days after Sellers receipt thereof.  If Seller so objects, Buyer and Seller shall in good faith attempt to resolve the dispute within sixty (60) days of written notice to Buyer of Sellers objection.  Any unresolved disputes shall be promptly submitted for determination to the Independent Accountant.  Buyer and Seller will each pay one-half of the fees and expenses of the Independent Accountant.  Buyer and Seller shall cooperate with each other and the Independent Accountant in connection with the matters contemplated by this </w:t>
      </w:r>
      <w:r>
        <w:rPr>
          <w:rFonts w:ascii="Times New Roman" w:hAnsi="Times New Roman"/>
          <w:b w:val="false"/>
          <w:sz w:val="17"/>
          <w:u w:val="single"/>
        </w:rPr>
        <w:t>Section 7.1</w:t>
      </w:r>
      <w:r>
        <w:rPr>
          <w:rFonts w:ascii="Times New Roman" w:hAnsi="Times New Roman"/>
          <w:b w:val="false"/>
          <w:sz w:val="17"/>
        </w:rPr>
        <w:t>, including, by furnishing such information and access to books, records, personnel and properties as may be reasonably requested.  In the event Buyer causes an election under section 754 of the Code to be filed on behalf of BGS LLC, Buyer shall provide notice of its purchase of the membership interests in BGS LLC in accordance with Treasury Regulations sections 1.743-1(k)(2) and (3) and shall otherwise comply with the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56</w:t>
      </w:r>
    </w:p>
    <w:p>
      <w:pPr>
        <w:pStyle w:val="HorizontalLine"/>
        <w:pBdr>
          <w:bottom w:val="single" w:sz="12" w:space="0" w:color="808080"/>
        </w:pBdr>
        <w:spacing w:before="0" w:after="0"/>
        <w:jc w:val="left"/>
        <w:rPr/>
      </w:pPr>
      <w:r>
        <w:rPr/>
      </w:r>
      <w:r>
        <w:br w:type="page"/>
      </w:r>
    </w:p>
    <w:p>
      <w:pPr>
        <w:pStyle w:val="TextBody"/>
        <w:spacing w:before="0" w:after="0"/>
        <w:ind w:left="0" w:right="0" w:hanging="0"/>
        <w:jc w:val="center"/>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 xml:space="preserve">requirements of sections 743 and 755 of the Code and the Treasury Regulations promulgated thereunder.  In connection therewith, as well as for purposes of compliance with the provisions of sections 741 and 751 of the Code pertaining to the sale of interests in BGS LLC, within seventy-five (75) days of the Closing Date, Buyer shall prepare and deliver to Seller, for its review and comment, a draft allocation of the consideration payable hereunder among the assets of BGS LLC, as contemplated by the immediately preceding sentence, which allocation shall become part of the Asset Acquisition Statement for purposes of the procedures set forth in this </w:t>
      </w:r>
      <w:r>
        <w:rPr>
          <w:rFonts w:ascii="Times New Roman" w:hAnsi="Times New Roman"/>
          <w:sz w:val="17"/>
          <w:u w:val="single"/>
        </w:rPr>
        <w:t>Section 7.1</w:t>
      </w:r>
      <w:r>
        <w:rPr>
          <w:rFonts w:ascii="Times New Roman" w:hAnsi="Times New Roman"/>
          <w:sz w:val="17"/>
        </w:rPr>
        <w:t>.</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 xml:space="preserve">(b)                                 To the extent applicable, Buyer shall promptly prepare and deliver to Seller from time to time revised copies of the Asset Acquisition Statement so as to report any matters on the Asset Acquisition Statement that need updating (including Purchase Price adjustments, if any) consistent with the agreed upon allocation and the methodology for allocation of any adjustments to the Purchase Price specified in the Asset Acquisition Statement.  Seller may object in writing to such revised Asset Acquisition Statement within thirty (30) days of Sellers receipt thereof, which objection shall be resolved in accordance with the procedures described in </w:t>
      </w:r>
      <w:r>
        <w:rPr>
          <w:rFonts w:ascii="Times New Roman" w:hAnsi="Times New Roman"/>
          <w:b w:val="false"/>
          <w:sz w:val="17"/>
          <w:u w:val="single"/>
        </w:rPr>
        <w:t>Section 7.1(a) </w:t>
      </w:r>
      <w:r>
        <w:rPr>
          <w:rFonts w:ascii="Times New Roman" w:hAnsi="Times New Roman"/>
          <w:b w:val="false"/>
          <w:sz w:val="17"/>
        </w:rPr>
        <w:t>above.</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 xml:space="preserve">(c)                                  Each of Buyer and Seller agrees to (i) prepare and timely file all Tax Returns, including IRS Form 8594 (and all supplements thereto), in a manner consistent with the Asset Acquisition Statement as finalized and revised in accordance with </w:t>
      </w:r>
      <w:r>
        <w:rPr>
          <w:rFonts w:ascii="Times New Roman" w:hAnsi="Times New Roman"/>
          <w:b w:val="false"/>
          <w:sz w:val="17"/>
          <w:u w:val="single"/>
        </w:rPr>
        <w:t>Sections 7.1(a) </w:t>
      </w:r>
      <w:r>
        <w:rPr>
          <w:rFonts w:ascii="Times New Roman" w:hAnsi="Times New Roman"/>
          <w:b w:val="false"/>
          <w:sz w:val="17"/>
        </w:rPr>
        <w:t xml:space="preserve">and </w:t>
      </w:r>
      <w:r>
        <w:rPr>
          <w:rFonts w:ascii="Times New Roman" w:hAnsi="Times New Roman"/>
          <w:b w:val="false"/>
          <w:sz w:val="17"/>
          <w:u w:val="single"/>
        </w:rPr>
        <w:t>7.1(b) </w:t>
      </w:r>
      <w:r>
        <w:rPr>
          <w:rFonts w:ascii="Times New Roman" w:hAnsi="Times New Roman"/>
          <w:b w:val="false"/>
          <w:sz w:val="17"/>
        </w:rPr>
        <w:t>and (ii) act in accordance with the Asset Acquisition Statement for all Tax purposes, in either case, except as otherwise required by law.  In the event that any of the allocations determined pursuant to such statement are disputed by any Tax Authority, the Party receiving notice of such dispute shall promptly notify and consult with the other Party hereto concerning the resolution of such dispute.</w:t>
      </w:r>
    </w:p>
    <w:p>
      <w:pPr>
        <w:pStyle w:val="Heading3"/>
        <w:spacing w:before="0" w:after="0"/>
        <w:ind w:left="0" w:right="0" w:hanging="0"/>
        <w:jc w:val="left"/>
        <w:rPr/>
      </w:pPr>
      <w:r>
        <w:rPr/>
        <w:t> </w:t>
      </w:r>
    </w:p>
    <w:p>
      <w:pPr>
        <w:pStyle w:val="Heading2"/>
        <w:spacing w:before="0" w:after="0"/>
        <w:ind w:left="0" w:right="0" w:hanging="0"/>
        <w:jc w:val="left"/>
        <w:rPr>
          <w:rFonts w:ascii="Times New Roman" w:hAnsi="Times New Roman"/>
          <w:b w:val="false"/>
          <w:sz w:val="17"/>
        </w:rPr>
      </w:pPr>
      <w:bookmarkStart w:id="197" w:name="Section7_2_234437"/>
      <w:bookmarkEnd w:id="197"/>
      <w:r>
        <w:rPr>
          <w:rFonts w:ascii="Times New Roman" w:hAnsi="Times New Roman"/>
          <w:b w:val="false"/>
          <w:sz w:val="17"/>
        </w:rPr>
        <w:t xml:space="preserve">Section 7.2                                      </w:t>
      </w:r>
      <w:r>
        <w:rPr>
          <w:rFonts w:ascii="Times New Roman" w:hAnsi="Times New Roman"/>
          <w:b w:val="false"/>
          <w:sz w:val="17"/>
          <w:u w:val="single"/>
        </w:rPr>
        <w:t>Transfer Taxes</w:t>
      </w:r>
      <w:r>
        <w:rPr>
          <w:rFonts w:ascii="Times New Roman" w:hAnsi="Times New Roman"/>
          <w:b w:val="false"/>
          <w:sz w:val="17"/>
        </w:rPr>
        <w:t>.</w:t>
      </w:r>
    </w:p>
    <w:p>
      <w:pPr>
        <w:pStyle w:val="TextBody"/>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(a)                                  All transfer, sales, use, stamp, registration and other similar Taxes resulting from the transactions contemplated by this Agreement (including the Conversion Transactions and the BGS LLC Contribution (collectively, the </w:t>
      </w:r>
      <w:r>
        <w:rPr>
          <w:rFonts w:ascii="Times New Roman" w:hAnsi="Times New Roman"/>
          <w:b w:val="false"/>
          <w:sz w:val="17"/>
          <w:u w:val="single"/>
        </w:rPr>
        <w:t>Transfer Taxes</w:t>
      </w:r>
      <w:r>
        <w:rPr>
          <w:rFonts w:ascii="Times New Roman" w:hAnsi="Times New Roman"/>
          <w:b w:val="false"/>
          <w:sz w:val="17"/>
        </w:rPr>
        <w:t>) shall be borne fifty percent (50%) by Buyer and fifty percent (50%) by Seller.</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 xml:space="preserve">(b)                                 Except as provided in </w:t>
      </w:r>
      <w:r>
        <w:rPr>
          <w:rFonts w:ascii="Times New Roman" w:hAnsi="Times New Roman"/>
          <w:b w:val="false"/>
          <w:sz w:val="17"/>
          <w:u w:val="single"/>
        </w:rPr>
        <w:t>Section 7.2(c)</w:t>
      </w:r>
      <w:r>
        <w:rPr>
          <w:rFonts w:ascii="Times New Roman" w:hAnsi="Times New Roman"/>
          <w:b w:val="false"/>
          <w:sz w:val="17"/>
        </w:rPr>
        <w:t>, Seller shall prepare and file (or cause to be prepared and filed) all Tax Returns required to be filed in respect of Transfer Taxes, and shall pay (or cause to be paid) to the applicable Taxing Authorities the Transfer Taxes shown to be due and payable on the face of such Tax Returns.  Buyer agrees to cooperate in the preparation and filing of such Tax Returns, and agrees to promptly pay to Seller its share of such Taxes.</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(c)                                  In the case of any Tax Returns required to be filed by Buyer or its Affiliates (including, after the Closing, the Company and its Subsidiaries) with respect to Transfer Taxes, Buyer shall prepare and file (or cause to be prepared and filed) such Tax Returns and shall pay (or cause to be paid) to the applicable Taxing Authorities the Transfer Taxes shown to be due and payable on the face of such Tax Returns.  Seller</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57</w:t>
      </w:r>
    </w:p>
    <w:p>
      <w:pPr>
        <w:pStyle w:val="HorizontalLine"/>
        <w:pBdr>
          <w:bottom w:val="single" w:sz="12" w:space="0" w:color="808080"/>
        </w:pBdr>
        <w:spacing w:before="0" w:after="0"/>
        <w:jc w:val="left"/>
        <w:rPr/>
      </w:pPr>
      <w:r>
        <w:rPr/>
      </w:r>
      <w:r>
        <w:br w:type="page"/>
      </w:r>
    </w:p>
    <w:p>
      <w:pPr>
        <w:pStyle w:val="TextBody"/>
        <w:spacing w:before="0" w:after="0"/>
        <w:ind w:left="0" w:right="0" w:hanging="0"/>
        <w:jc w:val="center"/>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agrees to cooperate in the preparation and filing of such Tax Returns, and agrees to promptly pay to Buyer its share of such Taxes.</w:t>
      </w:r>
    </w:p>
    <w:p>
      <w:pPr>
        <w:pStyle w:val="Heading3"/>
        <w:spacing w:before="0" w:after="0"/>
        <w:ind w:left="0" w:right="0" w:hanging="0"/>
        <w:jc w:val="left"/>
        <w:rPr/>
      </w:pPr>
      <w:r>
        <w:rPr/>
        <w:t> </w:t>
      </w:r>
    </w:p>
    <w:p>
      <w:pPr>
        <w:pStyle w:val="Heading2"/>
        <w:spacing w:before="0" w:after="0"/>
        <w:ind w:left="0" w:right="0" w:hanging="0"/>
        <w:jc w:val="left"/>
        <w:rPr>
          <w:rFonts w:ascii="Times New Roman" w:hAnsi="Times New Roman"/>
          <w:b w:val="false"/>
          <w:sz w:val="17"/>
        </w:rPr>
      </w:pPr>
      <w:bookmarkStart w:id="198" w:name="Section7_3_234442"/>
      <w:bookmarkEnd w:id="198"/>
      <w:r>
        <w:rPr>
          <w:rFonts w:ascii="Times New Roman" w:hAnsi="Times New Roman"/>
          <w:b w:val="false"/>
          <w:sz w:val="17"/>
        </w:rPr>
        <w:t xml:space="preserve">Section 7.3                                      </w:t>
      </w:r>
      <w:r>
        <w:rPr>
          <w:rFonts w:ascii="Times New Roman" w:hAnsi="Times New Roman"/>
          <w:b w:val="false"/>
          <w:sz w:val="17"/>
          <w:u w:val="single"/>
        </w:rPr>
        <w:t>Preparation and Filing of Tax Returns and Payment of Taxes</w:t>
      </w:r>
      <w:r>
        <w:rPr>
          <w:rFonts w:ascii="Times New Roman" w:hAnsi="Times New Roman"/>
          <w:b w:val="false"/>
          <w:sz w:val="17"/>
        </w:rPr>
        <w:t>.</w:t>
      </w:r>
    </w:p>
    <w:p>
      <w:pPr>
        <w:pStyle w:val="Heading2"/>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(a)                                  To the extent not filed prior to the Closing Date, Seller shall prepare (or cause to be prepared) all Company Tax Returns for any taxable period ending on or before the Closing Date (each such period, a </w:t>
      </w:r>
      <w:r>
        <w:rPr>
          <w:rFonts w:ascii="Times New Roman" w:hAnsi="Times New Roman"/>
          <w:b w:val="false"/>
          <w:sz w:val="17"/>
          <w:u w:val="single"/>
        </w:rPr>
        <w:t>Pre-Closing Period</w:t>
      </w:r>
      <w:r>
        <w:rPr>
          <w:rFonts w:ascii="Times New Roman" w:hAnsi="Times New Roman"/>
          <w:b w:val="false"/>
          <w:sz w:val="17"/>
        </w:rPr>
        <w:t> and each such Company Tax Return to be filed after the Closing Date, a </w:t>
      </w:r>
      <w:r>
        <w:rPr>
          <w:rFonts w:ascii="Times New Roman" w:hAnsi="Times New Roman"/>
          <w:b w:val="false"/>
          <w:sz w:val="17"/>
          <w:u w:val="single"/>
        </w:rPr>
        <w:t>Pre-Closing Period Tax Return</w:t>
      </w:r>
      <w:r>
        <w:rPr>
          <w:rFonts w:ascii="Times New Roman" w:hAnsi="Times New Roman"/>
          <w:b w:val="false"/>
          <w:sz w:val="17"/>
        </w:rPr>
        <w:t xml:space="preserve">).  All such Pre-Closing Period Tax Returns shall be prepared in a manner that is consistent in all material respects with the prior practice of the Company and its Subsidiaries, except as required by applicable law or as a result of the transactions contemplated by </w:t>
      </w:r>
      <w:r>
        <w:rPr>
          <w:rFonts w:ascii="Times New Roman" w:hAnsi="Times New Roman"/>
          <w:b w:val="false"/>
          <w:sz w:val="17"/>
          <w:u w:val="single"/>
        </w:rPr>
        <w:t>Sections 6.19</w:t>
      </w:r>
      <w:r>
        <w:rPr>
          <w:rFonts w:ascii="Times New Roman" w:hAnsi="Times New Roman"/>
          <w:b w:val="false"/>
          <w:sz w:val="17"/>
        </w:rPr>
        <w:t xml:space="preserve"> and </w:t>
      </w:r>
      <w:r>
        <w:rPr>
          <w:rFonts w:ascii="Times New Roman" w:hAnsi="Times New Roman"/>
          <w:b w:val="false"/>
          <w:sz w:val="17"/>
          <w:u w:val="single"/>
        </w:rPr>
        <w:t>6.20</w:t>
      </w:r>
      <w:r>
        <w:rPr>
          <w:rFonts w:ascii="Times New Roman" w:hAnsi="Times New Roman"/>
          <w:b w:val="false"/>
          <w:sz w:val="17"/>
        </w:rPr>
        <w:t>.</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(b)                                 Seller shall prepare (or cause to be prepared) all Company Tax Returns for any taxable period that begins on or prior to and ends after the Closing Date (each such period, a </w:t>
      </w:r>
      <w:r>
        <w:rPr>
          <w:rFonts w:ascii="Times New Roman" w:hAnsi="Times New Roman"/>
          <w:b w:val="false"/>
          <w:sz w:val="17"/>
          <w:u w:val="single"/>
        </w:rPr>
        <w:t>Straddle Period</w:t>
      </w:r>
      <w:r>
        <w:rPr>
          <w:rFonts w:ascii="Times New Roman" w:hAnsi="Times New Roman"/>
          <w:b w:val="false"/>
          <w:sz w:val="17"/>
        </w:rPr>
        <w:t> and each such Tax Return, a </w:t>
      </w:r>
      <w:r>
        <w:rPr>
          <w:rFonts w:ascii="Times New Roman" w:hAnsi="Times New Roman"/>
          <w:b w:val="false"/>
          <w:sz w:val="17"/>
          <w:u w:val="single"/>
        </w:rPr>
        <w:t>Straddle Period Tax Return</w:t>
      </w:r>
      <w:r>
        <w:rPr>
          <w:rFonts w:ascii="Times New Roman" w:hAnsi="Times New Roman"/>
          <w:b w:val="false"/>
          <w:sz w:val="17"/>
        </w:rPr>
        <w:t xml:space="preserve">).  All such Straddle Period Tax Returns shall be prepared in a manner that is consistent in all material respects with the prior practice of the Company and its Subsidiaries, except as required by applicable law or as a result of the transactions contemplated by </w:t>
      </w:r>
      <w:r>
        <w:rPr>
          <w:rFonts w:ascii="Times New Roman" w:hAnsi="Times New Roman"/>
          <w:b w:val="false"/>
          <w:sz w:val="17"/>
          <w:u w:val="single"/>
        </w:rPr>
        <w:t>Sections 6.19</w:t>
      </w:r>
      <w:r>
        <w:rPr>
          <w:rFonts w:ascii="Times New Roman" w:hAnsi="Times New Roman"/>
          <w:b w:val="false"/>
          <w:sz w:val="17"/>
        </w:rPr>
        <w:t xml:space="preserve"> and </w:t>
      </w:r>
      <w:r>
        <w:rPr>
          <w:rFonts w:ascii="Times New Roman" w:hAnsi="Times New Roman"/>
          <w:b w:val="false"/>
          <w:sz w:val="17"/>
          <w:u w:val="single"/>
        </w:rPr>
        <w:t>6.20</w:t>
      </w:r>
      <w:r>
        <w:rPr>
          <w:rFonts w:ascii="Times New Roman" w:hAnsi="Times New Roman"/>
          <w:b w:val="false"/>
          <w:sz w:val="17"/>
        </w:rPr>
        <w:t>.</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(c)                                  With respect to each Pre-Closing Period Tax Return that relates to income Taxes (a </w:t>
      </w:r>
      <w:r>
        <w:rPr>
          <w:rFonts w:ascii="Times New Roman" w:hAnsi="Times New Roman"/>
          <w:b w:val="false"/>
          <w:sz w:val="17"/>
          <w:u w:val="single"/>
        </w:rPr>
        <w:t>Pre-Closing Period Income Tax Return</w:t>
      </w:r>
      <w:r>
        <w:rPr>
          <w:rFonts w:ascii="Times New Roman" w:hAnsi="Times New Roman"/>
          <w:b w:val="false"/>
          <w:sz w:val="17"/>
        </w:rPr>
        <w:t xml:space="preserve">), Seller shall file (or cause to be filed) such Pre-Closing Period Income Tax Return, and shall pay (or cause to be paid) to the applicable Tax Authority an amount equal to the Taxes shown to be due and payable on the face of such Pre-Closing Period Income Tax Return.  Seller shall provide Buyer with copies of such Pre-Closing Period Income Tax Returns within ten (10) days following the filing thereof.  Notwithstanding anything to the contrary contained in this Agreement, with respect to any Pre-Closing Period Income Tax Return, if, under applicable law, an officer or other employee of any of the Company or its Subsidiaries is required to sign such Pre-Closing Period Income Tax Return, then this </w:t>
      </w:r>
      <w:r>
        <w:rPr>
          <w:rFonts w:ascii="Times New Roman" w:hAnsi="Times New Roman"/>
          <w:b w:val="false"/>
          <w:sz w:val="17"/>
          <w:u w:val="single"/>
        </w:rPr>
        <w:t>Section 7.3(c) </w:t>
      </w:r>
      <w:r>
        <w:rPr>
          <w:rFonts w:ascii="Times New Roman" w:hAnsi="Times New Roman"/>
          <w:b w:val="false"/>
          <w:sz w:val="17"/>
        </w:rPr>
        <w:t xml:space="preserve">shall not apply, and the provisions of </w:t>
      </w:r>
      <w:r>
        <w:rPr>
          <w:rFonts w:ascii="Times New Roman" w:hAnsi="Times New Roman"/>
          <w:b w:val="false"/>
          <w:sz w:val="17"/>
          <w:u w:val="single"/>
        </w:rPr>
        <w:t>Section 7.3(d) </w:t>
      </w:r>
      <w:r>
        <w:rPr>
          <w:rFonts w:ascii="Times New Roman" w:hAnsi="Times New Roman"/>
          <w:b w:val="false"/>
          <w:sz w:val="17"/>
        </w:rPr>
        <w:t>shall apply (substituting Pre-Closing Period Income Tax Return each place Pre-Closing Period Non-Income Tax Returns appears) to the preparation and filing of such Pre-Closing Period Income Tax Return.</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(d)                                 With respect to each Pre-Closing Period Tax Return that relates to Taxes other than income Taxes (a </w:t>
      </w:r>
      <w:r>
        <w:rPr>
          <w:rFonts w:ascii="Times New Roman" w:hAnsi="Times New Roman"/>
          <w:b w:val="false"/>
          <w:sz w:val="17"/>
          <w:u w:val="single"/>
        </w:rPr>
        <w:t>Pre-Closing Period Non-Income Tax Return</w:t>
      </w:r>
      <w:r>
        <w:rPr>
          <w:rFonts w:ascii="Times New Roman" w:hAnsi="Times New Roman"/>
          <w:b w:val="false"/>
          <w:sz w:val="17"/>
        </w:rPr>
        <w:t>), no later than 30 days prior to the due date (taking into account any valid extensions thereof) for the filing (</w:t>
      </w:r>
      <w:r>
        <w:rPr>
          <w:rFonts w:ascii="Times New Roman" w:hAnsi="Times New Roman"/>
          <w:b w:val="false"/>
          <w:sz w:val="17"/>
          <w:u w:val="single"/>
        </w:rPr>
        <w:t>Due Date</w:t>
      </w:r>
      <w:r>
        <w:rPr>
          <w:rFonts w:ascii="Times New Roman" w:hAnsi="Times New Roman"/>
          <w:b w:val="false"/>
          <w:sz w:val="17"/>
        </w:rPr>
        <w:t>) of such Pre-Closing Period Non-Income Tax Return, Seller shall submit, or cause to be submitted, to Buyer, for its review, a draft of such Pre-Closing Period Non-Income Tax Return.  Within ten (10) days following Buyers receipt of the draft of such Pre-Closing Period Non-Income Tax Return, Buyer shall have the right to reasonably object to such Pre-Closing Period Non-Income Tax Return (by written notice to the Seller).  If Buyer does not object by written notice to Seller within such time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58</w:t>
      </w:r>
    </w:p>
    <w:p>
      <w:pPr>
        <w:pStyle w:val="HorizontalLine"/>
        <w:pBdr>
          <w:bottom w:val="single" w:sz="12" w:space="0" w:color="808080"/>
        </w:pBdr>
        <w:spacing w:before="0" w:after="0"/>
        <w:jc w:val="left"/>
        <w:rPr/>
      </w:pPr>
      <w:r>
        <w:rPr/>
      </w:r>
      <w:r>
        <w:br w:type="page"/>
      </w:r>
    </w:p>
    <w:p>
      <w:pPr>
        <w:pStyle w:val="TextBody"/>
        <w:spacing w:before="0" w:after="0"/>
        <w:ind w:left="0" w:right="0" w:hanging="0"/>
        <w:jc w:val="center"/>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 xml:space="preserve">period, such Pre-Closing Period Non-Income Tax Return shall be deemed to have been accepted and agreed upon, and final and conclusive, for purposes of this </w:t>
      </w:r>
      <w:r>
        <w:rPr>
          <w:rFonts w:ascii="Times New Roman" w:hAnsi="Times New Roman"/>
          <w:sz w:val="17"/>
          <w:u w:val="single"/>
        </w:rPr>
        <w:t>Section 7.3(d)</w:t>
      </w:r>
      <w:r>
        <w:rPr>
          <w:rFonts w:ascii="Times New Roman" w:hAnsi="Times New Roman"/>
          <w:sz w:val="17"/>
        </w:rPr>
        <w:t xml:space="preserve">.  If Buyer objects to such Pre-Closing Period Non-Income Tax Return, it shall notify Seller of such disputed item (or items) (in such written notice) and the basis for its objection and Buyer and Seller shall act in good faith to resolve any such dispute as promptly as practicable.  If Buyer and Seller cannot reach agreement regarding such dispute, the dispute shall be presented to the Independent Accountant, whose determination shall be binding upon both Buyer and Seller,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that Buyer and Seller shall require the Independent Accountant to make a determination within ten (10) days but in no event later than five (5) days prior to the Due Date for the filing of such Pre-Closing Period Non-Income Tax Return.  With respect to each Pre-Closing Period Non-Income Tax Return, no later than three (3) days prior to the Due Date of such Pre-Closing Period Non-Income Tax Return, Seller shall pay to Buyer, in immediately available funds, an amount equal to the total liability for Taxes shown to be due and payable on the face of such Pre-Closing Period Non-Income Tax Return (as finally determined pursuant to this </w:t>
      </w:r>
      <w:r>
        <w:rPr>
          <w:rFonts w:ascii="Times New Roman" w:hAnsi="Times New Roman"/>
          <w:sz w:val="17"/>
          <w:u w:val="single"/>
        </w:rPr>
        <w:t>Section 7.3</w:t>
      </w:r>
      <w:r>
        <w:rPr>
          <w:rFonts w:ascii="Times New Roman" w:hAnsi="Times New Roman"/>
          <w:sz w:val="17"/>
        </w:rPr>
        <w:t xml:space="preserve">).  Subject to the immediately preceding sentence, Buyer shall cause the Company or applicable Subsidiary (as the case may be) to timely and duly file such Pre-Closing Period Non-Income Tax Return and to timely pay to the applicable Tax Authority an amount equal to the total liability for Taxes shown to be due and payable on the face of such Pre-Closing Period Non-Income Tax Return, and shall provide Seller with evidence, reasonably satisfactory to Seller, of such filing and payment as promptly as practicable.  Nothing contained in this </w:t>
      </w:r>
      <w:r>
        <w:rPr>
          <w:rFonts w:ascii="Times New Roman" w:hAnsi="Times New Roman"/>
          <w:sz w:val="17"/>
          <w:u w:val="single"/>
        </w:rPr>
        <w:t>Section 7.3(d) </w:t>
      </w:r>
      <w:r>
        <w:rPr>
          <w:rFonts w:ascii="Times New Roman" w:hAnsi="Times New Roman"/>
          <w:sz w:val="17"/>
        </w:rPr>
        <w:t xml:space="preserve">shall be interpreted as limiting the Buyer Indemnified Parties rights to indemnification from Seller pursuant to </w:t>
      </w:r>
      <w:r>
        <w:rPr>
          <w:rFonts w:ascii="Times New Roman" w:hAnsi="Times New Roman"/>
          <w:sz w:val="17"/>
          <w:u w:val="single"/>
        </w:rPr>
        <w:t>Section 7.8</w:t>
      </w:r>
      <w:r>
        <w:rPr>
          <w:rFonts w:ascii="Times New Roman" w:hAnsi="Times New Roman"/>
          <w:sz w:val="17"/>
        </w:rPr>
        <w:t xml:space="preserve">;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that notwithstanding anything else in this Agreement, Seller shall not be required to indemnify the Buyer Indemnified Parties to the extent of any Losses attributable to Buyers failure to satisfy its obligations in the immediately preceding sentence.</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 xml:space="preserve">(e)                                  With respect to each Straddle Period Tax Return, no later than thirty (30) days prior to the Due Date for the filing of such Straddle Period Tax Return, Seller shall submit, or cause to be submitted, to Buyer, for its review, a draft of such Straddle Period Tax Return, and shall notify Buyer of Sellers calculation of the Taxes of such Straddle Period allocated to the Pre-Closing Portion and Post-Closing Portion of such Straddle Period (in accordance with </w:t>
      </w:r>
      <w:r>
        <w:rPr>
          <w:rFonts w:ascii="Times New Roman" w:hAnsi="Times New Roman"/>
          <w:b w:val="false"/>
          <w:sz w:val="17"/>
          <w:u w:val="single"/>
        </w:rPr>
        <w:t>Section 7.4</w:t>
      </w:r>
      <w:r>
        <w:rPr>
          <w:rFonts w:ascii="Times New Roman" w:hAnsi="Times New Roman"/>
          <w:b w:val="false"/>
          <w:sz w:val="17"/>
        </w:rPr>
        <w:t xml:space="preserve">).  Within ten (10) days following Buyers receipt of the draft of such Straddle Period Tax Return (and the calculation of Taxes allocated to the Pre-Closing Portion and the Post-Closing Portion of such Straddle Period), Buyer shall have the right to reasonably object to such Straddle Period Tax Return or calculations by written notice to Seller.  If Buyer does not object by written notice to Seller within such time period, such Straddle Period Tax Return and calculations shall be deemed to have been accepted and agreed upon for purposes of this </w:t>
      </w:r>
      <w:r>
        <w:rPr>
          <w:rFonts w:ascii="Times New Roman" w:hAnsi="Times New Roman"/>
          <w:b w:val="false"/>
          <w:sz w:val="17"/>
          <w:u w:val="single"/>
        </w:rPr>
        <w:t>Section 7.3(e)</w:t>
      </w:r>
      <w:r>
        <w:rPr>
          <w:rFonts w:ascii="Times New Roman" w:hAnsi="Times New Roman"/>
          <w:b w:val="false"/>
          <w:sz w:val="17"/>
        </w:rPr>
        <w:t xml:space="preserve">.  If Buyer objects to such Straddle Period Tax Return and/or such calculations, it shall notify Seller of such disputed item (or items) in such written notice and the basis for its objection and Buyer and Seller shall act in good faith to resolve any such dispute as promptly as practicable.  If Buyer and Seller cannot reach agreement regarding such dispute, the dispute shall be presented to the Independent Accountant, whose determination shall be binding upon both Buyer and Seller; </w:t>
      </w:r>
      <w:r>
        <w:rPr>
          <w:rFonts w:ascii="Times New Roman" w:hAnsi="Times New Roman"/>
          <w:b w:val="false"/>
          <w:sz w:val="17"/>
          <w:u w:val="single"/>
        </w:rPr>
        <w:t>provided</w:t>
      </w:r>
      <w:r>
        <w:rPr>
          <w:rFonts w:ascii="Times New Roman" w:hAnsi="Times New Roman"/>
          <w:b w:val="false"/>
          <w:sz w:val="17"/>
        </w:rPr>
        <w:t xml:space="preserve">, </w:t>
      </w:r>
      <w:r>
        <w:rPr>
          <w:rFonts w:ascii="Times New Roman" w:hAnsi="Times New Roman"/>
          <w:b w:val="false"/>
          <w:sz w:val="17"/>
          <w:u w:val="single"/>
        </w:rPr>
        <w:t>however</w:t>
      </w:r>
      <w:r>
        <w:rPr>
          <w:rFonts w:ascii="Times New Roman" w:hAnsi="Times New Roman"/>
          <w:b w:val="false"/>
          <w:sz w:val="17"/>
        </w:rPr>
        <w:t>, that Buyer and Seller shall require the Independent Accountant to make a determination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59</w:t>
      </w:r>
    </w:p>
    <w:p>
      <w:pPr>
        <w:pStyle w:val="HorizontalLine"/>
        <w:pBdr>
          <w:bottom w:val="single" w:sz="12" w:space="0" w:color="808080"/>
        </w:pBdr>
        <w:spacing w:before="0" w:after="0"/>
        <w:jc w:val="left"/>
        <w:rPr/>
      </w:pPr>
      <w:r>
        <w:rPr/>
      </w:r>
      <w:r>
        <w:br w:type="page"/>
      </w:r>
    </w:p>
    <w:p>
      <w:pPr>
        <w:pStyle w:val="TextBody"/>
        <w:spacing w:before="0" w:after="0"/>
        <w:ind w:left="0" w:right="0" w:hanging="0"/>
        <w:jc w:val="center"/>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 xml:space="preserve">within ten (10) days but in no event later than five (5) days prior to the Due Date for the filing of such Straddle Period Tax Return.  With respect to each Straddle Period Tax Return, no later than three (3) days prior to the Due Date of such Straddle Period Tax Return, Seller shall pay to Buyer, in immediately available funds, an amount equal to the amount of Taxes for such Straddle Period shown to be due and payable on the face of such Straddle Period Tax Return that are allocable to the Pre-Closing Portion of the Straddle Period (as finally determined pursuant to this </w:t>
      </w:r>
      <w:r>
        <w:rPr>
          <w:rFonts w:ascii="Times New Roman" w:hAnsi="Times New Roman"/>
          <w:sz w:val="17"/>
          <w:u w:val="single"/>
        </w:rPr>
        <w:t>Section 7.3(e)</w:t>
      </w:r>
      <w:r>
        <w:rPr>
          <w:rFonts w:ascii="Times New Roman" w:hAnsi="Times New Roman"/>
          <w:sz w:val="17"/>
        </w:rPr>
        <w:t xml:space="preserve">).  Subject to the immediately preceding sentence, Buyer shall cause the Company or applicable Subsidiary (as the case may be) to timely and duly file such Straddle Period Tax Return and to timely pay to the applicable Tax Authority an amount equal to the total liability for Taxes shown to be due and payable on the face of such Straddle Period Tax Return and shall provide Seller with evidence, reasonably satisfactory to Seller, of such filing and payment as promptly as practicable.  Nothing contained in this </w:t>
      </w:r>
      <w:r>
        <w:rPr>
          <w:rFonts w:ascii="Times New Roman" w:hAnsi="Times New Roman"/>
          <w:sz w:val="17"/>
          <w:u w:val="single"/>
        </w:rPr>
        <w:t>Section 7.3(e) </w:t>
      </w:r>
      <w:r>
        <w:rPr>
          <w:rFonts w:ascii="Times New Roman" w:hAnsi="Times New Roman"/>
          <w:sz w:val="17"/>
        </w:rPr>
        <w:t xml:space="preserve">shall be interpreted as limiting the Buyer Indemnified Parties rights to indemnification from Seller or the Seller Indemnified Parties rights to indemnification from Buyer pursuant to </w:t>
      </w:r>
      <w:r>
        <w:rPr>
          <w:rFonts w:ascii="Times New Roman" w:hAnsi="Times New Roman"/>
          <w:sz w:val="17"/>
          <w:u w:val="single"/>
        </w:rPr>
        <w:t>Section 7.8</w:t>
      </w:r>
      <w:r>
        <w:rPr>
          <w:rFonts w:ascii="Times New Roman" w:hAnsi="Times New Roman"/>
          <w:sz w:val="17"/>
        </w:rPr>
        <w:t xml:space="preserve">,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that notwithstanding anything else in this Agreement, Seller shall not be required to indemnify the Buyer Indemnified Parties to the extent of any Losses attributable to Buyers failure to satisfy its obligations in the immediately preceding sentence.</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 xml:space="preserve">(f)                                    Notwithstanding anything to the contrary contained in this Agreement, each Party shall be responsible for its own costs and expenses incurred in connection with this </w:t>
      </w:r>
      <w:r>
        <w:rPr>
          <w:rFonts w:ascii="Times New Roman" w:hAnsi="Times New Roman"/>
          <w:b w:val="false"/>
          <w:sz w:val="17"/>
          <w:u w:val="single"/>
        </w:rPr>
        <w:t>Section 7.3</w:t>
      </w:r>
      <w:r>
        <w:rPr>
          <w:rFonts w:ascii="Times New Roman" w:hAnsi="Times New Roman"/>
          <w:b w:val="false"/>
          <w:sz w:val="17"/>
        </w:rPr>
        <w:t xml:space="preserve">; </w:t>
      </w:r>
      <w:r>
        <w:rPr>
          <w:rFonts w:ascii="Times New Roman" w:hAnsi="Times New Roman"/>
          <w:b w:val="false"/>
          <w:sz w:val="17"/>
          <w:u w:val="single"/>
        </w:rPr>
        <w:t>provided</w:t>
      </w:r>
      <w:r>
        <w:rPr>
          <w:rFonts w:ascii="Times New Roman" w:hAnsi="Times New Roman"/>
          <w:b w:val="false"/>
          <w:sz w:val="17"/>
        </w:rPr>
        <w:t xml:space="preserve">, </w:t>
      </w:r>
      <w:r>
        <w:rPr>
          <w:rFonts w:ascii="Times New Roman" w:hAnsi="Times New Roman"/>
          <w:b w:val="false"/>
          <w:sz w:val="17"/>
          <w:u w:val="single"/>
        </w:rPr>
        <w:t>however</w:t>
      </w:r>
      <w:r>
        <w:rPr>
          <w:rFonts w:ascii="Times New Roman" w:hAnsi="Times New Roman"/>
          <w:b w:val="false"/>
          <w:sz w:val="17"/>
        </w:rPr>
        <w:t>, that all costs and expenses of the Independent Accountant shall be paid fifty percent (50%) by Buyer and fifty percent (50%) by Seller.</w:t>
      </w:r>
    </w:p>
    <w:p>
      <w:pPr>
        <w:pStyle w:val="Heading3"/>
        <w:spacing w:before="0" w:after="0"/>
        <w:ind w:left="0" w:right="0" w:hanging="0"/>
        <w:jc w:val="left"/>
        <w:rPr/>
      </w:pPr>
      <w:r>
        <w:rPr/>
        <w:t> </w:t>
      </w:r>
    </w:p>
    <w:p>
      <w:pPr>
        <w:pStyle w:val="Heading2"/>
        <w:spacing w:before="0" w:after="0"/>
        <w:ind w:left="0" w:right="0" w:hanging="0"/>
        <w:jc w:val="left"/>
        <w:rPr>
          <w:rFonts w:ascii="Times New Roman" w:hAnsi="Times New Roman"/>
          <w:b w:val="false"/>
          <w:sz w:val="17"/>
        </w:rPr>
      </w:pPr>
      <w:bookmarkStart w:id="199" w:name="Section7_4_234449"/>
      <w:bookmarkEnd w:id="199"/>
      <w:r>
        <w:rPr>
          <w:rFonts w:ascii="Times New Roman" w:hAnsi="Times New Roman"/>
          <w:b w:val="false"/>
          <w:sz w:val="17"/>
        </w:rPr>
        <w:t xml:space="preserve">Section 7.4                                      </w:t>
      </w:r>
      <w:r>
        <w:rPr>
          <w:rFonts w:ascii="Times New Roman" w:hAnsi="Times New Roman"/>
          <w:b w:val="false"/>
          <w:sz w:val="17"/>
          <w:u w:val="single"/>
        </w:rPr>
        <w:t>Allocation of Straddle Period Taxes</w:t>
      </w:r>
      <w:r>
        <w:rPr>
          <w:rFonts w:ascii="Times New Roman" w:hAnsi="Times New Roman"/>
          <w:b w:val="false"/>
          <w:sz w:val="17"/>
        </w:rPr>
        <w:t xml:space="preserve">.  To the extent permitted under applicable law, the Parties shall treat the Closing Date as the last day of the taxable year of each of the Company and its Subsidiaries, for all Tax purposes.  In the case of any Straddle Period, Taxes shall, subject to </w:t>
      </w:r>
      <w:r>
        <w:rPr>
          <w:rFonts w:ascii="Times New Roman" w:hAnsi="Times New Roman"/>
          <w:b w:val="false"/>
          <w:sz w:val="17"/>
          <w:u w:val="single"/>
        </w:rPr>
        <w:t>Sections 7.2</w:t>
      </w:r>
      <w:r>
        <w:rPr>
          <w:rFonts w:ascii="Times New Roman" w:hAnsi="Times New Roman"/>
          <w:b w:val="false"/>
          <w:sz w:val="17"/>
        </w:rPr>
        <w:t xml:space="preserve"> and </w:t>
      </w:r>
      <w:r>
        <w:rPr>
          <w:rFonts w:ascii="Times New Roman" w:hAnsi="Times New Roman"/>
          <w:b w:val="false"/>
          <w:sz w:val="17"/>
          <w:u w:val="single"/>
        </w:rPr>
        <w:t>7.5</w:t>
      </w:r>
      <w:r>
        <w:rPr>
          <w:rFonts w:ascii="Times New Roman" w:hAnsi="Times New Roman"/>
          <w:b w:val="false"/>
          <w:sz w:val="17"/>
        </w:rPr>
        <w:t>, be prorated between and/or allocated to the Pre-Closing Portion or the Post-Closing Portion of such Straddle Period (i) based on the number of days included in each such portion relative to the total number of days included in such Straddle Period, in the case of Taxes that are imposed on a periodic basis (such as real property Taxes); and (ii) based on an interim closing of the books as of the close of business on the Closing Date, in the case of any other Taxes (including Taxes based on or measured by income or receipts of the Company and the Subsidiaries or imposed in connection with the sale or other transfer or assignment of cash or property).</w:t>
      </w:r>
    </w:p>
    <w:p>
      <w:pPr>
        <w:pStyle w:val="Heading2"/>
        <w:spacing w:before="0" w:after="0"/>
        <w:ind w:left="0" w:right="0" w:hanging="0"/>
        <w:jc w:val="left"/>
        <w:rPr/>
      </w:pPr>
      <w:r>
        <w:rPr/>
        <w:t> </w:t>
      </w:r>
    </w:p>
    <w:p>
      <w:pPr>
        <w:pStyle w:val="Heading2"/>
        <w:spacing w:before="0" w:after="0"/>
        <w:ind w:left="0" w:right="0" w:hanging="0"/>
        <w:jc w:val="left"/>
        <w:rPr>
          <w:rFonts w:ascii="Times New Roman" w:hAnsi="Times New Roman"/>
          <w:b w:val="false"/>
          <w:sz w:val="17"/>
        </w:rPr>
      </w:pPr>
      <w:bookmarkStart w:id="200" w:name="Section7_5_234453"/>
      <w:bookmarkEnd w:id="200"/>
      <w:r>
        <w:rPr>
          <w:rFonts w:ascii="Times New Roman" w:hAnsi="Times New Roman"/>
          <w:b w:val="false"/>
          <w:sz w:val="17"/>
        </w:rPr>
        <w:t xml:space="preserve">Section 7.5                                      </w:t>
      </w:r>
      <w:r>
        <w:rPr>
          <w:rFonts w:ascii="Times New Roman" w:hAnsi="Times New Roman"/>
          <w:b w:val="false"/>
          <w:sz w:val="17"/>
          <w:u w:val="single"/>
        </w:rPr>
        <w:t>Closing Date Transactions</w:t>
      </w:r>
      <w:r>
        <w:rPr>
          <w:rFonts w:ascii="Times New Roman" w:hAnsi="Times New Roman"/>
          <w:b w:val="false"/>
          <w:sz w:val="17"/>
        </w:rPr>
        <w:t>.  Any item attributable to a transaction other than any transaction contemplated by this Agreement or any other transaction that occurs in the ordinary course of business of any of the Company or its Subsidiaries that occurs on the Closing Date but after the Closing (an </w:t>
      </w:r>
      <w:r>
        <w:rPr>
          <w:rFonts w:ascii="Times New Roman" w:hAnsi="Times New Roman"/>
          <w:b w:val="false"/>
          <w:sz w:val="17"/>
          <w:u w:val="single"/>
        </w:rPr>
        <w:t>Extraordinary Transaction</w:t>
      </w:r>
      <w:r>
        <w:rPr>
          <w:rFonts w:ascii="Times New Roman" w:hAnsi="Times New Roman"/>
          <w:b w:val="false"/>
          <w:sz w:val="17"/>
        </w:rPr>
        <w:t>) shall be reported by Buyer, Seller, the Company and the Subsidiaries in accordance with principles similar to the next day rule contained in Treasury Regulations section 1.1502-76(b)(1)(ii)(B) as occurring on the first day following the Closing Date, and, in the case of any Straddle Period, the Parties agree to apply such</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60</w:t>
      </w:r>
    </w:p>
    <w:p>
      <w:pPr>
        <w:pStyle w:val="HorizontalLine"/>
        <w:pBdr>
          <w:bottom w:val="single" w:sz="12" w:space="0" w:color="808080"/>
        </w:pBdr>
        <w:spacing w:before="0" w:after="0"/>
        <w:jc w:val="left"/>
        <w:rPr/>
      </w:pPr>
      <w:r>
        <w:rPr/>
      </w:r>
      <w:r>
        <w:br w:type="page"/>
      </w:r>
    </w:p>
    <w:p>
      <w:pPr>
        <w:pStyle w:val="TextBody"/>
        <w:spacing w:before="0" w:after="0"/>
        <w:ind w:left="0" w:right="0" w:hanging="0"/>
        <w:jc w:val="center"/>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principles to allocate items attributable to an Extraordinary Transaction to the Post-Closing Portion of such Straddle Period.</w:t>
      </w:r>
    </w:p>
    <w:p>
      <w:pPr>
        <w:pStyle w:val="Heading2"/>
        <w:spacing w:before="0" w:after="0"/>
        <w:ind w:left="0" w:right="0" w:hanging="0"/>
        <w:jc w:val="left"/>
        <w:rPr/>
      </w:pPr>
      <w:r>
        <w:rPr/>
        <w:t> </w:t>
      </w:r>
    </w:p>
    <w:p>
      <w:pPr>
        <w:pStyle w:val="Heading2"/>
        <w:spacing w:before="0" w:after="0"/>
        <w:ind w:left="0" w:right="0" w:hanging="0"/>
        <w:jc w:val="left"/>
        <w:rPr>
          <w:rFonts w:ascii="Times New Roman" w:hAnsi="Times New Roman"/>
          <w:b w:val="false"/>
          <w:sz w:val="17"/>
        </w:rPr>
      </w:pPr>
      <w:bookmarkStart w:id="201" w:name="Section7_6_234456"/>
      <w:bookmarkEnd w:id="201"/>
      <w:r>
        <w:rPr>
          <w:rFonts w:ascii="Times New Roman" w:hAnsi="Times New Roman"/>
          <w:b w:val="false"/>
          <w:sz w:val="17"/>
        </w:rPr>
        <w:t xml:space="preserve">Section 7.6                                      </w:t>
      </w:r>
      <w:r>
        <w:rPr>
          <w:rFonts w:ascii="Times New Roman" w:hAnsi="Times New Roman"/>
          <w:b w:val="false"/>
          <w:sz w:val="17"/>
          <w:u w:val="single"/>
        </w:rPr>
        <w:t>Tax Refunds</w:t>
      </w:r>
      <w:r>
        <w:rPr>
          <w:rFonts w:ascii="Times New Roman" w:hAnsi="Times New Roman"/>
          <w:b w:val="false"/>
          <w:sz w:val="17"/>
        </w:rPr>
        <w:t>.  Buyer shall pay or cause to be paid to Seller (a) any Tax refund or other similar payment received by the Company or any of its Subsidiaries after the Closing (a </w:t>
      </w:r>
      <w:r>
        <w:rPr>
          <w:rFonts w:ascii="Times New Roman" w:hAnsi="Times New Roman"/>
          <w:b w:val="false"/>
          <w:sz w:val="17"/>
          <w:u w:val="single"/>
        </w:rPr>
        <w:t>Company Tax Refund</w:t>
      </w:r>
      <w:r>
        <w:rPr>
          <w:rFonts w:ascii="Times New Roman" w:hAnsi="Times New Roman"/>
          <w:b w:val="false"/>
          <w:sz w:val="17"/>
        </w:rPr>
        <w:t xml:space="preserve">) for a Pre-Closing Period (including any credit resulting from an overpayment of Taxes for a Pre-Closing Period), and (b) a portion of any Company Tax Refund for a Straddle Period (including any credit resulting from an overpayment of Taxes for a Straddle Period), such portion to be allocated to the Pre-Closing Portion of such Straddle Period in accordance with the principles set forth in </w:t>
      </w:r>
      <w:r>
        <w:rPr>
          <w:rFonts w:ascii="Times New Roman" w:hAnsi="Times New Roman"/>
          <w:b w:val="false"/>
          <w:sz w:val="17"/>
          <w:u w:val="single"/>
        </w:rPr>
        <w:t>Section 7.4</w:t>
      </w:r>
      <w:r>
        <w:rPr>
          <w:rFonts w:ascii="Times New Roman" w:hAnsi="Times New Roman"/>
          <w:b w:val="false"/>
          <w:sz w:val="17"/>
        </w:rPr>
        <w:t>.</w:t>
      </w:r>
    </w:p>
    <w:p>
      <w:pPr>
        <w:pStyle w:val="Heading2"/>
        <w:spacing w:before="0" w:after="0"/>
        <w:ind w:left="0" w:right="0" w:hanging="0"/>
        <w:jc w:val="left"/>
        <w:rPr/>
      </w:pPr>
      <w:r>
        <w:rPr/>
        <w:t> </w:t>
      </w:r>
    </w:p>
    <w:p>
      <w:pPr>
        <w:pStyle w:val="Heading2"/>
        <w:spacing w:before="0" w:after="0"/>
        <w:ind w:left="0" w:right="0" w:hanging="0"/>
        <w:jc w:val="left"/>
        <w:rPr>
          <w:rFonts w:ascii="Times New Roman" w:hAnsi="Times New Roman"/>
          <w:b w:val="false"/>
          <w:sz w:val="17"/>
        </w:rPr>
      </w:pPr>
      <w:bookmarkStart w:id="202" w:name="Section7_7_234500"/>
      <w:bookmarkEnd w:id="202"/>
      <w:r>
        <w:rPr>
          <w:rFonts w:ascii="Times New Roman" w:hAnsi="Times New Roman"/>
          <w:b w:val="false"/>
          <w:sz w:val="17"/>
        </w:rPr>
        <w:t xml:space="preserve">Section 7.7                                      </w:t>
      </w:r>
      <w:r>
        <w:rPr>
          <w:rFonts w:ascii="Times New Roman" w:hAnsi="Times New Roman"/>
          <w:b w:val="false"/>
          <w:sz w:val="17"/>
          <w:u w:val="single"/>
        </w:rPr>
        <w:t>Assistance and Cooperation</w:t>
      </w:r>
      <w:r>
        <w:rPr>
          <w:rFonts w:ascii="Times New Roman" w:hAnsi="Times New Roman"/>
          <w:b w:val="false"/>
          <w:sz w:val="17"/>
        </w:rPr>
        <w:t>.</w:t>
      </w:r>
    </w:p>
    <w:p>
      <w:pPr>
        <w:pStyle w:val="TextBody"/>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 xml:space="preserve">(a)                                  Buyer, Seller, the Company and the Subsidiaries shall (i) after the Closing, assist (and cause their respective Affiliates, in the case of Seller excluding its Regulated Affiliates, to assist) the other Party in preparing and filing any Tax Returns that such other Party is responsible for preparing and filing, (ii) after the Closing, cooperate fully in preparing for any audits of, or disputes or other proceedings with any Tax Authority or with respect to any matters with respect to Taxes of or relating to the Company or the Subsidiaries and (iii) make available to the other Party and to any Tax Authority as reasonably requested all information, records, and documents relating to Tax matters (including Company Tax Returns) of or relating to the Company or the Subsidiaries relating to Pre-Closing Periods or Straddle Periods.  Each Party shall keep any information obtained under this </w:t>
      </w:r>
      <w:r>
        <w:rPr>
          <w:rFonts w:ascii="Times New Roman" w:hAnsi="Times New Roman"/>
          <w:b w:val="false"/>
          <w:sz w:val="17"/>
          <w:u w:val="single"/>
        </w:rPr>
        <w:t>Section 7.7</w:t>
      </w:r>
      <w:r>
        <w:rPr>
          <w:rFonts w:ascii="Times New Roman" w:hAnsi="Times New Roman"/>
          <w:b w:val="false"/>
          <w:sz w:val="17"/>
        </w:rPr>
        <w:t xml:space="preserve"> confidential except (x) as may be necessary in connection with the filing of Tax Returns or claims for refund or the conduct of any Tax Proceeding or (y) with the consent of the other Party.</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(b)                                 Upon Sellers reasonable request, Buyer shall cooperate with Seller to amend (or cause to be amended) any Company Tax Return for a Pre-Closing Period or Straddle Period (including in the preparation and filing of such amended Tax Return).  Notwithstanding anything to the contrary contained in this Agreement, Buyer shall not be required to cooperate with the Seller to amend (or cause to be amended) any Company Tax Return for a Pre-Closing Period or Straddle Period if such amendment could reasonably be expected to have an adverse effect upon any Taxes or Tax Returns (or Tax attribute) of any of Buyer or its Affiliates (including, after the Closing, any of the Company or its Subsidiaries) for any Post-Closing Period or any Post-Closing Portion of a Straddle Period, unless Seller agrees, in a manner reasonably satisfactory to Buyer, to indemnify Buyer in full for such adverse effect.</w:t>
      </w:r>
    </w:p>
    <w:p>
      <w:pPr>
        <w:pStyle w:val="Heading3"/>
        <w:spacing w:before="0" w:after="0"/>
        <w:ind w:left="0" w:right="0" w:hanging="0"/>
        <w:jc w:val="left"/>
        <w:rPr/>
      </w:pPr>
      <w:r>
        <w:rPr/>
        <w:t> </w:t>
      </w:r>
    </w:p>
    <w:p>
      <w:pPr>
        <w:pStyle w:val="Heading2"/>
        <w:spacing w:before="0" w:after="0"/>
        <w:ind w:left="0" w:right="0" w:hanging="0"/>
        <w:jc w:val="left"/>
        <w:rPr>
          <w:rFonts w:ascii="Times New Roman" w:hAnsi="Times New Roman"/>
          <w:b w:val="false"/>
          <w:sz w:val="17"/>
        </w:rPr>
      </w:pPr>
      <w:bookmarkStart w:id="203" w:name="Section7_8_234502"/>
      <w:bookmarkEnd w:id="203"/>
      <w:r>
        <w:rPr>
          <w:rFonts w:ascii="Times New Roman" w:hAnsi="Times New Roman"/>
          <w:b w:val="false"/>
          <w:sz w:val="17"/>
        </w:rPr>
        <w:t xml:space="preserve">Section 7.8                                      </w:t>
      </w:r>
      <w:r>
        <w:rPr>
          <w:rFonts w:ascii="Times New Roman" w:hAnsi="Times New Roman"/>
          <w:b w:val="false"/>
          <w:sz w:val="17"/>
          <w:u w:val="single"/>
        </w:rPr>
        <w:t>Tax Indemnity</w:t>
      </w:r>
      <w:r>
        <w:rPr>
          <w:rFonts w:ascii="Times New Roman" w:hAnsi="Times New Roman"/>
          <w:b w:val="false"/>
          <w:sz w:val="17"/>
        </w:rPr>
        <w:t>.</w:t>
      </w:r>
    </w:p>
    <w:p>
      <w:pPr>
        <w:pStyle w:val="Heading2"/>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 xml:space="preserve">(a)                                  Subject to the provisions of </w:t>
      </w:r>
      <w:r>
        <w:rPr>
          <w:rFonts w:ascii="Times New Roman" w:hAnsi="Times New Roman"/>
          <w:b w:val="false"/>
          <w:sz w:val="17"/>
          <w:u w:val="single"/>
        </w:rPr>
        <w:t>Sections 9.2(d)</w:t>
      </w:r>
      <w:r>
        <w:rPr>
          <w:rFonts w:ascii="Times New Roman" w:hAnsi="Times New Roman"/>
          <w:b w:val="false"/>
          <w:sz w:val="17"/>
        </w:rPr>
        <w:t xml:space="preserve">, </w:t>
      </w:r>
      <w:r>
        <w:rPr>
          <w:rFonts w:ascii="Times New Roman" w:hAnsi="Times New Roman"/>
          <w:b w:val="false"/>
          <w:sz w:val="17"/>
          <w:u w:val="single"/>
        </w:rPr>
        <w:t>9.4(d)</w:t>
      </w:r>
      <w:r>
        <w:rPr>
          <w:rFonts w:ascii="Times New Roman" w:hAnsi="Times New Roman"/>
          <w:b w:val="false"/>
          <w:sz w:val="17"/>
        </w:rPr>
        <w:t xml:space="preserve">, </w:t>
      </w:r>
      <w:r>
        <w:rPr>
          <w:rFonts w:ascii="Times New Roman" w:hAnsi="Times New Roman"/>
          <w:b w:val="false"/>
          <w:sz w:val="17"/>
          <w:u w:val="single"/>
        </w:rPr>
        <w:t>9.5</w:t>
      </w:r>
      <w:r>
        <w:rPr>
          <w:rFonts w:ascii="Times New Roman" w:hAnsi="Times New Roman"/>
          <w:b w:val="false"/>
          <w:sz w:val="17"/>
        </w:rPr>
        <w:t xml:space="preserve"> and (except as provided in the second and third sentences of the definition of Losses) </w:t>
      </w:r>
      <w:r>
        <w:rPr>
          <w:rFonts w:ascii="Times New Roman" w:hAnsi="Times New Roman"/>
          <w:b w:val="false"/>
          <w:sz w:val="17"/>
          <w:u w:val="single"/>
        </w:rPr>
        <w:t>9.7(b)</w:t>
      </w:r>
      <w:r>
        <w:rPr>
          <w:rFonts w:ascii="Times New Roman" w:hAnsi="Times New Roman"/>
          <w:b w:val="false"/>
          <w:sz w:val="17"/>
        </w:rPr>
        <w:t>, Seller shall indemnify and hold Buyer Indemnified Parties harmless from and against all Losses that Buyer Indemnified Parties incur arising from or out of or related to (without duplication):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61</w:t>
      </w:r>
    </w:p>
    <w:p>
      <w:pPr>
        <w:pStyle w:val="HorizontalLine"/>
        <w:pBdr>
          <w:bottom w:val="single" w:sz="12" w:space="0" w:color="808080"/>
        </w:pBdr>
        <w:spacing w:before="0" w:after="0"/>
        <w:jc w:val="left"/>
        <w:rPr/>
      </w:pPr>
      <w:r>
        <w:rPr/>
      </w:r>
      <w:r>
        <w:br w:type="page"/>
      </w:r>
    </w:p>
    <w:p>
      <w:pPr>
        <w:pStyle w:val="TextBody"/>
        <w:spacing w:before="0" w:after="0"/>
        <w:ind w:left="0" w:right="0" w:hanging="0"/>
        <w:jc w:val="center"/>
        <w:rPr/>
      </w:pPr>
      <w:r>
        <w:rPr/>
        <w:t> </w:t>
      </w:r>
    </w:p>
    <w:p>
      <w:pPr>
        <w:pStyle w:val="Heading4"/>
        <w:spacing w:before="0" w:after="0"/>
        <w:ind w:left="0" w:right="0" w:hanging="0"/>
        <w:jc w:val="left"/>
        <w:rPr>
          <w:rFonts w:ascii="Times New Roman" w:hAnsi="Times New Roman"/>
          <w:b w:val="false"/>
          <w:sz w:val="17"/>
        </w:rPr>
      </w:pPr>
      <w:r>
        <w:rPr>
          <w:rFonts w:ascii="Times New Roman" w:hAnsi="Times New Roman"/>
          <w:b w:val="false"/>
          <w:sz w:val="17"/>
        </w:rPr>
        <w:t>(i)                                     all Taxes imposed on any of the Company or its Subsidiaries under Treasury Regulations section 1.1502-6 (and corresponding provisions of state, local or foreign Law) as a result of being a member of any federal, state, local or foreign affiliated, consolidated, unitary, combined or similar group for any taxable year or period ending on or before, or that includes, the Closing Date, or as a result of transferor or successor liability;</w:t>
      </w:r>
    </w:p>
    <w:p>
      <w:pPr>
        <w:pStyle w:val="Heading4"/>
        <w:spacing w:before="0" w:after="0"/>
        <w:ind w:left="0" w:right="0" w:hanging="0"/>
        <w:jc w:val="left"/>
        <w:rPr/>
      </w:pPr>
      <w:r>
        <w:rPr/>
        <w:t> </w:t>
      </w:r>
    </w:p>
    <w:p>
      <w:pPr>
        <w:pStyle w:val="Heading4"/>
        <w:spacing w:before="0" w:after="0"/>
        <w:ind w:left="0" w:right="0" w:hanging="0"/>
        <w:jc w:val="left"/>
        <w:rPr>
          <w:rFonts w:ascii="Times New Roman" w:hAnsi="Times New Roman"/>
          <w:b w:val="false"/>
          <w:sz w:val="17"/>
        </w:rPr>
      </w:pPr>
      <w:r>
        <w:rPr>
          <w:rFonts w:ascii="Times New Roman" w:hAnsi="Times New Roman"/>
          <w:b w:val="false"/>
          <w:sz w:val="17"/>
        </w:rPr>
        <w:t xml:space="preserve">(ii)                                  any inaccuracy or breach of any representation or warranty of Seller contained in </w:t>
      </w:r>
      <w:r>
        <w:rPr>
          <w:rFonts w:ascii="Times New Roman" w:hAnsi="Times New Roman"/>
          <w:b w:val="false"/>
          <w:sz w:val="17"/>
          <w:u w:val="single"/>
        </w:rPr>
        <w:t>Section 4.6(a) </w:t>
      </w:r>
      <w:r>
        <w:rPr>
          <w:rFonts w:ascii="Times New Roman" w:hAnsi="Times New Roman"/>
          <w:b w:val="false"/>
          <w:sz w:val="17"/>
        </w:rPr>
        <w:t xml:space="preserve">(solely to the extent related or attributable to Company Taxes) and </w:t>
      </w:r>
      <w:r>
        <w:rPr>
          <w:rFonts w:ascii="Times New Roman" w:hAnsi="Times New Roman"/>
          <w:b w:val="false"/>
          <w:sz w:val="17"/>
          <w:u w:val="single"/>
        </w:rPr>
        <w:t>Section 4.11</w:t>
      </w:r>
      <w:r>
        <w:rPr>
          <w:rFonts w:ascii="Times New Roman" w:hAnsi="Times New Roman"/>
          <w:b w:val="false"/>
          <w:sz w:val="17"/>
        </w:rPr>
        <w:t>;</w:t>
      </w:r>
    </w:p>
    <w:p>
      <w:pPr>
        <w:pStyle w:val="Heading4"/>
        <w:spacing w:before="0" w:after="0"/>
        <w:ind w:left="0" w:right="0" w:hanging="0"/>
        <w:jc w:val="left"/>
        <w:rPr/>
      </w:pPr>
      <w:r>
        <w:rPr/>
        <w:t> </w:t>
      </w:r>
    </w:p>
    <w:p>
      <w:pPr>
        <w:pStyle w:val="Heading4"/>
        <w:spacing w:before="0" w:after="0"/>
        <w:ind w:left="0" w:right="0" w:hanging="0"/>
        <w:jc w:val="left"/>
        <w:rPr>
          <w:rFonts w:ascii="Times New Roman" w:hAnsi="Times New Roman"/>
          <w:b w:val="false"/>
          <w:sz w:val="17"/>
        </w:rPr>
      </w:pPr>
      <w:r>
        <w:rPr>
          <w:rFonts w:ascii="Times New Roman" w:hAnsi="Times New Roman"/>
          <w:b w:val="false"/>
          <w:sz w:val="17"/>
        </w:rPr>
        <w:t xml:space="preserve">(iii)                               any inaccuracy or breach of any representation or warranty of Seller contained in </w:t>
      </w:r>
      <w:r>
        <w:rPr>
          <w:rFonts w:ascii="Times New Roman" w:hAnsi="Times New Roman"/>
          <w:b w:val="false"/>
          <w:sz w:val="17"/>
          <w:u w:val="single"/>
        </w:rPr>
        <w:t>Section 4.6(a) </w:t>
      </w:r>
      <w:r>
        <w:rPr>
          <w:rFonts w:ascii="Times New Roman" w:hAnsi="Times New Roman"/>
          <w:b w:val="false"/>
          <w:sz w:val="17"/>
        </w:rPr>
        <w:t xml:space="preserve">(solely to the extent related or attributable to Company Taxes) and </w:t>
      </w:r>
      <w:r>
        <w:rPr>
          <w:rFonts w:ascii="Times New Roman" w:hAnsi="Times New Roman"/>
          <w:b w:val="false"/>
          <w:sz w:val="17"/>
          <w:u w:val="single"/>
        </w:rPr>
        <w:t>Section 4.11</w:t>
      </w:r>
      <w:r>
        <w:rPr>
          <w:rFonts w:ascii="Times New Roman" w:hAnsi="Times New Roman"/>
          <w:b w:val="false"/>
          <w:sz w:val="17"/>
        </w:rPr>
        <w:t xml:space="preserve">, each of which representations and warranties will be deemed for purposes of this </w:t>
      </w:r>
      <w:r>
        <w:rPr>
          <w:rFonts w:ascii="Times New Roman" w:hAnsi="Times New Roman"/>
          <w:b w:val="false"/>
          <w:sz w:val="17"/>
          <w:u w:val="single"/>
        </w:rPr>
        <w:t>Section 7.8(a)(iii) </w:t>
      </w:r>
      <w:r>
        <w:rPr>
          <w:rFonts w:ascii="Times New Roman" w:hAnsi="Times New Roman"/>
          <w:b w:val="false"/>
          <w:sz w:val="17"/>
        </w:rPr>
        <w:t>to have been made by Seller as of the Closing Date;</w:t>
      </w:r>
    </w:p>
    <w:p>
      <w:pPr>
        <w:pStyle w:val="Heading4"/>
        <w:spacing w:before="0" w:after="0"/>
        <w:ind w:left="0" w:right="0" w:hanging="0"/>
        <w:jc w:val="left"/>
        <w:rPr/>
      </w:pPr>
      <w:r>
        <w:rPr/>
        <w:t> </w:t>
      </w:r>
    </w:p>
    <w:p>
      <w:pPr>
        <w:pStyle w:val="Heading4"/>
        <w:spacing w:before="0" w:after="0"/>
        <w:ind w:left="0" w:right="0" w:hanging="0"/>
        <w:jc w:val="left"/>
        <w:rPr>
          <w:rFonts w:ascii="Times New Roman" w:hAnsi="Times New Roman"/>
          <w:b w:val="false"/>
          <w:sz w:val="17"/>
        </w:rPr>
      </w:pPr>
      <w:r>
        <w:rPr>
          <w:rFonts w:ascii="Times New Roman" w:hAnsi="Times New Roman"/>
          <w:b w:val="false"/>
          <w:sz w:val="17"/>
        </w:rPr>
        <w:t>(iv)                              Taxes (other than Transfer Taxes) that arise out of the Conversion Transactions and any liability under any Tax Sharing Agreement to which any of the Company or its Subsidiaries is a party as of the date hereof or the Closing Date;</w:t>
      </w:r>
    </w:p>
    <w:p>
      <w:pPr>
        <w:pStyle w:val="Heading4"/>
        <w:spacing w:before="0" w:after="0"/>
        <w:ind w:left="0" w:right="0" w:hanging="0"/>
        <w:jc w:val="left"/>
        <w:rPr/>
      </w:pPr>
      <w:r>
        <w:rPr/>
        <w:t> </w:t>
      </w:r>
    </w:p>
    <w:p>
      <w:pPr>
        <w:pStyle w:val="Heading4"/>
        <w:spacing w:before="0" w:after="0"/>
        <w:ind w:left="0" w:right="0" w:hanging="0"/>
        <w:jc w:val="left"/>
        <w:rPr>
          <w:rFonts w:ascii="Times New Roman" w:hAnsi="Times New Roman"/>
          <w:b w:val="false"/>
          <w:sz w:val="17"/>
        </w:rPr>
      </w:pPr>
      <w:r>
        <w:rPr>
          <w:rFonts w:ascii="Times New Roman" w:hAnsi="Times New Roman"/>
          <w:b w:val="false"/>
          <w:sz w:val="17"/>
        </w:rPr>
        <w:t xml:space="preserve">(v)                                 Sellers share of Transfer Taxes, as determined under </w:t>
      </w:r>
      <w:r>
        <w:rPr>
          <w:rFonts w:ascii="Times New Roman" w:hAnsi="Times New Roman"/>
          <w:b w:val="false"/>
          <w:sz w:val="17"/>
          <w:u w:val="single"/>
        </w:rPr>
        <w:t>Section 7.2</w:t>
      </w:r>
      <w:r>
        <w:rPr>
          <w:rFonts w:ascii="Times New Roman" w:hAnsi="Times New Roman"/>
          <w:b w:val="false"/>
          <w:sz w:val="17"/>
        </w:rPr>
        <w:t>;</w:t>
      </w:r>
    </w:p>
    <w:p>
      <w:pPr>
        <w:pStyle w:val="Heading4"/>
        <w:spacing w:before="0" w:after="0"/>
        <w:ind w:left="0" w:right="0" w:hanging="0"/>
        <w:jc w:val="left"/>
        <w:rPr/>
      </w:pPr>
      <w:r>
        <w:rPr/>
        <w:t> </w:t>
      </w:r>
    </w:p>
    <w:p>
      <w:pPr>
        <w:pStyle w:val="Heading4"/>
        <w:spacing w:before="0" w:after="0"/>
        <w:ind w:left="0" w:right="0" w:hanging="0"/>
        <w:jc w:val="left"/>
        <w:rPr>
          <w:rFonts w:ascii="Times New Roman" w:hAnsi="Times New Roman"/>
          <w:b w:val="false"/>
          <w:sz w:val="17"/>
        </w:rPr>
      </w:pPr>
      <w:r>
        <w:rPr>
          <w:rFonts w:ascii="Times New Roman" w:hAnsi="Times New Roman"/>
          <w:b w:val="false"/>
          <w:sz w:val="17"/>
        </w:rPr>
        <w:t xml:space="preserve">(vi)                              Company Taxes for any Pre-Closing Period and, with respect to any Straddle Period, the portion of the Company Taxes for such Straddle Period allocated to the Pre-Closing Portion pursuant to </w:t>
      </w:r>
      <w:r>
        <w:rPr>
          <w:rFonts w:ascii="Times New Roman" w:hAnsi="Times New Roman"/>
          <w:b w:val="false"/>
          <w:sz w:val="17"/>
          <w:u w:val="single"/>
        </w:rPr>
        <w:t>Section 7.4</w:t>
      </w:r>
      <w:r>
        <w:rPr>
          <w:rFonts w:ascii="Times New Roman" w:hAnsi="Times New Roman"/>
          <w:b w:val="false"/>
          <w:sz w:val="17"/>
        </w:rPr>
        <w:t>; and</w:t>
      </w:r>
    </w:p>
    <w:p>
      <w:pPr>
        <w:pStyle w:val="Heading4"/>
        <w:spacing w:before="0" w:after="0"/>
        <w:ind w:left="0" w:right="0" w:hanging="0"/>
        <w:jc w:val="left"/>
        <w:rPr/>
      </w:pPr>
      <w:r>
        <w:rPr/>
        <w:t> </w:t>
      </w:r>
    </w:p>
    <w:p>
      <w:pPr>
        <w:pStyle w:val="Heading4"/>
        <w:spacing w:before="0" w:after="0"/>
        <w:ind w:left="0" w:right="0" w:hanging="0"/>
        <w:jc w:val="left"/>
        <w:rPr>
          <w:rFonts w:ascii="Times New Roman" w:hAnsi="Times New Roman"/>
          <w:b w:val="false"/>
          <w:sz w:val="17"/>
        </w:rPr>
      </w:pPr>
      <w:r>
        <w:rPr>
          <w:rFonts w:ascii="Times New Roman" w:hAnsi="Times New Roman"/>
          <w:b w:val="false"/>
          <w:sz w:val="17"/>
        </w:rPr>
        <w:t xml:space="preserve">(vii)                           any breach of any covenant or agreement of Seller contained in </w:t>
      </w:r>
      <w:r>
        <w:rPr>
          <w:rFonts w:ascii="Times New Roman" w:hAnsi="Times New Roman"/>
          <w:b w:val="false"/>
          <w:sz w:val="17"/>
          <w:u w:val="single"/>
        </w:rPr>
        <w:t>Section 6.1(b)(xiii)</w:t>
      </w:r>
      <w:r>
        <w:rPr>
          <w:rFonts w:ascii="Times New Roman" w:hAnsi="Times New Roman"/>
          <w:b w:val="false"/>
          <w:sz w:val="17"/>
        </w:rPr>
        <w:t xml:space="preserve">, </w:t>
      </w:r>
      <w:r>
        <w:rPr>
          <w:rFonts w:ascii="Times New Roman" w:hAnsi="Times New Roman"/>
          <w:b w:val="false"/>
          <w:sz w:val="17"/>
          <w:u w:val="single"/>
        </w:rPr>
        <w:t>Section 6.1(b)(xv)</w:t>
      </w:r>
      <w:r>
        <w:rPr>
          <w:rFonts w:ascii="Times New Roman" w:hAnsi="Times New Roman"/>
          <w:b w:val="false"/>
          <w:sz w:val="17"/>
        </w:rPr>
        <w:t xml:space="preserve">, </w:t>
      </w:r>
      <w:r>
        <w:rPr>
          <w:rFonts w:ascii="Times New Roman" w:hAnsi="Times New Roman"/>
          <w:b w:val="false"/>
          <w:sz w:val="17"/>
          <w:u w:val="single"/>
        </w:rPr>
        <w:t>Section 6.18</w:t>
      </w:r>
      <w:r>
        <w:rPr>
          <w:rFonts w:ascii="Times New Roman" w:hAnsi="Times New Roman"/>
          <w:b w:val="false"/>
          <w:sz w:val="17"/>
        </w:rPr>
        <w:t xml:space="preserve">, </w:t>
      </w:r>
      <w:r>
        <w:rPr>
          <w:rFonts w:ascii="Times New Roman" w:hAnsi="Times New Roman"/>
          <w:b w:val="false"/>
          <w:sz w:val="17"/>
          <w:u w:val="single"/>
        </w:rPr>
        <w:t>Section 6.19</w:t>
      </w:r>
      <w:r>
        <w:rPr>
          <w:rFonts w:ascii="Times New Roman" w:hAnsi="Times New Roman"/>
          <w:b w:val="false"/>
          <w:sz w:val="17"/>
        </w:rPr>
        <w:t xml:space="preserve">, </w:t>
      </w:r>
      <w:r>
        <w:rPr>
          <w:rFonts w:ascii="Times New Roman" w:hAnsi="Times New Roman"/>
          <w:b w:val="false"/>
          <w:sz w:val="17"/>
          <w:u w:val="single"/>
        </w:rPr>
        <w:t>Section 6.20</w:t>
      </w:r>
      <w:r>
        <w:rPr>
          <w:rFonts w:ascii="Times New Roman" w:hAnsi="Times New Roman"/>
          <w:b w:val="false"/>
          <w:sz w:val="17"/>
        </w:rPr>
        <w:t xml:space="preserve"> and this </w:t>
      </w:r>
      <w:r>
        <w:rPr>
          <w:rFonts w:ascii="Times New Roman" w:hAnsi="Times New Roman"/>
          <w:b w:val="false"/>
          <w:sz w:val="17"/>
          <w:u w:val="single"/>
        </w:rPr>
        <w:t>Article VII</w:t>
      </w:r>
      <w:r>
        <w:rPr>
          <w:rFonts w:ascii="Times New Roman" w:hAnsi="Times New Roman"/>
          <w:b w:val="false"/>
          <w:sz w:val="17"/>
        </w:rPr>
        <w:t>.</w:t>
      </w:r>
    </w:p>
    <w:p>
      <w:pPr>
        <w:pStyle w:val="Heading4"/>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(b)                                 Buyer shall indemnify and hold Seller Indemnified Parties harmless from and against all Losses that Seller Indemnified Parties incur arising from or out of or related to (without duplication):</w:t>
      </w:r>
    </w:p>
    <w:p>
      <w:pPr>
        <w:pStyle w:val="Heading3"/>
        <w:spacing w:before="0" w:after="0"/>
        <w:ind w:left="0" w:right="0" w:hanging="0"/>
        <w:jc w:val="left"/>
        <w:rPr/>
      </w:pPr>
      <w:r>
        <w:rPr/>
        <w:t> </w:t>
      </w:r>
    </w:p>
    <w:p>
      <w:pPr>
        <w:pStyle w:val="Heading4"/>
        <w:spacing w:before="0" w:after="0"/>
        <w:ind w:left="0" w:right="0" w:hanging="0"/>
        <w:jc w:val="left"/>
        <w:rPr>
          <w:rFonts w:ascii="Times New Roman" w:hAnsi="Times New Roman"/>
          <w:b w:val="false"/>
          <w:sz w:val="17"/>
        </w:rPr>
      </w:pPr>
      <w:r>
        <w:rPr>
          <w:rFonts w:ascii="Times New Roman" w:hAnsi="Times New Roman"/>
          <w:b w:val="false"/>
          <w:sz w:val="17"/>
        </w:rPr>
        <w:t xml:space="preserve">(i)                                     Company Taxes for any period beginning after the Closing Date, and with respect to any Straddle Period, the portion of the Company Taxes for such Straddle Period allocated to the Post-Closing Portion of the Straddle Period pursuant to </w:t>
      </w:r>
      <w:r>
        <w:rPr>
          <w:rFonts w:ascii="Times New Roman" w:hAnsi="Times New Roman"/>
          <w:b w:val="false"/>
          <w:sz w:val="17"/>
          <w:u w:val="single"/>
        </w:rPr>
        <w:t>Section 7.4</w:t>
      </w:r>
      <w:r>
        <w:rPr>
          <w:rFonts w:ascii="Times New Roman" w:hAnsi="Times New Roman"/>
          <w:b w:val="false"/>
          <w:sz w:val="17"/>
        </w:rPr>
        <w:t xml:space="preserve"> and </w:t>
      </w:r>
      <w:r>
        <w:rPr>
          <w:rFonts w:ascii="Times New Roman" w:hAnsi="Times New Roman"/>
          <w:b w:val="false"/>
          <w:sz w:val="17"/>
          <w:u w:val="single"/>
        </w:rPr>
        <w:t>Section 7.5</w:t>
      </w:r>
      <w:r>
        <w:rPr>
          <w:rFonts w:ascii="Times New Roman" w:hAnsi="Times New Roman"/>
          <w:b w:val="false"/>
          <w:sz w:val="17"/>
        </w:rPr>
        <w:t>);</w:t>
      </w:r>
    </w:p>
    <w:p>
      <w:pPr>
        <w:pStyle w:val="Heading4"/>
        <w:spacing w:before="0" w:after="0"/>
        <w:ind w:left="0" w:right="0" w:hanging="0"/>
        <w:jc w:val="left"/>
        <w:rPr/>
      </w:pPr>
      <w:r>
        <w:rPr/>
        <w:t> </w:t>
      </w:r>
    </w:p>
    <w:p>
      <w:pPr>
        <w:pStyle w:val="Heading4"/>
        <w:spacing w:before="0" w:after="0"/>
        <w:ind w:left="0" w:right="0" w:hanging="0"/>
        <w:jc w:val="left"/>
        <w:rPr>
          <w:rFonts w:ascii="Times New Roman" w:hAnsi="Times New Roman"/>
          <w:b w:val="false"/>
          <w:sz w:val="17"/>
        </w:rPr>
      </w:pPr>
      <w:r>
        <w:rPr>
          <w:rFonts w:ascii="Times New Roman" w:hAnsi="Times New Roman"/>
          <w:b w:val="false"/>
          <w:sz w:val="17"/>
        </w:rPr>
        <w:t xml:space="preserve">(ii)                                  Buyers share of Transfer Taxes, as determined under </w:t>
      </w:r>
      <w:r>
        <w:rPr>
          <w:rFonts w:ascii="Times New Roman" w:hAnsi="Times New Roman"/>
          <w:b w:val="false"/>
          <w:sz w:val="17"/>
          <w:u w:val="single"/>
        </w:rPr>
        <w:t>Section 7.2</w:t>
      </w:r>
      <w:r>
        <w:rPr>
          <w:rFonts w:ascii="Times New Roman" w:hAnsi="Times New Roman"/>
          <w:b w:val="false"/>
          <w:sz w:val="17"/>
        </w:rPr>
        <w:t>; and</w:t>
      </w:r>
    </w:p>
    <w:p>
      <w:pPr>
        <w:pStyle w:val="Heading4"/>
        <w:spacing w:before="0" w:after="0"/>
        <w:ind w:left="0" w:right="0" w:hanging="0"/>
        <w:jc w:val="left"/>
        <w:rPr/>
      </w:pPr>
      <w:r>
        <w:rPr/>
        <w:t> </w:t>
      </w:r>
    </w:p>
    <w:p>
      <w:pPr>
        <w:pStyle w:val="Heading4"/>
        <w:spacing w:before="0" w:after="0"/>
        <w:ind w:left="0" w:right="0" w:hanging="0"/>
        <w:jc w:val="left"/>
        <w:rPr>
          <w:rFonts w:ascii="Times New Roman" w:hAnsi="Times New Roman"/>
          <w:b w:val="false"/>
          <w:sz w:val="17"/>
        </w:rPr>
      </w:pPr>
      <w:r>
        <w:rPr>
          <w:rFonts w:ascii="Times New Roman" w:hAnsi="Times New Roman"/>
          <w:b w:val="false"/>
          <w:sz w:val="17"/>
        </w:rPr>
        <w:t xml:space="preserve">(iii)                               any breach of any covenant or agreement of Buyer contained in this </w:t>
      </w:r>
      <w:r>
        <w:rPr>
          <w:rFonts w:ascii="Times New Roman" w:hAnsi="Times New Roman"/>
          <w:b w:val="false"/>
          <w:sz w:val="17"/>
          <w:u w:val="single"/>
        </w:rPr>
        <w:t>Article VII</w:t>
      </w:r>
      <w:r>
        <w:rPr>
          <w:rFonts w:ascii="Times New Roman" w:hAnsi="Times New Roman"/>
          <w:b w:val="false"/>
          <w:sz w:val="17"/>
        </w:rPr>
        <w: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62</w:t>
      </w:r>
    </w:p>
    <w:p>
      <w:pPr>
        <w:pStyle w:val="HorizontalLine"/>
        <w:pBdr>
          <w:bottom w:val="single" w:sz="12" w:space="0" w:color="808080"/>
        </w:pBdr>
        <w:spacing w:before="0" w:after="0"/>
        <w:jc w:val="left"/>
        <w:rPr/>
      </w:pPr>
      <w:r>
        <w:rPr/>
      </w:r>
      <w:r>
        <w:br w:type="page"/>
      </w:r>
    </w:p>
    <w:p>
      <w:pPr>
        <w:pStyle w:val="TextBody"/>
        <w:spacing w:before="0" w:after="0"/>
        <w:ind w:left="0" w:right="0" w:hanging="0"/>
        <w:jc w:val="center"/>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 xml:space="preserve">(c)                                  Subject to </w:t>
      </w:r>
      <w:r>
        <w:rPr>
          <w:rFonts w:ascii="Times New Roman" w:hAnsi="Times New Roman"/>
          <w:b w:val="false"/>
          <w:sz w:val="17"/>
          <w:u w:val="single"/>
        </w:rPr>
        <w:t>Section 9.2(d)</w:t>
      </w:r>
      <w:r>
        <w:rPr>
          <w:rFonts w:ascii="Times New Roman" w:hAnsi="Times New Roman"/>
          <w:b w:val="false"/>
          <w:sz w:val="17"/>
        </w:rPr>
        <w:t xml:space="preserve">, the Parties shall have a duty to use commercially reasonable efforts to mitigate (and to cause their Affiliates (which, in the case of the Buyer, shall after the Closing include the Company and its Subsidiaries) to mitigate) any Loss for which indemnification is provided in this </w:t>
      </w:r>
      <w:r>
        <w:rPr>
          <w:rFonts w:ascii="Times New Roman" w:hAnsi="Times New Roman"/>
          <w:b w:val="false"/>
          <w:sz w:val="17"/>
          <w:u w:val="single"/>
        </w:rPr>
        <w:t>Section 7.8</w:t>
      </w:r>
      <w:r>
        <w:rPr>
          <w:rFonts w:ascii="Times New Roman" w:hAnsi="Times New Roman"/>
          <w:b w:val="false"/>
          <w:sz w:val="17"/>
        </w:rPr>
        <w:t xml:space="preserve">; </w:t>
      </w:r>
      <w:r>
        <w:rPr>
          <w:rFonts w:ascii="Times New Roman" w:hAnsi="Times New Roman"/>
          <w:b w:val="false"/>
          <w:sz w:val="17"/>
          <w:u w:val="single"/>
        </w:rPr>
        <w:t>provided</w:t>
      </w:r>
      <w:r>
        <w:rPr>
          <w:rFonts w:ascii="Times New Roman" w:hAnsi="Times New Roman"/>
          <w:b w:val="false"/>
          <w:sz w:val="17"/>
        </w:rPr>
        <w:t xml:space="preserve"> that, for the avoidance of doubt, (i) a Buyer Indemnified Party shall not be required to take any action (or fail to take any action) to mitigate a Loss for which Seller is required to provide indemnification pursuant to this </w:t>
      </w:r>
      <w:r>
        <w:rPr>
          <w:rFonts w:ascii="Times New Roman" w:hAnsi="Times New Roman"/>
          <w:b w:val="false"/>
          <w:sz w:val="17"/>
          <w:u w:val="single"/>
        </w:rPr>
        <w:t>Section 7.8</w:t>
      </w:r>
      <w:r>
        <w:rPr>
          <w:rFonts w:ascii="Times New Roman" w:hAnsi="Times New Roman"/>
          <w:b w:val="false"/>
          <w:sz w:val="17"/>
        </w:rPr>
        <w:t xml:space="preserve"> if such action could reasonably be expected to have an adverse effect upon any Taxes or Tax Returns (or Tax attribute) of any of Buyer or its Affiliates (including, after the Closing, any of the Company or its Subsidiaries) for any Post-Closing Period or any Post-Closing Portion of a Straddle Period, unless Seller agrees, in a manner reasonably satisfactory to Buyer, to indemnify Buyer in full for such adverse effect, and (ii) a Seller Indemnified Party shall not be required to take any action (or fail to take any action) to mitigate a Loss for which Buyer is required to provide indemnification pursuant to this </w:t>
      </w:r>
      <w:r>
        <w:rPr>
          <w:rFonts w:ascii="Times New Roman" w:hAnsi="Times New Roman"/>
          <w:b w:val="false"/>
          <w:sz w:val="17"/>
          <w:u w:val="single"/>
        </w:rPr>
        <w:t>Section 7.8</w:t>
      </w:r>
      <w:r>
        <w:rPr>
          <w:rFonts w:ascii="Times New Roman" w:hAnsi="Times New Roman"/>
          <w:b w:val="false"/>
          <w:sz w:val="17"/>
        </w:rPr>
        <w:t xml:space="preserve"> if such action could reasonably be expected to have an adverse effect upon any Taxes or Tax Returns (or Tax attribute) of any of Seller or its Affiliates (including, prior to the Closing, any of the Company or its Subsidiaries) for any taxable period, unless Buyer agrees, in a manner reasonably satisfactory to Seller, to indemnify Seller in full for such adverse effect.</w:t>
      </w:r>
    </w:p>
    <w:p>
      <w:pPr>
        <w:pStyle w:val="Heading3"/>
        <w:spacing w:before="0" w:after="0"/>
        <w:ind w:left="0" w:right="0" w:hanging="0"/>
        <w:jc w:val="left"/>
        <w:rPr/>
      </w:pPr>
      <w:r>
        <w:rPr/>
        <w:t> </w:t>
      </w:r>
    </w:p>
    <w:p>
      <w:pPr>
        <w:pStyle w:val="Heading2"/>
        <w:spacing w:before="0" w:after="0"/>
        <w:ind w:left="0" w:right="0" w:hanging="0"/>
        <w:jc w:val="left"/>
        <w:rPr>
          <w:rFonts w:ascii="Times New Roman" w:hAnsi="Times New Roman"/>
          <w:b w:val="false"/>
          <w:sz w:val="17"/>
        </w:rPr>
      </w:pPr>
      <w:bookmarkStart w:id="204" w:name="Section7_9_234511"/>
      <w:bookmarkEnd w:id="204"/>
      <w:r>
        <w:rPr>
          <w:rFonts w:ascii="Times New Roman" w:hAnsi="Times New Roman"/>
          <w:b w:val="false"/>
          <w:sz w:val="17"/>
        </w:rPr>
        <w:t xml:space="preserve">Section 7.9                                      </w:t>
      </w:r>
      <w:r>
        <w:rPr>
          <w:rFonts w:ascii="Times New Roman" w:hAnsi="Times New Roman"/>
          <w:b w:val="false"/>
          <w:sz w:val="17"/>
          <w:u w:val="single"/>
        </w:rPr>
        <w:t>Tax Claims</w:t>
      </w:r>
      <w:r>
        <w:rPr>
          <w:rFonts w:ascii="Times New Roman" w:hAnsi="Times New Roman"/>
          <w:b w:val="false"/>
          <w:sz w:val="17"/>
        </w:rPr>
        <w:t>.</w:t>
      </w:r>
    </w:p>
    <w:p>
      <w:pPr>
        <w:pStyle w:val="TextBody"/>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(a)                                  If any pending or threatened audit or assessment, suit, proposed adjustment, deficiency, dispute, administrative or judicial proceeding or similar claim (an </w:t>
      </w:r>
      <w:r>
        <w:rPr>
          <w:rFonts w:ascii="Times New Roman" w:hAnsi="Times New Roman"/>
          <w:b w:val="false"/>
          <w:sz w:val="17"/>
          <w:u w:val="single"/>
        </w:rPr>
        <w:t>Indemnified Tax Claim</w:t>
      </w:r>
      <w:r>
        <w:rPr>
          <w:rFonts w:ascii="Times New Roman" w:hAnsi="Times New Roman"/>
          <w:b w:val="false"/>
          <w:sz w:val="17"/>
        </w:rPr>
        <w:t>) is made by any Taxing Authority that, if successful, would result in indemnification to any Party (the </w:t>
      </w:r>
      <w:r>
        <w:rPr>
          <w:rFonts w:ascii="Times New Roman" w:hAnsi="Times New Roman"/>
          <w:b w:val="false"/>
          <w:sz w:val="17"/>
          <w:u w:val="single"/>
        </w:rPr>
        <w:t>Tax Indemnified Party</w:t>
      </w:r>
      <w:r>
        <w:rPr>
          <w:rFonts w:ascii="Times New Roman" w:hAnsi="Times New Roman"/>
          <w:b w:val="false"/>
          <w:sz w:val="17"/>
        </w:rPr>
        <w:t>) by another Party (the </w:t>
      </w:r>
      <w:r>
        <w:rPr>
          <w:rFonts w:ascii="Times New Roman" w:hAnsi="Times New Roman"/>
          <w:b w:val="false"/>
          <w:sz w:val="17"/>
          <w:u w:val="single"/>
        </w:rPr>
        <w:t>Tax Indemnifying Party</w:t>
      </w:r>
      <w:r>
        <w:rPr>
          <w:rFonts w:ascii="Times New Roman" w:hAnsi="Times New Roman"/>
          <w:b w:val="false"/>
          <w:sz w:val="17"/>
        </w:rPr>
        <w:t xml:space="preserve">) pursuant to </w:t>
      </w:r>
      <w:r>
        <w:rPr>
          <w:rFonts w:ascii="Times New Roman" w:hAnsi="Times New Roman"/>
          <w:b w:val="false"/>
          <w:sz w:val="17"/>
          <w:u w:val="single"/>
        </w:rPr>
        <w:t>Section 7.8</w:t>
      </w:r>
      <w:r>
        <w:rPr>
          <w:rFonts w:ascii="Times New Roman" w:hAnsi="Times New Roman"/>
          <w:b w:val="false"/>
          <w:sz w:val="17"/>
        </w:rPr>
        <w:t xml:space="preserve"> hereof, the Tax Indemnified Party shall promptly notify the Tax Indemnifying Party and transmit to the Tax Indemnifying Party a written notice describing in reasonable detail the nature of the Indemnified Tax Claim and all related information in connection with such Indemnified Tax Claim.  Failure to promptly provide such notice shall not affect the right of the Tax Indemnified Partys indemnification hereunder, except to the extent the Tax Indemnifying Party is materially prejudiced by such delay or omission.</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 xml:space="preserve">(b)                                 The Tax Indemnifying Party shall have the right to defend the Tax Indemnified Party against such Indemnified Tax Claim.  If the Tax Indemnifying Party notifies the Tax Indemnified Party that the Tax Indemnifying Party elects to assume the defense of the Indemnified Tax Claim (such election to be without prejudice to the right of the Indemnifying Party to dispute whether such claim is an indemnifiable Loss under </w:t>
      </w:r>
      <w:r>
        <w:rPr>
          <w:rFonts w:ascii="Times New Roman" w:hAnsi="Times New Roman"/>
          <w:b w:val="false"/>
          <w:sz w:val="17"/>
          <w:u w:val="single"/>
        </w:rPr>
        <w:t>Section 7.8</w:t>
      </w:r>
      <w:r>
        <w:rPr>
          <w:rFonts w:ascii="Times New Roman" w:hAnsi="Times New Roman"/>
          <w:b w:val="false"/>
          <w:sz w:val="17"/>
        </w:rPr>
        <w:t xml:space="preserve">), then the Tax Indemnifying Party, at its own cost and expense shall have the right to defend such Indemnified Tax Claim with counsel selected by the Tax Indemnifying Party (who shall be reasonably satisfactory to the Tax Indemnified Party), by all appropriate proceedings, to a final conclusion or settlement at the discretion of the Tax Indemnifying Party in accordance with this </w:t>
      </w:r>
      <w:r>
        <w:rPr>
          <w:rFonts w:ascii="Times New Roman" w:hAnsi="Times New Roman"/>
          <w:b w:val="false"/>
          <w:sz w:val="17"/>
          <w:u w:val="single"/>
        </w:rPr>
        <w:t>Section 7.9</w:t>
      </w:r>
      <w:r>
        <w:rPr>
          <w:rFonts w:ascii="Times New Roman" w:hAnsi="Times New Roman"/>
          <w:b w:val="false"/>
          <w:sz w:val="17"/>
        </w:rPr>
        <w:t xml:space="preserve">.  In such circumstances, the Tax Indemnifying Party shall defend any such Indemnified Tax Claim in good faith and have full control of such defense and proceedings, including any compromise or settlement thereof; </w:t>
      </w:r>
      <w:r>
        <w:rPr>
          <w:rFonts w:ascii="Times New Roman" w:hAnsi="Times New Roman"/>
          <w:b w:val="false"/>
          <w:sz w:val="17"/>
          <w:u w:val="single"/>
        </w:rPr>
        <w:t>provided</w:t>
      </w:r>
      <w:r>
        <w:rPr>
          <w:rFonts w:ascii="Times New Roman" w:hAnsi="Times New Roman"/>
          <w:b w:val="false"/>
          <w:sz w:val="17"/>
        </w:rPr>
        <w:t xml:space="preserve"> that the Tax Indemnifying Party shall not enter into any settlement agreement without the written  consent of the Tax Indemnified Party (which</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63</w:t>
      </w:r>
    </w:p>
    <w:p>
      <w:pPr>
        <w:pStyle w:val="HorizontalLine"/>
        <w:pBdr>
          <w:bottom w:val="single" w:sz="12" w:space="0" w:color="808080"/>
        </w:pBdr>
        <w:spacing w:before="0" w:after="0"/>
        <w:jc w:val="left"/>
        <w:rPr/>
      </w:pPr>
      <w:r>
        <w:rPr/>
      </w:r>
      <w:r>
        <w:br w:type="page"/>
      </w:r>
    </w:p>
    <w:p>
      <w:pPr>
        <w:pStyle w:val="TextBody"/>
        <w:spacing w:before="0" w:after="0"/>
        <w:ind w:left="0" w:right="0" w:hanging="0"/>
        <w:jc w:val="center"/>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 xml:space="preserve">consent shall not be unreasonably withheld, conditioned or delayed; </w:t>
      </w:r>
      <w:r>
        <w:rPr>
          <w:rFonts w:ascii="Times New Roman" w:hAnsi="Times New Roman"/>
          <w:sz w:val="17"/>
          <w:u w:val="single"/>
        </w:rPr>
        <w:t>provided</w:t>
      </w:r>
      <w:r>
        <w:rPr>
          <w:rFonts w:ascii="Times New Roman" w:hAnsi="Times New Roman"/>
          <w:sz w:val="17"/>
        </w:rPr>
        <w:t xml:space="preserve">, for the avoidance of doubt, that the Tax Indemnified Party shall be deemed to have reasonably withheld its consent to any such settlement if such settlement could reasonably be expected to have an adverse effect upon any Taxes or Tax Returns (or Tax attribute) of any of the Buyer or its Affiliates (including, after the Closing, any of the Company or its Subsidiaries) for any Post-Closing Period or any Post-Closing Portion of a Straddle Period, unless the Tax Indemnifying Party agrees, in a manner reasonably satisfactory to the Tax Indemnified Party, to indemnify the Tax Indemnified Party in full for such adverse effect).  Upon the request of the Tax Indemnifying Party, the Tax Indemnified Party shall, at the sole cost and expense of the Tax Indemnifying Party, cooperate with the Tax Indemnifying Party and its counsel in contesting any Indemnified Tax Claim which the Tax Indemnifying Party elects to contest.  The Tax Indemnified Party may participate in, but not control, any defense or settlement of any Indemnified Tax Claim controlled by the Tax Indemnifying Party pursuant to this </w:t>
      </w:r>
      <w:r>
        <w:rPr>
          <w:rFonts w:ascii="Times New Roman" w:hAnsi="Times New Roman"/>
          <w:sz w:val="17"/>
          <w:u w:val="single"/>
        </w:rPr>
        <w:t>Section 7.9(b)</w:t>
      </w:r>
      <w:r>
        <w:rPr>
          <w:rFonts w:ascii="Times New Roman" w:hAnsi="Times New Roman"/>
          <w:sz w:val="17"/>
        </w:rPr>
        <w:t>, and the Tax Indemnified Party shall bear its own costs and expenses with respect to such participation.</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 xml:space="preserve">(c)                                  If the Tax Indemnifying Party shall (i) fail to notify the Tax Indemnified Party that the Tax Indemnifying Party elects to control the Indemnified Tax Claim pursuant to </w:t>
      </w:r>
      <w:r>
        <w:rPr>
          <w:rFonts w:ascii="Times New Roman" w:hAnsi="Times New Roman"/>
          <w:b w:val="false"/>
          <w:sz w:val="17"/>
          <w:u w:val="single"/>
        </w:rPr>
        <w:t>Section 7.9(b) </w:t>
      </w:r>
      <w:r>
        <w:rPr>
          <w:rFonts w:ascii="Times New Roman" w:hAnsi="Times New Roman"/>
          <w:b w:val="false"/>
          <w:sz w:val="17"/>
        </w:rPr>
        <w:t xml:space="preserve">within ten (10) Business Days after receipt of the notice set forth in </w:t>
      </w:r>
      <w:r>
        <w:rPr>
          <w:rFonts w:ascii="Times New Roman" w:hAnsi="Times New Roman"/>
          <w:b w:val="false"/>
          <w:sz w:val="17"/>
          <w:u w:val="single"/>
        </w:rPr>
        <w:t>Section 7.9(a)</w:t>
      </w:r>
      <w:r>
        <w:rPr>
          <w:rFonts w:ascii="Times New Roman" w:hAnsi="Times New Roman"/>
          <w:b w:val="false"/>
          <w:sz w:val="17"/>
        </w:rPr>
        <w:t xml:space="preserve">, or (ii) after commencing or undertaking any such defense or settlement, fail to prosecute or withdraw from such defense or settlement, then the Tax Indemnified Party shall have the right to defend, and be reimbursed for its reasonable cost and expense (but only if the Tax Indemnified Party is actually entitled to indemnification hereunder) in regard to the Indemnified Tax Claim with counsel selected by the Tax Indemnified Party (who shall be reasonably satisfactory to the Tax Indemnifying Party) by all appropriate proceedings, which proceedings shall be prosecuted diligently by the Tax Indemnified Party.  In such circumstances, the Tax Indemnified Party shall defend any such Indemnified Tax Claim in good faith and have full control of such defense and proceedings; </w:t>
      </w:r>
      <w:r>
        <w:rPr>
          <w:rFonts w:ascii="Times New Roman" w:hAnsi="Times New Roman"/>
          <w:b w:val="false"/>
          <w:sz w:val="17"/>
          <w:u w:val="single"/>
        </w:rPr>
        <w:t>provided</w:t>
      </w:r>
      <w:r>
        <w:rPr>
          <w:rFonts w:ascii="Times New Roman" w:hAnsi="Times New Roman"/>
          <w:b w:val="false"/>
          <w:sz w:val="17"/>
        </w:rPr>
        <w:t xml:space="preserve"> that the Tax Indemnified Party may not enter into any compromise or settlement of such Indemnified Tax Claim if indemnification is to be sought hereunder, without the Tax Indemnifying Partys consent (which consent shall not be unreasonably withheld, conditioned or delayed).  The Tax Indemnifying party may participate in, but not control, any defense or settlement controlled by the Indemnified Party pursuant to this </w:t>
      </w:r>
      <w:r>
        <w:rPr>
          <w:rFonts w:ascii="Times New Roman" w:hAnsi="Times New Roman"/>
          <w:b w:val="false"/>
          <w:sz w:val="17"/>
          <w:u w:val="single"/>
        </w:rPr>
        <w:t>Section 7.8(c)</w:t>
      </w:r>
      <w:r>
        <w:rPr>
          <w:rFonts w:ascii="Times New Roman" w:hAnsi="Times New Roman"/>
          <w:b w:val="false"/>
          <w:sz w:val="17"/>
        </w:rPr>
        <w:t>, and the Tax Indemnifying Party shall bear its own costs and expenses with respect to such participation.</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 xml:space="preserve">(d)                                 Notwithstanding anything to the contrary contained in this </w:t>
      </w:r>
      <w:r>
        <w:rPr>
          <w:rFonts w:ascii="Times New Roman" w:hAnsi="Times New Roman"/>
          <w:b w:val="false"/>
          <w:sz w:val="17"/>
          <w:u w:val="single"/>
        </w:rPr>
        <w:t>Section 7.9</w:t>
      </w:r>
      <w:r>
        <w:rPr>
          <w:rFonts w:ascii="Times New Roman" w:hAnsi="Times New Roman"/>
          <w:b w:val="false"/>
          <w:sz w:val="17"/>
        </w:rPr>
        <w:t xml:space="preserve">, with respect to any Indemnified Tax Claim that involves a Straddle Period for which Seller could be liable pursuant to </w:t>
      </w:r>
      <w:r>
        <w:rPr>
          <w:rFonts w:ascii="Times New Roman" w:hAnsi="Times New Roman"/>
          <w:b w:val="false"/>
          <w:sz w:val="17"/>
          <w:u w:val="single"/>
        </w:rPr>
        <w:t>Section 7.8</w:t>
      </w:r>
      <w:r>
        <w:rPr>
          <w:rFonts w:ascii="Times New Roman" w:hAnsi="Times New Roman"/>
          <w:b w:val="false"/>
          <w:sz w:val="17"/>
        </w:rPr>
        <w:t xml:space="preserve"> and for which the resolution of such Indemnified Tax Claim could reasonably be expected to adversely affect Buyer for a Post-Closing Period or the Post-Closing Portion of a Straddle Period, Buyer shall notify Seller of such Indemnified Tax Claim and Buyer and Seller shall jointly control, and cooperate with each other with respect to, the conduct of any such Indemnified Tax Claim.  Neither Buyer nor Seller shall settle, compromise and/or concede such Tax Claim</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64</w:t>
      </w:r>
    </w:p>
    <w:p>
      <w:pPr>
        <w:pStyle w:val="HorizontalLine"/>
        <w:pBdr>
          <w:bottom w:val="single" w:sz="12" w:space="0" w:color="808080"/>
        </w:pBdr>
        <w:spacing w:before="0" w:after="0"/>
        <w:jc w:val="left"/>
        <w:rPr/>
      </w:pPr>
      <w:r>
        <w:rPr/>
      </w:r>
      <w:r>
        <w:br w:type="page"/>
      </w:r>
    </w:p>
    <w:p>
      <w:pPr>
        <w:pStyle w:val="TextBody"/>
        <w:spacing w:before="0" w:after="0"/>
        <w:ind w:left="0" w:right="0" w:hanging="0"/>
        <w:jc w:val="center"/>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without the consent of the other Party, which consent shall not be unreasonably withheld, conditioned or delayed.</w:t>
      </w:r>
    </w:p>
    <w:p>
      <w:pPr>
        <w:pStyle w:val="Heading3"/>
        <w:spacing w:before="0" w:after="0"/>
        <w:ind w:left="0" w:right="0" w:hanging="0"/>
        <w:jc w:val="left"/>
        <w:rPr/>
      </w:pPr>
      <w:r>
        <w:rPr/>
        <w:t> </w:t>
      </w:r>
    </w:p>
    <w:p>
      <w:pPr>
        <w:pStyle w:val="Heading2"/>
        <w:spacing w:before="0" w:after="0"/>
        <w:ind w:left="0" w:right="0" w:hanging="0"/>
        <w:jc w:val="left"/>
        <w:rPr>
          <w:rFonts w:ascii="Times New Roman" w:hAnsi="Times New Roman"/>
          <w:b w:val="false"/>
          <w:sz w:val="17"/>
        </w:rPr>
      </w:pPr>
      <w:bookmarkStart w:id="205" w:name="Section7_10_234519"/>
      <w:bookmarkEnd w:id="205"/>
      <w:r>
        <w:rPr>
          <w:rFonts w:ascii="Times New Roman" w:hAnsi="Times New Roman"/>
          <w:b w:val="false"/>
          <w:sz w:val="17"/>
        </w:rPr>
        <w:t xml:space="preserve">Section 7.10                                </w:t>
      </w:r>
      <w:r>
        <w:rPr>
          <w:rFonts w:ascii="Times New Roman" w:hAnsi="Times New Roman"/>
          <w:b w:val="false"/>
          <w:sz w:val="17"/>
          <w:u w:val="single"/>
        </w:rPr>
        <w:t>Scope</w:t>
      </w:r>
      <w:r>
        <w:rPr>
          <w:rFonts w:ascii="Times New Roman" w:hAnsi="Times New Roman"/>
          <w:b w:val="false"/>
          <w:sz w:val="17"/>
        </w:rPr>
        <w:t xml:space="preserve">.  Notwithstanding anything to the contrary contained in this Agreement, this </w:t>
      </w:r>
      <w:r>
        <w:rPr>
          <w:rFonts w:ascii="Times New Roman" w:hAnsi="Times New Roman"/>
          <w:b w:val="false"/>
          <w:sz w:val="17"/>
          <w:u w:val="single"/>
        </w:rPr>
        <w:t xml:space="preserve">Article VII </w:t>
      </w:r>
      <w:r>
        <w:rPr>
          <w:rFonts w:ascii="Times New Roman" w:hAnsi="Times New Roman"/>
          <w:b w:val="false"/>
          <w:sz w:val="17"/>
        </w:rPr>
        <w:t xml:space="preserve">shall be the exclusive remedy for any Losses relating or attributable to Taxes.  The representations and warranties contained in </w:t>
      </w:r>
      <w:r>
        <w:rPr>
          <w:rFonts w:ascii="Times New Roman" w:hAnsi="Times New Roman"/>
          <w:b w:val="false"/>
          <w:sz w:val="17"/>
          <w:u w:val="single"/>
        </w:rPr>
        <w:t>Section 4.6</w:t>
      </w:r>
      <w:r>
        <w:rPr>
          <w:rFonts w:ascii="Times New Roman" w:hAnsi="Times New Roman"/>
          <w:b w:val="false"/>
          <w:sz w:val="17"/>
        </w:rPr>
        <w:t xml:space="preserve"> (solely to the extent related or attributable to Company Taxes), </w:t>
      </w:r>
      <w:r>
        <w:rPr>
          <w:rFonts w:ascii="Times New Roman" w:hAnsi="Times New Roman"/>
          <w:b w:val="false"/>
          <w:sz w:val="17"/>
          <w:u w:val="single"/>
        </w:rPr>
        <w:t>Section 4.7(a)(xii)</w:t>
      </w:r>
      <w:r>
        <w:rPr>
          <w:rFonts w:ascii="Times New Roman" w:hAnsi="Times New Roman"/>
          <w:b w:val="false"/>
          <w:sz w:val="17"/>
        </w:rPr>
        <w:t xml:space="preserve"> and </w:t>
      </w:r>
      <w:r>
        <w:rPr>
          <w:rFonts w:ascii="Times New Roman" w:hAnsi="Times New Roman"/>
          <w:b w:val="false"/>
          <w:sz w:val="17"/>
          <w:u w:val="single"/>
        </w:rPr>
        <w:t>Section 4.11</w:t>
      </w:r>
      <w:r>
        <w:rPr>
          <w:rFonts w:ascii="Times New Roman" w:hAnsi="Times New Roman"/>
          <w:b w:val="false"/>
          <w:sz w:val="17"/>
        </w:rPr>
        <w:t xml:space="preserve">, shall survive until ninety (90) days following the expiration (taking into account all extensions) of the applicable statute of limitations.  All covenants and agreements of the Parties contained or referred to in this </w:t>
      </w:r>
      <w:r>
        <w:rPr>
          <w:rFonts w:ascii="Times New Roman" w:hAnsi="Times New Roman"/>
          <w:b w:val="false"/>
          <w:sz w:val="17"/>
          <w:u w:val="single"/>
        </w:rPr>
        <w:t>Article VII</w:t>
      </w:r>
      <w:r>
        <w:rPr>
          <w:rFonts w:ascii="Times New Roman" w:hAnsi="Times New Roman"/>
          <w:b w:val="false"/>
          <w:sz w:val="17"/>
        </w:rPr>
        <w:t xml:space="preserve"> shall survive the Closing.  Sellers and Buyers indemnification obligations under </w:t>
      </w:r>
      <w:r>
        <w:rPr>
          <w:rFonts w:ascii="Times New Roman" w:hAnsi="Times New Roman"/>
          <w:b w:val="false"/>
          <w:sz w:val="17"/>
          <w:u w:val="single"/>
        </w:rPr>
        <w:t>Section 7.8</w:t>
      </w:r>
      <w:r>
        <w:rPr>
          <w:rFonts w:ascii="Times New Roman" w:hAnsi="Times New Roman"/>
          <w:b w:val="false"/>
          <w:sz w:val="17"/>
        </w:rPr>
        <w:t xml:space="preserve"> shall survive the Closing until ninety (90) days following the expiration (taking into account all extensions) of the applicable statute of limitations of the claim that gave rise to the indemnification.  No claim may be made or brought by any Party hereto after the expiration of the applicable survival period unless such claim has been asserted by written notice prior to the expiration of the applicable survival period, in which case the indemnification claim shall survive until such time as such claim is finally resolved.  In the event of a conflict between this </w:t>
      </w:r>
      <w:r>
        <w:rPr>
          <w:rFonts w:ascii="Times New Roman" w:hAnsi="Times New Roman"/>
          <w:b w:val="false"/>
          <w:sz w:val="17"/>
          <w:u w:val="single"/>
        </w:rPr>
        <w:t>Article VII</w:t>
      </w:r>
      <w:r>
        <w:rPr>
          <w:rFonts w:ascii="Times New Roman" w:hAnsi="Times New Roman"/>
          <w:b w:val="false"/>
          <w:sz w:val="17"/>
        </w:rPr>
        <w:t xml:space="preserve"> and any other provision of this Agreement, this </w:t>
      </w:r>
      <w:r>
        <w:rPr>
          <w:rFonts w:ascii="Times New Roman" w:hAnsi="Times New Roman"/>
          <w:b w:val="false"/>
          <w:sz w:val="17"/>
          <w:u w:val="single"/>
        </w:rPr>
        <w:t>Article VII</w:t>
      </w:r>
      <w:r>
        <w:rPr>
          <w:rFonts w:ascii="Times New Roman" w:hAnsi="Times New Roman"/>
          <w:b w:val="false"/>
          <w:sz w:val="17"/>
        </w:rPr>
        <w:t xml:space="preserve"> shall govern and control.</w:t>
      </w:r>
    </w:p>
    <w:p>
      <w:pPr>
        <w:pStyle w:val="Heading2"/>
        <w:spacing w:before="0" w:after="0"/>
        <w:ind w:left="0" w:right="0" w:hanging="0"/>
        <w:jc w:val="left"/>
        <w:rPr/>
      </w:pPr>
      <w:r>
        <w:rPr/>
        <w:t> </w:t>
      </w:r>
    </w:p>
    <w:p>
      <w:pPr>
        <w:pStyle w:val="Heading2"/>
        <w:spacing w:before="0" w:after="0"/>
        <w:ind w:left="0" w:right="0" w:hanging="0"/>
        <w:jc w:val="left"/>
        <w:rPr>
          <w:rFonts w:ascii="Times New Roman" w:hAnsi="Times New Roman"/>
          <w:b w:val="false"/>
          <w:sz w:val="17"/>
        </w:rPr>
      </w:pPr>
      <w:bookmarkStart w:id="206" w:name="Section7_11_234524"/>
      <w:bookmarkEnd w:id="206"/>
      <w:r>
        <w:rPr>
          <w:rFonts w:ascii="Times New Roman" w:hAnsi="Times New Roman"/>
          <w:b w:val="false"/>
          <w:sz w:val="17"/>
        </w:rPr>
        <w:t xml:space="preserve">Section 7.11                                </w:t>
      </w:r>
      <w:r>
        <w:rPr>
          <w:rFonts w:ascii="Times New Roman" w:hAnsi="Times New Roman"/>
          <w:b w:val="false"/>
          <w:sz w:val="17"/>
          <w:u w:val="single"/>
        </w:rPr>
        <w:t>Certain Tax Sharing Agreements</w:t>
      </w:r>
      <w:r>
        <w:rPr>
          <w:rFonts w:ascii="Times New Roman" w:hAnsi="Times New Roman"/>
          <w:b w:val="false"/>
          <w:sz w:val="17"/>
        </w:rPr>
        <w:t>.  As of the Closing, all Tax Sharing Agreements between any of the Seller or its Affiliates (other than any of the Company or its Subsidiaries), on the one hand, and any of the Company or its Subsidiaries, on the other hand, shall be terminated and, after the Closing, none of the Company or its Subsidiaries shall have further rights or obligations under any such Tax Sharing Agreement.</w:t>
      </w:r>
    </w:p>
    <w:p>
      <w:pPr>
        <w:pStyle w:val="Heading2"/>
        <w:spacing w:before="0" w:after="0"/>
        <w:ind w:left="0" w:right="0" w:hanging="0"/>
        <w:jc w:val="left"/>
        <w:rPr/>
      </w:pPr>
      <w:r>
        <w:rPr/>
        <w:t> </w:t>
      </w:r>
    </w:p>
    <w:p>
      <w:pPr>
        <w:pStyle w:val="Heading1"/>
        <w:spacing w:before="0" w:after="0"/>
        <w:ind w:left="0" w:right="0" w:hanging="0"/>
        <w:rPr>
          <w:rFonts w:ascii="Times New Roman" w:hAnsi="Times New Roman"/>
          <w:b/>
          <w:sz w:val="17"/>
        </w:rPr>
      </w:pPr>
      <w:bookmarkStart w:id="207" w:name="Articleviii_234526"/>
      <w:bookmarkEnd w:id="207"/>
      <w:r>
        <w:rPr>
          <w:rFonts w:ascii="Times New Roman" w:hAnsi="Times New Roman"/>
          <w:b/>
          <w:sz w:val="17"/>
        </w:rPr>
        <w:t>ARTICLE VIII</w:t>
      </w:r>
    </w:p>
    <w:p>
      <w:pPr>
        <w:pStyle w:val="TextBody"/>
        <w:spacing w:before="0" w:after="0"/>
        <w:ind w:left="0" w:right="0" w:hanging="0"/>
        <w:jc w:val="left"/>
        <w:rPr/>
      </w:pPr>
      <w:r>
        <w:rPr/>
        <w:t> </w:t>
      </w:r>
    </w:p>
    <w:p>
      <w:pPr>
        <w:pStyle w:val="Heading1"/>
        <w:spacing w:before="0" w:after="0"/>
        <w:ind w:left="0" w:right="0" w:hanging="0"/>
        <w:rPr>
          <w:rFonts w:ascii="Times New Roman" w:hAnsi="Times New Roman"/>
          <w:b/>
          <w:sz w:val="17"/>
        </w:rPr>
      </w:pPr>
      <w:r>
        <w:rPr>
          <w:rFonts w:ascii="Times New Roman" w:hAnsi="Times New Roman"/>
          <w:b/>
          <w:sz w:val="17"/>
        </w:rPr>
        <w:t>CONDITIONS TO OBLIGATIONS</w:t>
      </w:r>
    </w:p>
    <w:p>
      <w:pPr>
        <w:pStyle w:val="TextBody"/>
        <w:spacing w:before="0" w:after="0"/>
        <w:ind w:left="0" w:right="0" w:hanging="0"/>
        <w:jc w:val="left"/>
        <w:rPr/>
      </w:pPr>
      <w:r>
        <w:rPr/>
        <w:t> </w:t>
      </w:r>
    </w:p>
    <w:p>
      <w:pPr>
        <w:pStyle w:val="Heading2"/>
        <w:spacing w:before="0" w:after="0"/>
        <w:ind w:left="0" w:right="0" w:hanging="0"/>
        <w:jc w:val="left"/>
        <w:rPr>
          <w:rFonts w:ascii="Times New Roman" w:hAnsi="Times New Roman"/>
          <w:b w:val="false"/>
          <w:sz w:val="17"/>
        </w:rPr>
      </w:pPr>
      <w:bookmarkStart w:id="208" w:name="Section8_1_234528"/>
      <w:bookmarkEnd w:id="208"/>
      <w:r>
        <w:rPr>
          <w:rFonts w:ascii="Times New Roman" w:hAnsi="Times New Roman"/>
          <w:b w:val="false"/>
          <w:sz w:val="17"/>
        </w:rPr>
        <w:t xml:space="preserve">Section 8.1                                      </w:t>
      </w:r>
      <w:r>
        <w:rPr>
          <w:rFonts w:ascii="Times New Roman" w:hAnsi="Times New Roman"/>
          <w:b w:val="false"/>
          <w:sz w:val="17"/>
          <w:u w:val="single"/>
        </w:rPr>
        <w:t>Conditions to the Obligations of Buyer</w:t>
      </w:r>
      <w:r>
        <w:rPr>
          <w:rFonts w:ascii="Times New Roman" w:hAnsi="Times New Roman"/>
          <w:b w:val="false"/>
          <w:sz w:val="17"/>
        </w:rPr>
        <w:t>.  The obligation of Buyer to consummate the transactions contemplated by this Agreement is subject to the satisfaction of the following conditions, any one or more of which may be waived in writing by Buyer:</w:t>
      </w:r>
    </w:p>
    <w:p>
      <w:pPr>
        <w:pStyle w:val="Heading2"/>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 xml:space="preserve">(a)                                  (i) The representations and warranties of Seller set forth in </w:t>
      </w:r>
      <w:r>
        <w:rPr>
          <w:rFonts w:ascii="Times New Roman" w:hAnsi="Times New Roman"/>
          <w:b w:val="false"/>
          <w:sz w:val="17"/>
          <w:u w:val="single"/>
        </w:rPr>
        <w:t>Sections 4.3</w:t>
      </w:r>
      <w:r>
        <w:rPr>
          <w:rFonts w:ascii="Times New Roman" w:hAnsi="Times New Roman"/>
          <w:b w:val="false"/>
          <w:sz w:val="17"/>
        </w:rPr>
        <w:t xml:space="preserve"> and </w:t>
      </w:r>
      <w:r>
        <w:rPr>
          <w:rFonts w:ascii="Times New Roman" w:hAnsi="Times New Roman"/>
          <w:b w:val="false"/>
          <w:sz w:val="17"/>
          <w:u w:val="single"/>
        </w:rPr>
        <w:t>4.4</w:t>
      </w:r>
      <w:r>
        <w:rPr>
          <w:rFonts w:ascii="Times New Roman" w:hAnsi="Times New Roman"/>
          <w:b w:val="false"/>
          <w:sz w:val="17"/>
        </w:rPr>
        <w:t xml:space="preserve"> of this Agreement shall be true and correct and in </w:t>
      </w:r>
      <w:r>
        <w:rPr>
          <w:rFonts w:ascii="Times New Roman" w:hAnsi="Times New Roman"/>
          <w:b w:val="false"/>
          <w:sz w:val="17"/>
          <w:u w:val="single"/>
        </w:rPr>
        <w:t>Sections 4.17</w:t>
      </w:r>
      <w:r>
        <w:rPr>
          <w:rFonts w:ascii="Times New Roman" w:hAnsi="Times New Roman"/>
          <w:b w:val="false"/>
          <w:sz w:val="17"/>
        </w:rPr>
        <w:t xml:space="preserve"> and </w:t>
      </w:r>
      <w:r>
        <w:rPr>
          <w:rFonts w:ascii="Times New Roman" w:hAnsi="Times New Roman"/>
          <w:b w:val="false"/>
          <w:sz w:val="17"/>
          <w:u w:val="single"/>
        </w:rPr>
        <w:t>4.19</w:t>
      </w:r>
      <w:r>
        <w:rPr>
          <w:rFonts w:ascii="Times New Roman" w:hAnsi="Times New Roman"/>
          <w:b w:val="false"/>
          <w:sz w:val="17"/>
        </w:rPr>
        <w:t xml:space="preserve"> shall be true and correct in all material respects, in each case, both at and as of the date of this Agreement and at and as of the Closing Date, as if made at and as of such time (except to the extent expressly made as of an earlier date, in which case as of such date); and (ii) the representations and warranties of Seller set forth in this Agreement (other than the representations and warranties of Seller set forth in </w:t>
      </w:r>
      <w:r>
        <w:rPr>
          <w:rFonts w:ascii="Times New Roman" w:hAnsi="Times New Roman"/>
          <w:b w:val="false"/>
          <w:sz w:val="17"/>
          <w:u w:val="single"/>
        </w:rPr>
        <w:t>Sections 4.3</w:t>
      </w:r>
      <w:r>
        <w:rPr>
          <w:rFonts w:ascii="Times New Roman" w:hAnsi="Times New Roman"/>
          <w:b w:val="false"/>
          <w:sz w:val="17"/>
        </w:rPr>
        <w:t xml:space="preserve">, </w:t>
      </w:r>
      <w:r>
        <w:rPr>
          <w:rFonts w:ascii="Times New Roman" w:hAnsi="Times New Roman"/>
          <w:b w:val="false"/>
          <w:sz w:val="17"/>
          <w:u w:val="single"/>
        </w:rPr>
        <w:t>4.4</w:t>
      </w:r>
      <w:r>
        <w:rPr>
          <w:rFonts w:ascii="Times New Roman" w:hAnsi="Times New Roman"/>
          <w:b w:val="false"/>
          <w:sz w:val="17"/>
        </w:rPr>
        <w:t xml:space="preserve">, </w:t>
      </w:r>
      <w:r>
        <w:rPr>
          <w:rFonts w:ascii="Times New Roman" w:hAnsi="Times New Roman"/>
          <w:b w:val="false"/>
          <w:sz w:val="17"/>
          <w:u w:val="single"/>
        </w:rPr>
        <w:t>4.17</w:t>
      </w:r>
      <w:r>
        <w:rPr>
          <w:rFonts w:ascii="Times New Roman" w:hAnsi="Times New Roman"/>
          <w:b w:val="false"/>
          <w:sz w:val="17"/>
        </w:rPr>
        <w:t xml:space="preserve"> and </w:t>
      </w:r>
      <w:r>
        <w:rPr>
          <w:rFonts w:ascii="Times New Roman" w:hAnsi="Times New Roman"/>
          <w:b w:val="false"/>
          <w:sz w:val="17"/>
          <w:u w:val="single"/>
        </w:rPr>
        <w:t>4.19</w:t>
      </w:r>
      <w:r>
        <w:rPr>
          <w:rFonts w:ascii="Times New Roman" w:hAnsi="Times New Roman"/>
          <w:b w:val="false"/>
          <w:sz w:val="17"/>
        </w:rPr>
        <w:t>) shall be true and correct (without giving effect to any limitation as to materiality or Material Adverse Effect set forth therein) both at and as of the date of this Agreement and at and as of the Closing Date, as if made at and as of such time (except to the extent expressly made as of an earlier date, in which case as of such date),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65</w:t>
      </w:r>
    </w:p>
    <w:p>
      <w:pPr>
        <w:pStyle w:val="HorizontalLine"/>
        <w:pBdr>
          <w:bottom w:val="single" w:sz="12" w:space="0" w:color="808080"/>
        </w:pBdr>
        <w:spacing w:before="0" w:after="0"/>
        <w:jc w:val="left"/>
        <w:rPr/>
      </w:pPr>
      <w:r>
        <w:rPr/>
      </w:r>
      <w:r>
        <w:br w:type="page"/>
      </w:r>
    </w:p>
    <w:p>
      <w:pPr>
        <w:pStyle w:val="TextBody"/>
        <w:spacing w:before="0" w:after="0"/>
        <w:ind w:left="0" w:right="0" w:hanging="0"/>
        <w:jc w:val="center"/>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except where the failure of such representations and warranties to be so true and correct (without giving effect to any limitation as to materiality or Material Adverse Effect set forth therein) individually or in the aggregate has not had, and would not be reasonably likely to have or result in, a Material Adverse Effect on the Company.</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(b)                                 Seller shall have performed or complied with in all material respects all of the covenants and agreements required by this Agreement to be performed or complied with by it at or before the Closing.</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 xml:space="preserve">(c)                                  Seller shall have delivered to Buyer a certificate, dated as of the Closing Date, executed on behalf of Seller by an authorized executive officer thereof, certifying in such detail as Buyer may reasonably request that the conditions specified in </w:t>
      </w:r>
      <w:r>
        <w:rPr>
          <w:rFonts w:ascii="Times New Roman" w:hAnsi="Times New Roman"/>
          <w:b w:val="false"/>
          <w:sz w:val="17"/>
          <w:u w:val="single"/>
        </w:rPr>
        <w:t>Sections 8.1(a) </w:t>
      </w:r>
      <w:r>
        <w:rPr>
          <w:rFonts w:ascii="Times New Roman" w:hAnsi="Times New Roman"/>
          <w:b w:val="false"/>
          <w:sz w:val="17"/>
        </w:rPr>
        <w:t xml:space="preserve">and </w:t>
      </w:r>
      <w:r>
        <w:rPr>
          <w:rFonts w:ascii="Times New Roman" w:hAnsi="Times New Roman"/>
          <w:b w:val="false"/>
          <w:sz w:val="17"/>
          <w:u w:val="single"/>
        </w:rPr>
        <w:t>8.1(b) </w:t>
      </w:r>
      <w:r>
        <w:rPr>
          <w:rFonts w:ascii="Times New Roman" w:hAnsi="Times New Roman"/>
          <w:b w:val="false"/>
          <w:sz w:val="17"/>
        </w:rPr>
        <w:t>have been fulfilled.</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(d)                                 The Buyer Approvals shall have been duly made, given or obtained and shall be in full force and effect.</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(e)                                  The waiting period under the HSR Act applicable to the consummation of the transactions contemplated by this Agreement shall have expired or been terminated.</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(f)                                    No order issued by any court of competent jurisdiction preventing the consummation of the transactions contemplated by this Agreement shall be in effect, nor shall any material proceeding initiated by any Governmental Authority of competent jurisdiction having valid enforcement authority seeking such an order be pending, nor shall there be any action taken, or any Law enacted, entered or enforced that would prohibit the consummation of the transactions contemplated hereby that has not been subsequently overturned or otherwise made inapplicable to this Agreement.</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(g)                                 The Transition Services Agreement shall have been duly executed and delivered by or on behalf of Seller.</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 xml:space="preserve">(h)                                 All material consents and approvals set forth on </w:t>
      </w:r>
      <w:r>
        <w:rPr>
          <w:rFonts w:ascii="Times New Roman" w:hAnsi="Times New Roman"/>
          <w:b w:val="false"/>
          <w:sz w:val="17"/>
          <w:u w:val="single"/>
        </w:rPr>
        <w:t>Schedule 8.1(h) </w:t>
      </w:r>
      <w:r>
        <w:rPr>
          <w:rFonts w:ascii="Times New Roman" w:hAnsi="Times New Roman"/>
          <w:b w:val="false"/>
          <w:sz w:val="17"/>
        </w:rPr>
        <w:t>shall have been obtained, and a copy of each such consent and approval shall have been provided to Buyer at or prior to the Closing.</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 xml:space="preserve">(i)                                     Seller shall have caused the Company, BGS Corp. and PPEC Corp. to consummate the Conversion Transactions in accordance with </w:t>
      </w:r>
      <w:r>
        <w:rPr>
          <w:rFonts w:ascii="Times New Roman" w:hAnsi="Times New Roman"/>
          <w:b w:val="false"/>
          <w:sz w:val="17"/>
          <w:u w:val="single"/>
        </w:rPr>
        <w:t>Section 6.18</w:t>
      </w:r>
      <w:r>
        <w:rPr>
          <w:rFonts w:ascii="Times New Roman" w:hAnsi="Times New Roman"/>
          <w:b w:val="false"/>
          <w:sz w:val="17"/>
        </w:rPr>
        <w:t>.</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 xml:space="preserve">(j)                                     Seller shall have caused the BGS LLC Contribution to have been consummated in accordance with </w:t>
      </w:r>
      <w:r>
        <w:rPr>
          <w:rFonts w:ascii="Times New Roman" w:hAnsi="Times New Roman"/>
          <w:b w:val="false"/>
          <w:sz w:val="17"/>
          <w:u w:val="single"/>
        </w:rPr>
        <w:t>Section 6.20</w:t>
      </w:r>
      <w:r>
        <w:rPr>
          <w:rFonts w:ascii="Times New Roman" w:hAnsi="Times New Roman"/>
          <w:b w:val="false"/>
          <w:sz w:val="17"/>
        </w:rPr>
        <w:t>.</w:t>
      </w:r>
    </w:p>
    <w:p>
      <w:pPr>
        <w:pStyle w:val="Heading3"/>
        <w:spacing w:before="0" w:after="0"/>
        <w:ind w:left="0" w:right="0" w:hanging="0"/>
        <w:jc w:val="left"/>
        <w:rPr/>
      </w:pPr>
      <w:r>
        <w:rPr/>
        <w:t> </w:t>
      </w:r>
    </w:p>
    <w:p>
      <w:pPr>
        <w:pStyle w:val="Heading2"/>
        <w:spacing w:before="0" w:after="0"/>
        <w:ind w:left="0" w:right="0" w:hanging="0"/>
        <w:jc w:val="left"/>
        <w:rPr>
          <w:rFonts w:ascii="Times New Roman" w:hAnsi="Times New Roman"/>
          <w:b w:val="false"/>
          <w:sz w:val="17"/>
        </w:rPr>
      </w:pPr>
      <w:bookmarkStart w:id="209" w:name="Section8_2_234533"/>
      <w:bookmarkEnd w:id="209"/>
      <w:r>
        <w:rPr>
          <w:rFonts w:ascii="Times New Roman" w:hAnsi="Times New Roman"/>
          <w:b w:val="false"/>
          <w:sz w:val="17"/>
        </w:rPr>
        <w:t xml:space="preserve">Section 8.2                                      </w:t>
      </w:r>
      <w:r>
        <w:rPr>
          <w:rFonts w:ascii="Times New Roman" w:hAnsi="Times New Roman"/>
          <w:b w:val="false"/>
          <w:sz w:val="17"/>
          <w:u w:val="single"/>
        </w:rPr>
        <w:t>Conditions to the Obligations of Seller</w:t>
      </w:r>
      <w:r>
        <w:rPr>
          <w:rFonts w:ascii="Times New Roman" w:hAnsi="Times New Roman"/>
          <w:b w:val="false"/>
          <w:sz w:val="17"/>
        </w:rPr>
        <w:t>.  The obligation of Seller to consummate the transactions contemplated by this Agreement is subject to the satisfaction of the following conditions, any one or more of which may be waived in writing by Seller:</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66</w:t>
      </w:r>
    </w:p>
    <w:p>
      <w:pPr>
        <w:pStyle w:val="HorizontalLine"/>
        <w:pBdr>
          <w:bottom w:val="single" w:sz="12" w:space="0" w:color="808080"/>
        </w:pBdr>
        <w:spacing w:before="0" w:after="0"/>
        <w:jc w:val="left"/>
        <w:rPr/>
      </w:pPr>
      <w:r>
        <w:rPr/>
      </w:r>
      <w:r>
        <w:br w:type="page"/>
      </w:r>
    </w:p>
    <w:p>
      <w:pPr>
        <w:pStyle w:val="TextBody"/>
        <w:spacing w:before="0" w:after="0"/>
        <w:ind w:left="0" w:right="0" w:hanging="0"/>
        <w:jc w:val="center"/>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(a)                                  (i) The representations and warranties of Buyer set forth in this Agreement that are qualified by materiality or material adverse effect shall be true and correct both at and as of the date of this Agreement and at and as of the Closing Date, as if made at and as of such time (except to the extent expressly made as of another date, in which case as of such date); and (ii) the representations and warranties of Buyer set forth in this Agreement that are not qualified by materiality or material adverse effect shall be true and correct in all material respects both at and as of the date of this Agreement and at and as of the Closing Date, as if made at and as of such time (except to the extent expressly made as of another date, in which case as of such date).</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(b)                                 Buyer shall have performed or complied with in all material respects all of the covenants and agreements required by this Agreement to be performed or complied with by it at or before the Closing.</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 xml:space="preserve">(c)                                  Buyer shall have delivered to Seller a certificate, dated as of the Closing Date, executed on behalf of Seller by an authorized individual thereof, certifying in such detail as Seller may reasonably request that the conditions specified in </w:t>
      </w:r>
      <w:r>
        <w:rPr>
          <w:rFonts w:ascii="Times New Roman" w:hAnsi="Times New Roman"/>
          <w:b w:val="false"/>
          <w:sz w:val="17"/>
          <w:u w:val="single"/>
        </w:rPr>
        <w:t>Sections 8.2(a) </w:t>
      </w:r>
      <w:r>
        <w:rPr>
          <w:rFonts w:ascii="Times New Roman" w:hAnsi="Times New Roman"/>
          <w:b w:val="false"/>
          <w:sz w:val="17"/>
        </w:rPr>
        <w:t xml:space="preserve">and </w:t>
      </w:r>
      <w:r>
        <w:rPr>
          <w:rFonts w:ascii="Times New Roman" w:hAnsi="Times New Roman"/>
          <w:b w:val="false"/>
          <w:sz w:val="17"/>
          <w:u w:val="single"/>
        </w:rPr>
        <w:t>8.2(b) </w:t>
      </w:r>
      <w:r>
        <w:rPr>
          <w:rFonts w:ascii="Times New Roman" w:hAnsi="Times New Roman"/>
          <w:b w:val="false"/>
          <w:sz w:val="17"/>
        </w:rPr>
        <w:t>have been fulfilled.</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(d)                                 The Seller Approvals shall have been duly made, given or obtained and shall be in full force and effect.</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(e)                                  The waiting period under the HSR Act applicable to the consummation of the transactions contemplated by this Agreement shall have expired or been terminated.</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(f)                                    No order issued by any court of competent jurisdiction preventing the consummation of the transactions contemplated by this Agreement shall be in effect, nor shall any material proceeding initiated by any Governmental Authority of competent jurisdiction having valid enforcement authority seeking such an order be pending, nor shall there be any action taken, or any Law enacted, entered or enforced that would prohibit the consummation of the transactions contemplated hereby that has not been subsequently overturned or otherwise made inapplicable to this Agreement.</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(g)                                 The Transition Services Agreement duly executed by or on behalf of Buyer.</w:t>
      </w:r>
    </w:p>
    <w:p>
      <w:pPr>
        <w:pStyle w:val="Heading3"/>
        <w:spacing w:before="0" w:after="0"/>
        <w:ind w:left="0" w:right="0" w:hanging="0"/>
        <w:jc w:val="left"/>
        <w:rPr/>
      </w:pPr>
      <w:r>
        <w:rPr/>
        <w:t> </w:t>
      </w:r>
    </w:p>
    <w:p>
      <w:pPr>
        <w:pStyle w:val="Heading1"/>
        <w:spacing w:before="0" w:after="0"/>
        <w:ind w:left="0" w:right="0" w:hanging="0"/>
        <w:rPr>
          <w:rFonts w:ascii="Times New Roman" w:hAnsi="Times New Roman"/>
          <w:b/>
          <w:sz w:val="17"/>
        </w:rPr>
      </w:pPr>
      <w:bookmarkStart w:id="210" w:name="Articleix_234538"/>
      <w:bookmarkEnd w:id="210"/>
      <w:r>
        <w:rPr>
          <w:rFonts w:ascii="Times New Roman" w:hAnsi="Times New Roman"/>
          <w:b/>
          <w:sz w:val="17"/>
        </w:rPr>
        <w:t>ARTICLE IX</w:t>
      </w:r>
    </w:p>
    <w:p>
      <w:pPr>
        <w:pStyle w:val="TextBody"/>
        <w:spacing w:before="0" w:after="0"/>
        <w:ind w:left="0" w:right="0" w:hanging="0"/>
        <w:jc w:val="left"/>
        <w:rPr/>
      </w:pPr>
      <w:r>
        <w:rPr/>
        <w:t> </w:t>
      </w:r>
    </w:p>
    <w:p>
      <w:pPr>
        <w:pStyle w:val="Heading1"/>
        <w:spacing w:before="0" w:after="0"/>
        <w:ind w:left="0" w:right="0" w:hanging="0"/>
        <w:rPr>
          <w:rFonts w:ascii="Times New Roman" w:hAnsi="Times New Roman"/>
          <w:b/>
          <w:sz w:val="17"/>
        </w:rPr>
      </w:pPr>
      <w:r>
        <w:rPr>
          <w:rFonts w:ascii="Times New Roman" w:hAnsi="Times New Roman"/>
          <w:b/>
          <w:sz w:val="17"/>
        </w:rPr>
        <w:t>SURVIVAL; INDEMNIFICATION</w:t>
      </w:r>
    </w:p>
    <w:p>
      <w:pPr>
        <w:pStyle w:val="TextBody"/>
        <w:spacing w:before="0" w:after="0"/>
        <w:ind w:left="0" w:right="0" w:hanging="0"/>
        <w:jc w:val="left"/>
        <w:rPr/>
      </w:pPr>
      <w:r>
        <w:rPr/>
        <w:t> </w:t>
      </w:r>
    </w:p>
    <w:p>
      <w:pPr>
        <w:pStyle w:val="Heading2"/>
        <w:spacing w:before="0" w:after="0"/>
        <w:ind w:left="0" w:right="0" w:hanging="0"/>
        <w:jc w:val="left"/>
        <w:rPr>
          <w:rFonts w:ascii="Times New Roman" w:hAnsi="Times New Roman"/>
          <w:b w:val="false"/>
          <w:sz w:val="17"/>
        </w:rPr>
      </w:pPr>
      <w:bookmarkStart w:id="211" w:name="Section9_1_234540"/>
      <w:bookmarkEnd w:id="211"/>
      <w:r>
        <w:rPr>
          <w:rFonts w:ascii="Times New Roman" w:hAnsi="Times New Roman"/>
          <w:b w:val="false"/>
          <w:sz w:val="17"/>
        </w:rPr>
        <w:t xml:space="preserve">Section 9.1                                      </w:t>
      </w:r>
      <w:r>
        <w:rPr>
          <w:rFonts w:ascii="Times New Roman" w:hAnsi="Times New Roman"/>
          <w:b w:val="false"/>
          <w:sz w:val="17"/>
          <w:u w:val="single"/>
        </w:rPr>
        <w:t>Survival of Indemnification Rights</w:t>
      </w:r>
      <w:r>
        <w:rPr>
          <w:rFonts w:ascii="Times New Roman" w:hAnsi="Times New Roman"/>
          <w:b w:val="false"/>
          <w:sz w:val="17"/>
        </w:rPr>
        <w:t>.</w:t>
      </w:r>
    </w:p>
    <w:p>
      <w:pPr>
        <w:pStyle w:val="TextBody"/>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 xml:space="preserve">(a)                                  Subject to, and except as otherwise provided in, </w:t>
      </w:r>
      <w:r>
        <w:rPr>
          <w:rFonts w:ascii="Times New Roman" w:hAnsi="Times New Roman"/>
          <w:b w:val="false"/>
          <w:sz w:val="17"/>
          <w:u w:val="single"/>
        </w:rPr>
        <w:t>Article VII</w:t>
      </w:r>
      <w:r>
        <w:rPr>
          <w:rFonts w:ascii="Times New Roman" w:hAnsi="Times New Roman"/>
          <w:b w:val="false"/>
          <w:sz w:val="17"/>
        </w:rPr>
        <w:t xml:space="preserve"> relating to Tax matters, all representations and warranties of the Parties shall survive the Closing until March 31, 2007, except that (i) the representations and warranties set forth in </w:t>
      </w:r>
      <w:r>
        <w:rPr>
          <w:rFonts w:ascii="Times New Roman" w:hAnsi="Times New Roman"/>
          <w:b w:val="false"/>
          <w:sz w:val="17"/>
          <w:u w:val="single"/>
        </w:rPr>
        <w:t>Section 4.10</w:t>
      </w:r>
      <w:r>
        <w:rPr>
          <w:rFonts w:ascii="Times New Roman" w:hAnsi="Times New Roman"/>
          <w:b w:val="false"/>
          <w:sz w:val="17"/>
        </w:rPr>
        <w:t xml:space="preserve"> shall survive the Closing until the fourth (4th) anniversary of the Closing Date and (ii) the representations and warranties set forth in </w:t>
      </w:r>
      <w:r>
        <w:rPr>
          <w:rFonts w:ascii="Times New Roman" w:hAnsi="Times New Roman"/>
          <w:b w:val="false"/>
          <w:sz w:val="17"/>
          <w:u w:val="single"/>
        </w:rPr>
        <w:t>Sections 3.2</w:t>
      </w:r>
      <w:r>
        <w:rPr>
          <w:rFonts w:ascii="Times New Roman" w:hAnsi="Times New Roman"/>
          <w:b w:val="false"/>
          <w:sz w:val="17"/>
        </w:rPr>
        <w:t xml:space="preserve">, </w:t>
      </w:r>
      <w:r>
        <w:rPr>
          <w:rFonts w:ascii="Times New Roman" w:hAnsi="Times New Roman"/>
          <w:b w:val="false"/>
          <w:sz w:val="17"/>
          <w:u w:val="single"/>
        </w:rPr>
        <w:t>3.3</w:t>
      </w:r>
      <w:r>
        <w:rPr>
          <w:rFonts w:ascii="Times New Roman" w:hAnsi="Times New Roman"/>
          <w:b w:val="false"/>
          <w:sz w:val="17"/>
        </w:rPr>
        <w:t xml:space="preserve">, </w:t>
      </w:r>
      <w:r>
        <w:rPr>
          <w:rFonts w:ascii="Times New Roman" w:hAnsi="Times New Roman"/>
          <w:b w:val="false"/>
          <w:sz w:val="17"/>
          <w:u w:val="single"/>
        </w:rPr>
        <w:t>3.4</w:t>
      </w:r>
      <w:r>
        <w:rPr>
          <w:rFonts w:ascii="Times New Roman" w:hAnsi="Times New Roman"/>
          <w:b w:val="false"/>
          <w:sz w:val="17"/>
        </w:rPr>
        <w:t xml:space="preserve">, </w:t>
      </w:r>
      <w:r>
        <w:rPr>
          <w:rFonts w:ascii="Times New Roman" w:hAnsi="Times New Roman"/>
          <w:b w:val="false"/>
          <w:sz w:val="17"/>
          <w:u w:val="single"/>
        </w:rPr>
        <w:t>4.3</w:t>
      </w:r>
      <w:r>
        <w:rPr>
          <w:rFonts w:ascii="Times New Roman" w:hAnsi="Times New Roman"/>
          <w:b w:val="false"/>
          <w:sz w:val="17"/>
        </w:rPr>
        <w:t xml:space="preserve"> and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67</w:t>
      </w:r>
    </w:p>
    <w:p>
      <w:pPr>
        <w:pStyle w:val="HorizontalLine"/>
        <w:pBdr>
          <w:bottom w:val="single" w:sz="12" w:space="0" w:color="808080"/>
        </w:pBdr>
        <w:spacing w:before="0" w:after="0"/>
        <w:jc w:val="left"/>
        <w:rPr/>
      </w:pPr>
      <w:r>
        <w:rPr/>
      </w:r>
      <w:r>
        <w:br w:type="page"/>
      </w:r>
    </w:p>
    <w:p>
      <w:pPr>
        <w:pStyle w:val="TextBody"/>
        <w:spacing w:before="0" w:after="0"/>
        <w:ind w:left="0" w:right="0" w:hanging="0"/>
        <w:jc w:val="center"/>
        <w:rPr/>
      </w:pPr>
      <w:r>
        <w:rPr/>
        <w:t> </w:t>
      </w:r>
    </w:p>
    <w:p>
      <w:pPr>
        <w:pStyle w:val="TextBody"/>
        <w:spacing w:before="0" w:after="0"/>
        <w:ind w:left="0" w:right="0" w:hanging="0"/>
        <w:jc w:val="left"/>
        <w:rPr>
          <w:rFonts w:ascii="Times New Roman" w:hAnsi="Times New Roman"/>
          <w:sz w:val="17"/>
        </w:rPr>
      </w:pPr>
      <w:r>
        <w:rPr>
          <w:rFonts w:ascii="Times New Roman" w:hAnsi="Times New Roman"/>
          <w:sz w:val="17"/>
          <w:u w:val="single"/>
        </w:rPr>
        <w:t>4.4</w:t>
      </w:r>
      <w:r>
        <w:rPr>
          <w:rFonts w:ascii="Times New Roman" w:hAnsi="Times New Roman"/>
          <w:sz w:val="17"/>
        </w:rPr>
        <w:t xml:space="preserve"> shall survive until thirty (30) days after the expiration of the applicable statute of limitations.  All covenants and agreements of the Parties contained herein shall survive the Closing.</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(b)                                 Sellers indemnification obligations under (i) </w:t>
      </w:r>
      <w:r>
        <w:rPr>
          <w:rFonts w:ascii="Times New Roman" w:hAnsi="Times New Roman"/>
          <w:b w:val="false"/>
          <w:sz w:val="17"/>
          <w:u w:val="single"/>
        </w:rPr>
        <w:t>Section 9.2(a)(iv) </w:t>
      </w:r>
      <w:r>
        <w:rPr>
          <w:rFonts w:ascii="Times New Roman" w:hAnsi="Times New Roman"/>
          <w:b w:val="false"/>
          <w:sz w:val="17"/>
        </w:rPr>
        <w:t>shall survive the Closing until March 31, 2007, (ii) </w:t>
      </w:r>
      <w:r>
        <w:rPr>
          <w:rFonts w:ascii="Times New Roman" w:hAnsi="Times New Roman"/>
          <w:b w:val="false"/>
          <w:sz w:val="17"/>
          <w:u w:val="single"/>
        </w:rPr>
        <w:t>Section 9.2(a)(v) </w:t>
      </w:r>
      <w:r>
        <w:rPr>
          <w:rFonts w:ascii="Times New Roman" w:hAnsi="Times New Roman"/>
          <w:b w:val="false"/>
          <w:sz w:val="17"/>
        </w:rPr>
        <w:t>shall survive the Closing until the fourth (4th) anniversary of the Closing Date and (iii) </w:t>
      </w:r>
      <w:r>
        <w:rPr>
          <w:rFonts w:ascii="Times New Roman" w:hAnsi="Times New Roman"/>
          <w:b w:val="false"/>
          <w:sz w:val="17"/>
          <w:u w:val="single"/>
        </w:rPr>
        <w:t>Sections 9.2(a)(vi)</w:t>
      </w:r>
      <w:r>
        <w:rPr>
          <w:rFonts w:ascii="Times New Roman" w:hAnsi="Times New Roman"/>
          <w:b w:val="false"/>
          <w:sz w:val="17"/>
        </w:rPr>
        <w:t>,</w:t>
      </w:r>
      <w:r>
        <w:rPr>
          <w:rFonts w:ascii="Times New Roman" w:hAnsi="Times New Roman"/>
          <w:b w:val="false"/>
          <w:sz w:val="17"/>
          <w:u w:val="single"/>
        </w:rPr>
        <w:t xml:space="preserve"> 9.2(a)(vii)</w:t>
      </w:r>
      <w:r>
        <w:rPr>
          <w:rFonts w:ascii="Times New Roman" w:hAnsi="Times New Roman"/>
          <w:b w:val="false"/>
          <w:sz w:val="17"/>
        </w:rPr>
        <w:t xml:space="preserve">, </w:t>
      </w:r>
      <w:r>
        <w:rPr>
          <w:rFonts w:ascii="Times New Roman" w:hAnsi="Times New Roman"/>
          <w:b w:val="false"/>
          <w:sz w:val="17"/>
          <w:u w:val="single"/>
        </w:rPr>
        <w:t>9.2(a)(viii) </w:t>
      </w:r>
      <w:r>
        <w:rPr>
          <w:rFonts w:ascii="Times New Roman" w:hAnsi="Times New Roman"/>
          <w:b w:val="false"/>
          <w:sz w:val="17"/>
        </w:rPr>
        <w:t xml:space="preserve">and </w:t>
      </w:r>
      <w:r>
        <w:rPr>
          <w:rFonts w:ascii="Times New Roman" w:hAnsi="Times New Roman"/>
          <w:b w:val="false"/>
          <w:sz w:val="17"/>
          <w:u w:val="single"/>
        </w:rPr>
        <w:t>9.2(a)(ix) </w:t>
      </w:r>
      <w:r>
        <w:rPr>
          <w:rFonts w:ascii="Times New Roman" w:hAnsi="Times New Roman"/>
          <w:b w:val="false"/>
          <w:sz w:val="17"/>
        </w:rPr>
        <w:t>shall survive the Closing until 30 days after the expiration of the applicable statute of limitations.</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 xml:space="preserve">(c)                                  No Party shall have any liability for indemnification claims made under this </w:t>
      </w:r>
      <w:r>
        <w:rPr>
          <w:rFonts w:ascii="Times New Roman" w:hAnsi="Times New Roman"/>
          <w:b w:val="false"/>
          <w:sz w:val="17"/>
          <w:u w:val="single"/>
        </w:rPr>
        <w:t>Article IX</w:t>
      </w:r>
      <w:r>
        <w:rPr>
          <w:rFonts w:ascii="Times New Roman" w:hAnsi="Times New Roman"/>
          <w:b w:val="false"/>
          <w:sz w:val="17"/>
        </w:rPr>
        <w:t xml:space="preserve"> unless a Claim Notice is provided by the non-breaching Party to the other Party in respect of such indemnification claim prior to the expiration of the applicable survival period.  If a Claim Notice has been timely given in accordance with this Agreement prior to the expiration of the applicable survival period, then the applicable indemnity right shall survive as to such claim, until such claim has been finally resolved.</w:t>
      </w:r>
    </w:p>
    <w:p>
      <w:pPr>
        <w:pStyle w:val="Heading3"/>
        <w:spacing w:before="0" w:after="0"/>
        <w:ind w:left="0" w:right="0" w:hanging="0"/>
        <w:jc w:val="left"/>
        <w:rPr/>
      </w:pPr>
      <w:r>
        <w:rPr/>
        <w:t> </w:t>
      </w:r>
    </w:p>
    <w:p>
      <w:pPr>
        <w:pStyle w:val="Heading2"/>
        <w:spacing w:before="0" w:after="0"/>
        <w:ind w:left="0" w:right="0" w:hanging="0"/>
        <w:jc w:val="left"/>
        <w:rPr>
          <w:rFonts w:ascii="Times New Roman" w:hAnsi="Times New Roman"/>
          <w:b w:val="false"/>
          <w:sz w:val="17"/>
        </w:rPr>
      </w:pPr>
      <w:bookmarkStart w:id="212" w:name="Section9_2_234545"/>
      <w:bookmarkEnd w:id="212"/>
      <w:r>
        <w:rPr>
          <w:rFonts w:ascii="Times New Roman" w:hAnsi="Times New Roman"/>
          <w:b w:val="false"/>
          <w:sz w:val="17"/>
        </w:rPr>
        <w:t xml:space="preserve">Section 9.2                                      </w:t>
      </w:r>
      <w:r>
        <w:rPr>
          <w:rFonts w:ascii="Times New Roman" w:hAnsi="Times New Roman"/>
          <w:b w:val="false"/>
          <w:sz w:val="17"/>
          <w:u w:val="single"/>
        </w:rPr>
        <w:t>Indemnification Obligations</w:t>
      </w:r>
      <w:r>
        <w:rPr>
          <w:rFonts w:ascii="Times New Roman" w:hAnsi="Times New Roman"/>
          <w:b w:val="false"/>
          <w:sz w:val="17"/>
        </w:rPr>
        <w:t>.</w:t>
      </w:r>
    </w:p>
    <w:p>
      <w:pPr>
        <w:pStyle w:val="TextBody"/>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 xml:space="preserve">(a)                                  Subject to, and except as otherwise provided in, </w:t>
      </w:r>
      <w:r>
        <w:rPr>
          <w:rFonts w:ascii="Times New Roman" w:hAnsi="Times New Roman"/>
          <w:b w:val="false"/>
          <w:sz w:val="17"/>
          <w:u w:val="single"/>
        </w:rPr>
        <w:t>Article VII</w:t>
      </w:r>
      <w:r>
        <w:rPr>
          <w:rFonts w:ascii="Times New Roman" w:hAnsi="Times New Roman"/>
          <w:b w:val="false"/>
          <w:sz w:val="17"/>
        </w:rPr>
        <w:t xml:space="preserve"> relating to Tax matters and the provisions of this </w:t>
      </w:r>
      <w:r>
        <w:rPr>
          <w:rFonts w:ascii="Times New Roman" w:hAnsi="Times New Roman"/>
          <w:b w:val="false"/>
          <w:sz w:val="17"/>
          <w:u w:val="single"/>
        </w:rPr>
        <w:t>Article IX</w:t>
      </w:r>
      <w:r>
        <w:rPr>
          <w:rFonts w:ascii="Times New Roman" w:hAnsi="Times New Roman"/>
          <w:b w:val="false"/>
          <w:sz w:val="17"/>
        </w:rPr>
        <w:t>, from and after the Closing, Seller shall indemnify and hold harmless Buyer, Plains All American Pipeline, L.P., Vulcan Gas Storage LLC and each of their respective Affiliates (which from and after the Closing shall include the Company and the Subsidiaries) and their respective Representatives (the </w:t>
      </w:r>
      <w:r>
        <w:rPr>
          <w:rFonts w:ascii="Times New Roman" w:hAnsi="Times New Roman"/>
          <w:b w:val="false"/>
          <w:sz w:val="17"/>
          <w:u w:val="single"/>
        </w:rPr>
        <w:t>Buyer Indemnified Parties</w:t>
      </w:r>
      <w:r>
        <w:rPr>
          <w:rFonts w:ascii="Times New Roman" w:hAnsi="Times New Roman"/>
          <w:b w:val="false"/>
          <w:sz w:val="17"/>
        </w:rPr>
        <w:t>) from and against all Losses that the Buyer Indemnified Parties incur arising from or out of or related to:</w:t>
      </w:r>
    </w:p>
    <w:p>
      <w:pPr>
        <w:pStyle w:val="Heading3"/>
        <w:spacing w:before="0" w:after="0"/>
        <w:ind w:left="0" w:right="0" w:hanging="0"/>
        <w:jc w:val="left"/>
        <w:rPr/>
      </w:pPr>
      <w:r>
        <w:rPr/>
        <w:t> </w:t>
      </w:r>
    </w:p>
    <w:p>
      <w:pPr>
        <w:pStyle w:val="Heading4"/>
        <w:spacing w:before="0" w:after="0"/>
        <w:ind w:left="0" w:right="0" w:hanging="0"/>
        <w:jc w:val="left"/>
        <w:rPr>
          <w:rFonts w:ascii="Times New Roman" w:hAnsi="Times New Roman"/>
          <w:b w:val="false"/>
          <w:sz w:val="17"/>
        </w:rPr>
      </w:pPr>
      <w:r>
        <w:rPr>
          <w:rFonts w:ascii="Times New Roman" w:hAnsi="Times New Roman"/>
          <w:b w:val="false"/>
          <w:sz w:val="17"/>
        </w:rPr>
        <w:t>(i)                                     any inaccuracy or breach of any representation or warranty of Seller in this Agreement, the Bluewater Reserves Agreement or in any certificate delivered pursuant to this Agreement;</w:t>
      </w:r>
    </w:p>
    <w:p>
      <w:pPr>
        <w:pStyle w:val="Heading4"/>
        <w:spacing w:before="0" w:after="0"/>
        <w:ind w:left="0" w:right="0" w:hanging="0"/>
        <w:jc w:val="left"/>
        <w:rPr/>
      </w:pPr>
      <w:r>
        <w:rPr/>
        <w:t> </w:t>
      </w:r>
    </w:p>
    <w:p>
      <w:pPr>
        <w:pStyle w:val="Heading4"/>
        <w:spacing w:before="0" w:after="0"/>
        <w:ind w:left="0" w:right="0" w:hanging="0"/>
        <w:jc w:val="left"/>
        <w:rPr>
          <w:rFonts w:ascii="Times New Roman" w:hAnsi="Times New Roman"/>
          <w:b w:val="false"/>
          <w:sz w:val="17"/>
        </w:rPr>
      </w:pPr>
      <w:r>
        <w:rPr>
          <w:rFonts w:ascii="Times New Roman" w:hAnsi="Times New Roman"/>
          <w:b w:val="false"/>
          <w:sz w:val="17"/>
        </w:rPr>
        <w:t xml:space="preserve">(ii)                                  any inaccuracy or breach of any representation or warranty of Seller in this Agreement as of the Closing Date, each of which representations and warranties will be deemed for purposes of this </w:t>
      </w:r>
      <w:r>
        <w:rPr>
          <w:rFonts w:ascii="Times New Roman" w:hAnsi="Times New Roman"/>
          <w:b w:val="false"/>
          <w:sz w:val="17"/>
          <w:u w:val="single"/>
        </w:rPr>
        <w:t>Section 9.2(a)(ii) </w:t>
      </w:r>
      <w:r>
        <w:rPr>
          <w:rFonts w:ascii="Times New Roman" w:hAnsi="Times New Roman"/>
          <w:b w:val="false"/>
          <w:sz w:val="17"/>
        </w:rPr>
        <w:t>to have been made by Seller as of the Closing Date, except that those representations and warranties that are made as of a specific date need only be true as of such date;</w:t>
      </w:r>
    </w:p>
    <w:p>
      <w:pPr>
        <w:pStyle w:val="Heading4"/>
        <w:spacing w:before="0" w:after="0"/>
        <w:ind w:left="0" w:right="0" w:hanging="0"/>
        <w:jc w:val="left"/>
        <w:rPr/>
      </w:pPr>
      <w:r>
        <w:rPr/>
        <w:t> </w:t>
      </w:r>
    </w:p>
    <w:p>
      <w:pPr>
        <w:pStyle w:val="Heading4"/>
        <w:spacing w:before="0" w:after="0"/>
        <w:ind w:left="0" w:right="0" w:hanging="0"/>
        <w:jc w:val="left"/>
        <w:rPr>
          <w:rFonts w:ascii="Times New Roman" w:hAnsi="Times New Roman"/>
          <w:b w:val="false"/>
          <w:sz w:val="17"/>
        </w:rPr>
      </w:pPr>
      <w:r>
        <w:rPr>
          <w:rFonts w:ascii="Times New Roman" w:hAnsi="Times New Roman"/>
          <w:b w:val="false"/>
          <w:sz w:val="17"/>
        </w:rPr>
        <w:t>(iii)                               any breach of any covenant or agreement of Seller contained in this Agreement;</w:t>
      </w:r>
    </w:p>
    <w:p>
      <w:pPr>
        <w:pStyle w:val="Heading4"/>
        <w:spacing w:before="0" w:after="0"/>
        <w:ind w:left="0" w:right="0" w:hanging="0"/>
        <w:jc w:val="left"/>
        <w:rPr/>
      </w:pPr>
      <w:r>
        <w:rPr/>
        <w:t> </w:t>
      </w:r>
    </w:p>
    <w:p>
      <w:pPr>
        <w:pStyle w:val="Heading4"/>
        <w:spacing w:before="0" w:after="0"/>
        <w:ind w:left="0" w:right="0" w:hanging="0"/>
        <w:jc w:val="left"/>
        <w:rPr>
          <w:rFonts w:ascii="Times New Roman" w:hAnsi="Times New Roman"/>
          <w:b w:val="false"/>
          <w:sz w:val="17"/>
        </w:rPr>
      </w:pPr>
      <w:r>
        <w:rPr>
          <w:rFonts w:ascii="Times New Roman" w:hAnsi="Times New Roman"/>
          <w:b w:val="false"/>
          <w:sz w:val="17"/>
        </w:rPr>
        <w:t>(iv)                              any Known and Undisclosed Environmental Liability;</w:t>
      </w:r>
    </w:p>
    <w:p>
      <w:pPr>
        <w:pStyle w:val="Heading4"/>
        <w:spacing w:before="0" w:after="0"/>
        <w:ind w:left="0" w:right="0" w:hanging="0"/>
        <w:jc w:val="left"/>
        <w:rPr/>
      </w:pPr>
      <w:r>
        <w:rPr/>
        <w:t> </w:t>
      </w:r>
    </w:p>
    <w:p>
      <w:pPr>
        <w:pStyle w:val="Heading4"/>
        <w:spacing w:before="0" w:after="0"/>
        <w:ind w:left="0" w:right="0" w:hanging="0"/>
        <w:jc w:val="left"/>
        <w:rPr>
          <w:rFonts w:ascii="Times New Roman" w:hAnsi="Times New Roman"/>
          <w:b w:val="false"/>
          <w:sz w:val="17"/>
        </w:rPr>
      </w:pPr>
      <w:r>
        <w:rPr>
          <w:rFonts w:ascii="Times New Roman" w:hAnsi="Times New Roman"/>
          <w:b w:val="false"/>
          <w:sz w:val="17"/>
        </w:rPr>
        <w:t>(v)                                 any Pre-Closing Off-Site Environmental Liability;</w:t>
      </w:r>
    </w:p>
    <w:p>
      <w:pPr>
        <w:pStyle w:val="Heading4"/>
        <w:spacing w:before="0" w:after="0"/>
        <w:ind w:left="0" w:right="0" w:hanging="0"/>
        <w:jc w:val="left"/>
        <w:rPr/>
      </w:pPr>
      <w:r>
        <w:rPr/>
        <w:t> </w:t>
      </w:r>
    </w:p>
    <w:p>
      <w:pPr>
        <w:pStyle w:val="Heading4"/>
        <w:spacing w:before="0" w:after="0"/>
        <w:ind w:left="0" w:right="0" w:hanging="0"/>
        <w:jc w:val="left"/>
        <w:rPr>
          <w:rFonts w:ascii="Times New Roman" w:hAnsi="Times New Roman"/>
          <w:b w:val="false"/>
          <w:sz w:val="17"/>
        </w:rPr>
      </w:pPr>
      <w:r>
        <w:rPr>
          <w:rFonts w:ascii="Times New Roman" w:hAnsi="Times New Roman"/>
          <w:b w:val="false"/>
          <w:sz w:val="17"/>
        </w:rPr>
        <w:t>(vi)                              any Environmental Fines and Penalties and any Pre-Closing On-Site Environmental Liability;</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68</w:t>
      </w:r>
    </w:p>
    <w:p>
      <w:pPr>
        <w:pStyle w:val="HorizontalLine"/>
        <w:pBdr>
          <w:bottom w:val="single" w:sz="12" w:space="0" w:color="808080"/>
        </w:pBdr>
        <w:spacing w:before="0" w:after="0"/>
        <w:jc w:val="left"/>
        <w:rPr/>
      </w:pPr>
      <w:r>
        <w:rPr/>
      </w:r>
      <w:r>
        <w:br w:type="page"/>
      </w:r>
    </w:p>
    <w:p>
      <w:pPr>
        <w:pStyle w:val="TextBody"/>
        <w:spacing w:before="0" w:after="0"/>
        <w:ind w:left="0" w:right="0" w:hanging="0"/>
        <w:jc w:val="center"/>
        <w:rPr/>
      </w:pPr>
      <w:r>
        <w:rPr/>
        <w:t> </w:t>
      </w:r>
    </w:p>
    <w:p>
      <w:pPr>
        <w:pStyle w:val="Heading4"/>
        <w:spacing w:before="0" w:after="0"/>
        <w:ind w:left="0" w:right="0" w:hanging="0"/>
        <w:jc w:val="left"/>
        <w:rPr>
          <w:rFonts w:ascii="Times New Roman" w:hAnsi="Times New Roman"/>
          <w:b w:val="false"/>
          <w:sz w:val="17"/>
        </w:rPr>
      </w:pPr>
      <w:r>
        <w:rPr>
          <w:rFonts w:ascii="Times New Roman" w:hAnsi="Times New Roman"/>
          <w:b w:val="false"/>
          <w:sz w:val="17"/>
        </w:rPr>
        <w:t>(vii)                           any action, claim, suit or proceeding by Seller or any of its Affiliates (other than the Company or any Subsidiary) against the Company or any Subsidiary or any of their respective properties or assets relating to or arising out of any act or omission that occurred prior to, or facts or circumstances that existed as of, the Closing (whether or not any Loss associated therewith existed on or before the Closing Date);</w:t>
      </w:r>
    </w:p>
    <w:p>
      <w:pPr>
        <w:pStyle w:val="Heading4"/>
        <w:spacing w:before="0" w:after="0"/>
        <w:ind w:left="0" w:right="0" w:hanging="0"/>
        <w:jc w:val="left"/>
        <w:rPr/>
      </w:pPr>
      <w:r>
        <w:rPr/>
        <w:t> </w:t>
      </w:r>
    </w:p>
    <w:p>
      <w:pPr>
        <w:pStyle w:val="Heading4"/>
        <w:spacing w:before="0" w:after="0"/>
        <w:ind w:left="0" w:right="0" w:hanging="0"/>
        <w:jc w:val="left"/>
        <w:rPr>
          <w:rFonts w:ascii="Times New Roman" w:hAnsi="Times New Roman"/>
          <w:b w:val="false"/>
          <w:sz w:val="17"/>
        </w:rPr>
      </w:pPr>
      <w:r>
        <w:rPr>
          <w:rFonts w:ascii="Times New Roman" w:hAnsi="Times New Roman"/>
          <w:b w:val="false"/>
          <w:sz w:val="17"/>
        </w:rPr>
        <w:t>(viii)                        any Loss (whether or not such Loss existed on or before the Closing Date) of the Company or any Subsidiary arising out of or relating to any loss of life or injury to any Person (whether or not such loss or injury existed on or before the Closing Date) to the extent arising out of or related to the business activities of the Company or any Subsidiary on or prior to the Closing Date, other than any Pre-Closing On-Site Environmental Liability or any loss or injury to any Person that constitutes a Pre-Closing Off-Site Environmental Liability; and</w:t>
      </w:r>
    </w:p>
    <w:p>
      <w:pPr>
        <w:pStyle w:val="Heading4"/>
        <w:spacing w:before="0" w:after="0"/>
        <w:ind w:left="0" w:right="0" w:hanging="0"/>
        <w:jc w:val="left"/>
        <w:rPr/>
      </w:pPr>
      <w:r>
        <w:rPr/>
        <w:t> </w:t>
      </w:r>
    </w:p>
    <w:p>
      <w:pPr>
        <w:pStyle w:val="Heading4"/>
        <w:spacing w:before="0" w:after="0"/>
        <w:ind w:left="0" w:right="0" w:hanging="0"/>
        <w:jc w:val="left"/>
        <w:rPr>
          <w:rFonts w:ascii="Times New Roman" w:hAnsi="Times New Roman"/>
          <w:b w:val="false"/>
          <w:sz w:val="17"/>
        </w:rPr>
      </w:pPr>
      <w:r>
        <w:rPr>
          <w:rFonts w:ascii="Times New Roman" w:hAnsi="Times New Roman"/>
          <w:b w:val="false"/>
          <w:sz w:val="17"/>
        </w:rPr>
        <w:t>(ix)                                any Fines and Penalties.</w:t>
      </w:r>
    </w:p>
    <w:p>
      <w:pPr>
        <w:pStyle w:val="Heading4"/>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 xml:space="preserve">(b)                                 Subject to, and except as otherwise provided in, </w:t>
      </w:r>
      <w:r>
        <w:rPr>
          <w:rFonts w:ascii="Times New Roman" w:hAnsi="Times New Roman"/>
          <w:b w:val="false"/>
          <w:sz w:val="17"/>
          <w:u w:val="single"/>
        </w:rPr>
        <w:t>Article VII</w:t>
      </w:r>
      <w:r>
        <w:rPr>
          <w:rFonts w:ascii="Times New Roman" w:hAnsi="Times New Roman"/>
          <w:b w:val="false"/>
          <w:sz w:val="17"/>
        </w:rPr>
        <w:t xml:space="preserve"> relating to Tax matters and the provisions of this </w:t>
      </w:r>
      <w:r>
        <w:rPr>
          <w:rFonts w:ascii="Times New Roman" w:hAnsi="Times New Roman"/>
          <w:b w:val="false"/>
          <w:sz w:val="17"/>
          <w:u w:val="single"/>
        </w:rPr>
        <w:t>Article IX</w:t>
      </w:r>
      <w:r>
        <w:rPr>
          <w:rFonts w:ascii="Times New Roman" w:hAnsi="Times New Roman"/>
          <w:b w:val="false"/>
          <w:sz w:val="17"/>
        </w:rPr>
        <w:t>, from and after the Closing, Buyer shall indemnify and hold harmless Seller and its Affiliates and their respective Representatives, (the </w:t>
      </w:r>
      <w:r>
        <w:rPr>
          <w:rFonts w:ascii="Times New Roman" w:hAnsi="Times New Roman"/>
          <w:b w:val="false"/>
          <w:sz w:val="17"/>
          <w:u w:val="single"/>
        </w:rPr>
        <w:t>Seller Indemnified Parties</w:t>
      </w:r>
      <w:r>
        <w:rPr>
          <w:rFonts w:ascii="Times New Roman" w:hAnsi="Times New Roman"/>
          <w:b w:val="false"/>
          <w:sz w:val="17"/>
        </w:rPr>
        <w:t>) from and against all Losses that the Seller Indemnified Parties incur arising from or out of or related to:</w:t>
      </w:r>
    </w:p>
    <w:p>
      <w:pPr>
        <w:pStyle w:val="Heading3"/>
        <w:spacing w:before="0" w:after="0"/>
        <w:ind w:left="0" w:right="0" w:hanging="0"/>
        <w:jc w:val="left"/>
        <w:rPr/>
      </w:pPr>
      <w:r>
        <w:rPr/>
        <w:t> </w:t>
      </w:r>
    </w:p>
    <w:p>
      <w:pPr>
        <w:pStyle w:val="Heading4"/>
        <w:spacing w:before="0" w:after="0"/>
        <w:ind w:left="0" w:right="0" w:hanging="0"/>
        <w:jc w:val="left"/>
        <w:rPr>
          <w:rFonts w:ascii="Times New Roman" w:hAnsi="Times New Roman"/>
          <w:b w:val="false"/>
          <w:sz w:val="17"/>
        </w:rPr>
      </w:pPr>
      <w:r>
        <w:rPr>
          <w:rFonts w:ascii="Times New Roman" w:hAnsi="Times New Roman"/>
          <w:b w:val="false"/>
          <w:sz w:val="17"/>
        </w:rPr>
        <w:t xml:space="preserve">(i)                                     the businesses and operations of the Company or any Subsidiary (other than with respect to (x) any continuing commercial relationships between Seller and/or any of its Affiliates and the Company or any Subsidiary, whether entered into before or after the Closing and (y) any guarantee, letter of credit, bond, surety or other credit support or assurance provided by Seller or its Affiliates in support of obligations of the Company or any Subsidiary; </w:t>
      </w:r>
      <w:r>
        <w:rPr>
          <w:rFonts w:ascii="Times New Roman" w:hAnsi="Times New Roman"/>
          <w:b w:val="false"/>
          <w:sz w:val="17"/>
          <w:u w:val="single"/>
        </w:rPr>
        <w:t>provided</w:t>
      </w:r>
      <w:r>
        <w:rPr>
          <w:rFonts w:ascii="Times New Roman" w:hAnsi="Times New Roman"/>
          <w:b w:val="false"/>
          <w:sz w:val="17"/>
        </w:rPr>
        <w:t xml:space="preserve"> that nothing in this clause (y) shall in any way limit or otherwise affect Buyers obligation to indemnify and hold harmless the Seller Indemnified Parties under </w:t>
      </w:r>
      <w:r>
        <w:rPr>
          <w:rFonts w:ascii="Times New Roman" w:hAnsi="Times New Roman"/>
          <w:b w:val="false"/>
          <w:sz w:val="17"/>
          <w:u w:val="single"/>
        </w:rPr>
        <w:t>Section 9.2(b)(iv)</w:t>
      </w:r>
      <w:r>
        <w:rPr>
          <w:rFonts w:ascii="Times New Roman" w:hAnsi="Times New Roman"/>
          <w:b w:val="false"/>
          <w:sz w:val="17"/>
        </w:rPr>
        <w:t xml:space="preserve">) relating solely to periods after the Closing Date to the extent such Losses are not subject to the provisions of </w:t>
      </w:r>
      <w:r>
        <w:rPr>
          <w:rFonts w:ascii="Times New Roman" w:hAnsi="Times New Roman"/>
          <w:b w:val="false"/>
          <w:sz w:val="17"/>
          <w:u w:val="single"/>
        </w:rPr>
        <w:t>Section 9.2(a) </w:t>
      </w:r>
      <w:r>
        <w:rPr>
          <w:rFonts w:ascii="Times New Roman" w:hAnsi="Times New Roman"/>
          <w:b w:val="false"/>
          <w:sz w:val="17"/>
        </w:rPr>
        <w:t>hereto;</w:t>
      </w:r>
    </w:p>
    <w:p>
      <w:pPr>
        <w:pStyle w:val="Heading4"/>
        <w:spacing w:before="0" w:after="0"/>
        <w:ind w:left="0" w:right="0" w:hanging="0"/>
        <w:jc w:val="left"/>
        <w:rPr/>
      </w:pPr>
      <w:r>
        <w:rPr/>
        <w:t> </w:t>
      </w:r>
    </w:p>
    <w:p>
      <w:pPr>
        <w:pStyle w:val="Heading4"/>
        <w:spacing w:before="0" w:after="0"/>
        <w:ind w:left="0" w:right="0" w:hanging="0"/>
        <w:jc w:val="left"/>
        <w:rPr>
          <w:rFonts w:ascii="Times New Roman" w:hAnsi="Times New Roman"/>
          <w:b w:val="false"/>
          <w:sz w:val="17"/>
        </w:rPr>
      </w:pPr>
      <w:r>
        <w:rPr>
          <w:rFonts w:ascii="Times New Roman" w:hAnsi="Times New Roman"/>
          <w:b w:val="false"/>
          <w:sz w:val="17"/>
        </w:rPr>
        <w:t>(ii)                                  any inaccuracy or breach of any representation or warranty of Buyer in this Agreement or in any certificate delivered pursuant to this Agreement;</w:t>
      </w:r>
    </w:p>
    <w:p>
      <w:pPr>
        <w:pStyle w:val="Heading4"/>
        <w:spacing w:before="0" w:after="0"/>
        <w:ind w:left="0" w:right="0" w:hanging="0"/>
        <w:jc w:val="left"/>
        <w:rPr/>
      </w:pPr>
      <w:r>
        <w:rPr/>
        <w:t> </w:t>
      </w:r>
    </w:p>
    <w:p>
      <w:pPr>
        <w:pStyle w:val="Heading4"/>
        <w:spacing w:before="0" w:after="0"/>
        <w:ind w:left="0" w:right="0" w:hanging="0"/>
        <w:jc w:val="left"/>
        <w:rPr>
          <w:rFonts w:ascii="Times New Roman" w:hAnsi="Times New Roman"/>
          <w:b w:val="false"/>
          <w:sz w:val="17"/>
        </w:rPr>
      </w:pPr>
      <w:r>
        <w:rPr>
          <w:rFonts w:ascii="Times New Roman" w:hAnsi="Times New Roman"/>
          <w:b w:val="false"/>
          <w:sz w:val="17"/>
        </w:rPr>
        <w:t>(iii)                               any breach of any covenant or agreement of Buyer contained in this Agreement; and</w:t>
      </w:r>
    </w:p>
    <w:p>
      <w:pPr>
        <w:pStyle w:val="Heading4"/>
        <w:spacing w:before="0" w:after="0"/>
        <w:ind w:left="0" w:right="0" w:hanging="0"/>
        <w:jc w:val="left"/>
        <w:rPr/>
      </w:pPr>
      <w:r>
        <w:rPr/>
        <w:t> </w:t>
      </w:r>
    </w:p>
    <w:p>
      <w:pPr>
        <w:pStyle w:val="Heading4"/>
        <w:spacing w:before="0" w:after="0"/>
        <w:ind w:left="0" w:right="0" w:hanging="0"/>
        <w:jc w:val="left"/>
        <w:rPr>
          <w:rFonts w:ascii="Times New Roman" w:hAnsi="Times New Roman"/>
          <w:b w:val="false"/>
          <w:sz w:val="17"/>
        </w:rPr>
      </w:pPr>
      <w:r>
        <w:rPr>
          <w:rFonts w:ascii="Times New Roman" w:hAnsi="Times New Roman"/>
          <w:b w:val="false"/>
          <w:sz w:val="17"/>
        </w:rPr>
        <w:t xml:space="preserve">(iv)                              any Company Guarantee to the extent related to any failure of the Company or any Subsidiary to perform any obligation (other than any indemnification obligation to the extent such indemnification obligation relates to any circumstance, event, condition, act or omission that occurred or existed prior to the Closing) arising after the Closing Date and guaranteed by such Company Guarantee, to the extent such Losses are not subject to </w:t>
      </w:r>
      <w:r>
        <w:rPr>
          <w:rFonts w:ascii="Times New Roman" w:hAnsi="Times New Roman"/>
          <w:b w:val="false"/>
          <w:sz w:val="17"/>
          <w:u w:val="single"/>
        </w:rPr>
        <w:t>Section 9.2(a) </w:t>
      </w:r>
      <w:r>
        <w:rPr>
          <w:rFonts w:ascii="Times New Roman" w:hAnsi="Times New Roman"/>
          <w:b w:val="false"/>
          <w:sz w:val="17"/>
        </w:rPr>
        <w:t>(other than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69</w:t>
      </w:r>
    </w:p>
    <w:p>
      <w:pPr>
        <w:pStyle w:val="HorizontalLine"/>
        <w:pBdr>
          <w:bottom w:val="single" w:sz="12" w:space="0" w:color="808080"/>
        </w:pBdr>
        <w:spacing w:before="0" w:after="0"/>
        <w:jc w:val="left"/>
        <w:rPr/>
      </w:pPr>
      <w:r>
        <w:rPr/>
      </w:r>
      <w:r>
        <w:br w:type="page"/>
      </w:r>
    </w:p>
    <w:p>
      <w:pPr>
        <w:pStyle w:val="TextBody"/>
        <w:spacing w:before="0" w:after="0"/>
        <w:ind w:left="0" w:right="0" w:hanging="0"/>
        <w:jc w:val="center"/>
        <w:rPr/>
      </w:pPr>
      <w:r>
        <w:rPr/>
        <w:t> </w:t>
      </w:r>
    </w:p>
    <w:p>
      <w:pPr>
        <w:pStyle w:val="Heading4"/>
        <w:spacing w:before="0" w:after="0"/>
        <w:ind w:left="0" w:right="0" w:hanging="0"/>
        <w:jc w:val="left"/>
        <w:rPr>
          <w:rFonts w:ascii="Times New Roman" w:hAnsi="Times New Roman"/>
          <w:b w:val="false"/>
          <w:sz w:val="17"/>
        </w:rPr>
      </w:pPr>
      <w:r>
        <w:rPr>
          <w:rFonts w:ascii="Times New Roman" w:hAnsi="Times New Roman"/>
          <w:b w:val="false"/>
          <w:sz w:val="17"/>
          <w:u w:val="single"/>
        </w:rPr>
        <w:t>Section 9.2(a)(vii)</w:t>
      </w:r>
      <w:r>
        <w:rPr>
          <w:rFonts w:ascii="Times New Roman" w:hAnsi="Times New Roman"/>
          <w:b w:val="false"/>
          <w:sz w:val="17"/>
        </w:rPr>
        <w:t xml:space="preserve">); </w:t>
      </w:r>
      <w:r>
        <w:rPr>
          <w:rFonts w:ascii="Times New Roman" w:hAnsi="Times New Roman"/>
          <w:b w:val="false"/>
          <w:sz w:val="17"/>
          <w:u w:val="single"/>
        </w:rPr>
        <w:t>provided</w:t>
      </w:r>
      <w:r>
        <w:rPr>
          <w:rFonts w:ascii="Times New Roman" w:hAnsi="Times New Roman"/>
          <w:b w:val="false"/>
          <w:sz w:val="17"/>
        </w:rPr>
        <w:t xml:space="preserve"> that with respect to a particular Company Guarantee, Buyers aggregate liability shall not exceed the </w:t>
      </w:r>
      <w:r>
        <w:rPr>
          <w:rFonts w:ascii="Times New Roman" w:hAnsi="Times New Roman"/>
          <w:b w:val="false"/>
          <w:sz w:val="17"/>
          <w:u w:val="single"/>
        </w:rPr>
        <w:t>Company Guarantee Amount</w:t>
      </w:r>
      <w:r>
        <w:rPr>
          <w:rFonts w:ascii="Times New Roman" w:hAnsi="Times New Roman"/>
          <w:b w:val="false"/>
          <w:sz w:val="17"/>
        </w:rPr>
        <w:t xml:space="preserve"> with respect to such Company Guarantee, determined in accordance with </w:t>
      </w:r>
      <w:r>
        <w:rPr>
          <w:rFonts w:ascii="Times New Roman" w:hAnsi="Times New Roman"/>
          <w:b w:val="false"/>
          <w:sz w:val="17"/>
          <w:u w:val="single"/>
        </w:rPr>
        <w:t>Schedule 6.6(a)</w:t>
      </w:r>
      <w:r>
        <w:rPr>
          <w:rFonts w:ascii="Times New Roman" w:hAnsi="Times New Roman"/>
          <w:b w:val="false"/>
          <w:sz w:val="17"/>
        </w:rPr>
        <w:t xml:space="preserve">, as amended in accordance with </w:t>
      </w:r>
      <w:r>
        <w:rPr>
          <w:rFonts w:ascii="Times New Roman" w:hAnsi="Times New Roman"/>
          <w:b w:val="false"/>
          <w:sz w:val="17"/>
          <w:u w:val="single"/>
        </w:rPr>
        <w:t>Section 6.6(a)</w:t>
      </w:r>
      <w:r>
        <w:rPr>
          <w:rFonts w:ascii="Times New Roman" w:hAnsi="Times New Roman"/>
          <w:b w:val="false"/>
          <w:sz w:val="17"/>
        </w:rPr>
        <w:t>, with respect to such Company Guarantee.</w:t>
      </w:r>
    </w:p>
    <w:p>
      <w:pPr>
        <w:pStyle w:val="Heading4"/>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 xml:space="preserve">(c)                                  Notwithstanding anything in this Agreement to the contrary, for purposes of this </w:t>
      </w:r>
      <w:r>
        <w:rPr>
          <w:rFonts w:ascii="Times New Roman" w:hAnsi="Times New Roman"/>
          <w:b w:val="false"/>
          <w:sz w:val="17"/>
          <w:u w:val="single"/>
        </w:rPr>
        <w:t>Section 9.2</w:t>
      </w:r>
      <w:r>
        <w:rPr>
          <w:rFonts w:ascii="Times New Roman" w:hAnsi="Times New Roman"/>
          <w:b w:val="false"/>
          <w:sz w:val="17"/>
        </w:rPr>
        <w:t xml:space="preserve">, (x) a breach of a representation or warranty  shall be deemed to exist either if such representation or warranty is actually inaccurate or breached or (other than a breach of a representation or warranty under </w:t>
      </w:r>
      <w:r>
        <w:rPr>
          <w:rFonts w:ascii="Times New Roman" w:hAnsi="Times New Roman"/>
          <w:b w:val="false"/>
          <w:sz w:val="17"/>
          <w:u w:val="single"/>
        </w:rPr>
        <w:t>Section 4.6(a)</w:t>
      </w:r>
      <w:r>
        <w:rPr>
          <w:rFonts w:ascii="Times New Roman" w:hAnsi="Times New Roman"/>
          <w:b w:val="false"/>
          <w:sz w:val="17"/>
        </w:rPr>
        <w:t>) would have been inaccurate or breached if such representation or warranty had not contained any limitation or qualification as to materiality, Material Adverse Effect (which instead will be read as any adverse effect or change) or similar language, and (y) the amount of Losses in respect of any breach of a representation or warranty, including any deemed breach resulting from the application of clause (x), shall be determined without regard to any limitation or qualification as to materiality, Material Adverse Effect (which instead will be read as any adverse effect or change) or similar language set forth in such representation or warranty.</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(d)                                 For the purposes of calculating the amount of any Loss for which a Buyer Indemnified Party claims indemnification under this Agreement, the amount of each Loss shall be deemed to be an amount (A) net of any insurance proceeds and any indemnity, contribution or other similar payment received from any insurer or other third party with respect thereto, and (B) net of any reserves provided for the situation in question that are reflected in a reduction of Net Working Capital.  Buyer shall use commercially reasonable efforts to commence legal or other proceedings to collect indemnity, contribution or other payments from any such insurer or other third party.  The costs and expenses (including reasonable fees and disbursements of counsel) reasonably incurred by the Buyer Indemnified Parties in pursuing any insurance proceeds or indemnity, contribution or other similar payment from any insurer or other third party under clause (A) above shall constitute additional Losses with respect to the matter for which indemnification may be sought hereunder, except to the extent such costs and expenses are paid or reimbursed by such insurer or other third party.</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 xml:space="preserve">(e)                                  Subject to clause (d) above and except as otherwise provided in </w:t>
      </w:r>
      <w:r>
        <w:rPr>
          <w:rFonts w:ascii="Times New Roman" w:hAnsi="Times New Roman"/>
          <w:b w:val="false"/>
          <w:sz w:val="17"/>
          <w:u w:val="single"/>
        </w:rPr>
        <w:t>Article VII</w:t>
      </w:r>
      <w:r>
        <w:rPr>
          <w:rFonts w:ascii="Times New Roman" w:hAnsi="Times New Roman"/>
          <w:b w:val="false"/>
          <w:sz w:val="17"/>
        </w:rPr>
        <w:t>, the Parties shall have a duty to use commercially reasonable efforts to mitigate any Loss arising out of or relating to this Agreement or the transactions contemplated hereby.</w:t>
      </w:r>
    </w:p>
    <w:p>
      <w:pPr>
        <w:pStyle w:val="Heading3"/>
        <w:spacing w:before="0" w:after="0"/>
        <w:ind w:left="0" w:right="0" w:hanging="0"/>
        <w:jc w:val="left"/>
        <w:rPr/>
      </w:pPr>
      <w:r>
        <w:rPr/>
        <w:t> </w:t>
      </w:r>
    </w:p>
    <w:p>
      <w:pPr>
        <w:pStyle w:val="Heading2"/>
        <w:spacing w:before="0" w:after="0"/>
        <w:ind w:left="0" w:right="0" w:hanging="0"/>
        <w:jc w:val="left"/>
        <w:rPr>
          <w:rFonts w:ascii="Times New Roman" w:hAnsi="Times New Roman"/>
          <w:b w:val="false"/>
          <w:sz w:val="17"/>
        </w:rPr>
      </w:pPr>
      <w:bookmarkStart w:id="213" w:name="Section9_3_234559"/>
      <w:bookmarkEnd w:id="213"/>
      <w:r>
        <w:rPr>
          <w:rFonts w:ascii="Times New Roman" w:hAnsi="Times New Roman"/>
          <w:b w:val="false"/>
          <w:sz w:val="17"/>
        </w:rPr>
        <w:t xml:space="preserve">Section 9.3                                      </w:t>
      </w:r>
      <w:r>
        <w:rPr>
          <w:rFonts w:ascii="Times New Roman" w:hAnsi="Times New Roman"/>
          <w:b w:val="false"/>
          <w:sz w:val="17"/>
          <w:u w:val="single"/>
        </w:rPr>
        <w:t>Indemnification Procedure</w:t>
      </w:r>
      <w:r>
        <w:rPr>
          <w:rFonts w:ascii="Times New Roman" w:hAnsi="Times New Roman"/>
          <w:b w:val="false"/>
          <w:sz w:val="17"/>
        </w:rPr>
        <w:t xml:space="preserve">.  Claims for indemnification under this Agreement (other than claims involving Tax matters, the procedures for which are set forth in </w:t>
      </w:r>
      <w:r>
        <w:rPr>
          <w:rFonts w:ascii="Times New Roman" w:hAnsi="Times New Roman"/>
          <w:b w:val="false"/>
          <w:sz w:val="17"/>
          <w:u w:val="single"/>
        </w:rPr>
        <w:t>Article VII</w:t>
      </w:r>
      <w:r>
        <w:rPr>
          <w:rFonts w:ascii="Times New Roman" w:hAnsi="Times New Roman"/>
          <w:b w:val="false"/>
          <w:sz w:val="17"/>
        </w:rPr>
        <w:t>) shall be asserted and resolved as follows:</w:t>
      </w:r>
    </w:p>
    <w:p>
      <w:pPr>
        <w:pStyle w:val="Heading2"/>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(a)                                  Any Buyer Indemnified Party or Seller Indemnified Party claiming indemnification under this Agreement (an </w:t>
      </w:r>
      <w:r>
        <w:rPr>
          <w:rFonts w:ascii="Times New Roman" w:hAnsi="Times New Roman"/>
          <w:b w:val="false"/>
          <w:sz w:val="17"/>
          <w:u w:val="single"/>
        </w:rPr>
        <w:t>Indemnified Party</w:t>
      </w:r>
      <w:r>
        <w:rPr>
          <w:rFonts w:ascii="Times New Roman" w:hAnsi="Times New Roman"/>
          <w:b w:val="false"/>
          <w:sz w:val="17"/>
        </w:rPr>
        <w:t>) with respect to any claim asserted against the Indemnified Party by a third party (a </w:t>
      </w:r>
      <w:r>
        <w:rPr>
          <w:rFonts w:ascii="Times New Roman" w:hAnsi="Times New Roman"/>
          <w:b w:val="false"/>
          <w:sz w:val="17"/>
          <w:u w:val="single"/>
        </w:rPr>
        <w:t>Third-Party Claim</w:t>
      </w:r>
      <w:r>
        <w:rPr>
          <w:rFonts w:ascii="Times New Roman" w:hAnsi="Times New Roman"/>
          <w:b w:val="false"/>
          <w:sz w:val="17"/>
        </w:rPr>
        <w:t xml:space="preserve">) in respect of any matter that is subject to indemnification under </w:t>
      </w:r>
      <w:r>
        <w:rPr>
          <w:rFonts w:ascii="Times New Roman" w:hAnsi="Times New Roman"/>
          <w:b w:val="false"/>
          <w:sz w:val="17"/>
          <w:u w:val="single"/>
        </w:rPr>
        <w:t>Section 9.2</w:t>
      </w:r>
      <w:r>
        <w:rPr>
          <w:rFonts w:ascii="Times New Roman" w:hAnsi="Times New Roman"/>
          <w:b w:val="false"/>
          <w:sz w:val="17"/>
        </w:rPr>
        <w:t xml:space="preserve"> shall promptly (i) notify</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70</w:t>
      </w:r>
    </w:p>
    <w:p>
      <w:pPr>
        <w:pStyle w:val="HorizontalLine"/>
        <w:pBdr>
          <w:bottom w:val="single" w:sz="12" w:space="0" w:color="808080"/>
        </w:pBdr>
        <w:spacing w:before="0" w:after="0"/>
        <w:jc w:val="left"/>
        <w:rPr/>
      </w:pPr>
      <w:r>
        <w:rPr/>
      </w:r>
      <w:r>
        <w:br w:type="page"/>
      </w:r>
    </w:p>
    <w:p>
      <w:pPr>
        <w:pStyle w:val="TextBody"/>
        <w:spacing w:before="0" w:after="0"/>
        <w:ind w:left="0" w:right="0" w:hanging="0"/>
        <w:jc w:val="center"/>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the other Party (the </w:t>
      </w:r>
      <w:r>
        <w:rPr>
          <w:rFonts w:ascii="Times New Roman" w:hAnsi="Times New Roman"/>
          <w:sz w:val="17"/>
          <w:u w:val="single"/>
        </w:rPr>
        <w:t>Indemnifying Party</w:t>
      </w:r>
      <w:r>
        <w:rPr>
          <w:rFonts w:ascii="Times New Roman" w:hAnsi="Times New Roman"/>
          <w:sz w:val="17"/>
        </w:rPr>
        <w:t>) of the Third-Party Claim and (ii) transmit to the Indemnifying Party a written notice (a </w:t>
      </w:r>
      <w:r>
        <w:rPr>
          <w:rFonts w:ascii="Times New Roman" w:hAnsi="Times New Roman"/>
          <w:sz w:val="17"/>
          <w:u w:val="single"/>
        </w:rPr>
        <w:t>Claim Notice</w:t>
      </w:r>
      <w:r>
        <w:rPr>
          <w:rFonts w:ascii="Times New Roman" w:hAnsi="Times New Roman"/>
          <w:sz w:val="17"/>
        </w:rPr>
        <w:t xml:space="preserve">) describing in reasonable detail the nature of the Third-Party Claim, a copy of all papers served with respect to such claim (if any), the Indemnified Partys best estimate of the amount of Losses attributable to the Third-Party Claim and the basis of the Indemnified Partys request for indemnification under this Agreement.  Failure to timely provide such Claim Notice shall not affect the right of the Indemnified Partys indemnification hereunder, except to the extent the Indemnifying Party is materially prejudiced by such delay or omission, subject to </w:t>
      </w:r>
      <w:r>
        <w:rPr>
          <w:rFonts w:ascii="Times New Roman" w:hAnsi="Times New Roman"/>
          <w:sz w:val="17"/>
          <w:u w:val="single"/>
        </w:rPr>
        <w:t>Section 9.1(c)</w:t>
      </w:r>
      <w:r>
        <w:rPr>
          <w:rFonts w:ascii="Times New Roman" w:hAnsi="Times New Roman"/>
          <w:sz w:val="17"/>
        </w:rPr>
        <w:t>.</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 xml:space="preserve">(b)                                 The Indemnifying Party shall have the right to defend the Indemnified Party against such Third-Party Claim.  If the Indemnifying Party notifies the Indemnified Party that the Indemnifying Party elects to assume the defense of the Third-Party Claim (such election to be without prejudice to the right of the Indemnifying Party to dispute whether such claim is an indemnifiable Loss under this </w:t>
      </w:r>
      <w:r>
        <w:rPr>
          <w:rFonts w:ascii="Times New Roman" w:hAnsi="Times New Roman"/>
          <w:b w:val="false"/>
          <w:sz w:val="17"/>
          <w:u w:val="single"/>
        </w:rPr>
        <w:t>Article IX</w:t>
      </w:r>
      <w:r>
        <w:rPr>
          <w:rFonts w:ascii="Times New Roman" w:hAnsi="Times New Roman"/>
          <w:b w:val="false"/>
          <w:sz w:val="17"/>
        </w:rPr>
        <w:t xml:space="preserve">), then the Indemnifying Party shall have the right to defend such Third-Party Claim with counsel selected by the Indemnifying Party (who shall be reasonably satisfactory to the Indemnified Party), by all appropriate proceedings, to a final conclusion or settlement at the discretion of the Indemnifying Party in accordance with this </w:t>
      </w:r>
      <w:r>
        <w:rPr>
          <w:rFonts w:ascii="Times New Roman" w:hAnsi="Times New Roman"/>
          <w:b w:val="false"/>
          <w:sz w:val="17"/>
          <w:u w:val="single"/>
        </w:rPr>
        <w:t>Section 9.3(b)</w:t>
      </w:r>
      <w:r>
        <w:rPr>
          <w:rFonts w:ascii="Times New Roman" w:hAnsi="Times New Roman"/>
          <w:b w:val="false"/>
          <w:sz w:val="17"/>
        </w:rPr>
        <w:t xml:space="preserve">.  In such circumstances, the Indemnifying Party shall defend any such Third-Party Claim in good faith and have full control of such defense and proceedings, including any compromise or settlement thereof; </w:t>
      </w:r>
      <w:r>
        <w:rPr>
          <w:rFonts w:ascii="Times New Roman" w:hAnsi="Times New Roman"/>
          <w:b w:val="false"/>
          <w:sz w:val="17"/>
          <w:u w:val="single"/>
        </w:rPr>
        <w:t>provided</w:t>
      </w:r>
      <w:r>
        <w:rPr>
          <w:rFonts w:ascii="Times New Roman" w:hAnsi="Times New Roman"/>
          <w:b w:val="false"/>
          <w:sz w:val="17"/>
        </w:rPr>
        <w:t xml:space="preserve"> that the Indemnifying Party shall not enter into any settlement agreement without the written consent of the Indemnified Party (which consent shall not be unreasonably withheld, conditioned or delayed); </w:t>
      </w:r>
      <w:r>
        <w:rPr>
          <w:rFonts w:ascii="Times New Roman" w:hAnsi="Times New Roman"/>
          <w:b w:val="false"/>
          <w:sz w:val="17"/>
          <w:u w:val="single"/>
        </w:rPr>
        <w:t>provided</w:t>
      </w:r>
      <w:r>
        <w:rPr>
          <w:rFonts w:ascii="Times New Roman" w:hAnsi="Times New Roman"/>
          <w:b w:val="false"/>
          <w:sz w:val="17"/>
        </w:rPr>
        <w:t xml:space="preserve">, </w:t>
      </w:r>
      <w:r>
        <w:rPr>
          <w:rFonts w:ascii="Times New Roman" w:hAnsi="Times New Roman"/>
          <w:b w:val="false"/>
          <w:sz w:val="17"/>
          <w:u w:val="single"/>
        </w:rPr>
        <w:t>further</w:t>
      </w:r>
      <w:r>
        <w:rPr>
          <w:rFonts w:ascii="Times New Roman" w:hAnsi="Times New Roman"/>
          <w:b w:val="false"/>
          <w:sz w:val="17"/>
        </w:rPr>
        <w:t xml:space="preserve">, that such consent shall not be required if (i) the settlement agreement contains a complete and unconditional general release by the third party asserting the claim to all Indemnified Parties affected by the claim and (ii) the settlement agreement does not contain any sanction or restriction upon the conduct of any business by the Indemnified Party or its Affiliates.  Upon the request of the Indemnifying Party, the Indemnified Party shall, at the sole cost and expense of the Indemnifying Party, cooperate with the Indemnifying Party and its counsel in contesting any Third-Party Claim which the Indemnifying Party elects to contest, including the making of any related counterclaim against the Person asserting the Third-Party Claim or any cross complaint against any Person.  The Indemnified Party may participate in, but not control, any defense or settlement of any Third-Party Claim controlled by the Indemnifying Party pursuant to this </w:t>
      </w:r>
      <w:r>
        <w:rPr>
          <w:rFonts w:ascii="Times New Roman" w:hAnsi="Times New Roman"/>
          <w:b w:val="false"/>
          <w:sz w:val="17"/>
          <w:u w:val="single"/>
        </w:rPr>
        <w:t>Section 9.3(b)</w:t>
      </w:r>
      <w:r>
        <w:rPr>
          <w:rFonts w:ascii="Times New Roman" w:hAnsi="Times New Roman"/>
          <w:b w:val="false"/>
          <w:sz w:val="17"/>
        </w:rPr>
        <w:t>, and the Indemnified Party shall bear its own costs and expenses with respect to such participation.</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 xml:space="preserve">(c)                                  If the Indemnifying Party shall (A) fail to notify the Indemnified Party that the Indemnifying Party elects to defend the Indemnified Party pursuant to </w:t>
      </w:r>
      <w:r>
        <w:rPr>
          <w:rFonts w:ascii="Times New Roman" w:hAnsi="Times New Roman"/>
          <w:b w:val="false"/>
          <w:sz w:val="17"/>
          <w:u w:val="single"/>
        </w:rPr>
        <w:t>Section 9.3(b) </w:t>
      </w:r>
      <w:r>
        <w:rPr>
          <w:rFonts w:ascii="Times New Roman" w:hAnsi="Times New Roman"/>
          <w:b w:val="false"/>
          <w:sz w:val="17"/>
        </w:rPr>
        <w:t>within ten (10) Business Days after receipt of any Claim Notice, or (B) after commencing or undertaking any such defense or settlement, fail to prosecute or withdraw from such defense or settlement, then the Indemnified Party shall have the right to defend, and be reimbursed for its reasonable cost and expense (but only if the Indemnified Party is actually entitled to indemnification hereunder) in regard to the Third-Party Claim with counsel selected by the Indemnified Party (who shall be reasonably satisfactory to the Indemnifying Party), by all appropriate proceedings, which</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71</w:t>
      </w:r>
    </w:p>
    <w:p>
      <w:pPr>
        <w:pStyle w:val="HorizontalLine"/>
        <w:pBdr>
          <w:bottom w:val="single" w:sz="12" w:space="0" w:color="808080"/>
        </w:pBdr>
        <w:spacing w:before="0" w:after="0"/>
        <w:jc w:val="left"/>
        <w:rPr/>
      </w:pPr>
      <w:r>
        <w:rPr/>
      </w:r>
      <w:r>
        <w:br w:type="page"/>
      </w:r>
    </w:p>
    <w:p>
      <w:pPr>
        <w:pStyle w:val="TextBody"/>
        <w:spacing w:before="0" w:after="0"/>
        <w:ind w:left="0" w:right="0" w:hanging="0"/>
        <w:jc w:val="center"/>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 xml:space="preserve">proceedings shall be prosecuted diligently by the Indemnified Party.  In such circumstances, the Indemnified Party shall defend any such Third-Party Claim in good faith and have full control of such defense and proceedings; </w:t>
      </w:r>
      <w:r>
        <w:rPr>
          <w:rFonts w:ascii="Times New Roman" w:hAnsi="Times New Roman"/>
          <w:sz w:val="17"/>
          <w:u w:val="single"/>
        </w:rPr>
        <w:t>provided</w:t>
      </w:r>
      <w:r>
        <w:rPr>
          <w:rFonts w:ascii="Times New Roman" w:hAnsi="Times New Roman"/>
          <w:sz w:val="17"/>
        </w:rPr>
        <w:t xml:space="preserve"> that the Indemnified Party may not enter into any compromise or settlement of such Third-Party Claim if indemnification is to be sought hereunder, without the Indemnifying Partys consent (which consent shall not be unreasonably withheld, conditioned or delayed).  The Indemnifying Party may participate in, but not control, any defense or settlement controlled by the Indemnified Party pursuant to this </w:t>
      </w:r>
      <w:r>
        <w:rPr>
          <w:rFonts w:ascii="Times New Roman" w:hAnsi="Times New Roman"/>
          <w:sz w:val="17"/>
          <w:u w:val="single"/>
        </w:rPr>
        <w:t>Section 9.3(c)</w:t>
      </w:r>
      <w:r>
        <w:rPr>
          <w:rFonts w:ascii="Times New Roman" w:hAnsi="Times New Roman"/>
          <w:sz w:val="17"/>
        </w:rPr>
        <w:t>, and the Indemnifying Party shall bear its own costs and expenses with respect to such participation.</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 xml:space="preserve">(d)                                 Subject to the other provisions of this </w:t>
      </w:r>
      <w:r>
        <w:rPr>
          <w:rFonts w:ascii="Times New Roman" w:hAnsi="Times New Roman"/>
          <w:b w:val="false"/>
          <w:sz w:val="17"/>
          <w:u w:val="single"/>
        </w:rPr>
        <w:t>Article IX</w:t>
      </w:r>
      <w:r>
        <w:rPr>
          <w:rFonts w:ascii="Times New Roman" w:hAnsi="Times New Roman"/>
          <w:b w:val="false"/>
          <w:sz w:val="17"/>
        </w:rPr>
        <w:t>, a claim for indemnification for any matter not involving a Third-Party Claim may be asserted by notice to the Party from whom indemnification is sought, which notice shall set forth the basis of such claim in reasonable detail and be accompanied by evidence supporting the assertion of such claim.</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 xml:space="preserve">(e)                                  Notwithstanding anything to the contrary in this </w:t>
      </w:r>
      <w:r>
        <w:rPr>
          <w:rFonts w:ascii="Times New Roman" w:hAnsi="Times New Roman"/>
          <w:b w:val="false"/>
          <w:sz w:val="17"/>
          <w:u w:val="single"/>
        </w:rPr>
        <w:t>Section 9.3</w:t>
      </w:r>
      <w:r>
        <w:rPr>
          <w:rFonts w:ascii="Times New Roman" w:hAnsi="Times New Roman"/>
          <w:b w:val="false"/>
          <w:sz w:val="17"/>
        </w:rPr>
        <w:t xml:space="preserve">, the indemnification procedures set forth in </w:t>
      </w:r>
      <w:r>
        <w:rPr>
          <w:rFonts w:ascii="Times New Roman" w:hAnsi="Times New Roman"/>
          <w:b w:val="false"/>
          <w:sz w:val="17"/>
          <w:u w:val="single"/>
        </w:rPr>
        <w:t>Article VII</w:t>
      </w:r>
      <w:r>
        <w:rPr>
          <w:rFonts w:ascii="Times New Roman" w:hAnsi="Times New Roman"/>
          <w:b w:val="false"/>
          <w:sz w:val="17"/>
        </w:rPr>
        <w:t xml:space="preserve"> shall control any indemnities relating to Tax matters.</w:t>
      </w:r>
    </w:p>
    <w:p>
      <w:pPr>
        <w:pStyle w:val="Heading3"/>
        <w:spacing w:before="0" w:after="0"/>
        <w:ind w:left="0" w:right="0" w:hanging="0"/>
        <w:jc w:val="left"/>
        <w:rPr/>
      </w:pPr>
      <w:r>
        <w:rPr/>
        <w:t> </w:t>
      </w:r>
    </w:p>
    <w:p>
      <w:pPr>
        <w:pStyle w:val="Heading2"/>
        <w:spacing w:before="0" w:after="0"/>
        <w:ind w:left="0" w:right="0" w:hanging="0"/>
        <w:jc w:val="left"/>
        <w:rPr>
          <w:rFonts w:ascii="Times New Roman" w:hAnsi="Times New Roman"/>
          <w:b w:val="false"/>
          <w:sz w:val="17"/>
        </w:rPr>
      </w:pPr>
      <w:bookmarkStart w:id="214" w:name="Section9_4_234604"/>
      <w:bookmarkEnd w:id="214"/>
      <w:r>
        <w:rPr>
          <w:rFonts w:ascii="Times New Roman" w:hAnsi="Times New Roman"/>
          <w:b w:val="false"/>
          <w:sz w:val="17"/>
        </w:rPr>
        <w:t xml:space="preserve">Section 9.4                                      </w:t>
      </w:r>
      <w:r>
        <w:rPr>
          <w:rFonts w:ascii="Times New Roman" w:hAnsi="Times New Roman"/>
          <w:b w:val="false"/>
          <w:sz w:val="17"/>
          <w:u w:val="single"/>
        </w:rPr>
        <w:t>Limitations on Liability of Seller</w:t>
      </w:r>
      <w:r>
        <w:rPr>
          <w:rFonts w:ascii="Times New Roman" w:hAnsi="Times New Roman"/>
          <w:b w:val="false"/>
          <w:sz w:val="17"/>
        </w:rPr>
        <w:t>.  Notwithstanding anything to the contrary herein:</w:t>
      </w:r>
    </w:p>
    <w:p>
      <w:pPr>
        <w:pStyle w:val="Heading2"/>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 xml:space="preserve">(a)                                  any single item or group of related items that results in Losses of any Buyer Indemnified Party in an aggregate amount less than Fifty Thousand Dollars ($50,000) shall be deemed, for all purposes of this </w:t>
      </w:r>
      <w:r>
        <w:rPr>
          <w:rFonts w:ascii="Times New Roman" w:hAnsi="Times New Roman"/>
          <w:b w:val="false"/>
          <w:sz w:val="17"/>
          <w:u w:val="single"/>
        </w:rPr>
        <w:t>Article IX</w:t>
      </w:r>
      <w:r>
        <w:rPr>
          <w:rFonts w:ascii="Times New Roman" w:hAnsi="Times New Roman"/>
          <w:b w:val="false"/>
          <w:sz w:val="17"/>
        </w:rPr>
        <w:t xml:space="preserve"> (other than claims under </w:t>
      </w:r>
      <w:r>
        <w:rPr>
          <w:rFonts w:ascii="Times New Roman" w:hAnsi="Times New Roman"/>
          <w:b w:val="false"/>
          <w:sz w:val="17"/>
          <w:u w:val="single"/>
        </w:rPr>
        <w:t>Section 9.2(a)(i) </w:t>
      </w:r>
      <w:r>
        <w:rPr>
          <w:rFonts w:ascii="Times New Roman" w:hAnsi="Times New Roman"/>
          <w:b w:val="false"/>
          <w:sz w:val="17"/>
        </w:rPr>
        <w:t xml:space="preserve">or </w:t>
      </w:r>
      <w:r>
        <w:rPr>
          <w:rFonts w:ascii="Times New Roman" w:hAnsi="Times New Roman"/>
          <w:b w:val="false"/>
          <w:sz w:val="17"/>
          <w:u w:val="single"/>
        </w:rPr>
        <w:t>(ii) </w:t>
      </w:r>
      <w:r>
        <w:rPr>
          <w:rFonts w:ascii="Times New Roman" w:hAnsi="Times New Roman"/>
          <w:b w:val="false"/>
          <w:sz w:val="17"/>
        </w:rPr>
        <w:t xml:space="preserve">(solely in respect of any claim for any inaccuracy or breach (or deemed inaccuracy or breach) of the representations and warranties contained in </w:t>
      </w:r>
      <w:r>
        <w:rPr>
          <w:rFonts w:ascii="Times New Roman" w:hAnsi="Times New Roman"/>
          <w:b w:val="false"/>
          <w:sz w:val="17"/>
          <w:u w:val="single"/>
        </w:rPr>
        <w:t>Section 3.2</w:t>
      </w:r>
      <w:r>
        <w:rPr>
          <w:rFonts w:ascii="Times New Roman" w:hAnsi="Times New Roman"/>
          <w:b w:val="false"/>
          <w:sz w:val="17"/>
        </w:rPr>
        <w:t xml:space="preserve">, </w:t>
      </w:r>
      <w:r>
        <w:rPr>
          <w:rFonts w:ascii="Times New Roman" w:hAnsi="Times New Roman"/>
          <w:b w:val="false"/>
          <w:sz w:val="17"/>
          <w:u w:val="single"/>
        </w:rPr>
        <w:t>3.3</w:t>
      </w:r>
      <w:r>
        <w:rPr>
          <w:rFonts w:ascii="Times New Roman" w:hAnsi="Times New Roman"/>
          <w:b w:val="false"/>
          <w:sz w:val="17"/>
        </w:rPr>
        <w:t xml:space="preserve">, </w:t>
      </w:r>
      <w:r>
        <w:rPr>
          <w:rFonts w:ascii="Times New Roman" w:hAnsi="Times New Roman"/>
          <w:b w:val="false"/>
          <w:sz w:val="17"/>
          <w:u w:val="single"/>
        </w:rPr>
        <w:t>3.4</w:t>
      </w:r>
      <w:r>
        <w:rPr>
          <w:rFonts w:ascii="Times New Roman" w:hAnsi="Times New Roman"/>
          <w:b w:val="false"/>
          <w:sz w:val="17"/>
        </w:rPr>
        <w:t xml:space="preserve">, </w:t>
      </w:r>
      <w:r>
        <w:rPr>
          <w:rFonts w:ascii="Times New Roman" w:hAnsi="Times New Roman"/>
          <w:b w:val="false"/>
          <w:sz w:val="17"/>
          <w:u w:val="single"/>
        </w:rPr>
        <w:t>4.3</w:t>
      </w:r>
      <w:r>
        <w:rPr>
          <w:rFonts w:ascii="Times New Roman" w:hAnsi="Times New Roman"/>
          <w:b w:val="false"/>
          <w:sz w:val="17"/>
        </w:rPr>
        <w:t xml:space="preserve">, </w:t>
      </w:r>
      <w:r>
        <w:rPr>
          <w:rFonts w:ascii="Times New Roman" w:hAnsi="Times New Roman"/>
          <w:b w:val="false"/>
          <w:sz w:val="17"/>
          <w:u w:val="single"/>
        </w:rPr>
        <w:t>4.4</w:t>
      </w:r>
      <w:r>
        <w:rPr>
          <w:rFonts w:ascii="Times New Roman" w:hAnsi="Times New Roman"/>
          <w:b w:val="false"/>
          <w:sz w:val="17"/>
        </w:rPr>
        <w:t xml:space="preserve"> or </w:t>
      </w:r>
      <w:r>
        <w:rPr>
          <w:rFonts w:ascii="Times New Roman" w:hAnsi="Times New Roman"/>
          <w:b w:val="false"/>
          <w:sz w:val="17"/>
          <w:u w:val="single"/>
        </w:rPr>
        <w:t>4.7(a)(v)</w:t>
      </w:r>
      <w:r>
        <w:rPr>
          <w:rFonts w:ascii="Times New Roman" w:hAnsi="Times New Roman"/>
          <w:b w:val="false"/>
          <w:sz w:val="17"/>
        </w:rPr>
        <w:t xml:space="preserve">), </w:t>
      </w:r>
      <w:r>
        <w:rPr>
          <w:rFonts w:ascii="Times New Roman" w:hAnsi="Times New Roman"/>
          <w:b w:val="false"/>
          <w:sz w:val="17"/>
          <w:u w:val="single"/>
        </w:rPr>
        <w:t>Section 9.2(a)(iii)</w:t>
      </w:r>
      <w:r>
        <w:rPr>
          <w:rFonts w:ascii="Times New Roman" w:hAnsi="Times New Roman"/>
          <w:b w:val="false"/>
          <w:sz w:val="17"/>
        </w:rPr>
        <w:t xml:space="preserve">, </w:t>
      </w:r>
      <w:r>
        <w:rPr>
          <w:rFonts w:ascii="Times New Roman" w:hAnsi="Times New Roman"/>
          <w:b w:val="false"/>
          <w:sz w:val="17"/>
          <w:u w:val="single"/>
        </w:rPr>
        <w:t>Section 9.2(a)(v) </w:t>
      </w:r>
      <w:r>
        <w:rPr>
          <w:rFonts w:ascii="Times New Roman" w:hAnsi="Times New Roman"/>
          <w:b w:val="false"/>
          <w:sz w:val="17"/>
        </w:rPr>
        <w:t xml:space="preserve">(solely in respect of any claim for loss of life or injury to Persons), </w:t>
      </w:r>
      <w:r>
        <w:rPr>
          <w:rFonts w:ascii="Times New Roman" w:hAnsi="Times New Roman"/>
          <w:b w:val="false"/>
          <w:sz w:val="17"/>
          <w:u w:val="single"/>
        </w:rPr>
        <w:t>Section 9.2(a)(vi)</w:t>
      </w:r>
      <w:r>
        <w:rPr>
          <w:rFonts w:ascii="Times New Roman" w:hAnsi="Times New Roman"/>
          <w:b w:val="false"/>
          <w:sz w:val="17"/>
        </w:rPr>
        <w:t xml:space="preserve">, or </w:t>
      </w:r>
      <w:r>
        <w:rPr>
          <w:rFonts w:ascii="Times New Roman" w:hAnsi="Times New Roman"/>
          <w:b w:val="false"/>
          <w:sz w:val="17"/>
          <w:u w:val="single"/>
        </w:rPr>
        <w:t>Section 9.2(a)(vii)</w:t>
      </w:r>
      <w:r>
        <w:rPr>
          <w:rFonts w:ascii="Times New Roman" w:hAnsi="Times New Roman"/>
          <w:b w:val="false"/>
          <w:sz w:val="17"/>
        </w:rPr>
        <w:t xml:space="preserve">), not to be Losses of such Buyer Indemnified Party recoverable against Seller or any of its Affiliates under this Agreement; </w:t>
      </w:r>
      <w:r>
        <w:rPr>
          <w:rFonts w:ascii="Times New Roman" w:hAnsi="Times New Roman"/>
          <w:b w:val="false"/>
          <w:sz w:val="17"/>
          <w:u w:val="single"/>
        </w:rPr>
        <w:t>provided</w:t>
      </w:r>
      <w:r>
        <w:rPr>
          <w:rFonts w:ascii="Times New Roman" w:hAnsi="Times New Roman"/>
          <w:b w:val="false"/>
          <w:sz w:val="17"/>
        </w:rPr>
        <w:t xml:space="preserve"> that, for the avoidance of doubt, in the event that any such single item or group of related items results in Losses in an aggregate amount greater than or equal to Fifty Thousand Dollars ($50,000), then the entire amount of such Loss shall constitute a Loss for purposes of this </w:t>
      </w:r>
      <w:r>
        <w:rPr>
          <w:rFonts w:ascii="Times New Roman" w:hAnsi="Times New Roman"/>
          <w:b w:val="false"/>
          <w:sz w:val="17"/>
          <w:u w:val="single"/>
        </w:rPr>
        <w:t>Article IX</w:t>
      </w:r>
      <w:r>
        <w:rPr>
          <w:rFonts w:ascii="Times New Roman" w:hAnsi="Times New Roman"/>
          <w:b w:val="false"/>
          <w:sz w:val="17"/>
        </w:rPr>
        <w:t>;</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 xml:space="preserve">(b)                                 Seller shall have no liability arising out of or relating to: </w:t>
      </w:r>
      <w:r>
        <w:rPr>
          <w:rFonts w:ascii="Times New Roman" w:hAnsi="Times New Roman"/>
          <w:b w:val="false"/>
          <w:sz w:val="17"/>
          <w:u w:val="single"/>
        </w:rPr>
        <w:t>(1) Section 9.2(a)(i) </w:t>
      </w:r>
      <w:r>
        <w:rPr>
          <w:rFonts w:ascii="Times New Roman" w:hAnsi="Times New Roman"/>
          <w:b w:val="false"/>
          <w:sz w:val="17"/>
        </w:rPr>
        <w:t xml:space="preserve">or </w:t>
      </w:r>
      <w:r>
        <w:rPr>
          <w:rFonts w:ascii="Times New Roman" w:hAnsi="Times New Roman"/>
          <w:b w:val="false"/>
          <w:sz w:val="17"/>
          <w:u w:val="single"/>
        </w:rPr>
        <w:t>(ii) </w:t>
      </w:r>
      <w:r>
        <w:rPr>
          <w:rFonts w:ascii="Times New Roman" w:hAnsi="Times New Roman"/>
          <w:b w:val="false"/>
          <w:sz w:val="17"/>
        </w:rPr>
        <w:t xml:space="preserve">(other than in respect of any claim for any inaccuracy or breach (or deemed inaccuracy or breach) of the representations and warranties contained in </w:t>
      </w:r>
      <w:r>
        <w:rPr>
          <w:rFonts w:ascii="Times New Roman" w:hAnsi="Times New Roman"/>
          <w:b w:val="false"/>
          <w:sz w:val="17"/>
          <w:u w:val="single"/>
        </w:rPr>
        <w:t>Section 3.2</w:t>
      </w:r>
      <w:r>
        <w:rPr>
          <w:rFonts w:ascii="Times New Roman" w:hAnsi="Times New Roman"/>
          <w:b w:val="false"/>
          <w:sz w:val="17"/>
        </w:rPr>
        <w:t xml:space="preserve">, </w:t>
      </w:r>
      <w:r>
        <w:rPr>
          <w:rFonts w:ascii="Times New Roman" w:hAnsi="Times New Roman"/>
          <w:b w:val="false"/>
          <w:sz w:val="17"/>
          <w:u w:val="single"/>
        </w:rPr>
        <w:t>3.3</w:t>
      </w:r>
      <w:r>
        <w:rPr>
          <w:rFonts w:ascii="Times New Roman" w:hAnsi="Times New Roman"/>
          <w:b w:val="false"/>
          <w:sz w:val="17"/>
        </w:rPr>
        <w:t xml:space="preserve">, </w:t>
      </w:r>
      <w:r>
        <w:rPr>
          <w:rFonts w:ascii="Times New Roman" w:hAnsi="Times New Roman"/>
          <w:b w:val="false"/>
          <w:sz w:val="17"/>
          <w:u w:val="single"/>
        </w:rPr>
        <w:t>3.4</w:t>
      </w:r>
      <w:r>
        <w:rPr>
          <w:rFonts w:ascii="Times New Roman" w:hAnsi="Times New Roman"/>
          <w:b w:val="false"/>
          <w:sz w:val="17"/>
        </w:rPr>
        <w:t xml:space="preserve">, </w:t>
      </w:r>
      <w:r>
        <w:rPr>
          <w:rFonts w:ascii="Times New Roman" w:hAnsi="Times New Roman"/>
          <w:b w:val="false"/>
          <w:sz w:val="17"/>
          <w:u w:val="single"/>
        </w:rPr>
        <w:t>4.3</w:t>
      </w:r>
      <w:r>
        <w:rPr>
          <w:rFonts w:ascii="Times New Roman" w:hAnsi="Times New Roman"/>
          <w:b w:val="false"/>
          <w:sz w:val="17"/>
        </w:rPr>
        <w:t xml:space="preserve">, </w:t>
      </w:r>
      <w:r>
        <w:rPr>
          <w:rFonts w:ascii="Times New Roman" w:hAnsi="Times New Roman"/>
          <w:b w:val="false"/>
          <w:sz w:val="17"/>
          <w:u w:val="single"/>
        </w:rPr>
        <w:t>4.4</w:t>
      </w:r>
      <w:r>
        <w:rPr>
          <w:rFonts w:ascii="Times New Roman" w:hAnsi="Times New Roman"/>
          <w:b w:val="false"/>
          <w:sz w:val="17"/>
        </w:rPr>
        <w:t xml:space="preserve">, </w:t>
      </w:r>
      <w:r>
        <w:rPr>
          <w:rFonts w:ascii="Times New Roman" w:hAnsi="Times New Roman"/>
          <w:b w:val="false"/>
          <w:sz w:val="17"/>
          <w:u w:val="single"/>
        </w:rPr>
        <w:t>4.7(a)(v) </w:t>
      </w:r>
      <w:r>
        <w:rPr>
          <w:rFonts w:ascii="Times New Roman" w:hAnsi="Times New Roman"/>
          <w:b w:val="false"/>
          <w:sz w:val="17"/>
        </w:rPr>
        <w:t xml:space="preserve">or </w:t>
      </w:r>
      <w:r>
        <w:rPr>
          <w:rFonts w:ascii="Times New Roman" w:hAnsi="Times New Roman"/>
          <w:b w:val="false"/>
          <w:sz w:val="17"/>
          <w:u w:val="single"/>
        </w:rPr>
        <w:t>4.19</w:t>
      </w:r>
      <w:r>
        <w:rPr>
          <w:rFonts w:ascii="Times New Roman" w:hAnsi="Times New Roman"/>
          <w:b w:val="false"/>
          <w:sz w:val="17"/>
        </w:rPr>
        <w:t xml:space="preserve">), </w:t>
      </w:r>
      <w:r>
        <w:rPr>
          <w:rFonts w:ascii="Times New Roman" w:hAnsi="Times New Roman"/>
          <w:b w:val="false"/>
          <w:sz w:val="17"/>
          <w:u w:val="single"/>
        </w:rPr>
        <w:t>Section 9.2(a)(v) </w:t>
      </w:r>
      <w:r>
        <w:rPr>
          <w:rFonts w:ascii="Times New Roman" w:hAnsi="Times New Roman"/>
          <w:b w:val="false"/>
          <w:sz w:val="17"/>
        </w:rPr>
        <w:t xml:space="preserve">(other than in respect of any claim for loss of life or injury to Persons), </w:t>
      </w:r>
      <w:r>
        <w:rPr>
          <w:rFonts w:ascii="Times New Roman" w:hAnsi="Times New Roman"/>
          <w:b w:val="false"/>
          <w:sz w:val="17"/>
          <w:u w:val="single"/>
        </w:rPr>
        <w:t>Section 9.2(a)(viii) </w:t>
      </w:r>
      <w:r>
        <w:rPr>
          <w:rFonts w:ascii="Times New Roman" w:hAnsi="Times New Roman"/>
          <w:b w:val="false"/>
          <w:sz w:val="17"/>
        </w:rPr>
        <w:t xml:space="preserve">or </w:t>
      </w:r>
      <w:r>
        <w:rPr>
          <w:rFonts w:ascii="Times New Roman" w:hAnsi="Times New Roman"/>
          <w:b w:val="false"/>
          <w:sz w:val="17"/>
          <w:u w:val="single"/>
        </w:rPr>
        <w:t>Section 9.2(a)(ix) </w:t>
      </w:r>
      <w:r>
        <w:rPr>
          <w:rFonts w:ascii="Times New Roman" w:hAnsi="Times New Roman"/>
          <w:b w:val="false"/>
          <w:sz w:val="17"/>
        </w:rPr>
        <w:t>for Losses described in such Sections unless the aggregate amount of such Losses exceeds Five Million Dollars ($5,000,000) (the </w:t>
      </w:r>
      <w:r>
        <w:rPr>
          <w:rFonts w:ascii="Times New Roman" w:hAnsi="Times New Roman"/>
          <w:b w:val="false"/>
          <w:sz w:val="17"/>
          <w:u w:val="single"/>
        </w:rPr>
        <w:t>General Deductible</w:t>
      </w:r>
      <w:r>
        <w:rPr>
          <w:rFonts w:ascii="Times New Roman" w:hAnsi="Times New Roman"/>
          <w:b w:val="false"/>
          <w:sz w:val="17"/>
        </w:rPr>
        <w:t xml:space="preserve">), and Seller shall have liability for such Losses (subject to </w:t>
      </w:r>
      <w:r>
        <w:rPr>
          <w:rFonts w:ascii="Times New Roman" w:hAnsi="Times New Roman"/>
          <w:b w:val="false"/>
          <w:sz w:val="17"/>
          <w:u w:val="single"/>
        </w:rPr>
        <w:t>Sections 9.4(c) </w:t>
      </w:r>
      <w:r>
        <w:rPr>
          <w:rFonts w:ascii="Times New Roman" w:hAnsi="Times New Roman"/>
          <w:b w:val="false"/>
          <w:sz w:val="17"/>
        </w:rPr>
        <w:t xml:space="preserve">and </w:t>
      </w:r>
      <w:r>
        <w:rPr>
          <w:rFonts w:ascii="Times New Roman" w:hAnsi="Times New Roman"/>
          <w:b w:val="false"/>
          <w:sz w:val="17"/>
          <w:u w:val="single"/>
        </w:rPr>
        <w:t>9.4(d)</w:t>
      </w:r>
      <w:r>
        <w:rPr>
          <w:rFonts w:ascii="Times New Roman" w:hAnsi="Times New Roman"/>
          <w:b w:val="false"/>
          <w:sz w:val="17"/>
        </w:rPr>
        <w:t xml:space="preserve">) only to the extent the aggregate amount of such Losses exceeds $5,000,000; or </w:t>
      </w:r>
      <w:r>
        <w:rPr>
          <w:rFonts w:ascii="Times New Roman" w:hAnsi="Times New Roman"/>
          <w:b w:val="false"/>
          <w:sz w:val="17"/>
          <w:u w:val="single"/>
        </w:rPr>
        <w:t>(2) Section 9.2(a)(i) </w:t>
      </w:r>
      <w:r>
        <w:rPr>
          <w:rFonts w:ascii="Times New Roman" w:hAnsi="Times New Roman"/>
          <w:b w:val="false"/>
          <w:sz w:val="17"/>
        </w:rPr>
        <w:t xml:space="preserve">or </w:t>
      </w:r>
      <w:r>
        <w:rPr>
          <w:rFonts w:ascii="Times New Roman" w:hAnsi="Times New Roman"/>
          <w:b w:val="false"/>
          <w:sz w:val="17"/>
          <w:u w:val="single"/>
        </w:rPr>
        <w:t>(ii) </w:t>
      </w:r>
      <w:r>
        <w:rPr>
          <w:rFonts w:ascii="Times New Roman" w:hAnsi="Times New Roman"/>
          <w:b w:val="false"/>
          <w:sz w:val="17"/>
        </w:rPr>
        <w:t xml:space="preserve">in respect of any claim for any inaccuracy or breach (or deemed inaccuracy or breach) of the representations and warranties contained in </w:t>
      </w:r>
      <w:r>
        <w:rPr>
          <w:rFonts w:ascii="Times New Roman" w:hAnsi="Times New Roman"/>
          <w:b w:val="false"/>
          <w:sz w:val="17"/>
          <w:u w:val="single"/>
        </w:rPr>
        <w:t>Section 4.19</w:t>
      </w:r>
      <w:r>
        <w:rPr>
          <w:rFonts w:ascii="Times New Roman" w:hAnsi="Times New Roman"/>
          <w:b w:val="false"/>
          <w:sz w:val="17"/>
        </w:rPr>
        <w:t xml:space="preserve"> unless the aggregate amount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72</w:t>
      </w:r>
    </w:p>
    <w:p>
      <w:pPr>
        <w:pStyle w:val="HorizontalLine"/>
        <w:pBdr>
          <w:bottom w:val="single" w:sz="12" w:space="0" w:color="808080"/>
        </w:pBdr>
        <w:spacing w:before="0" w:after="0"/>
        <w:jc w:val="left"/>
        <w:rPr/>
      </w:pPr>
      <w:r>
        <w:rPr/>
      </w:r>
      <w:r>
        <w:br w:type="page"/>
      </w:r>
    </w:p>
    <w:p>
      <w:pPr>
        <w:pStyle w:val="TextBody"/>
        <w:spacing w:before="0" w:after="0"/>
        <w:ind w:left="0" w:right="0" w:hanging="0"/>
        <w:jc w:val="center"/>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of such Losses exceeds the lesser of Two Million Five Hundred Thousand Dollars ($2,500,000) or an amount equal to the General Deductible reduced (not below zero) by any Losses described in clause (1) above (the </w:t>
      </w:r>
      <w:r>
        <w:rPr>
          <w:rFonts w:ascii="Times New Roman" w:hAnsi="Times New Roman"/>
          <w:sz w:val="17"/>
          <w:u w:val="single"/>
        </w:rPr>
        <w:t>Real Property Deductible</w:t>
      </w:r>
      <w:r>
        <w:rPr>
          <w:rFonts w:ascii="Times New Roman" w:hAnsi="Times New Roman"/>
          <w:sz w:val="17"/>
        </w:rPr>
        <w:t xml:space="preserve">), in which case Seller shall have liability for such Losses (subject to </w:t>
      </w:r>
      <w:r>
        <w:rPr>
          <w:rFonts w:ascii="Times New Roman" w:hAnsi="Times New Roman"/>
          <w:sz w:val="17"/>
          <w:u w:val="single"/>
        </w:rPr>
        <w:t>Section 9.4(d))</w:t>
      </w:r>
      <w:r>
        <w:rPr>
          <w:rFonts w:ascii="Times New Roman" w:hAnsi="Times New Roman"/>
          <w:sz w:val="17"/>
        </w:rPr>
        <w:t xml:space="preserve"> only to the extent the aggregate of such Losses exceeds the Real Property Deductible; </w:t>
      </w:r>
      <w:r>
        <w:rPr>
          <w:rFonts w:ascii="Times New Roman" w:hAnsi="Times New Roman"/>
          <w:sz w:val="17"/>
          <w:u w:val="single"/>
        </w:rPr>
        <w:t>provided</w:t>
      </w:r>
      <w:r>
        <w:rPr>
          <w:rFonts w:ascii="Times New Roman" w:hAnsi="Times New Roman"/>
          <w:sz w:val="17"/>
        </w:rPr>
        <w:t xml:space="preserve"> that Losses described in clause (2) above shall reduce the General Deductible on a dollar for dollar basis not in excess of Two Million Five Hundred Thousand Dollars ($2,500,000); and</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 xml:space="preserve">(c)                                  in no event shall Sellers aggregate liability for Losses described in </w:t>
      </w:r>
      <w:r>
        <w:rPr>
          <w:rFonts w:ascii="Times New Roman" w:hAnsi="Times New Roman"/>
          <w:b w:val="false"/>
          <w:sz w:val="17"/>
          <w:u w:val="single"/>
        </w:rPr>
        <w:t>Section 9.2(a)(i) </w:t>
      </w:r>
      <w:r>
        <w:rPr>
          <w:rFonts w:ascii="Times New Roman" w:hAnsi="Times New Roman"/>
          <w:b w:val="false"/>
          <w:sz w:val="17"/>
        </w:rPr>
        <w:t xml:space="preserve">or </w:t>
      </w:r>
      <w:r>
        <w:rPr>
          <w:rFonts w:ascii="Times New Roman" w:hAnsi="Times New Roman"/>
          <w:b w:val="false"/>
          <w:sz w:val="17"/>
          <w:u w:val="single"/>
        </w:rPr>
        <w:t>(ii) </w:t>
      </w:r>
      <w:r>
        <w:rPr>
          <w:rFonts w:ascii="Times New Roman" w:hAnsi="Times New Roman"/>
          <w:b w:val="false"/>
          <w:sz w:val="17"/>
        </w:rPr>
        <w:t xml:space="preserve">(other than in respect of any claim for any inaccuracy or breach (or deemed inaccuracy or breach) of the representations and warranties contained in </w:t>
      </w:r>
      <w:r>
        <w:rPr>
          <w:rFonts w:ascii="Times New Roman" w:hAnsi="Times New Roman"/>
          <w:b w:val="false"/>
          <w:sz w:val="17"/>
          <w:u w:val="single"/>
        </w:rPr>
        <w:t>Section 3.2</w:t>
      </w:r>
      <w:r>
        <w:rPr>
          <w:rFonts w:ascii="Times New Roman" w:hAnsi="Times New Roman"/>
          <w:b w:val="false"/>
          <w:sz w:val="17"/>
        </w:rPr>
        <w:t xml:space="preserve">, </w:t>
      </w:r>
      <w:r>
        <w:rPr>
          <w:rFonts w:ascii="Times New Roman" w:hAnsi="Times New Roman"/>
          <w:b w:val="false"/>
          <w:sz w:val="17"/>
          <w:u w:val="single"/>
        </w:rPr>
        <w:t>3.3</w:t>
      </w:r>
      <w:r>
        <w:rPr>
          <w:rFonts w:ascii="Times New Roman" w:hAnsi="Times New Roman"/>
          <w:b w:val="false"/>
          <w:sz w:val="17"/>
        </w:rPr>
        <w:t xml:space="preserve">, </w:t>
      </w:r>
      <w:r>
        <w:rPr>
          <w:rFonts w:ascii="Times New Roman" w:hAnsi="Times New Roman"/>
          <w:b w:val="false"/>
          <w:sz w:val="17"/>
          <w:u w:val="single"/>
        </w:rPr>
        <w:t>4.3</w:t>
      </w:r>
      <w:r>
        <w:rPr>
          <w:rFonts w:ascii="Times New Roman" w:hAnsi="Times New Roman"/>
          <w:b w:val="false"/>
          <w:sz w:val="17"/>
        </w:rPr>
        <w:t xml:space="preserve">, </w:t>
      </w:r>
      <w:r>
        <w:rPr>
          <w:rFonts w:ascii="Times New Roman" w:hAnsi="Times New Roman"/>
          <w:b w:val="false"/>
          <w:sz w:val="17"/>
          <w:u w:val="single"/>
        </w:rPr>
        <w:t>4.4</w:t>
      </w:r>
      <w:r>
        <w:rPr>
          <w:rFonts w:ascii="Times New Roman" w:hAnsi="Times New Roman"/>
          <w:b w:val="false"/>
          <w:sz w:val="17"/>
        </w:rPr>
        <w:t xml:space="preserve">, </w:t>
      </w:r>
      <w:r>
        <w:rPr>
          <w:rFonts w:ascii="Times New Roman" w:hAnsi="Times New Roman"/>
          <w:b w:val="false"/>
          <w:sz w:val="17"/>
          <w:u w:val="single"/>
        </w:rPr>
        <w:t>4.7(a)(v)</w:t>
      </w:r>
      <w:r>
        <w:rPr>
          <w:rFonts w:ascii="Times New Roman" w:hAnsi="Times New Roman"/>
          <w:b w:val="false"/>
          <w:sz w:val="17"/>
        </w:rPr>
        <w:t xml:space="preserve">, </w:t>
      </w:r>
      <w:r>
        <w:rPr>
          <w:rFonts w:ascii="Times New Roman" w:hAnsi="Times New Roman"/>
          <w:b w:val="false"/>
          <w:sz w:val="17"/>
          <w:u w:val="single"/>
        </w:rPr>
        <w:t>4.10</w:t>
      </w:r>
      <w:r>
        <w:rPr>
          <w:rFonts w:ascii="Times New Roman" w:hAnsi="Times New Roman"/>
          <w:b w:val="false"/>
          <w:sz w:val="17"/>
        </w:rPr>
        <w:t xml:space="preserve"> or </w:t>
      </w:r>
      <w:r>
        <w:rPr>
          <w:rFonts w:ascii="Times New Roman" w:hAnsi="Times New Roman"/>
          <w:b w:val="false"/>
          <w:sz w:val="17"/>
          <w:u w:val="single"/>
        </w:rPr>
        <w:t>4.19</w:t>
      </w:r>
      <w:r>
        <w:rPr>
          <w:rFonts w:ascii="Times New Roman" w:hAnsi="Times New Roman"/>
          <w:b w:val="false"/>
          <w:sz w:val="17"/>
        </w:rPr>
        <w:t xml:space="preserve">), </w:t>
      </w:r>
      <w:r>
        <w:rPr>
          <w:rFonts w:ascii="Times New Roman" w:hAnsi="Times New Roman"/>
          <w:b w:val="false"/>
          <w:sz w:val="17"/>
          <w:u w:val="single"/>
        </w:rPr>
        <w:t>Section 9.2(a)(iii) </w:t>
      </w:r>
      <w:r>
        <w:rPr>
          <w:rFonts w:ascii="Times New Roman" w:hAnsi="Times New Roman"/>
          <w:b w:val="false"/>
          <w:sz w:val="17"/>
        </w:rPr>
        <w:t xml:space="preserve">(solely in respect of a breach of </w:t>
      </w:r>
      <w:r>
        <w:rPr>
          <w:rFonts w:ascii="Times New Roman" w:hAnsi="Times New Roman"/>
          <w:b w:val="false"/>
          <w:sz w:val="17"/>
          <w:u w:val="single"/>
        </w:rPr>
        <w:t>Section 6.1(b)</w:t>
      </w:r>
      <w:r>
        <w:rPr>
          <w:rFonts w:ascii="Times New Roman" w:hAnsi="Times New Roman"/>
          <w:b w:val="false"/>
          <w:sz w:val="17"/>
        </w:rPr>
        <w:t xml:space="preserve">, other than </w:t>
      </w:r>
      <w:r>
        <w:rPr>
          <w:rFonts w:ascii="Times New Roman" w:hAnsi="Times New Roman"/>
          <w:b w:val="false"/>
          <w:sz w:val="17"/>
          <w:u w:val="single"/>
        </w:rPr>
        <w:t>Section 6.1(b)(i)</w:t>
      </w:r>
      <w:r>
        <w:rPr>
          <w:rFonts w:ascii="Times New Roman" w:hAnsi="Times New Roman"/>
          <w:b w:val="false"/>
          <w:sz w:val="17"/>
        </w:rPr>
        <w:t xml:space="preserve">, </w:t>
      </w:r>
      <w:r>
        <w:rPr>
          <w:rFonts w:ascii="Times New Roman" w:hAnsi="Times New Roman"/>
          <w:b w:val="false"/>
          <w:sz w:val="17"/>
          <w:u w:val="single"/>
        </w:rPr>
        <w:t>(b)(iv) </w:t>
      </w:r>
      <w:r>
        <w:rPr>
          <w:rFonts w:ascii="Times New Roman" w:hAnsi="Times New Roman"/>
          <w:b w:val="false"/>
          <w:sz w:val="17"/>
        </w:rPr>
        <w:t xml:space="preserve">or </w:t>
      </w:r>
      <w:r>
        <w:rPr>
          <w:rFonts w:ascii="Times New Roman" w:hAnsi="Times New Roman"/>
          <w:b w:val="false"/>
          <w:sz w:val="17"/>
          <w:u w:val="single"/>
        </w:rPr>
        <w:t>(b)(xix)</w:t>
      </w:r>
      <w:r>
        <w:rPr>
          <w:rFonts w:ascii="Times New Roman" w:hAnsi="Times New Roman"/>
          <w:b w:val="false"/>
          <w:sz w:val="17"/>
        </w:rPr>
        <w:t xml:space="preserve">, as it relates to clause </w:t>
      </w:r>
      <w:r>
        <w:rPr>
          <w:rFonts w:ascii="Times New Roman" w:hAnsi="Times New Roman"/>
          <w:b w:val="false"/>
          <w:sz w:val="17"/>
          <w:u w:val="single"/>
        </w:rPr>
        <w:t>(i) </w:t>
      </w:r>
      <w:r>
        <w:rPr>
          <w:rFonts w:ascii="Times New Roman" w:hAnsi="Times New Roman"/>
          <w:b w:val="false"/>
          <w:sz w:val="17"/>
        </w:rPr>
        <w:t xml:space="preserve">or </w:t>
      </w:r>
      <w:r>
        <w:rPr>
          <w:rFonts w:ascii="Times New Roman" w:hAnsi="Times New Roman"/>
          <w:b w:val="false"/>
          <w:sz w:val="17"/>
          <w:u w:val="single"/>
        </w:rPr>
        <w:t>(iv)</w:t>
      </w:r>
      <w:r>
        <w:rPr>
          <w:rFonts w:ascii="Times New Roman" w:hAnsi="Times New Roman"/>
          <w:b w:val="false"/>
          <w:sz w:val="17"/>
        </w:rPr>
        <w:t xml:space="preserve">), </w:t>
      </w:r>
      <w:r>
        <w:rPr>
          <w:rFonts w:ascii="Times New Roman" w:hAnsi="Times New Roman"/>
          <w:b w:val="false"/>
          <w:sz w:val="17"/>
          <w:u w:val="single"/>
        </w:rPr>
        <w:t>Section 9.2(a)(iv)</w:t>
      </w:r>
      <w:r>
        <w:rPr>
          <w:rFonts w:ascii="Times New Roman" w:hAnsi="Times New Roman"/>
          <w:b w:val="false"/>
          <w:sz w:val="17"/>
        </w:rPr>
        <w:t xml:space="preserve">, </w:t>
      </w:r>
      <w:r>
        <w:rPr>
          <w:rFonts w:ascii="Times New Roman" w:hAnsi="Times New Roman"/>
          <w:b w:val="false"/>
          <w:sz w:val="17"/>
          <w:u w:val="single"/>
        </w:rPr>
        <w:t>Section 9.2(a)(viii) </w:t>
      </w:r>
      <w:r>
        <w:rPr>
          <w:rFonts w:ascii="Times New Roman" w:hAnsi="Times New Roman"/>
          <w:b w:val="false"/>
          <w:sz w:val="17"/>
        </w:rPr>
        <w:t xml:space="preserve">and </w:t>
      </w:r>
      <w:r>
        <w:rPr>
          <w:rFonts w:ascii="Times New Roman" w:hAnsi="Times New Roman"/>
          <w:b w:val="false"/>
          <w:sz w:val="17"/>
          <w:u w:val="single"/>
        </w:rPr>
        <w:t>Section 9.2(a)(ix) </w:t>
      </w:r>
      <w:r>
        <w:rPr>
          <w:rFonts w:ascii="Times New Roman" w:hAnsi="Times New Roman"/>
          <w:b w:val="false"/>
          <w:sz w:val="17"/>
        </w:rPr>
        <w:t>(collectively, </w:t>
      </w:r>
      <w:r>
        <w:rPr>
          <w:rFonts w:ascii="Times New Roman" w:hAnsi="Times New Roman"/>
          <w:b w:val="false"/>
          <w:sz w:val="17"/>
          <w:u w:val="single"/>
        </w:rPr>
        <w:t>Small Cap Losses</w:t>
      </w:r>
      <w:r>
        <w:rPr>
          <w:rFonts w:ascii="Times New Roman" w:hAnsi="Times New Roman"/>
          <w:b w:val="false"/>
          <w:sz w:val="17"/>
        </w:rPr>
        <w:t xml:space="preserve">) exceed (i) Twenty-Five Million Dollars ($25,000,000) for Losses to the extent related to BGS Corp., BGS LLC or any of their respective assets and (ii) Twenty-Five Million Dollars ($25,000,000) for Losses to the extent related to PPEC Corp., PPEC LLC or any of their respective assets; </w:t>
      </w:r>
      <w:r>
        <w:rPr>
          <w:rFonts w:ascii="Times New Roman" w:hAnsi="Times New Roman"/>
          <w:b w:val="false"/>
          <w:sz w:val="17"/>
          <w:u w:val="single"/>
        </w:rPr>
        <w:t>provided</w:t>
      </w:r>
      <w:r>
        <w:rPr>
          <w:rFonts w:ascii="Times New Roman" w:hAnsi="Times New Roman"/>
          <w:b w:val="false"/>
          <w:sz w:val="17"/>
        </w:rPr>
        <w:t xml:space="preserve"> that any Small Cap Losses other than those described in clauses (i) and (ii) above shall be limited by the aggregate amounts set forth in clauses (i) and (ii) above, and shall reduce each such amount equally;</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 xml:space="preserve">(d)                                 in no event shall Sellers aggregate liability for Losses described in  </w:t>
      </w:r>
      <w:r>
        <w:rPr>
          <w:rFonts w:ascii="Times New Roman" w:hAnsi="Times New Roman"/>
          <w:b w:val="false"/>
          <w:sz w:val="17"/>
          <w:u w:val="single"/>
        </w:rPr>
        <w:t>Section 7.8</w:t>
      </w:r>
      <w:r>
        <w:rPr>
          <w:rFonts w:ascii="Times New Roman" w:hAnsi="Times New Roman"/>
          <w:b w:val="false"/>
          <w:sz w:val="17"/>
        </w:rPr>
        <w:t xml:space="preserve">, </w:t>
      </w:r>
      <w:r>
        <w:rPr>
          <w:rFonts w:ascii="Times New Roman" w:hAnsi="Times New Roman"/>
          <w:b w:val="false"/>
          <w:sz w:val="17"/>
          <w:u w:val="single"/>
        </w:rPr>
        <w:t>Section 9.2(a)(i) </w:t>
      </w:r>
      <w:r>
        <w:rPr>
          <w:rFonts w:ascii="Times New Roman" w:hAnsi="Times New Roman"/>
          <w:b w:val="false"/>
          <w:sz w:val="17"/>
        </w:rPr>
        <w:t xml:space="preserve">or </w:t>
      </w:r>
      <w:r>
        <w:rPr>
          <w:rFonts w:ascii="Times New Roman" w:hAnsi="Times New Roman"/>
          <w:b w:val="false"/>
          <w:sz w:val="17"/>
          <w:u w:val="single"/>
        </w:rPr>
        <w:t>Section 9.2(a)(ii) </w:t>
      </w:r>
      <w:r>
        <w:rPr>
          <w:rFonts w:ascii="Times New Roman" w:hAnsi="Times New Roman"/>
          <w:b w:val="false"/>
          <w:sz w:val="17"/>
        </w:rPr>
        <w:t xml:space="preserve">(solely in respect of any claim for any inaccuracy or breach (or deemed inaccuracy or breach) of the representations and warranties contained in </w:t>
      </w:r>
      <w:r>
        <w:rPr>
          <w:rFonts w:ascii="Times New Roman" w:hAnsi="Times New Roman"/>
          <w:b w:val="false"/>
          <w:sz w:val="17"/>
          <w:u w:val="single"/>
        </w:rPr>
        <w:t>Section 3.2</w:t>
      </w:r>
      <w:r>
        <w:rPr>
          <w:rFonts w:ascii="Times New Roman" w:hAnsi="Times New Roman"/>
          <w:b w:val="false"/>
          <w:sz w:val="17"/>
        </w:rPr>
        <w:t xml:space="preserve">, </w:t>
      </w:r>
      <w:r>
        <w:rPr>
          <w:rFonts w:ascii="Times New Roman" w:hAnsi="Times New Roman"/>
          <w:b w:val="false"/>
          <w:sz w:val="17"/>
          <w:u w:val="single"/>
        </w:rPr>
        <w:t>3.3</w:t>
      </w:r>
      <w:r>
        <w:rPr>
          <w:rFonts w:ascii="Times New Roman" w:hAnsi="Times New Roman"/>
          <w:b w:val="false"/>
          <w:sz w:val="17"/>
        </w:rPr>
        <w:t xml:space="preserve">, </w:t>
      </w:r>
      <w:r>
        <w:rPr>
          <w:rFonts w:ascii="Times New Roman" w:hAnsi="Times New Roman"/>
          <w:b w:val="false"/>
          <w:sz w:val="17"/>
          <w:u w:val="single"/>
        </w:rPr>
        <w:t>4.3</w:t>
      </w:r>
      <w:r>
        <w:rPr>
          <w:rFonts w:ascii="Times New Roman" w:hAnsi="Times New Roman"/>
          <w:b w:val="false"/>
          <w:sz w:val="17"/>
        </w:rPr>
        <w:t xml:space="preserve">, </w:t>
      </w:r>
      <w:r>
        <w:rPr>
          <w:rFonts w:ascii="Times New Roman" w:hAnsi="Times New Roman"/>
          <w:b w:val="false"/>
          <w:sz w:val="17"/>
          <w:u w:val="single"/>
        </w:rPr>
        <w:t>4.4</w:t>
      </w:r>
      <w:r>
        <w:rPr>
          <w:rFonts w:ascii="Times New Roman" w:hAnsi="Times New Roman"/>
          <w:b w:val="false"/>
          <w:sz w:val="17"/>
        </w:rPr>
        <w:t xml:space="preserve">, </w:t>
      </w:r>
      <w:r>
        <w:rPr>
          <w:rFonts w:ascii="Times New Roman" w:hAnsi="Times New Roman"/>
          <w:b w:val="false"/>
          <w:sz w:val="17"/>
          <w:u w:val="single"/>
        </w:rPr>
        <w:t>4.7(a)(v)</w:t>
      </w:r>
      <w:r>
        <w:rPr>
          <w:rFonts w:ascii="Times New Roman" w:hAnsi="Times New Roman"/>
          <w:b w:val="false"/>
          <w:sz w:val="17"/>
        </w:rPr>
        <w:t xml:space="preserve">, </w:t>
      </w:r>
      <w:r>
        <w:rPr>
          <w:rFonts w:ascii="Times New Roman" w:hAnsi="Times New Roman"/>
          <w:b w:val="false"/>
          <w:sz w:val="17"/>
          <w:u w:val="single"/>
        </w:rPr>
        <w:t>4.10</w:t>
      </w:r>
      <w:r>
        <w:rPr>
          <w:rFonts w:ascii="Times New Roman" w:hAnsi="Times New Roman"/>
          <w:b w:val="false"/>
          <w:sz w:val="17"/>
        </w:rPr>
        <w:t xml:space="preserve"> or </w:t>
      </w:r>
      <w:r>
        <w:rPr>
          <w:rFonts w:ascii="Times New Roman" w:hAnsi="Times New Roman"/>
          <w:b w:val="false"/>
          <w:sz w:val="17"/>
          <w:u w:val="single"/>
        </w:rPr>
        <w:t>4.19</w:t>
      </w:r>
      <w:r>
        <w:rPr>
          <w:rFonts w:ascii="Times New Roman" w:hAnsi="Times New Roman"/>
          <w:b w:val="false"/>
          <w:sz w:val="17"/>
        </w:rPr>
        <w:t xml:space="preserve">), </w:t>
      </w:r>
      <w:r>
        <w:rPr>
          <w:rFonts w:ascii="Times New Roman" w:hAnsi="Times New Roman"/>
          <w:b w:val="false"/>
          <w:sz w:val="17"/>
          <w:u w:val="single"/>
        </w:rPr>
        <w:t>Section 9.2(a)(iii) </w:t>
      </w:r>
      <w:r>
        <w:rPr>
          <w:rFonts w:ascii="Times New Roman" w:hAnsi="Times New Roman"/>
          <w:b w:val="false"/>
          <w:sz w:val="17"/>
        </w:rPr>
        <w:t xml:space="preserve">(solely in respect of a breach of </w:t>
      </w:r>
      <w:r>
        <w:rPr>
          <w:rFonts w:ascii="Times New Roman" w:hAnsi="Times New Roman"/>
          <w:b w:val="false"/>
          <w:sz w:val="17"/>
          <w:u w:val="single"/>
        </w:rPr>
        <w:t>Section 6.1(b)(i)</w:t>
      </w:r>
      <w:r>
        <w:rPr>
          <w:rFonts w:ascii="Times New Roman" w:hAnsi="Times New Roman"/>
          <w:b w:val="false"/>
          <w:sz w:val="17"/>
        </w:rPr>
        <w:t xml:space="preserve">, </w:t>
      </w:r>
      <w:r>
        <w:rPr>
          <w:rFonts w:ascii="Times New Roman" w:hAnsi="Times New Roman"/>
          <w:b w:val="false"/>
          <w:sz w:val="17"/>
          <w:u w:val="single"/>
        </w:rPr>
        <w:t>(b)(iv) </w:t>
      </w:r>
      <w:r>
        <w:rPr>
          <w:rFonts w:ascii="Times New Roman" w:hAnsi="Times New Roman"/>
          <w:b w:val="false"/>
          <w:sz w:val="17"/>
        </w:rPr>
        <w:t xml:space="preserve">or </w:t>
      </w:r>
      <w:r>
        <w:rPr>
          <w:rFonts w:ascii="Times New Roman" w:hAnsi="Times New Roman"/>
          <w:b w:val="false"/>
          <w:sz w:val="17"/>
          <w:u w:val="single"/>
        </w:rPr>
        <w:t>(b)(xix)</w:t>
      </w:r>
      <w:r>
        <w:rPr>
          <w:rFonts w:ascii="Times New Roman" w:hAnsi="Times New Roman"/>
          <w:b w:val="false"/>
          <w:sz w:val="17"/>
        </w:rPr>
        <w:t xml:space="preserve">, as it relates to clause </w:t>
      </w:r>
      <w:r>
        <w:rPr>
          <w:rFonts w:ascii="Times New Roman" w:hAnsi="Times New Roman"/>
          <w:b w:val="false"/>
          <w:sz w:val="17"/>
          <w:u w:val="single"/>
        </w:rPr>
        <w:t>(i) </w:t>
      </w:r>
      <w:r>
        <w:rPr>
          <w:rFonts w:ascii="Times New Roman" w:hAnsi="Times New Roman"/>
          <w:b w:val="false"/>
          <w:sz w:val="17"/>
        </w:rPr>
        <w:t xml:space="preserve">or </w:t>
      </w:r>
      <w:r>
        <w:rPr>
          <w:rFonts w:ascii="Times New Roman" w:hAnsi="Times New Roman"/>
          <w:b w:val="false"/>
          <w:sz w:val="17"/>
          <w:u w:val="single"/>
        </w:rPr>
        <w:t>(iv)</w:t>
      </w:r>
      <w:r>
        <w:rPr>
          <w:rFonts w:ascii="Times New Roman" w:hAnsi="Times New Roman"/>
          <w:b w:val="false"/>
          <w:sz w:val="17"/>
        </w:rPr>
        <w:t xml:space="preserve">), </w:t>
      </w:r>
      <w:r>
        <w:rPr>
          <w:rFonts w:ascii="Times New Roman" w:hAnsi="Times New Roman"/>
          <w:b w:val="false"/>
          <w:sz w:val="17"/>
          <w:u w:val="single"/>
        </w:rPr>
        <w:t>Section 9.2(a)(v) </w:t>
      </w:r>
      <w:r>
        <w:rPr>
          <w:rFonts w:ascii="Times New Roman" w:hAnsi="Times New Roman"/>
          <w:b w:val="false"/>
          <w:sz w:val="17"/>
        </w:rPr>
        <w:t xml:space="preserve">and </w:t>
      </w:r>
      <w:r>
        <w:rPr>
          <w:rFonts w:ascii="Times New Roman" w:hAnsi="Times New Roman"/>
          <w:b w:val="false"/>
          <w:sz w:val="17"/>
          <w:u w:val="single"/>
        </w:rPr>
        <w:t>Section 9.2(a)(vi) </w:t>
      </w:r>
      <w:r>
        <w:rPr>
          <w:rFonts w:ascii="Times New Roman" w:hAnsi="Times New Roman"/>
          <w:b w:val="false"/>
          <w:sz w:val="17"/>
        </w:rPr>
        <w:t>(collectively, </w:t>
      </w:r>
      <w:r>
        <w:rPr>
          <w:rFonts w:ascii="Times New Roman" w:hAnsi="Times New Roman"/>
          <w:b w:val="false"/>
          <w:sz w:val="17"/>
          <w:u w:val="single"/>
        </w:rPr>
        <w:t>Big Cap Losses</w:t>
      </w:r>
      <w:r>
        <w:rPr>
          <w:rFonts w:ascii="Times New Roman" w:hAnsi="Times New Roman"/>
          <w:b w:val="false"/>
          <w:sz w:val="17"/>
        </w:rPr>
        <w:t xml:space="preserve">) exceed (i) One Hundred Twenty-Five Million Dollars ($125,000,000) for Losses to the extent related to BGS Corp., BGS LLC or any of their respective assets and (ii) One Hundred Twenty-Five Million Dollars ($125,000,000) for Losses to the extent related to PPEC Corp., PPEC LLC or any of their respective assets; </w:t>
      </w:r>
      <w:r>
        <w:rPr>
          <w:rFonts w:ascii="Times New Roman" w:hAnsi="Times New Roman"/>
          <w:b w:val="false"/>
          <w:sz w:val="17"/>
          <w:u w:val="single"/>
        </w:rPr>
        <w:t>provided</w:t>
      </w:r>
      <w:r>
        <w:rPr>
          <w:rFonts w:ascii="Times New Roman" w:hAnsi="Times New Roman"/>
          <w:b w:val="false"/>
          <w:sz w:val="17"/>
        </w:rPr>
        <w:t xml:space="preserve"> that any Big Cap Losses other than those described in clauses (i) and (ii) above shall be limited by the aggregate amounts set forth in clauses (i) and (ii) above, and shall reduce each such amount equally; </w:t>
      </w:r>
      <w:r>
        <w:rPr>
          <w:rFonts w:ascii="Times New Roman" w:hAnsi="Times New Roman"/>
          <w:b w:val="false"/>
          <w:sz w:val="17"/>
          <w:u w:val="single"/>
        </w:rPr>
        <w:t>provided</w:t>
      </w:r>
      <w:r>
        <w:rPr>
          <w:rFonts w:ascii="Times New Roman" w:hAnsi="Times New Roman"/>
          <w:b w:val="false"/>
          <w:sz w:val="17"/>
        </w:rPr>
        <w:t xml:space="preserve">, </w:t>
      </w:r>
      <w:r>
        <w:rPr>
          <w:rFonts w:ascii="Times New Roman" w:hAnsi="Times New Roman"/>
          <w:b w:val="false"/>
          <w:sz w:val="17"/>
          <w:u w:val="single"/>
        </w:rPr>
        <w:t>further</w:t>
      </w:r>
      <w:r>
        <w:rPr>
          <w:rFonts w:ascii="Times New Roman" w:hAnsi="Times New Roman"/>
          <w:b w:val="false"/>
          <w:sz w:val="17"/>
        </w:rPr>
        <w:t>, that any Small Cap Losses set forth in clause (c)(i) above shall reduce the amount set forth in clause (d)(i) above, any Small Cap Losses set forth in clause (c)(ii) above shall reduce the amount set forth in clause (d)(ii) above and any Small Cap Losses, other than those described in clauses (c)(i) and (c)(ii) above, shall reduce the amounts set forth in clauses (d)(i) and (d)(ii) above equally.</w:t>
      </w:r>
    </w:p>
    <w:p>
      <w:pPr>
        <w:pStyle w:val="Heading3"/>
        <w:spacing w:before="0" w:after="0"/>
        <w:ind w:left="0" w:right="0" w:hanging="0"/>
        <w:jc w:val="left"/>
        <w:rPr/>
      </w:pPr>
      <w:r>
        <w:rPr/>
        <w:t> </w:t>
      </w:r>
    </w:p>
    <w:p>
      <w:pPr>
        <w:pStyle w:val="Heading2"/>
        <w:spacing w:before="0" w:after="0"/>
        <w:ind w:left="0" w:right="0" w:hanging="0"/>
        <w:jc w:val="left"/>
        <w:rPr>
          <w:rFonts w:ascii="Times New Roman" w:hAnsi="Times New Roman"/>
          <w:b w:val="false"/>
          <w:sz w:val="17"/>
        </w:rPr>
      </w:pPr>
      <w:bookmarkStart w:id="215" w:name="Section9_5_234611"/>
      <w:bookmarkEnd w:id="215"/>
      <w:r>
        <w:rPr>
          <w:rFonts w:ascii="Times New Roman" w:hAnsi="Times New Roman"/>
          <w:b w:val="false"/>
          <w:sz w:val="17"/>
        </w:rPr>
        <w:t xml:space="preserve">Section 9.5                                      </w:t>
      </w:r>
      <w:r>
        <w:rPr>
          <w:rFonts w:ascii="Times New Roman" w:hAnsi="Times New Roman"/>
          <w:b w:val="false"/>
          <w:sz w:val="17"/>
          <w:u w:val="single"/>
        </w:rPr>
        <w:t>Indemnity Under Acquisition Agreements</w:t>
      </w:r>
      <w:r>
        <w:rPr>
          <w:rFonts w:ascii="Times New Roman" w:hAnsi="Times New Roman"/>
          <w:b w:val="false"/>
          <w:sz w:val="17"/>
        </w:rPr>
        <w:t>.  Notwithstanding anything to the contrary contained in this Agreement, to the extent that any Buyer Indemnified Party intends to seek indemnification from Seller under this Agreement in respect of any Losses for which any of the Buyer Indemnified Parties are entitled to indemnification from the Previous Owners under the Acquisition Agreements (the </w:t>
      </w:r>
      <w:r>
        <w:rPr>
          <w:rFonts w:ascii="Times New Roman" w:hAnsi="Times New Roman"/>
          <w:b w:val="false"/>
          <w:sz w:val="17"/>
          <w:u w:val="single"/>
        </w:rPr>
        <w:t>Limited Matters</w:t>
      </w:r>
      <w:r>
        <w:rPr>
          <w:rFonts w:ascii="Times New Roman" w:hAnsi="Times New Roman"/>
          <w:b w:val="false"/>
          <w:sz w:val="17"/>
        </w:rPr>
        <w:t>), the Buyer Indemnified Parties, as a condition to being entitled to any recovery under this Agreement in respect of any such Limited Matter, shall have first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73</w:t>
      </w:r>
    </w:p>
    <w:p>
      <w:pPr>
        <w:pStyle w:val="HorizontalLine"/>
        <w:pBdr>
          <w:bottom w:val="single" w:sz="12" w:space="0" w:color="808080"/>
        </w:pBdr>
        <w:spacing w:before="0" w:after="0"/>
        <w:jc w:val="left"/>
        <w:rPr/>
      </w:pPr>
      <w:r>
        <w:rPr/>
      </w:r>
      <w:r>
        <w:br w:type="page"/>
      </w:r>
    </w:p>
    <w:p>
      <w:pPr>
        <w:pStyle w:val="TextBody"/>
        <w:spacing w:before="0" w:after="0"/>
        <w:ind w:left="0" w:right="0" w:hanging="0"/>
        <w:jc w:val="center"/>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 xml:space="preserve">asserted and pursued in good faith and to a commercially reasonable extent a claim for indemnification for such matter against the Previous Owners under the Acquisition Agreements.  For the avoidance of doubt, the preceding sentence shall not preclude any Buyer Indemnified Party from providing a Claim Notice to Seller with respect to any of the Limited Matters.  The reasonable costs and expenses (including reasonable fees and disbursements of counsel) actually incurred by the Buyer Indemnified Parties in pursuing any such claim under this </w:t>
      </w:r>
      <w:r>
        <w:rPr>
          <w:rFonts w:ascii="Times New Roman" w:hAnsi="Times New Roman"/>
          <w:sz w:val="17"/>
          <w:u w:val="single"/>
        </w:rPr>
        <w:t>Section 9.5</w:t>
      </w:r>
      <w:r>
        <w:rPr>
          <w:rFonts w:ascii="Times New Roman" w:hAnsi="Times New Roman"/>
          <w:sz w:val="17"/>
        </w:rPr>
        <w:t xml:space="preserve"> shall constitute additional Losses with respect to the matter for which indemnification may be sought hereunder, except to the extent such costs and expenses are paid or reimbursed by such third party.</w:t>
      </w:r>
    </w:p>
    <w:p>
      <w:pPr>
        <w:pStyle w:val="Heading2"/>
        <w:spacing w:before="0" w:after="0"/>
        <w:ind w:left="0" w:right="0" w:hanging="0"/>
        <w:jc w:val="left"/>
        <w:rPr/>
      </w:pPr>
      <w:r>
        <w:rPr/>
        <w:t> </w:t>
      </w:r>
    </w:p>
    <w:p>
      <w:pPr>
        <w:pStyle w:val="Heading2"/>
        <w:spacing w:before="0" w:after="0"/>
        <w:ind w:left="0" w:right="0" w:hanging="0"/>
        <w:jc w:val="left"/>
        <w:rPr>
          <w:rFonts w:ascii="Times New Roman" w:hAnsi="Times New Roman"/>
          <w:b w:val="false"/>
          <w:sz w:val="17"/>
        </w:rPr>
      </w:pPr>
      <w:bookmarkStart w:id="216" w:name="Section9_6_234614"/>
      <w:bookmarkEnd w:id="216"/>
      <w:r>
        <w:rPr>
          <w:rFonts w:ascii="Times New Roman" w:hAnsi="Times New Roman"/>
          <w:b w:val="false"/>
          <w:sz w:val="17"/>
        </w:rPr>
        <w:t xml:space="preserve">Section 9.6                                      </w:t>
      </w:r>
      <w:r>
        <w:rPr>
          <w:rFonts w:ascii="Times New Roman" w:hAnsi="Times New Roman"/>
          <w:b w:val="false"/>
          <w:sz w:val="17"/>
          <w:u w:val="single"/>
        </w:rPr>
        <w:t>Purchase Price Adjustment</w:t>
      </w:r>
      <w:r>
        <w:rPr>
          <w:rFonts w:ascii="Times New Roman" w:hAnsi="Times New Roman"/>
          <w:b w:val="false"/>
          <w:sz w:val="17"/>
        </w:rPr>
        <w:t xml:space="preserve">.  The Parties agree to treat all payments made pursuant to </w:t>
      </w:r>
      <w:r>
        <w:rPr>
          <w:rFonts w:ascii="Times New Roman" w:hAnsi="Times New Roman"/>
          <w:b w:val="false"/>
          <w:sz w:val="17"/>
          <w:u w:val="single"/>
        </w:rPr>
        <w:t>Article VII</w:t>
      </w:r>
      <w:r>
        <w:rPr>
          <w:rFonts w:ascii="Times New Roman" w:hAnsi="Times New Roman"/>
          <w:b w:val="false"/>
          <w:sz w:val="17"/>
        </w:rPr>
        <w:t xml:space="preserve"> and to this </w:t>
      </w:r>
      <w:r>
        <w:rPr>
          <w:rFonts w:ascii="Times New Roman" w:hAnsi="Times New Roman"/>
          <w:b w:val="false"/>
          <w:sz w:val="17"/>
          <w:u w:val="single"/>
        </w:rPr>
        <w:t>Article IX</w:t>
      </w:r>
      <w:r>
        <w:rPr>
          <w:rFonts w:ascii="Times New Roman" w:hAnsi="Times New Roman"/>
          <w:b w:val="false"/>
          <w:sz w:val="17"/>
        </w:rPr>
        <w:t xml:space="preserve"> as adjustments to the Purchase Price for Tax purposes.</w:t>
      </w:r>
    </w:p>
    <w:p>
      <w:pPr>
        <w:pStyle w:val="Heading2"/>
        <w:spacing w:before="0" w:after="0"/>
        <w:ind w:left="0" w:right="0" w:hanging="0"/>
        <w:jc w:val="left"/>
        <w:rPr/>
      </w:pPr>
      <w:r>
        <w:rPr/>
        <w:t> </w:t>
      </w:r>
    </w:p>
    <w:p>
      <w:pPr>
        <w:pStyle w:val="Heading2"/>
        <w:spacing w:before="0" w:after="0"/>
        <w:ind w:left="0" w:right="0" w:hanging="0"/>
        <w:jc w:val="left"/>
        <w:rPr>
          <w:rFonts w:ascii="Times New Roman" w:hAnsi="Times New Roman"/>
          <w:b w:val="false"/>
          <w:sz w:val="17"/>
        </w:rPr>
      </w:pPr>
      <w:bookmarkStart w:id="217" w:name="Section9_7_234615"/>
      <w:bookmarkEnd w:id="217"/>
      <w:r>
        <w:rPr>
          <w:rFonts w:ascii="Times New Roman" w:hAnsi="Times New Roman"/>
          <w:b w:val="false"/>
          <w:sz w:val="17"/>
        </w:rPr>
        <w:t xml:space="preserve">Section 9.7                                      </w:t>
      </w:r>
      <w:r>
        <w:rPr>
          <w:rFonts w:ascii="Times New Roman" w:hAnsi="Times New Roman"/>
          <w:b w:val="false"/>
          <w:sz w:val="17"/>
          <w:u w:val="single"/>
        </w:rPr>
        <w:t>Exclusive Remedy</w:t>
      </w:r>
      <w:r>
        <w:rPr>
          <w:rFonts w:ascii="Times New Roman" w:hAnsi="Times New Roman"/>
          <w:b w:val="false"/>
          <w:sz w:val="17"/>
        </w:rPr>
        <w:t>.</w:t>
      </w:r>
    </w:p>
    <w:p>
      <w:pPr>
        <w:pStyle w:val="TextBody"/>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 xml:space="preserve">(a)                                  Except for (i) claims arising out of fraud or criminal misrepresentation, and (ii) claims relating to Tax matters which shall be subject to indemnification solely under </w:t>
      </w:r>
      <w:r>
        <w:rPr>
          <w:rFonts w:ascii="Times New Roman" w:hAnsi="Times New Roman"/>
          <w:b w:val="false"/>
          <w:sz w:val="17"/>
          <w:u w:val="single"/>
        </w:rPr>
        <w:t>Article VII</w:t>
      </w:r>
      <w:r>
        <w:rPr>
          <w:rFonts w:ascii="Times New Roman" w:hAnsi="Times New Roman"/>
          <w:b w:val="false"/>
          <w:sz w:val="17"/>
        </w:rPr>
        <w:t xml:space="preserve"> and which must be brought by any Party in accordance with the provisions and applicable limitations of </w:t>
      </w:r>
      <w:r>
        <w:rPr>
          <w:rFonts w:ascii="Times New Roman" w:hAnsi="Times New Roman"/>
          <w:b w:val="false"/>
          <w:sz w:val="17"/>
          <w:u w:val="single"/>
        </w:rPr>
        <w:t>Article VII</w:t>
      </w:r>
      <w:r>
        <w:rPr>
          <w:rFonts w:ascii="Times New Roman" w:hAnsi="Times New Roman"/>
          <w:b w:val="false"/>
          <w:sz w:val="17"/>
        </w:rPr>
        <w:t xml:space="preserve">, any claim or cause of action (whether such claim sounds in tort, contract or otherwise and including statutory rights and remedies) based upon, relating to or arising out of this Agreement or the transactions contemplated hereby must be brought by any Party in accordance with the provisions and applicable limitations of this </w:t>
      </w:r>
      <w:r>
        <w:rPr>
          <w:rFonts w:ascii="Times New Roman" w:hAnsi="Times New Roman"/>
          <w:b w:val="false"/>
          <w:sz w:val="17"/>
          <w:u w:val="single"/>
        </w:rPr>
        <w:t>Article IX</w:t>
      </w:r>
      <w:r>
        <w:rPr>
          <w:rFonts w:ascii="Times New Roman" w:hAnsi="Times New Roman"/>
          <w:b w:val="false"/>
          <w:sz w:val="17"/>
        </w:rPr>
        <w:t>, which in the absence of fraud or criminal conduct shall constitute the sole and exclusive remedy of all parties, their Affiliates, successors and assigns for any such claim or cause of action.</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(b)                                 NOTWITHSTANDING ANYTHING TO THE CONTRARY HEREIN, EXCEPT TO THE EXTENT (1) ASSERTED BY OR AWARDED, PAID OR PAYABLE TO A THIRD PARTY OR (2) ARISING OUT OF FRAUD, NO PARTY SHALL BE LIABLE FOR SPECIAL, PUNITIVE, EXEMPLARY, INCIDENTAL, CONSEQUENTIAL OR INDIRECT DAMAGES OR LOST PROFITS WHETHER BASED ON CONTRACT, TORT, STRICT LIABILITY, OTHER LAW OR OTHERWISE AND WHETHER OR NOT FROM ANY OTHER PARTYS SOLE, JOINT OR CONCURRENT NEGLIGENCE, STRICT LIABILITY OR OTHER FAULT.</w:t>
      </w:r>
    </w:p>
    <w:p>
      <w:pPr>
        <w:pStyle w:val="Heading3"/>
        <w:spacing w:before="0" w:after="0"/>
        <w:ind w:left="0" w:right="0" w:hanging="0"/>
        <w:jc w:val="left"/>
        <w:rPr/>
      </w:pPr>
      <w:r>
        <w:rPr/>
        <w:t> </w:t>
      </w:r>
    </w:p>
    <w:p>
      <w:pPr>
        <w:pStyle w:val="Heading1"/>
        <w:spacing w:before="0" w:after="0"/>
        <w:ind w:left="0" w:right="0" w:hanging="0"/>
        <w:rPr>
          <w:rFonts w:ascii="Times New Roman" w:hAnsi="Times New Roman"/>
          <w:b/>
          <w:sz w:val="17"/>
        </w:rPr>
      </w:pPr>
      <w:bookmarkStart w:id="218" w:name="Articlex_234621"/>
      <w:bookmarkEnd w:id="218"/>
      <w:r>
        <w:rPr>
          <w:rFonts w:ascii="Times New Roman" w:hAnsi="Times New Roman"/>
          <w:b/>
          <w:sz w:val="17"/>
        </w:rPr>
        <w:t>ARTICLE X</w:t>
      </w:r>
    </w:p>
    <w:p>
      <w:pPr>
        <w:pStyle w:val="TextBody"/>
        <w:spacing w:before="0" w:after="0"/>
        <w:ind w:left="0" w:right="0" w:hanging="0"/>
        <w:jc w:val="left"/>
        <w:rPr/>
      </w:pPr>
      <w:r>
        <w:rPr/>
        <w:t> </w:t>
      </w:r>
    </w:p>
    <w:p>
      <w:pPr>
        <w:pStyle w:val="Heading1"/>
        <w:spacing w:before="0" w:after="0"/>
        <w:ind w:left="0" w:right="0" w:hanging="0"/>
        <w:rPr>
          <w:rFonts w:ascii="Times New Roman" w:hAnsi="Times New Roman"/>
          <w:b/>
          <w:sz w:val="17"/>
        </w:rPr>
      </w:pPr>
      <w:r>
        <w:rPr>
          <w:rFonts w:ascii="Times New Roman" w:hAnsi="Times New Roman"/>
          <w:b/>
          <w:sz w:val="17"/>
        </w:rPr>
        <w:t>TERMINATION</w:t>
      </w:r>
    </w:p>
    <w:p>
      <w:pPr>
        <w:pStyle w:val="TextBody"/>
        <w:spacing w:before="0" w:after="0"/>
        <w:ind w:left="0" w:right="0" w:hanging="0"/>
        <w:jc w:val="left"/>
        <w:rPr/>
      </w:pPr>
      <w:r>
        <w:rPr/>
        <w:t> </w:t>
      </w:r>
    </w:p>
    <w:p>
      <w:pPr>
        <w:pStyle w:val="Heading2"/>
        <w:spacing w:before="0" w:after="0"/>
        <w:ind w:left="0" w:right="0" w:hanging="0"/>
        <w:jc w:val="left"/>
        <w:rPr>
          <w:rFonts w:ascii="Times New Roman" w:hAnsi="Times New Roman"/>
          <w:b w:val="false"/>
          <w:sz w:val="17"/>
        </w:rPr>
      </w:pPr>
      <w:bookmarkStart w:id="219" w:name="Section10_1_234618"/>
      <w:bookmarkEnd w:id="219"/>
      <w:r>
        <w:rPr>
          <w:rFonts w:ascii="Times New Roman" w:hAnsi="Times New Roman"/>
          <w:b w:val="false"/>
          <w:sz w:val="17"/>
        </w:rPr>
        <w:t xml:space="preserve">Section 10.1                                </w:t>
      </w:r>
      <w:r>
        <w:rPr>
          <w:rFonts w:ascii="Times New Roman" w:hAnsi="Times New Roman"/>
          <w:b w:val="false"/>
          <w:sz w:val="17"/>
          <w:u w:val="single"/>
        </w:rPr>
        <w:t>Termination</w:t>
      </w:r>
      <w:r>
        <w:rPr>
          <w:rFonts w:ascii="Times New Roman" w:hAnsi="Times New Roman"/>
          <w:b w:val="false"/>
          <w:sz w:val="17"/>
        </w:rPr>
        <w:t>.  At any time prior to the Closing, this Agreement may be terminated and the transactions contemplated hereby abandoned:</w:t>
      </w:r>
    </w:p>
    <w:p>
      <w:pPr>
        <w:pStyle w:val="Heading2"/>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(a)                                  by the mutual consent of Buyer and Seller as evidenced in writing signed by each of Buyer and Seller;</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74</w:t>
      </w:r>
    </w:p>
    <w:p>
      <w:pPr>
        <w:pStyle w:val="HorizontalLine"/>
        <w:pBdr>
          <w:bottom w:val="single" w:sz="12" w:space="0" w:color="808080"/>
        </w:pBdr>
        <w:spacing w:before="0" w:after="0"/>
        <w:jc w:val="left"/>
        <w:rPr/>
      </w:pPr>
      <w:r>
        <w:rPr/>
      </w:r>
      <w:r>
        <w:br w:type="page"/>
      </w:r>
    </w:p>
    <w:p>
      <w:pPr>
        <w:pStyle w:val="TextBody"/>
        <w:spacing w:before="0" w:after="0"/>
        <w:ind w:left="0" w:right="0" w:hanging="0"/>
        <w:jc w:val="center"/>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(b)                                 by Buyer, if there has been a material breach by Seller of any representation, warranty or covenant contained in this Agreement which has prevented the satisfaction of any condition to the obligations of Buyer at the Closing and, if such breach is of a character that it is capable of being cured, such breach has not been cured by Seller within thirty (30) days after written notice thereof from Buyer;</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(c)                                  by Seller, if there has been a material breach by Buyer of any representation, warranty or covenant contained in this Agreement which has prevented the satisfaction of any condition to the obligations of Seller at the Closing and, if such breach is of a character that it is capable of being cured, such breach has not been cured by Buyer within thirty (30) days after written notice thereof from Seller;</w:t>
      </w:r>
    </w:p>
    <w:p>
      <w:pPr>
        <w:pStyle w:val="Heading3"/>
        <w:spacing w:before="0" w:after="0"/>
        <w:ind w:left="0" w:right="0" w:hanging="0"/>
        <w:jc w:val="left"/>
        <w:rPr/>
      </w:pPr>
      <w:r>
        <w:rPr/>
        <w:t> </w:t>
      </w:r>
    </w:p>
    <w:p>
      <w:pPr>
        <w:pStyle w:val="Heading3"/>
        <w:spacing w:before="0" w:after="0"/>
        <w:ind w:left="0" w:right="0" w:hanging="0"/>
        <w:jc w:val="left"/>
        <w:rPr>
          <w:rFonts w:ascii="Times New Roman" w:hAnsi="Times New Roman"/>
          <w:b w:val="false"/>
          <w:sz w:val="17"/>
        </w:rPr>
      </w:pPr>
      <w:r>
        <w:rPr>
          <w:rFonts w:ascii="Times New Roman" w:hAnsi="Times New Roman"/>
          <w:b w:val="false"/>
          <w:sz w:val="17"/>
        </w:rPr>
        <w:t>(d)                                 by either Buyer or Seller:</w:t>
      </w:r>
    </w:p>
    <w:p>
      <w:pPr>
        <w:pStyle w:val="TextBody"/>
        <w:spacing w:before="0" w:after="0"/>
        <w:ind w:left="0" w:right="0" w:hanging="0"/>
        <w:jc w:val="left"/>
        <w:rPr/>
      </w:pPr>
      <w:r>
        <w:rPr/>
        <w:t> </w:t>
      </w:r>
    </w:p>
    <w:p>
      <w:pPr>
        <w:pStyle w:val="Heading4"/>
        <w:spacing w:before="0" w:after="0"/>
        <w:ind w:left="0" w:right="0" w:hanging="0"/>
        <w:jc w:val="left"/>
        <w:rPr>
          <w:rFonts w:ascii="Times New Roman" w:hAnsi="Times New Roman"/>
          <w:b w:val="false"/>
          <w:sz w:val="17"/>
        </w:rPr>
      </w:pPr>
      <w:r>
        <w:rPr>
          <w:rFonts w:ascii="Times New Roman" w:hAnsi="Times New Roman"/>
          <w:b w:val="false"/>
          <w:sz w:val="17"/>
        </w:rPr>
        <w:t>(i)                                     if any Governmental Authority having competent jurisdiction has issued a final, non-appealable order, decree, ruling or injunction (other than a temporary restraining order) or taken any other action permanently restraining, enjoining or otherwise prohibiting the transactions contemplated by this Agreement; or</w:t>
      </w:r>
    </w:p>
    <w:p>
      <w:pPr>
        <w:pStyle w:val="Heading4"/>
        <w:spacing w:before="0" w:after="0"/>
        <w:ind w:left="0" w:right="0" w:hanging="0"/>
        <w:jc w:val="left"/>
        <w:rPr/>
      </w:pPr>
      <w:r>
        <w:rPr/>
        <w:t> </w:t>
      </w:r>
    </w:p>
    <w:p>
      <w:pPr>
        <w:pStyle w:val="Heading4"/>
        <w:spacing w:before="0" w:after="0"/>
        <w:ind w:left="0" w:right="0" w:hanging="0"/>
        <w:jc w:val="left"/>
        <w:rPr>
          <w:rFonts w:ascii="Times New Roman" w:hAnsi="Times New Roman"/>
          <w:b w:val="false"/>
          <w:sz w:val="17"/>
        </w:rPr>
      </w:pPr>
      <w:r>
        <w:rPr>
          <w:rFonts w:ascii="Times New Roman" w:hAnsi="Times New Roman"/>
          <w:b w:val="false"/>
          <w:sz w:val="17"/>
        </w:rPr>
        <w:t xml:space="preserve">(ii)                                  if the Closing has not occurred (other than through the failure of any Party seeking to terminate this Agreement to comply fully with its obligations under this Agreement) on or before February 20, 2006 or such later date as the Parties may agree upon in writing; </w:t>
      </w:r>
      <w:r>
        <w:rPr>
          <w:rFonts w:ascii="Times New Roman" w:hAnsi="Times New Roman"/>
          <w:b w:val="false"/>
          <w:sz w:val="17"/>
          <w:u w:val="single"/>
        </w:rPr>
        <w:t>provided</w:t>
      </w:r>
      <w:r>
        <w:rPr>
          <w:rFonts w:ascii="Times New Roman" w:hAnsi="Times New Roman"/>
          <w:b w:val="false"/>
          <w:sz w:val="17"/>
        </w:rPr>
        <w:t xml:space="preserve"> that if the Closing has not occurred solely because any applicable waiting period under the HSR Act shall not have expired or terminated, such date shall be automatically extended to March 31, 2006.</w:t>
      </w:r>
    </w:p>
    <w:p>
      <w:pPr>
        <w:pStyle w:val="Heading4"/>
        <w:spacing w:before="0" w:after="0"/>
        <w:ind w:left="0" w:right="0" w:hanging="0"/>
        <w:jc w:val="left"/>
        <w:rPr/>
      </w:pPr>
      <w:r>
        <w:rPr/>
        <w:t> </w:t>
      </w:r>
    </w:p>
    <w:p>
      <w:pPr>
        <w:pStyle w:val="Heading2"/>
        <w:spacing w:before="0" w:after="0"/>
        <w:ind w:left="0" w:right="0" w:hanging="0"/>
        <w:jc w:val="left"/>
        <w:rPr>
          <w:rFonts w:ascii="Times New Roman" w:hAnsi="Times New Roman"/>
          <w:b w:val="false"/>
          <w:sz w:val="17"/>
        </w:rPr>
      </w:pPr>
      <w:bookmarkStart w:id="220" w:name="Section10_2_234624"/>
      <w:bookmarkEnd w:id="220"/>
      <w:r>
        <w:rPr>
          <w:rFonts w:ascii="Times New Roman" w:hAnsi="Times New Roman"/>
          <w:b w:val="false"/>
          <w:sz w:val="17"/>
        </w:rPr>
        <w:t xml:space="preserve">Section 10.2                                </w:t>
      </w:r>
      <w:r>
        <w:rPr>
          <w:rFonts w:ascii="Times New Roman" w:hAnsi="Times New Roman"/>
          <w:b w:val="false"/>
          <w:sz w:val="17"/>
          <w:u w:val="single"/>
        </w:rPr>
        <w:t>Effect of Termination</w:t>
      </w:r>
      <w:r>
        <w:rPr>
          <w:rFonts w:ascii="Times New Roman" w:hAnsi="Times New Roman"/>
          <w:b w:val="false"/>
          <w:sz w:val="17"/>
        </w:rPr>
        <w:t xml:space="preserve">.  In the event of termination and abandonment of this Agreement pursuant to </w:t>
      </w:r>
      <w:r>
        <w:rPr>
          <w:rFonts w:ascii="Times New Roman" w:hAnsi="Times New Roman"/>
          <w:b w:val="false"/>
          <w:sz w:val="17"/>
          <w:u w:val="single"/>
        </w:rPr>
        <w:t>Section 10.1</w:t>
      </w:r>
      <w:r>
        <w:rPr>
          <w:rFonts w:ascii="Times New Roman" w:hAnsi="Times New Roman"/>
          <w:b w:val="false"/>
          <w:sz w:val="17"/>
        </w:rPr>
        <w:t xml:space="preserve">, this Agreement shall forthwith become void and have no effect, without any liability on the part of any Party hereto; </w:t>
      </w:r>
      <w:r>
        <w:rPr>
          <w:rFonts w:ascii="Times New Roman" w:hAnsi="Times New Roman"/>
          <w:b w:val="false"/>
          <w:sz w:val="17"/>
          <w:u w:val="single"/>
        </w:rPr>
        <w:t>provided</w:t>
      </w:r>
      <w:r>
        <w:rPr>
          <w:rFonts w:ascii="Times New Roman" w:hAnsi="Times New Roman"/>
          <w:b w:val="false"/>
          <w:sz w:val="17"/>
        </w:rPr>
        <w:t xml:space="preserve"> that in the event of termination and abandonment of this Agreement pursuant to </w:t>
      </w:r>
      <w:r>
        <w:rPr>
          <w:rFonts w:ascii="Times New Roman" w:hAnsi="Times New Roman"/>
          <w:b w:val="false"/>
          <w:sz w:val="17"/>
          <w:u w:val="single"/>
        </w:rPr>
        <w:t>Section 10.1(c)</w:t>
      </w:r>
      <w:r>
        <w:rPr>
          <w:rFonts w:ascii="Times New Roman" w:hAnsi="Times New Roman"/>
          <w:b w:val="false"/>
          <w:sz w:val="17"/>
        </w:rPr>
        <w:t xml:space="preserve">, Buyer shall pay to Seller, by wire transfer of immediately available funds, a termination fee of Ten Million Dollars ($10,000,000) as liquidated damages and as the sole and exclusive remedy for such breach.  The provisions of </w:t>
      </w:r>
      <w:r>
        <w:rPr>
          <w:rFonts w:ascii="Times New Roman" w:hAnsi="Times New Roman"/>
          <w:b w:val="false"/>
          <w:sz w:val="17"/>
          <w:u w:val="single"/>
        </w:rPr>
        <w:t>Sections 6.12</w:t>
      </w:r>
      <w:r>
        <w:rPr>
          <w:rFonts w:ascii="Times New Roman" w:hAnsi="Times New Roman"/>
          <w:b w:val="false"/>
          <w:sz w:val="17"/>
        </w:rPr>
        <w:t xml:space="preserve">, </w:t>
      </w:r>
      <w:r>
        <w:rPr>
          <w:rFonts w:ascii="Times New Roman" w:hAnsi="Times New Roman"/>
          <w:b w:val="false"/>
          <w:sz w:val="17"/>
          <w:u w:val="single"/>
        </w:rPr>
        <w:t>6.13</w:t>
      </w:r>
      <w:r>
        <w:rPr>
          <w:rFonts w:ascii="Times New Roman" w:hAnsi="Times New Roman"/>
          <w:b w:val="false"/>
          <w:sz w:val="17"/>
        </w:rPr>
        <w:t xml:space="preserve">, </w:t>
      </w:r>
      <w:r>
        <w:rPr>
          <w:rFonts w:ascii="Times New Roman" w:hAnsi="Times New Roman"/>
          <w:b w:val="false"/>
          <w:sz w:val="17"/>
          <w:u w:val="single"/>
        </w:rPr>
        <w:t>11.1</w:t>
      </w:r>
      <w:r>
        <w:rPr>
          <w:rFonts w:ascii="Times New Roman" w:hAnsi="Times New Roman"/>
          <w:b w:val="false"/>
          <w:sz w:val="17"/>
        </w:rPr>
        <w:t xml:space="preserve">, </w:t>
      </w:r>
      <w:r>
        <w:rPr>
          <w:rFonts w:ascii="Times New Roman" w:hAnsi="Times New Roman"/>
          <w:b w:val="false"/>
          <w:sz w:val="17"/>
          <w:u w:val="single"/>
        </w:rPr>
        <w:t>11.4</w:t>
      </w:r>
      <w:r>
        <w:rPr>
          <w:rFonts w:ascii="Times New Roman" w:hAnsi="Times New Roman"/>
          <w:b w:val="false"/>
          <w:sz w:val="17"/>
        </w:rPr>
        <w:t xml:space="preserve">, </w:t>
      </w:r>
      <w:r>
        <w:rPr>
          <w:rFonts w:ascii="Times New Roman" w:hAnsi="Times New Roman"/>
          <w:b w:val="false"/>
          <w:sz w:val="17"/>
          <w:u w:val="single"/>
        </w:rPr>
        <w:t>11.8</w:t>
      </w:r>
      <w:r>
        <w:rPr>
          <w:rFonts w:ascii="Times New Roman" w:hAnsi="Times New Roman"/>
          <w:b w:val="false"/>
          <w:sz w:val="17"/>
        </w:rPr>
        <w:t xml:space="preserve">, </w:t>
      </w:r>
      <w:r>
        <w:rPr>
          <w:rFonts w:ascii="Times New Roman" w:hAnsi="Times New Roman"/>
          <w:b w:val="false"/>
          <w:sz w:val="17"/>
          <w:u w:val="single"/>
        </w:rPr>
        <w:t>11.10</w:t>
      </w:r>
      <w:r>
        <w:rPr>
          <w:rFonts w:ascii="Times New Roman" w:hAnsi="Times New Roman"/>
          <w:b w:val="false"/>
          <w:sz w:val="17"/>
        </w:rPr>
        <w:t xml:space="preserve"> and </w:t>
      </w:r>
      <w:r>
        <w:rPr>
          <w:rFonts w:ascii="Times New Roman" w:hAnsi="Times New Roman"/>
          <w:b w:val="false"/>
          <w:sz w:val="17"/>
          <w:u w:val="single"/>
        </w:rPr>
        <w:t>11.11</w:t>
      </w:r>
      <w:r>
        <w:rPr>
          <w:rFonts w:ascii="Times New Roman" w:hAnsi="Times New Roman"/>
          <w:b w:val="false"/>
          <w:sz w:val="17"/>
        </w:rPr>
        <w:t xml:space="preserve"> shall survive any termination of this Agreement.</w:t>
      </w:r>
    </w:p>
    <w:p>
      <w:pPr>
        <w:pStyle w:val="Heading2"/>
        <w:spacing w:before="0" w:after="0"/>
        <w:ind w:left="0" w:right="0" w:hanging="0"/>
        <w:jc w:val="left"/>
        <w:rPr/>
      </w:pPr>
      <w:r>
        <w:rPr/>
        <w:t> </w:t>
      </w:r>
    </w:p>
    <w:p>
      <w:pPr>
        <w:pStyle w:val="Heading1"/>
        <w:spacing w:before="0" w:after="0"/>
        <w:ind w:left="0" w:right="0" w:hanging="0"/>
        <w:rPr>
          <w:rFonts w:ascii="Times New Roman" w:hAnsi="Times New Roman"/>
          <w:b/>
          <w:sz w:val="17"/>
        </w:rPr>
      </w:pPr>
      <w:bookmarkStart w:id="221" w:name="Articlexi_234625"/>
      <w:bookmarkEnd w:id="221"/>
      <w:r>
        <w:rPr>
          <w:rFonts w:ascii="Times New Roman" w:hAnsi="Times New Roman"/>
          <w:b/>
          <w:sz w:val="17"/>
        </w:rPr>
        <w:t>ARTICLE XI</w:t>
      </w:r>
    </w:p>
    <w:p>
      <w:pPr>
        <w:pStyle w:val="TextBody"/>
        <w:spacing w:before="0" w:after="0"/>
        <w:ind w:left="0" w:right="0" w:hanging="0"/>
        <w:jc w:val="left"/>
        <w:rPr/>
      </w:pPr>
      <w:r>
        <w:rPr/>
        <w:t> </w:t>
      </w:r>
    </w:p>
    <w:p>
      <w:pPr>
        <w:pStyle w:val="Heading1"/>
        <w:spacing w:before="0" w:after="0"/>
        <w:ind w:left="0" w:right="0" w:hanging="0"/>
        <w:rPr>
          <w:rFonts w:ascii="Times New Roman" w:hAnsi="Times New Roman"/>
          <w:b/>
          <w:sz w:val="17"/>
        </w:rPr>
      </w:pPr>
      <w:r>
        <w:rPr>
          <w:rFonts w:ascii="Times New Roman" w:hAnsi="Times New Roman"/>
          <w:b/>
          <w:sz w:val="17"/>
        </w:rPr>
        <w:t>MISCELLANEOUS</w:t>
      </w:r>
    </w:p>
    <w:p>
      <w:pPr>
        <w:pStyle w:val="TextBody"/>
        <w:spacing w:before="0" w:after="0"/>
        <w:ind w:left="0" w:right="0" w:hanging="0"/>
        <w:jc w:val="left"/>
        <w:rPr/>
      </w:pPr>
      <w:r>
        <w:rPr/>
        <w:t> </w:t>
      </w:r>
    </w:p>
    <w:p>
      <w:pPr>
        <w:pStyle w:val="Heading2"/>
        <w:spacing w:before="0" w:after="0"/>
        <w:ind w:left="0" w:right="0" w:hanging="0"/>
        <w:jc w:val="left"/>
        <w:rPr>
          <w:rFonts w:ascii="Times New Roman" w:hAnsi="Times New Roman"/>
          <w:b w:val="false"/>
          <w:sz w:val="17"/>
        </w:rPr>
      </w:pPr>
      <w:bookmarkStart w:id="222" w:name="Section11_1_234628"/>
      <w:bookmarkEnd w:id="222"/>
      <w:r>
        <w:rPr>
          <w:rFonts w:ascii="Times New Roman" w:hAnsi="Times New Roman"/>
          <w:b w:val="false"/>
          <w:sz w:val="17"/>
        </w:rPr>
        <w:t xml:space="preserve">Section 11.1                                </w:t>
      </w:r>
      <w:r>
        <w:rPr>
          <w:rFonts w:ascii="Times New Roman" w:hAnsi="Times New Roman"/>
          <w:b w:val="false"/>
          <w:sz w:val="17"/>
          <w:u w:val="single"/>
        </w:rPr>
        <w:t>Notices</w:t>
      </w:r>
      <w:r>
        <w:rPr>
          <w:rFonts w:ascii="Times New Roman" w:hAnsi="Times New Roman"/>
          <w:b w:val="false"/>
          <w:sz w:val="17"/>
        </w:rPr>
        <w:t>.  All notices and other communications required or permitted hereunder will be in writing and, unless otherwise provided in this Agreement, will be deemed to have been duly given when delivered in person or when dispatched by electronic facsimile transfer (confirmed in writing by mail simultaneously dispatched) or one (1) Business Day after having been dispatched by a nationally recognized overnight courier service to the appropriate party at the address specified below:</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75</w:t>
      </w:r>
    </w:p>
    <w:p>
      <w:pPr>
        <w:pStyle w:val="HorizontalLine"/>
        <w:pBdr>
          <w:bottom w:val="single" w:sz="12" w:space="0" w:color="808080"/>
        </w:pBdr>
        <w:spacing w:before="0" w:after="0"/>
        <w:jc w:val="left"/>
        <w:rPr/>
      </w:pPr>
      <w:r>
        <w:rPr/>
      </w:r>
      <w:r>
        <w:br w:type="page"/>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1353"/>
        <w:gridCol w:w="625"/>
        <w:gridCol w:w="8227"/>
      </w:tblGrid>
      <w:tr>
        <w:trPr/>
        <w:tc>
          <w:tcPr>
            <w:tcW w:w="1353" w:type="dxa"/>
            <w:tcBorders/>
            <w:shd w:fill="auto" w:val="clear"/>
          </w:tcPr>
          <w:p>
            <w:pPr>
              <w:pStyle w:val="TableContents"/>
              <w:spacing w:before="0" w:after="0"/>
              <w:ind w:left="0" w:right="0" w:hanging="0"/>
              <w:jc w:val="left"/>
              <w:rPr/>
            </w:pPr>
            <w:bookmarkStart w:id="223" w:name="TableHead"/>
            <w:bookmarkEnd w:id="223"/>
            <w:r>
              <w:rPr/>
              <w:t> </w:t>
            </w:r>
          </w:p>
        </w:tc>
        <w:tc>
          <w:tcPr>
            <w:tcW w:w="625"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(a)</w:t>
            </w:r>
          </w:p>
        </w:tc>
        <w:tc>
          <w:tcPr>
            <w:tcW w:w="8227"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If to Buyer, to:</w:t>
            </w:r>
          </w:p>
        </w:tc>
      </w:tr>
      <w:tr>
        <w:trPr/>
        <w:tc>
          <w:tcPr>
            <w:tcW w:w="1353" w:type="dxa"/>
            <w:tcBorders/>
            <w:shd w:fill="auto" w:val="clear"/>
          </w:tcPr>
          <w:p>
            <w:pPr>
              <w:pStyle w:val="TableContents"/>
              <w:spacing w:before="0" w:after="0"/>
              <w:ind w:left="0" w:right="0" w:hanging="0"/>
              <w:jc w:val="left"/>
              <w:rPr/>
            </w:pPr>
            <w:r>
              <w:rPr/>
              <w:t> </w:t>
            </w:r>
          </w:p>
        </w:tc>
        <w:tc>
          <w:tcPr>
            <w:tcW w:w="625" w:type="dxa"/>
            <w:tcBorders/>
            <w:shd w:fill="auto" w:val="clear"/>
            <w:vAlign w:val="bottom"/>
          </w:tcPr>
          <w:p>
            <w:pPr>
              <w:pStyle w:val="TableContents"/>
              <w:spacing w:before="0" w:after="0"/>
              <w:ind w:left="0" w:right="0" w:hanging="0"/>
              <w:jc w:val="left"/>
              <w:rPr/>
            </w:pPr>
            <w:r>
              <w:rPr/>
              <w:t> </w:t>
            </w:r>
          </w:p>
        </w:tc>
        <w:tc>
          <w:tcPr>
            <w:tcW w:w="8227" w:type="dxa"/>
            <w:tcBorders/>
            <w:shd w:fill="auto" w:val="clear"/>
          </w:tcPr>
          <w:p>
            <w:pPr>
              <w:pStyle w:val="TableContents"/>
              <w:spacing w:before="0" w:after="0"/>
              <w:ind w:left="0" w:right="0" w:hanging="0"/>
              <w:jc w:val="left"/>
              <w:rPr/>
            </w:pPr>
            <w:r>
              <w:rPr/>
              <w:t> </w:t>
            </w:r>
          </w:p>
        </w:tc>
      </w:tr>
      <w:tr>
        <w:trPr/>
        <w:tc>
          <w:tcPr>
            <w:tcW w:w="1353" w:type="dxa"/>
            <w:tcBorders/>
            <w:shd w:fill="auto" w:val="clear"/>
          </w:tcPr>
          <w:p>
            <w:pPr>
              <w:pStyle w:val="TableContents"/>
              <w:spacing w:before="0" w:after="0"/>
              <w:ind w:left="0" w:right="0" w:hanging="0"/>
              <w:jc w:val="left"/>
              <w:rPr/>
            </w:pPr>
            <w:r>
              <w:rPr/>
              <w:t> </w:t>
            </w:r>
          </w:p>
        </w:tc>
        <w:tc>
          <w:tcPr>
            <w:tcW w:w="625" w:type="dxa"/>
            <w:tcBorders/>
            <w:shd w:fill="auto" w:val="clear"/>
            <w:vAlign w:val="bottom"/>
          </w:tcPr>
          <w:p>
            <w:pPr>
              <w:pStyle w:val="TableContents"/>
              <w:spacing w:before="0" w:after="0"/>
              <w:ind w:left="0" w:right="0" w:hanging="0"/>
              <w:jc w:val="left"/>
              <w:rPr/>
            </w:pPr>
            <w:r>
              <w:rPr/>
              <w:t> </w:t>
            </w:r>
          </w:p>
        </w:tc>
        <w:tc>
          <w:tcPr>
            <w:tcW w:w="8227"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Paul G. Allen c/o Vulcan Inc.</w:t>
            </w:r>
          </w:p>
        </w:tc>
      </w:tr>
      <w:tr>
        <w:trPr/>
        <w:tc>
          <w:tcPr>
            <w:tcW w:w="1353" w:type="dxa"/>
            <w:tcBorders/>
            <w:shd w:fill="auto" w:val="clear"/>
          </w:tcPr>
          <w:p>
            <w:pPr>
              <w:pStyle w:val="TableContents"/>
              <w:spacing w:before="0" w:after="0"/>
              <w:ind w:left="0" w:right="0" w:hanging="0"/>
              <w:jc w:val="left"/>
              <w:rPr/>
            </w:pPr>
            <w:r>
              <w:rPr/>
              <w:t> </w:t>
            </w:r>
          </w:p>
        </w:tc>
        <w:tc>
          <w:tcPr>
            <w:tcW w:w="625" w:type="dxa"/>
            <w:tcBorders/>
            <w:shd w:fill="auto" w:val="clear"/>
            <w:vAlign w:val="bottom"/>
          </w:tcPr>
          <w:p>
            <w:pPr>
              <w:pStyle w:val="TableContents"/>
              <w:spacing w:before="0" w:after="0"/>
              <w:ind w:left="0" w:right="0" w:hanging="0"/>
              <w:jc w:val="left"/>
              <w:rPr/>
            </w:pPr>
            <w:r>
              <w:rPr/>
              <w:t> </w:t>
            </w:r>
          </w:p>
        </w:tc>
        <w:tc>
          <w:tcPr>
            <w:tcW w:w="8227"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505 Fifth Avenue South</w:t>
            </w:r>
          </w:p>
        </w:tc>
      </w:tr>
      <w:tr>
        <w:trPr/>
        <w:tc>
          <w:tcPr>
            <w:tcW w:w="1353" w:type="dxa"/>
            <w:tcBorders/>
            <w:shd w:fill="auto" w:val="clear"/>
          </w:tcPr>
          <w:p>
            <w:pPr>
              <w:pStyle w:val="TableContents"/>
              <w:spacing w:before="0" w:after="0"/>
              <w:ind w:left="0" w:right="0" w:hanging="0"/>
              <w:jc w:val="left"/>
              <w:rPr/>
            </w:pPr>
            <w:r>
              <w:rPr/>
              <w:t> </w:t>
            </w:r>
          </w:p>
        </w:tc>
        <w:tc>
          <w:tcPr>
            <w:tcW w:w="625" w:type="dxa"/>
            <w:tcBorders/>
            <w:shd w:fill="auto" w:val="clear"/>
            <w:vAlign w:val="bottom"/>
          </w:tcPr>
          <w:p>
            <w:pPr>
              <w:pStyle w:val="TableContents"/>
              <w:spacing w:before="0" w:after="0"/>
              <w:ind w:left="0" w:right="0" w:hanging="0"/>
              <w:jc w:val="left"/>
              <w:rPr/>
            </w:pPr>
            <w:r>
              <w:rPr/>
              <w:t> </w:t>
            </w:r>
          </w:p>
        </w:tc>
        <w:tc>
          <w:tcPr>
            <w:tcW w:w="8227"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Suite 900</w:t>
            </w:r>
          </w:p>
        </w:tc>
      </w:tr>
      <w:tr>
        <w:trPr/>
        <w:tc>
          <w:tcPr>
            <w:tcW w:w="1353" w:type="dxa"/>
            <w:tcBorders/>
            <w:shd w:fill="auto" w:val="clear"/>
          </w:tcPr>
          <w:p>
            <w:pPr>
              <w:pStyle w:val="TableContents"/>
              <w:spacing w:before="0" w:after="0"/>
              <w:ind w:left="0" w:right="0" w:hanging="0"/>
              <w:jc w:val="left"/>
              <w:rPr/>
            </w:pPr>
            <w:r>
              <w:rPr/>
              <w:t> </w:t>
            </w:r>
          </w:p>
        </w:tc>
        <w:tc>
          <w:tcPr>
            <w:tcW w:w="625" w:type="dxa"/>
            <w:tcBorders/>
            <w:shd w:fill="auto" w:val="clear"/>
            <w:vAlign w:val="bottom"/>
          </w:tcPr>
          <w:p>
            <w:pPr>
              <w:pStyle w:val="TableContents"/>
              <w:spacing w:before="0" w:after="0"/>
              <w:ind w:left="0" w:right="0" w:hanging="0"/>
              <w:jc w:val="left"/>
              <w:rPr/>
            </w:pPr>
            <w:r>
              <w:rPr/>
              <w:t> </w:t>
            </w:r>
          </w:p>
        </w:tc>
        <w:tc>
          <w:tcPr>
            <w:tcW w:w="8227"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Seattle, WA 98104</w:t>
            </w:r>
          </w:p>
        </w:tc>
      </w:tr>
      <w:tr>
        <w:trPr/>
        <w:tc>
          <w:tcPr>
            <w:tcW w:w="1353" w:type="dxa"/>
            <w:tcBorders/>
            <w:shd w:fill="auto" w:val="clear"/>
          </w:tcPr>
          <w:p>
            <w:pPr>
              <w:pStyle w:val="TableContents"/>
              <w:spacing w:before="0" w:after="0"/>
              <w:ind w:left="0" w:right="0" w:hanging="0"/>
              <w:jc w:val="left"/>
              <w:rPr/>
            </w:pPr>
            <w:r>
              <w:rPr/>
              <w:t> </w:t>
            </w:r>
          </w:p>
        </w:tc>
        <w:tc>
          <w:tcPr>
            <w:tcW w:w="625" w:type="dxa"/>
            <w:tcBorders/>
            <w:shd w:fill="auto" w:val="clear"/>
            <w:vAlign w:val="bottom"/>
          </w:tcPr>
          <w:p>
            <w:pPr>
              <w:pStyle w:val="TableContents"/>
              <w:spacing w:before="0" w:after="0"/>
              <w:ind w:left="0" w:right="0" w:hanging="0"/>
              <w:jc w:val="left"/>
              <w:rPr/>
            </w:pPr>
            <w:r>
              <w:rPr/>
              <w:t> </w:t>
            </w:r>
          </w:p>
        </w:tc>
        <w:tc>
          <w:tcPr>
            <w:tcW w:w="8227"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Attention: David N. Capobianco</w:t>
            </w:r>
          </w:p>
        </w:tc>
      </w:tr>
      <w:tr>
        <w:trPr/>
        <w:tc>
          <w:tcPr>
            <w:tcW w:w="1353" w:type="dxa"/>
            <w:tcBorders/>
            <w:shd w:fill="auto" w:val="clear"/>
          </w:tcPr>
          <w:p>
            <w:pPr>
              <w:pStyle w:val="TableContents"/>
              <w:spacing w:before="0" w:after="0"/>
              <w:ind w:left="0" w:right="0" w:hanging="0"/>
              <w:jc w:val="left"/>
              <w:rPr/>
            </w:pPr>
            <w:r>
              <w:rPr/>
              <w:t> </w:t>
            </w:r>
          </w:p>
        </w:tc>
        <w:tc>
          <w:tcPr>
            <w:tcW w:w="625" w:type="dxa"/>
            <w:tcBorders/>
            <w:shd w:fill="auto" w:val="clear"/>
            <w:vAlign w:val="bottom"/>
          </w:tcPr>
          <w:p>
            <w:pPr>
              <w:pStyle w:val="TableContents"/>
              <w:spacing w:before="0" w:after="0"/>
              <w:ind w:left="0" w:right="0" w:hanging="0"/>
              <w:jc w:val="left"/>
              <w:rPr/>
            </w:pPr>
            <w:r>
              <w:rPr/>
              <w:t> </w:t>
            </w:r>
          </w:p>
        </w:tc>
        <w:tc>
          <w:tcPr>
            <w:tcW w:w="8227"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Telephone: 206-342-2000</w:t>
            </w:r>
          </w:p>
        </w:tc>
      </w:tr>
      <w:tr>
        <w:trPr/>
        <w:tc>
          <w:tcPr>
            <w:tcW w:w="1353" w:type="dxa"/>
            <w:tcBorders/>
            <w:shd w:fill="auto" w:val="clear"/>
          </w:tcPr>
          <w:p>
            <w:pPr>
              <w:pStyle w:val="TableContents"/>
              <w:spacing w:before="0" w:after="0"/>
              <w:ind w:left="0" w:right="0" w:hanging="0"/>
              <w:jc w:val="left"/>
              <w:rPr/>
            </w:pPr>
            <w:r>
              <w:rPr/>
              <w:t> </w:t>
            </w:r>
          </w:p>
        </w:tc>
        <w:tc>
          <w:tcPr>
            <w:tcW w:w="625" w:type="dxa"/>
            <w:tcBorders/>
            <w:shd w:fill="auto" w:val="clear"/>
            <w:vAlign w:val="bottom"/>
          </w:tcPr>
          <w:p>
            <w:pPr>
              <w:pStyle w:val="TableContents"/>
              <w:spacing w:before="0" w:after="0"/>
              <w:ind w:left="0" w:right="0" w:hanging="0"/>
              <w:jc w:val="left"/>
              <w:rPr/>
            </w:pPr>
            <w:r>
              <w:rPr/>
              <w:t> </w:t>
            </w:r>
          </w:p>
        </w:tc>
        <w:tc>
          <w:tcPr>
            <w:tcW w:w="8227"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Facsimile: 206-342-3000</w:t>
            </w:r>
          </w:p>
        </w:tc>
      </w:tr>
      <w:tr>
        <w:trPr/>
        <w:tc>
          <w:tcPr>
            <w:tcW w:w="1353" w:type="dxa"/>
            <w:tcBorders/>
            <w:shd w:fill="auto" w:val="clear"/>
          </w:tcPr>
          <w:p>
            <w:pPr>
              <w:pStyle w:val="TableContents"/>
              <w:spacing w:before="0" w:after="0"/>
              <w:ind w:left="0" w:right="0" w:hanging="0"/>
              <w:jc w:val="left"/>
              <w:rPr/>
            </w:pPr>
            <w:r>
              <w:rPr/>
              <w:t> </w:t>
            </w:r>
          </w:p>
        </w:tc>
        <w:tc>
          <w:tcPr>
            <w:tcW w:w="625" w:type="dxa"/>
            <w:tcBorders/>
            <w:shd w:fill="auto" w:val="clear"/>
            <w:vAlign w:val="bottom"/>
          </w:tcPr>
          <w:p>
            <w:pPr>
              <w:pStyle w:val="TableContents"/>
              <w:spacing w:before="0" w:after="0"/>
              <w:ind w:left="0" w:right="0" w:hanging="0"/>
              <w:jc w:val="left"/>
              <w:rPr/>
            </w:pPr>
            <w:r>
              <w:rPr/>
              <w:t> </w:t>
            </w:r>
          </w:p>
        </w:tc>
        <w:tc>
          <w:tcPr>
            <w:tcW w:w="8227" w:type="dxa"/>
            <w:tcBorders/>
            <w:shd w:fill="auto" w:val="clear"/>
          </w:tcPr>
          <w:p>
            <w:pPr>
              <w:pStyle w:val="TableContents"/>
              <w:spacing w:before="0" w:after="0"/>
              <w:ind w:left="0" w:right="0" w:hanging="0"/>
              <w:jc w:val="left"/>
              <w:rPr/>
            </w:pPr>
            <w:r>
              <w:rPr/>
              <w:t> </w:t>
            </w:r>
          </w:p>
        </w:tc>
      </w:tr>
      <w:tr>
        <w:trPr/>
        <w:tc>
          <w:tcPr>
            <w:tcW w:w="1353" w:type="dxa"/>
            <w:tcBorders/>
            <w:shd w:fill="auto" w:val="clear"/>
          </w:tcPr>
          <w:p>
            <w:pPr>
              <w:pStyle w:val="TableContents"/>
              <w:spacing w:before="0" w:after="0"/>
              <w:ind w:left="0" w:right="0" w:hanging="0"/>
              <w:jc w:val="left"/>
              <w:rPr/>
            </w:pPr>
            <w:r>
              <w:rPr/>
              <w:t> </w:t>
            </w:r>
          </w:p>
        </w:tc>
        <w:tc>
          <w:tcPr>
            <w:tcW w:w="625" w:type="dxa"/>
            <w:tcBorders/>
            <w:shd w:fill="auto" w:val="clear"/>
            <w:vAlign w:val="bottom"/>
          </w:tcPr>
          <w:p>
            <w:pPr>
              <w:pStyle w:val="TableContents"/>
              <w:spacing w:before="0" w:after="0"/>
              <w:ind w:left="0" w:right="0" w:hanging="0"/>
              <w:jc w:val="left"/>
              <w:rPr/>
            </w:pPr>
            <w:r>
              <w:rPr/>
              <w:t> </w:t>
            </w:r>
          </w:p>
        </w:tc>
        <w:tc>
          <w:tcPr>
            <w:tcW w:w="8227"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and</w:t>
            </w:r>
          </w:p>
        </w:tc>
      </w:tr>
      <w:tr>
        <w:trPr/>
        <w:tc>
          <w:tcPr>
            <w:tcW w:w="1353" w:type="dxa"/>
            <w:tcBorders/>
            <w:shd w:fill="auto" w:val="clear"/>
          </w:tcPr>
          <w:p>
            <w:pPr>
              <w:pStyle w:val="TableContents"/>
              <w:spacing w:before="0" w:after="0"/>
              <w:ind w:left="0" w:right="0" w:hanging="0"/>
              <w:jc w:val="left"/>
              <w:rPr/>
            </w:pPr>
            <w:r>
              <w:rPr/>
              <w:t> </w:t>
            </w:r>
          </w:p>
        </w:tc>
        <w:tc>
          <w:tcPr>
            <w:tcW w:w="625" w:type="dxa"/>
            <w:tcBorders/>
            <w:shd w:fill="auto" w:val="clear"/>
            <w:vAlign w:val="bottom"/>
          </w:tcPr>
          <w:p>
            <w:pPr>
              <w:pStyle w:val="TableContents"/>
              <w:spacing w:before="0" w:after="0"/>
              <w:ind w:left="0" w:right="0" w:hanging="0"/>
              <w:jc w:val="left"/>
              <w:rPr/>
            </w:pPr>
            <w:r>
              <w:rPr/>
              <w:t> </w:t>
            </w:r>
          </w:p>
        </w:tc>
        <w:tc>
          <w:tcPr>
            <w:tcW w:w="8227" w:type="dxa"/>
            <w:tcBorders/>
            <w:shd w:fill="auto" w:val="clear"/>
          </w:tcPr>
          <w:p>
            <w:pPr>
              <w:pStyle w:val="TableContents"/>
              <w:spacing w:before="0" w:after="0"/>
              <w:ind w:left="0" w:right="0" w:hanging="0"/>
              <w:jc w:val="left"/>
              <w:rPr/>
            </w:pPr>
            <w:r>
              <w:rPr/>
              <w:t> </w:t>
            </w:r>
          </w:p>
        </w:tc>
      </w:tr>
      <w:tr>
        <w:trPr/>
        <w:tc>
          <w:tcPr>
            <w:tcW w:w="1353" w:type="dxa"/>
            <w:tcBorders/>
            <w:shd w:fill="auto" w:val="clear"/>
          </w:tcPr>
          <w:p>
            <w:pPr>
              <w:pStyle w:val="TableContents"/>
              <w:spacing w:before="0" w:after="0"/>
              <w:ind w:left="0" w:right="0" w:hanging="0"/>
              <w:jc w:val="left"/>
              <w:rPr/>
            </w:pPr>
            <w:r>
              <w:rPr/>
              <w:t> </w:t>
            </w:r>
          </w:p>
        </w:tc>
        <w:tc>
          <w:tcPr>
            <w:tcW w:w="625" w:type="dxa"/>
            <w:tcBorders/>
            <w:shd w:fill="auto" w:val="clear"/>
            <w:vAlign w:val="bottom"/>
          </w:tcPr>
          <w:p>
            <w:pPr>
              <w:pStyle w:val="TableContents"/>
              <w:spacing w:before="0" w:after="0"/>
              <w:ind w:left="0" w:right="0" w:hanging="0"/>
              <w:jc w:val="left"/>
              <w:rPr/>
            </w:pPr>
            <w:r>
              <w:rPr/>
              <w:t> </w:t>
            </w:r>
          </w:p>
        </w:tc>
        <w:tc>
          <w:tcPr>
            <w:tcW w:w="8227"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Plains All American Pipeline, L.P.</w:t>
            </w:r>
          </w:p>
        </w:tc>
      </w:tr>
      <w:tr>
        <w:trPr/>
        <w:tc>
          <w:tcPr>
            <w:tcW w:w="1353" w:type="dxa"/>
            <w:tcBorders/>
            <w:shd w:fill="auto" w:val="clear"/>
          </w:tcPr>
          <w:p>
            <w:pPr>
              <w:pStyle w:val="TableContents"/>
              <w:spacing w:before="0" w:after="0"/>
              <w:ind w:left="0" w:right="0" w:hanging="0"/>
              <w:jc w:val="left"/>
              <w:rPr/>
            </w:pPr>
            <w:r>
              <w:rPr/>
              <w:t> </w:t>
            </w:r>
          </w:p>
        </w:tc>
        <w:tc>
          <w:tcPr>
            <w:tcW w:w="625" w:type="dxa"/>
            <w:tcBorders/>
            <w:shd w:fill="auto" w:val="clear"/>
            <w:vAlign w:val="bottom"/>
          </w:tcPr>
          <w:p>
            <w:pPr>
              <w:pStyle w:val="TableContents"/>
              <w:spacing w:before="0" w:after="0"/>
              <w:ind w:left="0" w:right="0" w:hanging="0"/>
              <w:jc w:val="left"/>
              <w:rPr/>
            </w:pPr>
            <w:r>
              <w:rPr/>
              <w:t> </w:t>
            </w:r>
          </w:p>
        </w:tc>
        <w:tc>
          <w:tcPr>
            <w:tcW w:w="8227"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333 Clay Street, Suite 1600</w:t>
            </w:r>
          </w:p>
        </w:tc>
      </w:tr>
      <w:tr>
        <w:trPr/>
        <w:tc>
          <w:tcPr>
            <w:tcW w:w="1353" w:type="dxa"/>
            <w:tcBorders/>
            <w:shd w:fill="auto" w:val="clear"/>
          </w:tcPr>
          <w:p>
            <w:pPr>
              <w:pStyle w:val="TableContents"/>
              <w:spacing w:before="0" w:after="0"/>
              <w:ind w:left="0" w:right="0" w:hanging="0"/>
              <w:jc w:val="left"/>
              <w:rPr/>
            </w:pPr>
            <w:r>
              <w:rPr/>
              <w:t> </w:t>
            </w:r>
          </w:p>
        </w:tc>
        <w:tc>
          <w:tcPr>
            <w:tcW w:w="625" w:type="dxa"/>
            <w:tcBorders/>
            <w:shd w:fill="auto" w:val="clear"/>
            <w:vAlign w:val="bottom"/>
          </w:tcPr>
          <w:p>
            <w:pPr>
              <w:pStyle w:val="TableContents"/>
              <w:spacing w:before="0" w:after="0"/>
              <w:ind w:left="0" w:right="0" w:hanging="0"/>
              <w:jc w:val="left"/>
              <w:rPr/>
            </w:pPr>
            <w:r>
              <w:rPr/>
              <w:t> </w:t>
            </w:r>
          </w:p>
        </w:tc>
        <w:tc>
          <w:tcPr>
            <w:tcW w:w="8227"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Houston, TX 77002</w:t>
            </w:r>
          </w:p>
        </w:tc>
      </w:tr>
      <w:tr>
        <w:trPr/>
        <w:tc>
          <w:tcPr>
            <w:tcW w:w="1353" w:type="dxa"/>
            <w:tcBorders/>
            <w:shd w:fill="auto" w:val="clear"/>
          </w:tcPr>
          <w:p>
            <w:pPr>
              <w:pStyle w:val="TableContents"/>
              <w:spacing w:before="0" w:after="0"/>
              <w:ind w:left="0" w:right="0" w:hanging="0"/>
              <w:jc w:val="left"/>
              <w:rPr/>
            </w:pPr>
            <w:r>
              <w:rPr/>
              <w:t> </w:t>
            </w:r>
          </w:p>
        </w:tc>
        <w:tc>
          <w:tcPr>
            <w:tcW w:w="625" w:type="dxa"/>
            <w:tcBorders/>
            <w:shd w:fill="auto" w:val="clear"/>
            <w:vAlign w:val="bottom"/>
          </w:tcPr>
          <w:p>
            <w:pPr>
              <w:pStyle w:val="TableContents"/>
              <w:spacing w:before="0" w:after="0"/>
              <w:ind w:left="0" w:right="0" w:hanging="0"/>
              <w:jc w:val="left"/>
              <w:rPr/>
            </w:pPr>
            <w:r>
              <w:rPr/>
              <w:t> </w:t>
            </w:r>
          </w:p>
        </w:tc>
        <w:tc>
          <w:tcPr>
            <w:tcW w:w="8227"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Attention: Harry N. Pefanis, President</w:t>
            </w:r>
          </w:p>
        </w:tc>
      </w:tr>
      <w:tr>
        <w:trPr/>
        <w:tc>
          <w:tcPr>
            <w:tcW w:w="1353" w:type="dxa"/>
            <w:tcBorders/>
            <w:shd w:fill="auto" w:val="clear"/>
          </w:tcPr>
          <w:p>
            <w:pPr>
              <w:pStyle w:val="TableContents"/>
              <w:spacing w:before="0" w:after="0"/>
              <w:ind w:left="0" w:right="0" w:hanging="0"/>
              <w:jc w:val="left"/>
              <w:rPr/>
            </w:pPr>
            <w:r>
              <w:rPr/>
              <w:t> </w:t>
            </w:r>
          </w:p>
        </w:tc>
        <w:tc>
          <w:tcPr>
            <w:tcW w:w="625" w:type="dxa"/>
            <w:tcBorders/>
            <w:shd w:fill="auto" w:val="clear"/>
            <w:vAlign w:val="bottom"/>
          </w:tcPr>
          <w:p>
            <w:pPr>
              <w:pStyle w:val="TableContents"/>
              <w:spacing w:before="0" w:after="0"/>
              <w:ind w:left="0" w:right="0" w:hanging="0"/>
              <w:jc w:val="left"/>
              <w:rPr/>
            </w:pPr>
            <w:r>
              <w:rPr/>
              <w:t> </w:t>
            </w:r>
          </w:p>
        </w:tc>
        <w:tc>
          <w:tcPr>
            <w:tcW w:w="8227"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Telephone: 713-646-4242</w:t>
            </w:r>
          </w:p>
        </w:tc>
      </w:tr>
      <w:tr>
        <w:trPr/>
        <w:tc>
          <w:tcPr>
            <w:tcW w:w="1353" w:type="dxa"/>
            <w:tcBorders/>
            <w:shd w:fill="auto" w:val="clear"/>
          </w:tcPr>
          <w:p>
            <w:pPr>
              <w:pStyle w:val="TableContents"/>
              <w:spacing w:before="0" w:after="0"/>
              <w:ind w:left="0" w:right="0" w:hanging="0"/>
              <w:jc w:val="left"/>
              <w:rPr/>
            </w:pPr>
            <w:r>
              <w:rPr/>
              <w:t> </w:t>
            </w:r>
          </w:p>
        </w:tc>
        <w:tc>
          <w:tcPr>
            <w:tcW w:w="625" w:type="dxa"/>
            <w:tcBorders/>
            <w:shd w:fill="auto" w:val="clear"/>
            <w:vAlign w:val="bottom"/>
          </w:tcPr>
          <w:p>
            <w:pPr>
              <w:pStyle w:val="TableContents"/>
              <w:spacing w:before="0" w:after="0"/>
              <w:ind w:left="0" w:right="0" w:hanging="0"/>
              <w:jc w:val="left"/>
              <w:rPr/>
            </w:pPr>
            <w:r>
              <w:rPr/>
              <w:t> </w:t>
            </w:r>
          </w:p>
        </w:tc>
        <w:tc>
          <w:tcPr>
            <w:tcW w:w="8227"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Facsimile: 713-646-4378</w:t>
            </w:r>
          </w:p>
        </w:tc>
      </w:tr>
      <w:tr>
        <w:trPr/>
        <w:tc>
          <w:tcPr>
            <w:tcW w:w="1353" w:type="dxa"/>
            <w:tcBorders/>
            <w:shd w:fill="auto" w:val="clear"/>
          </w:tcPr>
          <w:p>
            <w:pPr>
              <w:pStyle w:val="TableContents"/>
              <w:spacing w:before="0" w:after="0"/>
              <w:ind w:left="0" w:right="0" w:hanging="0"/>
              <w:jc w:val="left"/>
              <w:rPr/>
            </w:pPr>
            <w:r>
              <w:rPr/>
              <w:t> </w:t>
            </w:r>
          </w:p>
        </w:tc>
        <w:tc>
          <w:tcPr>
            <w:tcW w:w="625" w:type="dxa"/>
            <w:tcBorders/>
            <w:shd w:fill="auto" w:val="clear"/>
            <w:vAlign w:val="bottom"/>
          </w:tcPr>
          <w:p>
            <w:pPr>
              <w:pStyle w:val="TableContents"/>
              <w:spacing w:before="0" w:after="0"/>
              <w:ind w:left="0" w:right="0" w:hanging="0"/>
              <w:jc w:val="left"/>
              <w:rPr/>
            </w:pPr>
            <w:r>
              <w:rPr/>
              <w:t> </w:t>
            </w:r>
          </w:p>
        </w:tc>
        <w:tc>
          <w:tcPr>
            <w:tcW w:w="8227" w:type="dxa"/>
            <w:tcBorders/>
            <w:shd w:fill="auto" w:val="clear"/>
          </w:tcPr>
          <w:p>
            <w:pPr>
              <w:pStyle w:val="TableContents"/>
              <w:spacing w:before="0" w:after="0"/>
              <w:ind w:left="0" w:right="0" w:hanging="0"/>
              <w:jc w:val="left"/>
              <w:rPr/>
            </w:pPr>
            <w:r>
              <w:rPr/>
              <w:t> </w:t>
            </w:r>
          </w:p>
        </w:tc>
      </w:tr>
      <w:tr>
        <w:trPr/>
        <w:tc>
          <w:tcPr>
            <w:tcW w:w="1353" w:type="dxa"/>
            <w:tcBorders/>
            <w:shd w:fill="auto" w:val="clear"/>
          </w:tcPr>
          <w:p>
            <w:pPr>
              <w:pStyle w:val="TableContents"/>
              <w:spacing w:before="0" w:after="0"/>
              <w:ind w:left="0" w:right="0" w:hanging="0"/>
              <w:jc w:val="left"/>
              <w:rPr/>
            </w:pPr>
            <w:r>
              <w:rPr/>
              <w:t> </w:t>
            </w:r>
          </w:p>
        </w:tc>
        <w:tc>
          <w:tcPr>
            <w:tcW w:w="625" w:type="dxa"/>
            <w:tcBorders/>
            <w:shd w:fill="auto" w:val="clear"/>
            <w:vAlign w:val="bottom"/>
          </w:tcPr>
          <w:p>
            <w:pPr>
              <w:pStyle w:val="TableContents"/>
              <w:spacing w:before="0" w:after="0"/>
              <w:ind w:left="0" w:right="0" w:hanging="0"/>
              <w:jc w:val="left"/>
              <w:rPr/>
            </w:pPr>
            <w:r>
              <w:rPr/>
              <w:t> </w:t>
            </w:r>
          </w:p>
        </w:tc>
        <w:tc>
          <w:tcPr>
            <w:tcW w:w="8227"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and</w:t>
            </w:r>
          </w:p>
        </w:tc>
      </w:tr>
      <w:tr>
        <w:trPr/>
        <w:tc>
          <w:tcPr>
            <w:tcW w:w="1353" w:type="dxa"/>
            <w:tcBorders/>
            <w:shd w:fill="auto" w:val="clear"/>
          </w:tcPr>
          <w:p>
            <w:pPr>
              <w:pStyle w:val="TableContents"/>
              <w:spacing w:before="0" w:after="0"/>
              <w:ind w:left="0" w:right="0" w:hanging="0"/>
              <w:jc w:val="left"/>
              <w:rPr/>
            </w:pPr>
            <w:r>
              <w:rPr/>
              <w:t> </w:t>
            </w:r>
          </w:p>
        </w:tc>
        <w:tc>
          <w:tcPr>
            <w:tcW w:w="625" w:type="dxa"/>
            <w:tcBorders/>
            <w:shd w:fill="auto" w:val="clear"/>
            <w:vAlign w:val="bottom"/>
          </w:tcPr>
          <w:p>
            <w:pPr>
              <w:pStyle w:val="TableContents"/>
              <w:spacing w:before="0" w:after="0"/>
              <w:ind w:left="0" w:right="0" w:hanging="0"/>
              <w:jc w:val="left"/>
              <w:rPr/>
            </w:pPr>
            <w:r>
              <w:rPr/>
              <w:t> </w:t>
            </w:r>
          </w:p>
        </w:tc>
        <w:tc>
          <w:tcPr>
            <w:tcW w:w="8227" w:type="dxa"/>
            <w:tcBorders/>
            <w:shd w:fill="auto" w:val="clear"/>
          </w:tcPr>
          <w:p>
            <w:pPr>
              <w:pStyle w:val="TableContents"/>
              <w:spacing w:before="0" w:after="0"/>
              <w:ind w:left="0" w:right="0" w:hanging="0"/>
              <w:jc w:val="left"/>
              <w:rPr/>
            </w:pPr>
            <w:r>
              <w:rPr/>
              <w:t> </w:t>
            </w:r>
          </w:p>
        </w:tc>
      </w:tr>
      <w:tr>
        <w:trPr/>
        <w:tc>
          <w:tcPr>
            <w:tcW w:w="1353" w:type="dxa"/>
            <w:tcBorders/>
            <w:shd w:fill="auto" w:val="clear"/>
          </w:tcPr>
          <w:p>
            <w:pPr>
              <w:pStyle w:val="TableContents"/>
              <w:spacing w:before="0" w:after="0"/>
              <w:ind w:left="0" w:right="0" w:hanging="0"/>
              <w:jc w:val="left"/>
              <w:rPr/>
            </w:pPr>
            <w:r>
              <w:rPr/>
              <w:t> </w:t>
            </w:r>
          </w:p>
        </w:tc>
        <w:tc>
          <w:tcPr>
            <w:tcW w:w="625" w:type="dxa"/>
            <w:tcBorders/>
            <w:shd w:fill="auto" w:val="clear"/>
            <w:vAlign w:val="bottom"/>
          </w:tcPr>
          <w:p>
            <w:pPr>
              <w:pStyle w:val="TableContents"/>
              <w:spacing w:before="0" w:after="0"/>
              <w:ind w:left="0" w:right="0" w:hanging="0"/>
              <w:jc w:val="left"/>
              <w:rPr/>
            </w:pPr>
            <w:r>
              <w:rPr/>
              <w:t> </w:t>
            </w:r>
          </w:p>
        </w:tc>
        <w:tc>
          <w:tcPr>
            <w:tcW w:w="8227"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Plains All American Pipeline, L.P.</w:t>
            </w:r>
          </w:p>
        </w:tc>
      </w:tr>
      <w:tr>
        <w:trPr/>
        <w:tc>
          <w:tcPr>
            <w:tcW w:w="1353" w:type="dxa"/>
            <w:tcBorders/>
            <w:shd w:fill="auto" w:val="clear"/>
          </w:tcPr>
          <w:p>
            <w:pPr>
              <w:pStyle w:val="TableContents"/>
              <w:spacing w:before="0" w:after="0"/>
              <w:ind w:left="0" w:right="0" w:hanging="0"/>
              <w:jc w:val="left"/>
              <w:rPr/>
            </w:pPr>
            <w:r>
              <w:rPr/>
              <w:t> </w:t>
            </w:r>
          </w:p>
        </w:tc>
        <w:tc>
          <w:tcPr>
            <w:tcW w:w="625" w:type="dxa"/>
            <w:tcBorders/>
            <w:shd w:fill="auto" w:val="clear"/>
            <w:vAlign w:val="bottom"/>
          </w:tcPr>
          <w:p>
            <w:pPr>
              <w:pStyle w:val="TableContents"/>
              <w:spacing w:before="0" w:after="0"/>
              <w:ind w:left="0" w:right="0" w:hanging="0"/>
              <w:jc w:val="left"/>
              <w:rPr/>
            </w:pPr>
            <w:r>
              <w:rPr/>
              <w:t> </w:t>
            </w:r>
          </w:p>
        </w:tc>
        <w:tc>
          <w:tcPr>
            <w:tcW w:w="8227"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333 Clay Street, Suite 1600</w:t>
            </w:r>
          </w:p>
        </w:tc>
      </w:tr>
      <w:tr>
        <w:trPr/>
        <w:tc>
          <w:tcPr>
            <w:tcW w:w="1353" w:type="dxa"/>
            <w:tcBorders/>
            <w:shd w:fill="auto" w:val="clear"/>
          </w:tcPr>
          <w:p>
            <w:pPr>
              <w:pStyle w:val="TableContents"/>
              <w:spacing w:before="0" w:after="0"/>
              <w:ind w:left="0" w:right="0" w:hanging="0"/>
              <w:jc w:val="left"/>
              <w:rPr/>
            </w:pPr>
            <w:r>
              <w:rPr/>
              <w:t> </w:t>
            </w:r>
          </w:p>
        </w:tc>
        <w:tc>
          <w:tcPr>
            <w:tcW w:w="625" w:type="dxa"/>
            <w:tcBorders/>
            <w:shd w:fill="auto" w:val="clear"/>
            <w:vAlign w:val="bottom"/>
          </w:tcPr>
          <w:p>
            <w:pPr>
              <w:pStyle w:val="TableContents"/>
              <w:spacing w:before="0" w:after="0"/>
              <w:ind w:left="0" w:right="0" w:hanging="0"/>
              <w:jc w:val="left"/>
              <w:rPr/>
            </w:pPr>
            <w:r>
              <w:rPr/>
              <w:t> </w:t>
            </w:r>
          </w:p>
        </w:tc>
        <w:tc>
          <w:tcPr>
            <w:tcW w:w="8227"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Houston, TX 77002</w:t>
            </w:r>
          </w:p>
        </w:tc>
      </w:tr>
      <w:tr>
        <w:trPr/>
        <w:tc>
          <w:tcPr>
            <w:tcW w:w="1353" w:type="dxa"/>
            <w:tcBorders/>
            <w:shd w:fill="auto" w:val="clear"/>
          </w:tcPr>
          <w:p>
            <w:pPr>
              <w:pStyle w:val="TableContents"/>
              <w:spacing w:before="0" w:after="0"/>
              <w:ind w:left="0" w:right="0" w:hanging="0"/>
              <w:jc w:val="left"/>
              <w:rPr/>
            </w:pPr>
            <w:r>
              <w:rPr/>
              <w:t> </w:t>
            </w:r>
          </w:p>
        </w:tc>
        <w:tc>
          <w:tcPr>
            <w:tcW w:w="625" w:type="dxa"/>
            <w:tcBorders/>
            <w:shd w:fill="auto" w:val="clear"/>
            <w:vAlign w:val="bottom"/>
          </w:tcPr>
          <w:p>
            <w:pPr>
              <w:pStyle w:val="TableContents"/>
              <w:spacing w:before="0" w:after="0"/>
              <w:ind w:left="0" w:right="0" w:hanging="0"/>
              <w:jc w:val="left"/>
              <w:rPr/>
            </w:pPr>
            <w:r>
              <w:rPr/>
              <w:t> </w:t>
            </w:r>
          </w:p>
        </w:tc>
        <w:tc>
          <w:tcPr>
            <w:tcW w:w="8227"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Attention: Lawrence J. Dreyfuss, Vice President and Associate General Counsel</w:t>
            </w:r>
          </w:p>
        </w:tc>
      </w:tr>
      <w:tr>
        <w:trPr/>
        <w:tc>
          <w:tcPr>
            <w:tcW w:w="1353" w:type="dxa"/>
            <w:tcBorders/>
            <w:shd w:fill="auto" w:val="clear"/>
          </w:tcPr>
          <w:p>
            <w:pPr>
              <w:pStyle w:val="TableContents"/>
              <w:spacing w:before="0" w:after="0"/>
              <w:ind w:left="0" w:right="0" w:hanging="0"/>
              <w:jc w:val="left"/>
              <w:rPr/>
            </w:pPr>
            <w:r>
              <w:rPr/>
              <w:t> </w:t>
            </w:r>
          </w:p>
        </w:tc>
        <w:tc>
          <w:tcPr>
            <w:tcW w:w="625" w:type="dxa"/>
            <w:tcBorders/>
            <w:shd w:fill="auto" w:val="clear"/>
            <w:vAlign w:val="bottom"/>
          </w:tcPr>
          <w:p>
            <w:pPr>
              <w:pStyle w:val="TableContents"/>
              <w:spacing w:before="0" w:after="0"/>
              <w:ind w:left="0" w:right="0" w:hanging="0"/>
              <w:jc w:val="left"/>
              <w:rPr/>
            </w:pPr>
            <w:r>
              <w:rPr/>
              <w:t> </w:t>
            </w:r>
          </w:p>
        </w:tc>
        <w:tc>
          <w:tcPr>
            <w:tcW w:w="8227"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Telephone: 713-646-4143</w:t>
            </w:r>
          </w:p>
        </w:tc>
      </w:tr>
      <w:tr>
        <w:trPr/>
        <w:tc>
          <w:tcPr>
            <w:tcW w:w="1353" w:type="dxa"/>
            <w:tcBorders/>
            <w:shd w:fill="auto" w:val="clear"/>
          </w:tcPr>
          <w:p>
            <w:pPr>
              <w:pStyle w:val="TableContents"/>
              <w:spacing w:before="0" w:after="0"/>
              <w:ind w:left="0" w:right="0" w:hanging="0"/>
              <w:jc w:val="left"/>
              <w:rPr/>
            </w:pPr>
            <w:r>
              <w:rPr/>
              <w:t> </w:t>
            </w:r>
          </w:p>
        </w:tc>
        <w:tc>
          <w:tcPr>
            <w:tcW w:w="625" w:type="dxa"/>
            <w:tcBorders/>
            <w:shd w:fill="auto" w:val="clear"/>
            <w:vAlign w:val="bottom"/>
          </w:tcPr>
          <w:p>
            <w:pPr>
              <w:pStyle w:val="TableContents"/>
              <w:spacing w:before="0" w:after="0"/>
              <w:ind w:left="0" w:right="0" w:hanging="0"/>
              <w:jc w:val="left"/>
              <w:rPr/>
            </w:pPr>
            <w:r>
              <w:rPr/>
              <w:t> </w:t>
            </w:r>
          </w:p>
        </w:tc>
        <w:tc>
          <w:tcPr>
            <w:tcW w:w="8227"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Facsimile: 713-646-4216</w:t>
            </w:r>
          </w:p>
        </w:tc>
      </w:tr>
      <w:tr>
        <w:trPr/>
        <w:tc>
          <w:tcPr>
            <w:tcW w:w="1353" w:type="dxa"/>
            <w:tcBorders/>
            <w:shd w:fill="auto" w:val="clear"/>
          </w:tcPr>
          <w:p>
            <w:pPr>
              <w:pStyle w:val="TableContents"/>
              <w:spacing w:before="0" w:after="0"/>
              <w:ind w:left="0" w:right="0" w:hanging="0"/>
              <w:jc w:val="left"/>
              <w:rPr/>
            </w:pPr>
            <w:r>
              <w:rPr/>
              <w:t> </w:t>
            </w:r>
          </w:p>
        </w:tc>
        <w:tc>
          <w:tcPr>
            <w:tcW w:w="625" w:type="dxa"/>
            <w:tcBorders/>
            <w:shd w:fill="auto" w:val="clear"/>
            <w:vAlign w:val="bottom"/>
          </w:tcPr>
          <w:p>
            <w:pPr>
              <w:pStyle w:val="TableContents"/>
              <w:spacing w:before="0" w:after="0"/>
              <w:ind w:left="0" w:right="0" w:hanging="0"/>
              <w:jc w:val="left"/>
              <w:rPr/>
            </w:pPr>
            <w:r>
              <w:rPr/>
              <w:t> </w:t>
            </w:r>
          </w:p>
        </w:tc>
        <w:tc>
          <w:tcPr>
            <w:tcW w:w="8227" w:type="dxa"/>
            <w:tcBorders/>
            <w:shd w:fill="auto" w:val="clear"/>
          </w:tcPr>
          <w:p>
            <w:pPr>
              <w:pStyle w:val="TableContents"/>
              <w:spacing w:before="0" w:after="0"/>
              <w:ind w:left="0" w:right="0" w:hanging="0"/>
              <w:jc w:val="left"/>
              <w:rPr/>
            </w:pPr>
            <w:r>
              <w:rPr/>
              <w:t> </w:t>
            </w:r>
          </w:p>
        </w:tc>
      </w:tr>
      <w:tr>
        <w:trPr/>
        <w:tc>
          <w:tcPr>
            <w:tcW w:w="1353" w:type="dxa"/>
            <w:tcBorders/>
            <w:shd w:fill="auto" w:val="clear"/>
          </w:tcPr>
          <w:p>
            <w:pPr>
              <w:pStyle w:val="TableContents"/>
              <w:spacing w:before="0" w:after="0"/>
              <w:ind w:left="0" w:right="0" w:hanging="0"/>
              <w:jc w:val="left"/>
              <w:rPr/>
            </w:pPr>
            <w:r>
              <w:rPr/>
              <w:t> </w:t>
            </w:r>
          </w:p>
        </w:tc>
        <w:tc>
          <w:tcPr>
            <w:tcW w:w="625" w:type="dxa"/>
            <w:tcBorders/>
            <w:shd w:fill="auto" w:val="clear"/>
            <w:vAlign w:val="bottom"/>
          </w:tcPr>
          <w:p>
            <w:pPr>
              <w:pStyle w:val="TableContents"/>
              <w:spacing w:before="0" w:after="0"/>
              <w:ind w:left="0" w:right="0" w:hanging="0"/>
              <w:jc w:val="left"/>
              <w:rPr/>
            </w:pPr>
            <w:r>
              <w:rPr/>
              <w:t> </w:t>
            </w:r>
          </w:p>
        </w:tc>
        <w:tc>
          <w:tcPr>
            <w:tcW w:w="8227"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with a copy to:</w:t>
            </w:r>
          </w:p>
        </w:tc>
      </w:tr>
      <w:tr>
        <w:trPr/>
        <w:tc>
          <w:tcPr>
            <w:tcW w:w="1353" w:type="dxa"/>
            <w:tcBorders/>
            <w:shd w:fill="auto" w:val="clear"/>
          </w:tcPr>
          <w:p>
            <w:pPr>
              <w:pStyle w:val="TableContents"/>
              <w:spacing w:before="0" w:after="0"/>
              <w:ind w:left="0" w:right="0" w:hanging="0"/>
              <w:jc w:val="left"/>
              <w:rPr/>
            </w:pPr>
            <w:r>
              <w:rPr/>
              <w:t> </w:t>
            </w:r>
          </w:p>
        </w:tc>
        <w:tc>
          <w:tcPr>
            <w:tcW w:w="625" w:type="dxa"/>
            <w:tcBorders/>
            <w:shd w:fill="auto" w:val="clear"/>
            <w:vAlign w:val="bottom"/>
          </w:tcPr>
          <w:p>
            <w:pPr>
              <w:pStyle w:val="TableContents"/>
              <w:spacing w:before="0" w:after="0"/>
              <w:ind w:left="0" w:right="0" w:hanging="0"/>
              <w:jc w:val="left"/>
              <w:rPr/>
            </w:pPr>
            <w:r>
              <w:rPr/>
              <w:t> </w:t>
            </w:r>
          </w:p>
        </w:tc>
        <w:tc>
          <w:tcPr>
            <w:tcW w:w="8227" w:type="dxa"/>
            <w:tcBorders/>
            <w:shd w:fill="auto" w:val="clear"/>
          </w:tcPr>
          <w:p>
            <w:pPr>
              <w:pStyle w:val="TableContents"/>
              <w:spacing w:before="0" w:after="0"/>
              <w:ind w:left="0" w:right="0" w:hanging="0"/>
              <w:jc w:val="left"/>
              <w:rPr/>
            </w:pPr>
            <w:r>
              <w:rPr/>
              <w:t> </w:t>
            </w:r>
          </w:p>
        </w:tc>
      </w:tr>
      <w:tr>
        <w:trPr/>
        <w:tc>
          <w:tcPr>
            <w:tcW w:w="1353" w:type="dxa"/>
            <w:tcBorders/>
            <w:shd w:fill="auto" w:val="clear"/>
          </w:tcPr>
          <w:p>
            <w:pPr>
              <w:pStyle w:val="TableContents"/>
              <w:spacing w:before="0" w:after="0"/>
              <w:ind w:left="0" w:right="0" w:hanging="0"/>
              <w:jc w:val="left"/>
              <w:rPr/>
            </w:pPr>
            <w:r>
              <w:rPr/>
              <w:t> </w:t>
            </w:r>
          </w:p>
        </w:tc>
        <w:tc>
          <w:tcPr>
            <w:tcW w:w="625" w:type="dxa"/>
            <w:tcBorders/>
            <w:shd w:fill="auto" w:val="clear"/>
            <w:vAlign w:val="bottom"/>
          </w:tcPr>
          <w:p>
            <w:pPr>
              <w:pStyle w:val="TableContents"/>
              <w:spacing w:before="0" w:after="0"/>
              <w:ind w:left="0" w:right="0" w:hanging="0"/>
              <w:jc w:val="left"/>
              <w:rPr/>
            </w:pPr>
            <w:r>
              <w:rPr/>
              <w:t> </w:t>
            </w:r>
          </w:p>
        </w:tc>
        <w:tc>
          <w:tcPr>
            <w:tcW w:w="8227"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Skadden, Arps, Slate, Meagher &amp; Flom LLP</w:t>
            </w:r>
          </w:p>
        </w:tc>
      </w:tr>
      <w:tr>
        <w:trPr/>
        <w:tc>
          <w:tcPr>
            <w:tcW w:w="1353" w:type="dxa"/>
            <w:tcBorders/>
            <w:shd w:fill="auto" w:val="clear"/>
          </w:tcPr>
          <w:p>
            <w:pPr>
              <w:pStyle w:val="TableContents"/>
              <w:spacing w:before="0" w:after="0"/>
              <w:ind w:left="0" w:right="0" w:hanging="0"/>
              <w:jc w:val="left"/>
              <w:rPr/>
            </w:pPr>
            <w:r>
              <w:rPr/>
              <w:t> </w:t>
            </w:r>
          </w:p>
        </w:tc>
        <w:tc>
          <w:tcPr>
            <w:tcW w:w="625" w:type="dxa"/>
            <w:tcBorders/>
            <w:shd w:fill="auto" w:val="clear"/>
            <w:vAlign w:val="bottom"/>
          </w:tcPr>
          <w:p>
            <w:pPr>
              <w:pStyle w:val="TableContents"/>
              <w:spacing w:before="0" w:after="0"/>
              <w:ind w:left="0" w:right="0" w:hanging="0"/>
              <w:jc w:val="left"/>
              <w:rPr/>
            </w:pPr>
            <w:r>
              <w:rPr/>
              <w:t> </w:t>
            </w:r>
          </w:p>
        </w:tc>
        <w:tc>
          <w:tcPr>
            <w:tcW w:w="8227"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1600 Smith, Suite 4400</w:t>
            </w:r>
          </w:p>
        </w:tc>
      </w:tr>
      <w:tr>
        <w:trPr/>
        <w:tc>
          <w:tcPr>
            <w:tcW w:w="1353" w:type="dxa"/>
            <w:tcBorders/>
            <w:shd w:fill="auto" w:val="clear"/>
          </w:tcPr>
          <w:p>
            <w:pPr>
              <w:pStyle w:val="TableContents"/>
              <w:spacing w:before="0" w:after="0"/>
              <w:ind w:left="0" w:right="0" w:hanging="0"/>
              <w:jc w:val="left"/>
              <w:rPr/>
            </w:pPr>
            <w:r>
              <w:rPr/>
              <w:t> </w:t>
            </w:r>
          </w:p>
        </w:tc>
        <w:tc>
          <w:tcPr>
            <w:tcW w:w="625" w:type="dxa"/>
            <w:tcBorders/>
            <w:shd w:fill="auto" w:val="clear"/>
            <w:vAlign w:val="bottom"/>
          </w:tcPr>
          <w:p>
            <w:pPr>
              <w:pStyle w:val="TableContents"/>
              <w:spacing w:before="0" w:after="0"/>
              <w:ind w:left="0" w:right="0" w:hanging="0"/>
              <w:jc w:val="left"/>
              <w:rPr/>
            </w:pPr>
            <w:r>
              <w:rPr/>
              <w:t> </w:t>
            </w:r>
          </w:p>
        </w:tc>
        <w:tc>
          <w:tcPr>
            <w:tcW w:w="8227"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Houston, TX 77002</w:t>
            </w:r>
          </w:p>
        </w:tc>
      </w:tr>
      <w:tr>
        <w:trPr/>
        <w:tc>
          <w:tcPr>
            <w:tcW w:w="1353" w:type="dxa"/>
            <w:tcBorders/>
            <w:shd w:fill="auto" w:val="clear"/>
          </w:tcPr>
          <w:p>
            <w:pPr>
              <w:pStyle w:val="TableContents"/>
              <w:spacing w:before="0" w:after="0"/>
              <w:ind w:left="0" w:right="0" w:hanging="0"/>
              <w:jc w:val="left"/>
              <w:rPr/>
            </w:pPr>
            <w:r>
              <w:rPr/>
              <w:t> </w:t>
            </w:r>
          </w:p>
        </w:tc>
        <w:tc>
          <w:tcPr>
            <w:tcW w:w="625" w:type="dxa"/>
            <w:tcBorders/>
            <w:shd w:fill="auto" w:val="clear"/>
            <w:vAlign w:val="bottom"/>
          </w:tcPr>
          <w:p>
            <w:pPr>
              <w:pStyle w:val="TableContents"/>
              <w:spacing w:before="0" w:after="0"/>
              <w:ind w:left="0" w:right="0" w:hanging="0"/>
              <w:jc w:val="left"/>
              <w:rPr/>
            </w:pPr>
            <w:r>
              <w:rPr/>
              <w:t> </w:t>
            </w:r>
          </w:p>
        </w:tc>
        <w:tc>
          <w:tcPr>
            <w:tcW w:w="8227"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Attention: Frank Bayouth</w:t>
            </w:r>
          </w:p>
        </w:tc>
      </w:tr>
      <w:tr>
        <w:trPr/>
        <w:tc>
          <w:tcPr>
            <w:tcW w:w="1353" w:type="dxa"/>
            <w:tcBorders/>
            <w:shd w:fill="auto" w:val="clear"/>
          </w:tcPr>
          <w:p>
            <w:pPr>
              <w:pStyle w:val="TableContents"/>
              <w:spacing w:before="0" w:after="0"/>
              <w:ind w:left="0" w:right="0" w:hanging="0"/>
              <w:jc w:val="left"/>
              <w:rPr/>
            </w:pPr>
            <w:r>
              <w:rPr/>
              <w:t> </w:t>
            </w:r>
          </w:p>
        </w:tc>
        <w:tc>
          <w:tcPr>
            <w:tcW w:w="625" w:type="dxa"/>
            <w:tcBorders/>
            <w:shd w:fill="auto" w:val="clear"/>
            <w:vAlign w:val="bottom"/>
          </w:tcPr>
          <w:p>
            <w:pPr>
              <w:pStyle w:val="TableContents"/>
              <w:spacing w:before="0" w:after="0"/>
              <w:ind w:left="0" w:right="0" w:hanging="0"/>
              <w:jc w:val="left"/>
              <w:rPr/>
            </w:pPr>
            <w:r>
              <w:rPr/>
              <w:t> </w:t>
            </w:r>
          </w:p>
        </w:tc>
        <w:tc>
          <w:tcPr>
            <w:tcW w:w="8227"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Telephone: 713-655-5100</w:t>
            </w:r>
          </w:p>
        </w:tc>
      </w:tr>
      <w:tr>
        <w:trPr/>
        <w:tc>
          <w:tcPr>
            <w:tcW w:w="1353" w:type="dxa"/>
            <w:tcBorders/>
            <w:shd w:fill="auto" w:val="clear"/>
          </w:tcPr>
          <w:p>
            <w:pPr>
              <w:pStyle w:val="TableContents"/>
              <w:spacing w:before="0" w:after="0"/>
              <w:ind w:left="0" w:right="0" w:hanging="0"/>
              <w:jc w:val="left"/>
              <w:rPr/>
            </w:pPr>
            <w:r>
              <w:rPr/>
              <w:t> </w:t>
            </w:r>
          </w:p>
        </w:tc>
        <w:tc>
          <w:tcPr>
            <w:tcW w:w="625" w:type="dxa"/>
            <w:tcBorders/>
            <w:shd w:fill="auto" w:val="clear"/>
            <w:vAlign w:val="bottom"/>
          </w:tcPr>
          <w:p>
            <w:pPr>
              <w:pStyle w:val="TableContents"/>
              <w:spacing w:before="0" w:after="0"/>
              <w:ind w:left="0" w:right="0" w:hanging="0"/>
              <w:jc w:val="left"/>
              <w:rPr/>
            </w:pPr>
            <w:r>
              <w:rPr/>
              <w:t> </w:t>
            </w:r>
          </w:p>
        </w:tc>
        <w:tc>
          <w:tcPr>
            <w:tcW w:w="8227"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Facsimile: 713-655-5200</w:t>
            </w:r>
          </w:p>
        </w:tc>
      </w:tr>
      <w:tr>
        <w:trPr/>
        <w:tc>
          <w:tcPr>
            <w:tcW w:w="1353" w:type="dxa"/>
            <w:tcBorders/>
            <w:shd w:fill="auto" w:val="clear"/>
          </w:tcPr>
          <w:p>
            <w:pPr>
              <w:pStyle w:val="TableContents"/>
              <w:spacing w:before="0" w:after="0"/>
              <w:ind w:left="0" w:right="0" w:hanging="0"/>
              <w:jc w:val="left"/>
              <w:rPr/>
            </w:pPr>
            <w:r>
              <w:rPr/>
              <w:t> </w:t>
            </w:r>
          </w:p>
        </w:tc>
        <w:tc>
          <w:tcPr>
            <w:tcW w:w="625" w:type="dxa"/>
            <w:tcBorders/>
            <w:shd w:fill="auto" w:val="clear"/>
            <w:vAlign w:val="bottom"/>
          </w:tcPr>
          <w:p>
            <w:pPr>
              <w:pStyle w:val="TableContents"/>
              <w:spacing w:before="0" w:after="0"/>
              <w:ind w:left="0" w:right="0" w:hanging="0"/>
              <w:jc w:val="left"/>
              <w:rPr/>
            </w:pPr>
            <w:r>
              <w:rPr/>
              <w:t> </w:t>
            </w:r>
          </w:p>
        </w:tc>
        <w:tc>
          <w:tcPr>
            <w:tcW w:w="8227" w:type="dxa"/>
            <w:tcBorders/>
            <w:shd w:fill="auto" w:val="clear"/>
          </w:tcPr>
          <w:p>
            <w:pPr>
              <w:pStyle w:val="TableContents"/>
              <w:spacing w:before="0" w:after="0"/>
              <w:ind w:left="0" w:right="0" w:hanging="0"/>
              <w:jc w:val="left"/>
              <w:rPr/>
            </w:pPr>
            <w:r>
              <w:rPr/>
              <w:t> </w:t>
            </w:r>
          </w:p>
        </w:tc>
      </w:tr>
      <w:tr>
        <w:trPr/>
        <w:tc>
          <w:tcPr>
            <w:tcW w:w="1353" w:type="dxa"/>
            <w:tcBorders/>
            <w:shd w:fill="auto" w:val="clear"/>
          </w:tcPr>
          <w:p>
            <w:pPr>
              <w:pStyle w:val="TableContents"/>
              <w:spacing w:before="0" w:after="0"/>
              <w:ind w:left="0" w:right="0" w:hanging="0"/>
              <w:jc w:val="left"/>
              <w:rPr/>
            </w:pPr>
            <w:r>
              <w:rPr/>
              <w:t> </w:t>
            </w:r>
          </w:p>
        </w:tc>
        <w:tc>
          <w:tcPr>
            <w:tcW w:w="625" w:type="dxa"/>
            <w:tcBorders/>
            <w:shd w:fill="auto" w:val="clear"/>
            <w:vAlign w:val="bottom"/>
          </w:tcPr>
          <w:p>
            <w:pPr>
              <w:pStyle w:val="TableContents"/>
              <w:spacing w:before="0" w:after="0"/>
              <w:ind w:left="0" w:right="0" w:hanging="0"/>
              <w:jc w:val="left"/>
              <w:rPr/>
            </w:pPr>
            <w:r>
              <w:rPr/>
              <w:t> </w:t>
            </w:r>
          </w:p>
        </w:tc>
        <w:tc>
          <w:tcPr>
            <w:tcW w:w="8227"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and</w:t>
            </w:r>
          </w:p>
        </w:tc>
      </w:tr>
      <w:tr>
        <w:trPr/>
        <w:tc>
          <w:tcPr>
            <w:tcW w:w="1353" w:type="dxa"/>
            <w:tcBorders/>
            <w:shd w:fill="auto" w:val="clear"/>
          </w:tcPr>
          <w:p>
            <w:pPr>
              <w:pStyle w:val="TableContents"/>
              <w:spacing w:before="0" w:after="0"/>
              <w:ind w:left="0" w:right="0" w:hanging="0"/>
              <w:jc w:val="left"/>
              <w:rPr/>
            </w:pPr>
            <w:r>
              <w:rPr/>
              <w:t> </w:t>
            </w:r>
          </w:p>
        </w:tc>
        <w:tc>
          <w:tcPr>
            <w:tcW w:w="625" w:type="dxa"/>
            <w:tcBorders/>
            <w:shd w:fill="auto" w:val="clear"/>
            <w:vAlign w:val="bottom"/>
          </w:tcPr>
          <w:p>
            <w:pPr>
              <w:pStyle w:val="TableContents"/>
              <w:spacing w:before="0" w:after="0"/>
              <w:ind w:left="0" w:right="0" w:hanging="0"/>
              <w:jc w:val="left"/>
              <w:rPr/>
            </w:pPr>
            <w:r>
              <w:rPr/>
              <w:t> </w:t>
            </w:r>
          </w:p>
        </w:tc>
        <w:tc>
          <w:tcPr>
            <w:tcW w:w="8227" w:type="dxa"/>
            <w:tcBorders/>
            <w:shd w:fill="auto" w:val="clear"/>
          </w:tcPr>
          <w:p>
            <w:pPr>
              <w:pStyle w:val="TableContents"/>
              <w:spacing w:before="0" w:after="0"/>
              <w:ind w:left="0" w:right="0" w:hanging="0"/>
              <w:jc w:val="left"/>
              <w:rPr/>
            </w:pPr>
            <w:r>
              <w:rPr/>
              <w:t> </w:t>
            </w:r>
          </w:p>
        </w:tc>
      </w:tr>
      <w:tr>
        <w:trPr/>
        <w:tc>
          <w:tcPr>
            <w:tcW w:w="1353" w:type="dxa"/>
            <w:tcBorders/>
            <w:shd w:fill="auto" w:val="clear"/>
          </w:tcPr>
          <w:p>
            <w:pPr>
              <w:pStyle w:val="TableContents"/>
              <w:spacing w:before="0" w:after="0"/>
              <w:ind w:left="0" w:right="0" w:hanging="0"/>
              <w:jc w:val="left"/>
              <w:rPr/>
            </w:pPr>
            <w:r>
              <w:rPr/>
              <w:t> </w:t>
            </w:r>
          </w:p>
        </w:tc>
        <w:tc>
          <w:tcPr>
            <w:tcW w:w="625" w:type="dxa"/>
            <w:tcBorders/>
            <w:shd w:fill="auto" w:val="clear"/>
            <w:vAlign w:val="bottom"/>
          </w:tcPr>
          <w:p>
            <w:pPr>
              <w:pStyle w:val="TableContents"/>
              <w:spacing w:before="0" w:after="0"/>
              <w:ind w:left="0" w:right="0" w:hanging="0"/>
              <w:jc w:val="left"/>
              <w:rPr/>
            </w:pPr>
            <w:r>
              <w:rPr/>
              <w:t> </w:t>
            </w:r>
          </w:p>
        </w:tc>
        <w:tc>
          <w:tcPr>
            <w:tcW w:w="8227"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Skadden, Arps, Slate, Meagher &amp; Flom LLP</w:t>
            </w:r>
          </w:p>
        </w:tc>
      </w:tr>
      <w:tr>
        <w:trPr/>
        <w:tc>
          <w:tcPr>
            <w:tcW w:w="1353" w:type="dxa"/>
            <w:tcBorders/>
            <w:shd w:fill="auto" w:val="clear"/>
          </w:tcPr>
          <w:p>
            <w:pPr>
              <w:pStyle w:val="TableContents"/>
              <w:spacing w:before="0" w:after="0"/>
              <w:ind w:left="0" w:right="0" w:hanging="0"/>
              <w:jc w:val="left"/>
              <w:rPr/>
            </w:pPr>
            <w:r>
              <w:rPr/>
              <w:t> </w:t>
            </w:r>
          </w:p>
        </w:tc>
        <w:tc>
          <w:tcPr>
            <w:tcW w:w="625" w:type="dxa"/>
            <w:tcBorders/>
            <w:shd w:fill="auto" w:val="clear"/>
            <w:vAlign w:val="bottom"/>
          </w:tcPr>
          <w:p>
            <w:pPr>
              <w:pStyle w:val="TableContents"/>
              <w:spacing w:before="0" w:after="0"/>
              <w:ind w:left="0" w:right="0" w:hanging="0"/>
              <w:jc w:val="left"/>
              <w:rPr/>
            </w:pPr>
            <w:r>
              <w:rPr/>
              <w:t> </w:t>
            </w:r>
          </w:p>
        </w:tc>
        <w:tc>
          <w:tcPr>
            <w:tcW w:w="8227"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300 South Grand Avenue, Suite 3400</w:t>
            </w:r>
          </w:p>
        </w:tc>
      </w:tr>
      <w:tr>
        <w:trPr/>
        <w:tc>
          <w:tcPr>
            <w:tcW w:w="1353" w:type="dxa"/>
            <w:tcBorders/>
            <w:shd w:fill="auto" w:val="clear"/>
          </w:tcPr>
          <w:p>
            <w:pPr>
              <w:pStyle w:val="TableContents"/>
              <w:spacing w:before="0" w:after="0"/>
              <w:ind w:left="0" w:right="0" w:hanging="0"/>
              <w:jc w:val="left"/>
              <w:rPr/>
            </w:pPr>
            <w:r>
              <w:rPr/>
              <w:t> </w:t>
            </w:r>
          </w:p>
        </w:tc>
        <w:tc>
          <w:tcPr>
            <w:tcW w:w="625" w:type="dxa"/>
            <w:tcBorders/>
            <w:shd w:fill="auto" w:val="clear"/>
            <w:vAlign w:val="bottom"/>
          </w:tcPr>
          <w:p>
            <w:pPr>
              <w:pStyle w:val="TableContents"/>
              <w:spacing w:before="0" w:after="0"/>
              <w:ind w:left="0" w:right="0" w:hanging="0"/>
              <w:jc w:val="left"/>
              <w:rPr/>
            </w:pPr>
            <w:r>
              <w:rPr/>
              <w:t> </w:t>
            </w:r>
          </w:p>
        </w:tc>
        <w:tc>
          <w:tcPr>
            <w:tcW w:w="8227"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Los Angeles, CA 90071-3144</w:t>
            </w:r>
          </w:p>
        </w:tc>
      </w:tr>
      <w:tr>
        <w:trPr/>
        <w:tc>
          <w:tcPr>
            <w:tcW w:w="1353" w:type="dxa"/>
            <w:tcBorders/>
            <w:shd w:fill="auto" w:val="clear"/>
          </w:tcPr>
          <w:p>
            <w:pPr>
              <w:pStyle w:val="TableContents"/>
              <w:spacing w:before="0" w:after="0"/>
              <w:ind w:left="0" w:right="0" w:hanging="0"/>
              <w:jc w:val="left"/>
              <w:rPr/>
            </w:pPr>
            <w:r>
              <w:rPr/>
              <w:t> </w:t>
            </w:r>
          </w:p>
        </w:tc>
        <w:tc>
          <w:tcPr>
            <w:tcW w:w="625" w:type="dxa"/>
            <w:tcBorders/>
            <w:shd w:fill="auto" w:val="clear"/>
            <w:vAlign w:val="bottom"/>
          </w:tcPr>
          <w:p>
            <w:pPr>
              <w:pStyle w:val="TableContents"/>
              <w:spacing w:before="0" w:after="0"/>
              <w:ind w:left="0" w:right="0" w:hanging="0"/>
              <w:jc w:val="left"/>
              <w:rPr/>
            </w:pPr>
            <w:r>
              <w:rPr/>
              <w:t> </w:t>
            </w:r>
          </w:p>
        </w:tc>
        <w:tc>
          <w:tcPr>
            <w:tcW w:w="8227"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Attention: Nicholas Saggese</w:t>
            </w:r>
          </w:p>
        </w:tc>
      </w:tr>
      <w:tr>
        <w:trPr/>
        <w:tc>
          <w:tcPr>
            <w:tcW w:w="1353" w:type="dxa"/>
            <w:tcBorders/>
            <w:shd w:fill="auto" w:val="clear"/>
          </w:tcPr>
          <w:p>
            <w:pPr>
              <w:pStyle w:val="TableContents"/>
              <w:spacing w:before="0" w:after="0"/>
              <w:ind w:left="0" w:right="0" w:hanging="0"/>
              <w:jc w:val="left"/>
              <w:rPr/>
            </w:pPr>
            <w:r>
              <w:rPr/>
              <w:t> </w:t>
            </w:r>
          </w:p>
        </w:tc>
        <w:tc>
          <w:tcPr>
            <w:tcW w:w="625" w:type="dxa"/>
            <w:tcBorders/>
            <w:shd w:fill="auto" w:val="clear"/>
            <w:vAlign w:val="bottom"/>
          </w:tcPr>
          <w:p>
            <w:pPr>
              <w:pStyle w:val="TableContents"/>
              <w:spacing w:before="0" w:after="0"/>
              <w:ind w:left="0" w:right="0" w:hanging="0"/>
              <w:jc w:val="left"/>
              <w:rPr/>
            </w:pPr>
            <w:r>
              <w:rPr/>
              <w:t> </w:t>
            </w:r>
          </w:p>
        </w:tc>
        <w:tc>
          <w:tcPr>
            <w:tcW w:w="8227"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Telephone: 213-687-5000</w:t>
            </w:r>
          </w:p>
        </w:tc>
      </w:tr>
      <w:tr>
        <w:trPr/>
        <w:tc>
          <w:tcPr>
            <w:tcW w:w="1353" w:type="dxa"/>
            <w:tcBorders/>
            <w:shd w:fill="auto" w:val="clear"/>
          </w:tcPr>
          <w:p>
            <w:pPr>
              <w:pStyle w:val="TableContents"/>
              <w:spacing w:before="0" w:after="0"/>
              <w:ind w:left="0" w:right="0" w:hanging="0"/>
              <w:jc w:val="left"/>
              <w:rPr/>
            </w:pPr>
            <w:r>
              <w:rPr/>
              <w:t> </w:t>
            </w:r>
          </w:p>
        </w:tc>
        <w:tc>
          <w:tcPr>
            <w:tcW w:w="625" w:type="dxa"/>
            <w:tcBorders/>
            <w:shd w:fill="auto" w:val="clear"/>
            <w:vAlign w:val="bottom"/>
          </w:tcPr>
          <w:p>
            <w:pPr>
              <w:pStyle w:val="TableContents"/>
              <w:spacing w:before="0" w:after="0"/>
              <w:ind w:left="0" w:right="0" w:hanging="0"/>
              <w:jc w:val="left"/>
              <w:rPr/>
            </w:pPr>
            <w:r>
              <w:rPr/>
              <w:t> </w:t>
            </w:r>
          </w:p>
        </w:tc>
        <w:tc>
          <w:tcPr>
            <w:tcW w:w="8227"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Facsimile: 213-687-5600</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76</w:t>
      </w:r>
    </w:p>
    <w:p>
      <w:pPr>
        <w:pStyle w:val="HorizontalLine"/>
        <w:pBdr>
          <w:bottom w:val="single" w:sz="12" w:space="0" w:color="808080"/>
        </w:pBdr>
        <w:spacing w:before="0" w:after="0"/>
        <w:jc w:val="left"/>
        <w:rPr/>
      </w:pPr>
      <w:r>
        <w:rPr/>
      </w:r>
      <w:r>
        <w:br w:type="page"/>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1351"/>
        <w:gridCol w:w="625"/>
        <w:gridCol w:w="8229"/>
      </w:tblGrid>
      <w:tr>
        <w:trPr/>
        <w:tc>
          <w:tcPr>
            <w:tcW w:w="1351" w:type="dxa"/>
            <w:tcBorders/>
            <w:shd w:fill="auto" w:val="clear"/>
          </w:tcPr>
          <w:p>
            <w:pPr>
              <w:pStyle w:val="TableContents"/>
              <w:spacing w:before="0" w:after="0"/>
              <w:ind w:left="0" w:right="0" w:hanging="0"/>
              <w:jc w:val="left"/>
              <w:rPr/>
            </w:pPr>
            <w:r>
              <w:rPr/>
              <w:t> </w:t>
            </w:r>
          </w:p>
        </w:tc>
        <w:tc>
          <w:tcPr>
            <w:tcW w:w="625" w:type="dxa"/>
            <w:tcBorders/>
            <w:shd w:fill="auto" w:val="clear"/>
            <w:vAlign w:val="bottom"/>
          </w:tcPr>
          <w:p>
            <w:pPr>
              <w:pStyle w:val="TableContents"/>
              <w:spacing w:before="0" w:after="0"/>
              <w:ind w:left="0" w:right="0" w:hanging="0"/>
              <w:jc w:val="left"/>
              <w:rPr/>
            </w:pPr>
            <w:r>
              <w:rPr/>
              <w:t> </w:t>
            </w:r>
          </w:p>
        </w:tc>
        <w:tc>
          <w:tcPr>
            <w:tcW w:w="8229"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and</w:t>
            </w:r>
          </w:p>
        </w:tc>
      </w:tr>
      <w:tr>
        <w:trPr/>
        <w:tc>
          <w:tcPr>
            <w:tcW w:w="1351" w:type="dxa"/>
            <w:tcBorders/>
            <w:shd w:fill="auto" w:val="clear"/>
          </w:tcPr>
          <w:p>
            <w:pPr>
              <w:pStyle w:val="TableContents"/>
              <w:spacing w:before="0" w:after="0"/>
              <w:ind w:left="0" w:right="0" w:hanging="0"/>
              <w:jc w:val="left"/>
              <w:rPr/>
            </w:pPr>
            <w:r>
              <w:rPr/>
              <w:t> </w:t>
            </w:r>
          </w:p>
        </w:tc>
        <w:tc>
          <w:tcPr>
            <w:tcW w:w="625" w:type="dxa"/>
            <w:tcBorders/>
            <w:shd w:fill="auto" w:val="clear"/>
            <w:vAlign w:val="bottom"/>
          </w:tcPr>
          <w:p>
            <w:pPr>
              <w:pStyle w:val="TableContents"/>
              <w:spacing w:before="0" w:after="0"/>
              <w:ind w:left="0" w:right="0" w:hanging="0"/>
              <w:jc w:val="left"/>
              <w:rPr/>
            </w:pPr>
            <w:r>
              <w:rPr/>
              <w:t> </w:t>
            </w:r>
          </w:p>
        </w:tc>
        <w:tc>
          <w:tcPr>
            <w:tcW w:w="8229" w:type="dxa"/>
            <w:tcBorders/>
            <w:shd w:fill="auto" w:val="clear"/>
          </w:tcPr>
          <w:p>
            <w:pPr>
              <w:pStyle w:val="TableContents"/>
              <w:spacing w:before="0" w:after="0"/>
              <w:ind w:left="0" w:right="0" w:hanging="0"/>
              <w:jc w:val="left"/>
              <w:rPr/>
            </w:pPr>
            <w:r>
              <w:rPr/>
              <w:t> </w:t>
            </w:r>
          </w:p>
        </w:tc>
      </w:tr>
      <w:tr>
        <w:trPr/>
        <w:tc>
          <w:tcPr>
            <w:tcW w:w="1351" w:type="dxa"/>
            <w:tcBorders/>
            <w:shd w:fill="auto" w:val="clear"/>
          </w:tcPr>
          <w:p>
            <w:pPr>
              <w:pStyle w:val="TableContents"/>
              <w:spacing w:before="0" w:after="0"/>
              <w:ind w:left="0" w:right="0" w:hanging="0"/>
              <w:jc w:val="left"/>
              <w:rPr/>
            </w:pPr>
            <w:r>
              <w:rPr/>
              <w:t> </w:t>
            </w:r>
          </w:p>
        </w:tc>
        <w:tc>
          <w:tcPr>
            <w:tcW w:w="625" w:type="dxa"/>
            <w:tcBorders/>
            <w:shd w:fill="auto" w:val="clear"/>
            <w:vAlign w:val="bottom"/>
          </w:tcPr>
          <w:p>
            <w:pPr>
              <w:pStyle w:val="TableContents"/>
              <w:spacing w:before="0" w:after="0"/>
              <w:ind w:left="0" w:right="0" w:hanging="0"/>
              <w:jc w:val="left"/>
              <w:rPr/>
            </w:pPr>
            <w:r>
              <w:rPr/>
              <w:t> </w:t>
            </w:r>
          </w:p>
        </w:tc>
        <w:tc>
          <w:tcPr>
            <w:tcW w:w="8229"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Vinson &amp; Elkins LLP</w:t>
            </w:r>
          </w:p>
        </w:tc>
      </w:tr>
      <w:tr>
        <w:trPr/>
        <w:tc>
          <w:tcPr>
            <w:tcW w:w="1351" w:type="dxa"/>
            <w:tcBorders/>
            <w:shd w:fill="auto" w:val="clear"/>
          </w:tcPr>
          <w:p>
            <w:pPr>
              <w:pStyle w:val="TableContents"/>
              <w:spacing w:before="0" w:after="0"/>
              <w:ind w:left="0" w:right="0" w:hanging="0"/>
              <w:jc w:val="left"/>
              <w:rPr/>
            </w:pPr>
            <w:r>
              <w:rPr/>
              <w:t> </w:t>
            </w:r>
          </w:p>
        </w:tc>
        <w:tc>
          <w:tcPr>
            <w:tcW w:w="625" w:type="dxa"/>
            <w:tcBorders/>
            <w:shd w:fill="auto" w:val="clear"/>
            <w:vAlign w:val="bottom"/>
          </w:tcPr>
          <w:p>
            <w:pPr>
              <w:pStyle w:val="TableContents"/>
              <w:spacing w:before="0" w:after="0"/>
              <w:ind w:left="0" w:right="0" w:hanging="0"/>
              <w:jc w:val="left"/>
              <w:rPr/>
            </w:pPr>
            <w:r>
              <w:rPr/>
              <w:t> </w:t>
            </w:r>
          </w:p>
        </w:tc>
        <w:tc>
          <w:tcPr>
            <w:tcW w:w="8229"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1001 Fannin, Suite 2300</w:t>
            </w:r>
          </w:p>
        </w:tc>
      </w:tr>
      <w:tr>
        <w:trPr/>
        <w:tc>
          <w:tcPr>
            <w:tcW w:w="1351" w:type="dxa"/>
            <w:tcBorders/>
            <w:shd w:fill="auto" w:val="clear"/>
          </w:tcPr>
          <w:p>
            <w:pPr>
              <w:pStyle w:val="TableContents"/>
              <w:spacing w:before="0" w:after="0"/>
              <w:ind w:left="0" w:right="0" w:hanging="0"/>
              <w:jc w:val="left"/>
              <w:rPr/>
            </w:pPr>
            <w:r>
              <w:rPr/>
              <w:t> </w:t>
            </w:r>
          </w:p>
        </w:tc>
        <w:tc>
          <w:tcPr>
            <w:tcW w:w="625" w:type="dxa"/>
            <w:tcBorders/>
            <w:shd w:fill="auto" w:val="clear"/>
            <w:vAlign w:val="bottom"/>
          </w:tcPr>
          <w:p>
            <w:pPr>
              <w:pStyle w:val="TableContents"/>
              <w:spacing w:before="0" w:after="0"/>
              <w:ind w:left="0" w:right="0" w:hanging="0"/>
              <w:jc w:val="left"/>
              <w:rPr/>
            </w:pPr>
            <w:r>
              <w:rPr/>
              <w:t> </w:t>
            </w:r>
          </w:p>
        </w:tc>
        <w:tc>
          <w:tcPr>
            <w:tcW w:w="8229"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Houston, TX 77002</w:t>
            </w:r>
          </w:p>
        </w:tc>
      </w:tr>
      <w:tr>
        <w:trPr/>
        <w:tc>
          <w:tcPr>
            <w:tcW w:w="1351" w:type="dxa"/>
            <w:tcBorders/>
            <w:shd w:fill="auto" w:val="clear"/>
          </w:tcPr>
          <w:p>
            <w:pPr>
              <w:pStyle w:val="TableContents"/>
              <w:spacing w:before="0" w:after="0"/>
              <w:ind w:left="0" w:right="0" w:hanging="0"/>
              <w:jc w:val="left"/>
              <w:rPr/>
            </w:pPr>
            <w:r>
              <w:rPr/>
              <w:t> </w:t>
            </w:r>
          </w:p>
        </w:tc>
        <w:tc>
          <w:tcPr>
            <w:tcW w:w="625" w:type="dxa"/>
            <w:tcBorders/>
            <w:shd w:fill="auto" w:val="clear"/>
            <w:vAlign w:val="bottom"/>
          </w:tcPr>
          <w:p>
            <w:pPr>
              <w:pStyle w:val="TableContents"/>
              <w:spacing w:before="0" w:after="0"/>
              <w:ind w:left="0" w:right="0" w:hanging="0"/>
              <w:jc w:val="left"/>
              <w:rPr/>
            </w:pPr>
            <w:r>
              <w:rPr/>
              <w:t> </w:t>
            </w:r>
          </w:p>
        </w:tc>
        <w:tc>
          <w:tcPr>
            <w:tcW w:w="8229"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Attention: Doug Bland</w:t>
            </w:r>
          </w:p>
        </w:tc>
      </w:tr>
      <w:tr>
        <w:trPr/>
        <w:tc>
          <w:tcPr>
            <w:tcW w:w="1351" w:type="dxa"/>
            <w:tcBorders/>
            <w:shd w:fill="auto" w:val="clear"/>
          </w:tcPr>
          <w:p>
            <w:pPr>
              <w:pStyle w:val="TableContents"/>
              <w:spacing w:before="0" w:after="0"/>
              <w:ind w:left="0" w:right="0" w:hanging="0"/>
              <w:jc w:val="left"/>
              <w:rPr/>
            </w:pPr>
            <w:r>
              <w:rPr/>
              <w:t> </w:t>
            </w:r>
          </w:p>
        </w:tc>
        <w:tc>
          <w:tcPr>
            <w:tcW w:w="625" w:type="dxa"/>
            <w:tcBorders/>
            <w:shd w:fill="auto" w:val="clear"/>
            <w:vAlign w:val="bottom"/>
          </w:tcPr>
          <w:p>
            <w:pPr>
              <w:pStyle w:val="TableContents"/>
              <w:spacing w:before="0" w:after="0"/>
              <w:ind w:left="0" w:right="0" w:hanging="0"/>
              <w:jc w:val="left"/>
              <w:rPr/>
            </w:pPr>
            <w:r>
              <w:rPr/>
              <w:t> </w:t>
            </w:r>
          </w:p>
        </w:tc>
        <w:tc>
          <w:tcPr>
            <w:tcW w:w="8229"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Telephone: 713-758-2498</w:t>
            </w:r>
          </w:p>
        </w:tc>
      </w:tr>
      <w:tr>
        <w:trPr/>
        <w:tc>
          <w:tcPr>
            <w:tcW w:w="1351" w:type="dxa"/>
            <w:tcBorders/>
            <w:shd w:fill="auto" w:val="clear"/>
          </w:tcPr>
          <w:p>
            <w:pPr>
              <w:pStyle w:val="TableContents"/>
              <w:spacing w:before="0" w:after="0"/>
              <w:ind w:left="0" w:right="0" w:hanging="0"/>
              <w:jc w:val="left"/>
              <w:rPr/>
            </w:pPr>
            <w:r>
              <w:rPr/>
              <w:t> </w:t>
            </w:r>
          </w:p>
        </w:tc>
        <w:tc>
          <w:tcPr>
            <w:tcW w:w="625" w:type="dxa"/>
            <w:tcBorders/>
            <w:shd w:fill="auto" w:val="clear"/>
            <w:vAlign w:val="bottom"/>
          </w:tcPr>
          <w:p>
            <w:pPr>
              <w:pStyle w:val="TableContents"/>
              <w:spacing w:before="0" w:after="0"/>
              <w:ind w:left="0" w:right="0" w:hanging="0"/>
              <w:jc w:val="left"/>
              <w:rPr/>
            </w:pPr>
            <w:r>
              <w:rPr/>
              <w:t> </w:t>
            </w:r>
          </w:p>
        </w:tc>
        <w:tc>
          <w:tcPr>
            <w:tcW w:w="8229"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Facsimile: 713-615-5649</w:t>
            </w:r>
          </w:p>
        </w:tc>
      </w:tr>
      <w:tr>
        <w:trPr/>
        <w:tc>
          <w:tcPr>
            <w:tcW w:w="1351" w:type="dxa"/>
            <w:tcBorders/>
            <w:shd w:fill="auto" w:val="clear"/>
          </w:tcPr>
          <w:p>
            <w:pPr>
              <w:pStyle w:val="TableContents"/>
              <w:spacing w:before="0" w:after="0"/>
              <w:ind w:left="0" w:right="0" w:hanging="0"/>
              <w:jc w:val="left"/>
              <w:rPr/>
            </w:pPr>
            <w:r>
              <w:rPr/>
              <w:t> </w:t>
            </w:r>
          </w:p>
        </w:tc>
        <w:tc>
          <w:tcPr>
            <w:tcW w:w="625" w:type="dxa"/>
            <w:tcBorders/>
            <w:shd w:fill="auto" w:val="clear"/>
            <w:vAlign w:val="bottom"/>
          </w:tcPr>
          <w:p>
            <w:pPr>
              <w:pStyle w:val="TableContents"/>
              <w:spacing w:before="0" w:after="0"/>
              <w:ind w:left="0" w:right="0" w:hanging="0"/>
              <w:jc w:val="left"/>
              <w:rPr/>
            </w:pPr>
            <w:r>
              <w:rPr/>
              <w:t> </w:t>
            </w:r>
          </w:p>
        </w:tc>
        <w:tc>
          <w:tcPr>
            <w:tcW w:w="8229" w:type="dxa"/>
            <w:tcBorders/>
            <w:shd w:fill="auto" w:val="clear"/>
          </w:tcPr>
          <w:p>
            <w:pPr>
              <w:pStyle w:val="TableContents"/>
              <w:spacing w:before="0" w:after="0"/>
              <w:ind w:left="0" w:right="0" w:hanging="0"/>
              <w:jc w:val="left"/>
              <w:rPr/>
            </w:pPr>
            <w:r>
              <w:rPr/>
              <w:t> </w:t>
            </w:r>
          </w:p>
        </w:tc>
      </w:tr>
      <w:tr>
        <w:trPr/>
        <w:tc>
          <w:tcPr>
            <w:tcW w:w="1351" w:type="dxa"/>
            <w:tcBorders/>
            <w:shd w:fill="auto" w:val="clear"/>
          </w:tcPr>
          <w:p>
            <w:pPr>
              <w:pStyle w:val="TableContents"/>
              <w:spacing w:before="0" w:after="0"/>
              <w:ind w:left="0" w:right="0" w:hanging="0"/>
              <w:jc w:val="left"/>
              <w:rPr/>
            </w:pPr>
            <w:r>
              <w:rPr/>
              <w:t> </w:t>
            </w:r>
          </w:p>
        </w:tc>
        <w:tc>
          <w:tcPr>
            <w:tcW w:w="625"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(b)</w:t>
            </w:r>
          </w:p>
        </w:tc>
        <w:tc>
          <w:tcPr>
            <w:tcW w:w="8229"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If to Seller, to:</w:t>
            </w:r>
          </w:p>
        </w:tc>
      </w:tr>
      <w:tr>
        <w:trPr/>
        <w:tc>
          <w:tcPr>
            <w:tcW w:w="1351" w:type="dxa"/>
            <w:tcBorders/>
            <w:shd w:fill="auto" w:val="clear"/>
          </w:tcPr>
          <w:p>
            <w:pPr>
              <w:pStyle w:val="TableContents"/>
              <w:spacing w:before="0" w:after="0"/>
              <w:ind w:left="0" w:right="0" w:hanging="0"/>
              <w:jc w:val="left"/>
              <w:rPr/>
            </w:pPr>
            <w:r>
              <w:rPr/>
              <w:t> </w:t>
            </w:r>
          </w:p>
        </w:tc>
        <w:tc>
          <w:tcPr>
            <w:tcW w:w="625" w:type="dxa"/>
            <w:tcBorders/>
            <w:shd w:fill="auto" w:val="clear"/>
            <w:vAlign w:val="bottom"/>
          </w:tcPr>
          <w:p>
            <w:pPr>
              <w:pStyle w:val="TableContents"/>
              <w:spacing w:before="0" w:after="0"/>
              <w:ind w:left="0" w:right="0" w:hanging="0"/>
              <w:jc w:val="left"/>
              <w:rPr/>
            </w:pPr>
            <w:r>
              <w:rPr/>
              <w:t> </w:t>
            </w:r>
          </w:p>
        </w:tc>
        <w:tc>
          <w:tcPr>
            <w:tcW w:w="8229" w:type="dxa"/>
            <w:tcBorders/>
            <w:shd w:fill="auto" w:val="clear"/>
          </w:tcPr>
          <w:p>
            <w:pPr>
              <w:pStyle w:val="TableContents"/>
              <w:spacing w:before="0" w:after="0"/>
              <w:ind w:left="0" w:right="0" w:hanging="0"/>
              <w:jc w:val="left"/>
              <w:rPr/>
            </w:pPr>
            <w:r>
              <w:rPr/>
              <w:t> </w:t>
            </w:r>
          </w:p>
        </w:tc>
      </w:tr>
      <w:tr>
        <w:trPr/>
        <w:tc>
          <w:tcPr>
            <w:tcW w:w="1351" w:type="dxa"/>
            <w:tcBorders/>
            <w:shd w:fill="auto" w:val="clear"/>
          </w:tcPr>
          <w:p>
            <w:pPr>
              <w:pStyle w:val="TableContents"/>
              <w:spacing w:before="0" w:after="0"/>
              <w:ind w:left="0" w:right="0" w:hanging="0"/>
              <w:jc w:val="left"/>
              <w:rPr/>
            </w:pPr>
            <w:r>
              <w:rPr/>
              <w:t> </w:t>
            </w:r>
          </w:p>
        </w:tc>
        <w:tc>
          <w:tcPr>
            <w:tcW w:w="625" w:type="dxa"/>
            <w:tcBorders/>
            <w:shd w:fill="auto" w:val="clear"/>
            <w:vAlign w:val="bottom"/>
          </w:tcPr>
          <w:p>
            <w:pPr>
              <w:pStyle w:val="TableContents"/>
              <w:spacing w:before="0" w:after="0"/>
              <w:ind w:left="0" w:right="0" w:hanging="0"/>
              <w:jc w:val="left"/>
              <w:rPr/>
            </w:pPr>
            <w:r>
              <w:rPr/>
              <w:t> </w:t>
            </w:r>
          </w:p>
        </w:tc>
        <w:tc>
          <w:tcPr>
            <w:tcW w:w="8229"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Sempra Energy Trading Corp.</w:t>
            </w:r>
          </w:p>
        </w:tc>
      </w:tr>
      <w:tr>
        <w:trPr/>
        <w:tc>
          <w:tcPr>
            <w:tcW w:w="1351" w:type="dxa"/>
            <w:tcBorders/>
            <w:shd w:fill="auto" w:val="clear"/>
          </w:tcPr>
          <w:p>
            <w:pPr>
              <w:pStyle w:val="TableContents"/>
              <w:spacing w:before="0" w:after="0"/>
              <w:ind w:left="0" w:right="0" w:hanging="0"/>
              <w:jc w:val="left"/>
              <w:rPr/>
            </w:pPr>
            <w:r>
              <w:rPr/>
              <w:t> </w:t>
            </w:r>
          </w:p>
        </w:tc>
        <w:tc>
          <w:tcPr>
            <w:tcW w:w="625" w:type="dxa"/>
            <w:tcBorders/>
            <w:shd w:fill="auto" w:val="clear"/>
            <w:vAlign w:val="bottom"/>
          </w:tcPr>
          <w:p>
            <w:pPr>
              <w:pStyle w:val="TableContents"/>
              <w:spacing w:before="0" w:after="0"/>
              <w:ind w:left="0" w:right="0" w:hanging="0"/>
              <w:jc w:val="left"/>
              <w:rPr/>
            </w:pPr>
            <w:r>
              <w:rPr/>
              <w:t> </w:t>
            </w:r>
          </w:p>
        </w:tc>
        <w:tc>
          <w:tcPr>
            <w:tcW w:w="8229"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58 Commerce Road</w:t>
            </w:r>
          </w:p>
        </w:tc>
      </w:tr>
      <w:tr>
        <w:trPr/>
        <w:tc>
          <w:tcPr>
            <w:tcW w:w="1351" w:type="dxa"/>
            <w:tcBorders/>
            <w:shd w:fill="auto" w:val="clear"/>
          </w:tcPr>
          <w:p>
            <w:pPr>
              <w:pStyle w:val="TableContents"/>
              <w:spacing w:before="0" w:after="0"/>
              <w:ind w:left="0" w:right="0" w:hanging="0"/>
              <w:jc w:val="left"/>
              <w:rPr/>
            </w:pPr>
            <w:r>
              <w:rPr/>
              <w:t> </w:t>
            </w:r>
          </w:p>
        </w:tc>
        <w:tc>
          <w:tcPr>
            <w:tcW w:w="625" w:type="dxa"/>
            <w:tcBorders/>
            <w:shd w:fill="auto" w:val="clear"/>
            <w:vAlign w:val="bottom"/>
          </w:tcPr>
          <w:p>
            <w:pPr>
              <w:pStyle w:val="TableContents"/>
              <w:spacing w:before="0" w:after="0"/>
              <w:ind w:left="0" w:right="0" w:hanging="0"/>
              <w:jc w:val="left"/>
              <w:rPr/>
            </w:pPr>
            <w:r>
              <w:rPr/>
              <w:t> </w:t>
            </w:r>
          </w:p>
        </w:tc>
        <w:tc>
          <w:tcPr>
            <w:tcW w:w="8229"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Stamford, CT 06902</w:t>
            </w:r>
          </w:p>
        </w:tc>
      </w:tr>
      <w:tr>
        <w:trPr/>
        <w:tc>
          <w:tcPr>
            <w:tcW w:w="1351" w:type="dxa"/>
            <w:tcBorders/>
            <w:shd w:fill="auto" w:val="clear"/>
          </w:tcPr>
          <w:p>
            <w:pPr>
              <w:pStyle w:val="TableContents"/>
              <w:spacing w:before="0" w:after="0"/>
              <w:ind w:left="0" w:right="0" w:hanging="0"/>
              <w:jc w:val="left"/>
              <w:rPr/>
            </w:pPr>
            <w:r>
              <w:rPr/>
              <w:t> </w:t>
            </w:r>
          </w:p>
        </w:tc>
        <w:tc>
          <w:tcPr>
            <w:tcW w:w="625" w:type="dxa"/>
            <w:tcBorders/>
            <w:shd w:fill="auto" w:val="clear"/>
            <w:vAlign w:val="bottom"/>
          </w:tcPr>
          <w:p>
            <w:pPr>
              <w:pStyle w:val="TableContents"/>
              <w:spacing w:before="0" w:after="0"/>
              <w:ind w:left="0" w:right="0" w:hanging="0"/>
              <w:jc w:val="left"/>
              <w:rPr/>
            </w:pPr>
            <w:r>
              <w:rPr/>
              <w:t> </w:t>
            </w:r>
          </w:p>
        </w:tc>
        <w:tc>
          <w:tcPr>
            <w:tcW w:w="8229"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Attention: General Counsel</w:t>
            </w:r>
          </w:p>
        </w:tc>
      </w:tr>
      <w:tr>
        <w:trPr/>
        <w:tc>
          <w:tcPr>
            <w:tcW w:w="1351" w:type="dxa"/>
            <w:tcBorders/>
            <w:shd w:fill="auto" w:val="clear"/>
          </w:tcPr>
          <w:p>
            <w:pPr>
              <w:pStyle w:val="TableContents"/>
              <w:spacing w:before="0" w:after="0"/>
              <w:ind w:left="0" w:right="0" w:hanging="0"/>
              <w:jc w:val="left"/>
              <w:rPr/>
            </w:pPr>
            <w:r>
              <w:rPr/>
              <w:t> </w:t>
            </w:r>
          </w:p>
        </w:tc>
        <w:tc>
          <w:tcPr>
            <w:tcW w:w="625" w:type="dxa"/>
            <w:tcBorders/>
            <w:shd w:fill="auto" w:val="clear"/>
            <w:vAlign w:val="bottom"/>
          </w:tcPr>
          <w:p>
            <w:pPr>
              <w:pStyle w:val="TableContents"/>
              <w:spacing w:before="0" w:after="0"/>
              <w:ind w:left="0" w:right="0" w:hanging="0"/>
              <w:jc w:val="left"/>
              <w:rPr/>
            </w:pPr>
            <w:r>
              <w:rPr/>
              <w:t> </w:t>
            </w:r>
          </w:p>
        </w:tc>
        <w:tc>
          <w:tcPr>
            <w:tcW w:w="8229"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Telecopy: 203-355-5410</w:t>
            </w:r>
          </w:p>
        </w:tc>
      </w:tr>
      <w:tr>
        <w:trPr/>
        <w:tc>
          <w:tcPr>
            <w:tcW w:w="1351" w:type="dxa"/>
            <w:tcBorders/>
            <w:shd w:fill="auto" w:val="clear"/>
          </w:tcPr>
          <w:p>
            <w:pPr>
              <w:pStyle w:val="TableContents"/>
              <w:spacing w:before="0" w:after="0"/>
              <w:ind w:left="0" w:right="0" w:hanging="0"/>
              <w:jc w:val="left"/>
              <w:rPr/>
            </w:pPr>
            <w:r>
              <w:rPr/>
              <w:t> </w:t>
            </w:r>
          </w:p>
        </w:tc>
        <w:tc>
          <w:tcPr>
            <w:tcW w:w="625" w:type="dxa"/>
            <w:tcBorders/>
            <w:shd w:fill="auto" w:val="clear"/>
            <w:vAlign w:val="bottom"/>
          </w:tcPr>
          <w:p>
            <w:pPr>
              <w:pStyle w:val="TableContents"/>
              <w:spacing w:before="0" w:after="0"/>
              <w:ind w:left="0" w:right="0" w:hanging="0"/>
              <w:jc w:val="left"/>
              <w:rPr/>
            </w:pPr>
            <w:r>
              <w:rPr/>
              <w:t> </w:t>
            </w:r>
          </w:p>
        </w:tc>
        <w:tc>
          <w:tcPr>
            <w:tcW w:w="8229" w:type="dxa"/>
            <w:tcBorders/>
            <w:shd w:fill="auto" w:val="clear"/>
          </w:tcPr>
          <w:p>
            <w:pPr>
              <w:pStyle w:val="TableContents"/>
              <w:spacing w:before="0" w:after="0"/>
              <w:ind w:left="0" w:right="0" w:hanging="0"/>
              <w:jc w:val="left"/>
              <w:rPr/>
            </w:pPr>
            <w:r>
              <w:rPr/>
              <w:t> </w:t>
            </w:r>
          </w:p>
        </w:tc>
      </w:tr>
      <w:tr>
        <w:trPr/>
        <w:tc>
          <w:tcPr>
            <w:tcW w:w="1351" w:type="dxa"/>
            <w:tcBorders/>
            <w:shd w:fill="auto" w:val="clear"/>
          </w:tcPr>
          <w:p>
            <w:pPr>
              <w:pStyle w:val="TableContents"/>
              <w:spacing w:before="0" w:after="0"/>
              <w:ind w:left="0" w:right="0" w:hanging="0"/>
              <w:jc w:val="left"/>
              <w:rPr/>
            </w:pPr>
            <w:r>
              <w:rPr/>
              <w:t> </w:t>
            </w:r>
          </w:p>
        </w:tc>
        <w:tc>
          <w:tcPr>
            <w:tcW w:w="625" w:type="dxa"/>
            <w:tcBorders/>
            <w:shd w:fill="auto" w:val="clear"/>
            <w:vAlign w:val="bottom"/>
          </w:tcPr>
          <w:p>
            <w:pPr>
              <w:pStyle w:val="TableContents"/>
              <w:spacing w:before="0" w:after="0"/>
              <w:ind w:left="0" w:right="0" w:hanging="0"/>
              <w:jc w:val="left"/>
              <w:rPr/>
            </w:pPr>
            <w:r>
              <w:rPr/>
              <w:t> </w:t>
            </w:r>
          </w:p>
        </w:tc>
        <w:tc>
          <w:tcPr>
            <w:tcW w:w="8229"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and</w:t>
            </w:r>
          </w:p>
        </w:tc>
      </w:tr>
      <w:tr>
        <w:trPr/>
        <w:tc>
          <w:tcPr>
            <w:tcW w:w="1351" w:type="dxa"/>
            <w:tcBorders/>
            <w:shd w:fill="auto" w:val="clear"/>
          </w:tcPr>
          <w:p>
            <w:pPr>
              <w:pStyle w:val="TableContents"/>
              <w:spacing w:before="0" w:after="0"/>
              <w:ind w:left="0" w:right="0" w:hanging="0"/>
              <w:jc w:val="left"/>
              <w:rPr/>
            </w:pPr>
            <w:r>
              <w:rPr/>
              <w:t> </w:t>
            </w:r>
          </w:p>
        </w:tc>
        <w:tc>
          <w:tcPr>
            <w:tcW w:w="625" w:type="dxa"/>
            <w:tcBorders/>
            <w:shd w:fill="auto" w:val="clear"/>
            <w:vAlign w:val="bottom"/>
          </w:tcPr>
          <w:p>
            <w:pPr>
              <w:pStyle w:val="TableContents"/>
              <w:spacing w:before="0" w:after="0"/>
              <w:ind w:left="0" w:right="0" w:hanging="0"/>
              <w:jc w:val="left"/>
              <w:rPr/>
            </w:pPr>
            <w:r>
              <w:rPr/>
              <w:t> </w:t>
            </w:r>
          </w:p>
        </w:tc>
        <w:tc>
          <w:tcPr>
            <w:tcW w:w="8229" w:type="dxa"/>
            <w:tcBorders/>
            <w:shd w:fill="auto" w:val="clear"/>
          </w:tcPr>
          <w:p>
            <w:pPr>
              <w:pStyle w:val="TableContents"/>
              <w:spacing w:before="0" w:after="0"/>
              <w:ind w:left="0" w:right="0" w:hanging="0"/>
              <w:jc w:val="left"/>
              <w:rPr/>
            </w:pPr>
            <w:r>
              <w:rPr/>
              <w:t> </w:t>
            </w:r>
          </w:p>
        </w:tc>
      </w:tr>
      <w:tr>
        <w:trPr/>
        <w:tc>
          <w:tcPr>
            <w:tcW w:w="1351" w:type="dxa"/>
            <w:tcBorders/>
            <w:shd w:fill="auto" w:val="clear"/>
          </w:tcPr>
          <w:p>
            <w:pPr>
              <w:pStyle w:val="TableContents"/>
              <w:spacing w:before="0" w:after="0"/>
              <w:ind w:left="0" w:right="0" w:hanging="0"/>
              <w:jc w:val="left"/>
              <w:rPr/>
            </w:pPr>
            <w:r>
              <w:rPr/>
              <w:t> </w:t>
            </w:r>
          </w:p>
        </w:tc>
        <w:tc>
          <w:tcPr>
            <w:tcW w:w="625" w:type="dxa"/>
            <w:tcBorders/>
            <w:shd w:fill="auto" w:val="clear"/>
            <w:vAlign w:val="bottom"/>
          </w:tcPr>
          <w:p>
            <w:pPr>
              <w:pStyle w:val="TableContents"/>
              <w:spacing w:before="0" w:after="0"/>
              <w:ind w:left="0" w:right="0" w:hanging="0"/>
              <w:jc w:val="left"/>
              <w:rPr/>
            </w:pPr>
            <w:r>
              <w:rPr/>
              <w:t> </w:t>
            </w:r>
          </w:p>
        </w:tc>
        <w:tc>
          <w:tcPr>
            <w:tcW w:w="8229"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Sempra Energy Trading Corp.</w:t>
            </w:r>
          </w:p>
        </w:tc>
      </w:tr>
      <w:tr>
        <w:trPr/>
        <w:tc>
          <w:tcPr>
            <w:tcW w:w="1351" w:type="dxa"/>
            <w:tcBorders/>
            <w:shd w:fill="auto" w:val="clear"/>
          </w:tcPr>
          <w:p>
            <w:pPr>
              <w:pStyle w:val="TableContents"/>
              <w:spacing w:before="0" w:after="0"/>
              <w:ind w:left="0" w:right="0" w:hanging="0"/>
              <w:jc w:val="left"/>
              <w:rPr/>
            </w:pPr>
            <w:r>
              <w:rPr/>
              <w:t> </w:t>
            </w:r>
          </w:p>
        </w:tc>
        <w:tc>
          <w:tcPr>
            <w:tcW w:w="625" w:type="dxa"/>
            <w:tcBorders/>
            <w:shd w:fill="auto" w:val="clear"/>
            <w:vAlign w:val="bottom"/>
          </w:tcPr>
          <w:p>
            <w:pPr>
              <w:pStyle w:val="TableContents"/>
              <w:spacing w:before="0" w:after="0"/>
              <w:ind w:left="0" w:right="0" w:hanging="0"/>
              <w:jc w:val="left"/>
              <w:rPr/>
            </w:pPr>
            <w:r>
              <w:rPr/>
              <w:t> </w:t>
            </w:r>
          </w:p>
        </w:tc>
        <w:tc>
          <w:tcPr>
            <w:tcW w:w="8229"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58 Commerce Road</w:t>
            </w:r>
          </w:p>
        </w:tc>
      </w:tr>
      <w:tr>
        <w:trPr/>
        <w:tc>
          <w:tcPr>
            <w:tcW w:w="1351" w:type="dxa"/>
            <w:tcBorders/>
            <w:shd w:fill="auto" w:val="clear"/>
          </w:tcPr>
          <w:p>
            <w:pPr>
              <w:pStyle w:val="TableContents"/>
              <w:spacing w:before="0" w:after="0"/>
              <w:ind w:left="0" w:right="0" w:hanging="0"/>
              <w:jc w:val="left"/>
              <w:rPr/>
            </w:pPr>
            <w:r>
              <w:rPr/>
              <w:t> </w:t>
            </w:r>
          </w:p>
        </w:tc>
        <w:tc>
          <w:tcPr>
            <w:tcW w:w="625" w:type="dxa"/>
            <w:tcBorders/>
            <w:shd w:fill="auto" w:val="clear"/>
            <w:vAlign w:val="bottom"/>
          </w:tcPr>
          <w:p>
            <w:pPr>
              <w:pStyle w:val="TableContents"/>
              <w:spacing w:before="0" w:after="0"/>
              <w:ind w:left="0" w:right="0" w:hanging="0"/>
              <w:jc w:val="left"/>
              <w:rPr/>
            </w:pPr>
            <w:r>
              <w:rPr/>
              <w:t> </w:t>
            </w:r>
          </w:p>
        </w:tc>
        <w:tc>
          <w:tcPr>
            <w:tcW w:w="8229"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Stamford, CT 06902</w:t>
            </w:r>
          </w:p>
        </w:tc>
      </w:tr>
      <w:tr>
        <w:trPr/>
        <w:tc>
          <w:tcPr>
            <w:tcW w:w="1351" w:type="dxa"/>
            <w:tcBorders/>
            <w:shd w:fill="auto" w:val="clear"/>
          </w:tcPr>
          <w:p>
            <w:pPr>
              <w:pStyle w:val="TableContents"/>
              <w:spacing w:before="0" w:after="0"/>
              <w:ind w:left="0" w:right="0" w:hanging="0"/>
              <w:jc w:val="left"/>
              <w:rPr/>
            </w:pPr>
            <w:r>
              <w:rPr/>
              <w:t> </w:t>
            </w:r>
          </w:p>
        </w:tc>
        <w:tc>
          <w:tcPr>
            <w:tcW w:w="625" w:type="dxa"/>
            <w:tcBorders/>
            <w:shd w:fill="auto" w:val="clear"/>
            <w:vAlign w:val="bottom"/>
          </w:tcPr>
          <w:p>
            <w:pPr>
              <w:pStyle w:val="TableContents"/>
              <w:spacing w:before="0" w:after="0"/>
              <w:ind w:left="0" w:right="0" w:hanging="0"/>
              <w:jc w:val="left"/>
              <w:rPr/>
            </w:pPr>
            <w:r>
              <w:rPr/>
              <w:t> </w:t>
            </w:r>
          </w:p>
        </w:tc>
        <w:tc>
          <w:tcPr>
            <w:tcW w:w="8229"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Attention: Scott Werneburg</w:t>
            </w:r>
          </w:p>
        </w:tc>
      </w:tr>
      <w:tr>
        <w:trPr/>
        <w:tc>
          <w:tcPr>
            <w:tcW w:w="1351" w:type="dxa"/>
            <w:tcBorders/>
            <w:shd w:fill="auto" w:val="clear"/>
          </w:tcPr>
          <w:p>
            <w:pPr>
              <w:pStyle w:val="TableContents"/>
              <w:spacing w:before="0" w:after="0"/>
              <w:ind w:left="0" w:right="0" w:hanging="0"/>
              <w:jc w:val="left"/>
              <w:rPr/>
            </w:pPr>
            <w:r>
              <w:rPr/>
              <w:t> </w:t>
            </w:r>
          </w:p>
        </w:tc>
        <w:tc>
          <w:tcPr>
            <w:tcW w:w="625" w:type="dxa"/>
            <w:tcBorders/>
            <w:shd w:fill="auto" w:val="clear"/>
            <w:vAlign w:val="bottom"/>
          </w:tcPr>
          <w:p>
            <w:pPr>
              <w:pStyle w:val="TableContents"/>
              <w:spacing w:before="0" w:after="0"/>
              <w:ind w:left="0" w:right="0" w:hanging="0"/>
              <w:jc w:val="left"/>
              <w:rPr/>
            </w:pPr>
            <w:r>
              <w:rPr/>
              <w:t> </w:t>
            </w:r>
          </w:p>
        </w:tc>
        <w:tc>
          <w:tcPr>
            <w:tcW w:w="8229"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Telecopy: 203-355-5903</w:t>
            </w:r>
          </w:p>
        </w:tc>
      </w:tr>
      <w:tr>
        <w:trPr/>
        <w:tc>
          <w:tcPr>
            <w:tcW w:w="1351" w:type="dxa"/>
            <w:tcBorders/>
            <w:shd w:fill="auto" w:val="clear"/>
          </w:tcPr>
          <w:p>
            <w:pPr>
              <w:pStyle w:val="TableContents"/>
              <w:spacing w:before="0" w:after="0"/>
              <w:ind w:left="0" w:right="0" w:hanging="0"/>
              <w:jc w:val="left"/>
              <w:rPr/>
            </w:pPr>
            <w:r>
              <w:rPr/>
              <w:t> </w:t>
            </w:r>
          </w:p>
        </w:tc>
        <w:tc>
          <w:tcPr>
            <w:tcW w:w="625" w:type="dxa"/>
            <w:tcBorders/>
            <w:shd w:fill="auto" w:val="clear"/>
            <w:vAlign w:val="bottom"/>
          </w:tcPr>
          <w:p>
            <w:pPr>
              <w:pStyle w:val="TableContents"/>
              <w:spacing w:before="0" w:after="0"/>
              <w:ind w:left="0" w:right="0" w:hanging="0"/>
              <w:jc w:val="left"/>
              <w:rPr/>
            </w:pPr>
            <w:r>
              <w:rPr/>
              <w:t> </w:t>
            </w:r>
          </w:p>
        </w:tc>
        <w:tc>
          <w:tcPr>
            <w:tcW w:w="8229" w:type="dxa"/>
            <w:tcBorders/>
            <w:shd w:fill="auto" w:val="clear"/>
          </w:tcPr>
          <w:p>
            <w:pPr>
              <w:pStyle w:val="TableContents"/>
              <w:spacing w:before="0" w:after="0"/>
              <w:ind w:left="0" w:right="0" w:hanging="0"/>
              <w:jc w:val="left"/>
              <w:rPr/>
            </w:pPr>
            <w:r>
              <w:rPr/>
              <w:t> </w:t>
            </w:r>
          </w:p>
        </w:tc>
      </w:tr>
      <w:tr>
        <w:trPr/>
        <w:tc>
          <w:tcPr>
            <w:tcW w:w="1351" w:type="dxa"/>
            <w:tcBorders/>
            <w:shd w:fill="auto" w:val="clear"/>
          </w:tcPr>
          <w:p>
            <w:pPr>
              <w:pStyle w:val="TableContents"/>
              <w:spacing w:before="0" w:after="0"/>
              <w:ind w:left="0" w:right="0" w:hanging="0"/>
              <w:jc w:val="left"/>
              <w:rPr/>
            </w:pPr>
            <w:r>
              <w:rPr/>
              <w:t> </w:t>
            </w:r>
          </w:p>
        </w:tc>
        <w:tc>
          <w:tcPr>
            <w:tcW w:w="625" w:type="dxa"/>
            <w:tcBorders/>
            <w:shd w:fill="auto" w:val="clear"/>
            <w:vAlign w:val="bottom"/>
          </w:tcPr>
          <w:p>
            <w:pPr>
              <w:pStyle w:val="TableContents"/>
              <w:spacing w:before="0" w:after="0"/>
              <w:ind w:left="0" w:right="0" w:hanging="0"/>
              <w:jc w:val="left"/>
              <w:rPr/>
            </w:pPr>
            <w:r>
              <w:rPr/>
              <w:t> </w:t>
            </w:r>
          </w:p>
        </w:tc>
        <w:tc>
          <w:tcPr>
            <w:tcW w:w="8229"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and</w:t>
            </w:r>
          </w:p>
        </w:tc>
      </w:tr>
      <w:tr>
        <w:trPr/>
        <w:tc>
          <w:tcPr>
            <w:tcW w:w="1351" w:type="dxa"/>
            <w:tcBorders/>
            <w:shd w:fill="auto" w:val="clear"/>
          </w:tcPr>
          <w:p>
            <w:pPr>
              <w:pStyle w:val="TableContents"/>
              <w:spacing w:before="0" w:after="0"/>
              <w:ind w:left="0" w:right="0" w:hanging="0"/>
              <w:jc w:val="left"/>
              <w:rPr/>
            </w:pPr>
            <w:r>
              <w:rPr/>
              <w:t> </w:t>
            </w:r>
          </w:p>
        </w:tc>
        <w:tc>
          <w:tcPr>
            <w:tcW w:w="625" w:type="dxa"/>
            <w:tcBorders/>
            <w:shd w:fill="auto" w:val="clear"/>
            <w:vAlign w:val="bottom"/>
          </w:tcPr>
          <w:p>
            <w:pPr>
              <w:pStyle w:val="TableContents"/>
              <w:spacing w:before="0" w:after="0"/>
              <w:ind w:left="0" w:right="0" w:hanging="0"/>
              <w:jc w:val="left"/>
              <w:rPr/>
            </w:pPr>
            <w:r>
              <w:rPr/>
              <w:t> </w:t>
            </w:r>
          </w:p>
        </w:tc>
        <w:tc>
          <w:tcPr>
            <w:tcW w:w="8229" w:type="dxa"/>
            <w:tcBorders/>
            <w:shd w:fill="auto" w:val="clear"/>
          </w:tcPr>
          <w:p>
            <w:pPr>
              <w:pStyle w:val="TableContents"/>
              <w:spacing w:before="0" w:after="0"/>
              <w:ind w:left="0" w:right="0" w:hanging="0"/>
              <w:jc w:val="left"/>
              <w:rPr/>
            </w:pPr>
            <w:r>
              <w:rPr/>
              <w:t> </w:t>
            </w:r>
          </w:p>
        </w:tc>
      </w:tr>
      <w:tr>
        <w:trPr/>
        <w:tc>
          <w:tcPr>
            <w:tcW w:w="1351" w:type="dxa"/>
            <w:tcBorders/>
            <w:shd w:fill="auto" w:val="clear"/>
          </w:tcPr>
          <w:p>
            <w:pPr>
              <w:pStyle w:val="TableContents"/>
              <w:spacing w:before="0" w:after="0"/>
              <w:ind w:left="0" w:right="0" w:hanging="0"/>
              <w:jc w:val="left"/>
              <w:rPr/>
            </w:pPr>
            <w:r>
              <w:rPr/>
              <w:t> </w:t>
            </w:r>
          </w:p>
        </w:tc>
        <w:tc>
          <w:tcPr>
            <w:tcW w:w="625" w:type="dxa"/>
            <w:tcBorders/>
            <w:shd w:fill="auto" w:val="clear"/>
            <w:vAlign w:val="bottom"/>
          </w:tcPr>
          <w:p>
            <w:pPr>
              <w:pStyle w:val="TableContents"/>
              <w:spacing w:before="0" w:after="0"/>
              <w:ind w:left="0" w:right="0" w:hanging="0"/>
              <w:jc w:val="left"/>
              <w:rPr/>
            </w:pPr>
            <w:r>
              <w:rPr/>
              <w:t> </w:t>
            </w:r>
          </w:p>
        </w:tc>
        <w:tc>
          <w:tcPr>
            <w:tcW w:w="8229"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Sempra Energy</w:t>
            </w:r>
          </w:p>
        </w:tc>
      </w:tr>
      <w:tr>
        <w:trPr/>
        <w:tc>
          <w:tcPr>
            <w:tcW w:w="1351" w:type="dxa"/>
            <w:tcBorders/>
            <w:shd w:fill="auto" w:val="clear"/>
          </w:tcPr>
          <w:p>
            <w:pPr>
              <w:pStyle w:val="TableContents"/>
              <w:spacing w:before="0" w:after="0"/>
              <w:ind w:left="0" w:right="0" w:hanging="0"/>
              <w:jc w:val="left"/>
              <w:rPr/>
            </w:pPr>
            <w:r>
              <w:rPr/>
              <w:t> </w:t>
            </w:r>
          </w:p>
        </w:tc>
        <w:tc>
          <w:tcPr>
            <w:tcW w:w="625" w:type="dxa"/>
            <w:tcBorders/>
            <w:shd w:fill="auto" w:val="clear"/>
            <w:vAlign w:val="bottom"/>
          </w:tcPr>
          <w:p>
            <w:pPr>
              <w:pStyle w:val="TableContents"/>
              <w:spacing w:before="0" w:after="0"/>
              <w:ind w:left="0" w:right="0" w:hanging="0"/>
              <w:jc w:val="left"/>
              <w:rPr/>
            </w:pPr>
            <w:r>
              <w:rPr/>
              <w:t> </w:t>
            </w:r>
          </w:p>
        </w:tc>
        <w:tc>
          <w:tcPr>
            <w:tcW w:w="8229"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101 Ash Street</w:t>
            </w:r>
          </w:p>
        </w:tc>
      </w:tr>
      <w:tr>
        <w:trPr/>
        <w:tc>
          <w:tcPr>
            <w:tcW w:w="1351" w:type="dxa"/>
            <w:tcBorders/>
            <w:shd w:fill="auto" w:val="clear"/>
          </w:tcPr>
          <w:p>
            <w:pPr>
              <w:pStyle w:val="TableContents"/>
              <w:spacing w:before="0" w:after="0"/>
              <w:ind w:left="0" w:right="0" w:hanging="0"/>
              <w:jc w:val="left"/>
              <w:rPr/>
            </w:pPr>
            <w:r>
              <w:rPr/>
              <w:t> </w:t>
            </w:r>
          </w:p>
        </w:tc>
        <w:tc>
          <w:tcPr>
            <w:tcW w:w="625" w:type="dxa"/>
            <w:tcBorders/>
            <w:shd w:fill="auto" w:val="clear"/>
            <w:vAlign w:val="bottom"/>
          </w:tcPr>
          <w:p>
            <w:pPr>
              <w:pStyle w:val="TableContents"/>
              <w:spacing w:before="0" w:after="0"/>
              <w:ind w:left="0" w:right="0" w:hanging="0"/>
              <w:jc w:val="left"/>
              <w:rPr/>
            </w:pPr>
            <w:r>
              <w:rPr/>
              <w:t> </w:t>
            </w:r>
          </w:p>
        </w:tc>
        <w:tc>
          <w:tcPr>
            <w:tcW w:w="8229"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San Diego, CA 92101</w:t>
            </w:r>
          </w:p>
        </w:tc>
      </w:tr>
      <w:tr>
        <w:trPr/>
        <w:tc>
          <w:tcPr>
            <w:tcW w:w="1351" w:type="dxa"/>
            <w:tcBorders/>
            <w:shd w:fill="auto" w:val="clear"/>
          </w:tcPr>
          <w:p>
            <w:pPr>
              <w:pStyle w:val="TableContents"/>
              <w:spacing w:before="0" w:after="0"/>
              <w:ind w:left="0" w:right="0" w:hanging="0"/>
              <w:jc w:val="left"/>
              <w:rPr/>
            </w:pPr>
            <w:r>
              <w:rPr/>
              <w:t> </w:t>
            </w:r>
          </w:p>
        </w:tc>
        <w:tc>
          <w:tcPr>
            <w:tcW w:w="625" w:type="dxa"/>
            <w:tcBorders/>
            <w:shd w:fill="auto" w:val="clear"/>
            <w:vAlign w:val="bottom"/>
          </w:tcPr>
          <w:p>
            <w:pPr>
              <w:pStyle w:val="TableContents"/>
              <w:spacing w:before="0" w:after="0"/>
              <w:ind w:left="0" w:right="0" w:hanging="0"/>
              <w:jc w:val="left"/>
              <w:rPr/>
            </w:pPr>
            <w:r>
              <w:rPr/>
              <w:t> </w:t>
            </w:r>
          </w:p>
        </w:tc>
        <w:tc>
          <w:tcPr>
            <w:tcW w:w="8229"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Attention: General Counsel</w:t>
            </w:r>
          </w:p>
        </w:tc>
      </w:tr>
      <w:tr>
        <w:trPr/>
        <w:tc>
          <w:tcPr>
            <w:tcW w:w="1351" w:type="dxa"/>
            <w:tcBorders/>
            <w:shd w:fill="auto" w:val="clear"/>
          </w:tcPr>
          <w:p>
            <w:pPr>
              <w:pStyle w:val="TableContents"/>
              <w:spacing w:before="0" w:after="0"/>
              <w:ind w:left="0" w:right="0" w:hanging="0"/>
              <w:jc w:val="left"/>
              <w:rPr/>
            </w:pPr>
            <w:r>
              <w:rPr/>
              <w:t> </w:t>
            </w:r>
          </w:p>
        </w:tc>
        <w:tc>
          <w:tcPr>
            <w:tcW w:w="625" w:type="dxa"/>
            <w:tcBorders/>
            <w:shd w:fill="auto" w:val="clear"/>
            <w:vAlign w:val="bottom"/>
          </w:tcPr>
          <w:p>
            <w:pPr>
              <w:pStyle w:val="TableContents"/>
              <w:spacing w:before="0" w:after="0"/>
              <w:ind w:left="0" w:right="0" w:hanging="0"/>
              <w:jc w:val="left"/>
              <w:rPr/>
            </w:pPr>
            <w:r>
              <w:rPr/>
              <w:t> </w:t>
            </w:r>
          </w:p>
        </w:tc>
        <w:tc>
          <w:tcPr>
            <w:tcW w:w="8229" w:type="dxa"/>
            <w:tcBorders/>
            <w:shd w:fill="auto" w:val="clear"/>
          </w:tcPr>
          <w:p>
            <w:pPr>
              <w:pStyle w:val="TableContents"/>
              <w:spacing w:before="0" w:after="0"/>
              <w:ind w:left="0" w:right="0" w:hanging="0"/>
              <w:jc w:val="left"/>
              <w:rPr/>
            </w:pPr>
            <w:r>
              <w:rPr/>
              <w:t> </w:t>
            </w:r>
          </w:p>
        </w:tc>
      </w:tr>
      <w:tr>
        <w:trPr/>
        <w:tc>
          <w:tcPr>
            <w:tcW w:w="1351" w:type="dxa"/>
            <w:tcBorders/>
            <w:shd w:fill="auto" w:val="clear"/>
          </w:tcPr>
          <w:p>
            <w:pPr>
              <w:pStyle w:val="TableContents"/>
              <w:spacing w:before="0" w:after="0"/>
              <w:ind w:left="0" w:right="0" w:hanging="0"/>
              <w:jc w:val="left"/>
              <w:rPr/>
            </w:pPr>
            <w:r>
              <w:rPr/>
              <w:t> </w:t>
            </w:r>
          </w:p>
        </w:tc>
        <w:tc>
          <w:tcPr>
            <w:tcW w:w="625" w:type="dxa"/>
            <w:tcBorders/>
            <w:shd w:fill="auto" w:val="clear"/>
            <w:vAlign w:val="bottom"/>
          </w:tcPr>
          <w:p>
            <w:pPr>
              <w:pStyle w:val="TableContents"/>
              <w:spacing w:before="0" w:after="0"/>
              <w:ind w:left="0" w:right="0" w:hanging="0"/>
              <w:jc w:val="left"/>
              <w:rPr/>
            </w:pPr>
            <w:r>
              <w:rPr/>
              <w:t> </w:t>
            </w:r>
          </w:p>
        </w:tc>
        <w:tc>
          <w:tcPr>
            <w:tcW w:w="8229"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with copies to:</w:t>
            </w:r>
          </w:p>
        </w:tc>
      </w:tr>
      <w:tr>
        <w:trPr/>
        <w:tc>
          <w:tcPr>
            <w:tcW w:w="1351" w:type="dxa"/>
            <w:tcBorders/>
            <w:shd w:fill="auto" w:val="clear"/>
          </w:tcPr>
          <w:p>
            <w:pPr>
              <w:pStyle w:val="TableContents"/>
              <w:spacing w:before="0" w:after="0"/>
              <w:ind w:left="0" w:right="0" w:hanging="0"/>
              <w:jc w:val="left"/>
              <w:rPr/>
            </w:pPr>
            <w:r>
              <w:rPr/>
              <w:t> </w:t>
            </w:r>
          </w:p>
        </w:tc>
        <w:tc>
          <w:tcPr>
            <w:tcW w:w="625" w:type="dxa"/>
            <w:tcBorders/>
            <w:shd w:fill="auto" w:val="clear"/>
            <w:vAlign w:val="bottom"/>
          </w:tcPr>
          <w:p>
            <w:pPr>
              <w:pStyle w:val="TableContents"/>
              <w:spacing w:before="0" w:after="0"/>
              <w:ind w:left="0" w:right="0" w:hanging="0"/>
              <w:jc w:val="left"/>
              <w:rPr/>
            </w:pPr>
            <w:r>
              <w:rPr/>
              <w:t> </w:t>
            </w:r>
          </w:p>
        </w:tc>
        <w:tc>
          <w:tcPr>
            <w:tcW w:w="8229" w:type="dxa"/>
            <w:tcBorders/>
            <w:shd w:fill="auto" w:val="clear"/>
          </w:tcPr>
          <w:p>
            <w:pPr>
              <w:pStyle w:val="TableContents"/>
              <w:spacing w:before="0" w:after="0"/>
              <w:ind w:left="0" w:right="0" w:hanging="0"/>
              <w:jc w:val="left"/>
              <w:rPr/>
            </w:pPr>
            <w:r>
              <w:rPr/>
              <w:t> </w:t>
            </w:r>
          </w:p>
        </w:tc>
      </w:tr>
      <w:tr>
        <w:trPr/>
        <w:tc>
          <w:tcPr>
            <w:tcW w:w="1351" w:type="dxa"/>
            <w:tcBorders/>
            <w:shd w:fill="auto" w:val="clear"/>
          </w:tcPr>
          <w:p>
            <w:pPr>
              <w:pStyle w:val="TableContents"/>
              <w:spacing w:before="0" w:after="0"/>
              <w:ind w:left="0" w:right="0" w:hanging="0"/>
              <w:jc w:val="left"/>
              <w:rPr/>
            </w:pPr>
            <w:r>
              <w:rPr/>
              <w:t> </w:t>
            </w:r>
          </w:p>
        </w:tc>
        <w:tc>
          <w:tcPr>
            <w:tcW w:w="625" w:type="dxa"/>
            <w:tcBorders/>
            <w:shd w:fill="auto" w:val="clear"/>
            <w:vAlign w:val="bottom"/>
          </w:tcPr>
          <w:p>
            <w:pPr>
              <w:pStyle w:val="TableContents"/>
              <w:spacing w:before="0" w:after="0"/>
              <w:ind w:left="0" w:right="0" w:hanging="0"/>
              <w:jc w:val="left"/>
              <w:rPr/>
            </w:pPr>
            <w:r>
              <w:rPr/>
              <w:t> </w:t>
            </w:r>
          </w:p>
        </w:tc>
        <w:tc>
          <w:tcPr>
            <w:tcW w:w="8229"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Dewey Ballantine LLP</w:t>
            </w:r>
          </w:p>
        </w:tc>
      </w:tr>
      <w:tr>
        <w:trPr/>
        <w:tc>
          <w:tcPr>
            <w:tcW w:w="1351" w:type="dxa"/>
            <w:tcBorders/>
            <w:shd w:fill="auto" w:val="clear"/>
          </w:tcPr>
          <w:p>
            <w:pPr>
              <w:pStyle w:val="TableContents"/>
              <w:spacing w:before="0" w:after="0"/>
              <w:ind w:left="0" w:right="0" w:hanging="0"/>
              <w:jc w:val="left"/>
              <w:rPr/>
            </w:pPr>
            <w:r>
              <w:rPr/>
              <w:t> </w:t>
            </w:r>
          </w:p>
        </w:tc>
        <w:tc>
          <w:tcPr>
            <w:tcW w:w="625" w:type="dxa"/>
            <w:tcBorders/>
            <w:shd w:fill="auto" w:val="clear"/>
            <w:vAlign w:val="bottom"/>
          </w:tcPr>
          <w:p>
            <w:pPr>
              <w:pStyle w:val="TableContents"/>
              <w:spacing w:before="0" w:after="0"/>
              <w:ind w:left="0" w:right="0" w:hanging="0"/>
              <w:jc w:val="left"/>
              <w:rPr/>
            </w:pPr>
            <w:r>
              <w:rPr/>
              <w:t> </w:t>
            </w:r>
          </w:p>
        </w:tc>
        <w:tc>
          <w:tcPr>
            <w:tcW w:w="8229"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1301 Avenue of the Americas</w:t>
            </w:r>
          </w:p>
        </w:tc>
      </w:tr>
      <w:tr>
        <w:trPr/>
        <w:tc>
          <w:tcPr>
            <w:tcW w:w="1351" w:type="dxa"/>
            <w:tcBorders/>
            <w:shd w:fill="auto" w:val="clear"/>
          </w:tcPr>
          <w:p>
            <w:pPr>
              <w:pStyle w:val="TableContents"/>
              <w:spacing w:before="0" w:after="0"/>
              <w:ind w:left="0" w:right="0" w:hanging="0"/>
              <w:jc w:val="left"/>
              <w:rPr/>
            </w:pPr>
            <w:r>
              <w:rPr/>
              <w:t> </w:t>
            </w:r>
          </w:p>
        </w:tc>
        <w:tc>
          <w:tcPr>
            <w:tcW w:w="625" w:type="dxa"/>
            <w:tcBorders/>
            <w:shd w:fill="auto" w:val="clear"/>
            <w:vAlign w:val="bottom"/>
          </w:tcPr>
          <w:p>
            <w:pPr>
              <w:pStyle w:val="TableContents"/>
              <w:spacing w:before="0" w:after="0"/>
              <w:ind w:left="0" w:right="0" w:hanging="0"/>
              <w:jc w:val="left"/>
              <w:rPr/>
            </w:pPr>
            <w:r>
              <w:rPr/>
              <w:t> </w:t>
            </w:r>
          </w:p>
        </w:tc>
        <w:tc>
          <w:tcPr>
            <w:tcW w:w="8229"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New York, NY 10019</w:t>
            </w:r>
          </w:p>
        </w:tc>
      </w:tr>
      <w:tr>
        <w:trPr/>
        <w:tc>
          <w:tcPr>
            <w:tcW w:w="1351" w:type="dxa"/>
            <w:tcBorders/>
            <w:shd w:fill="auto" w:val="clear"/>
          </w:tcPr>
          <w:p>
            <w:pPr>
              <w:pStyle w:val="TableContents"/>
              <w:spacing w:before="0" w:after="0"/>
              <w:ind w:left="0" w:right="0" w:hanging="0"/>
              <w:jc w:val="left"/>
              <w:rPr/>
            </w:pPr>
            <w:r>
              <w:rPr/>
              <w:t> </w:t>
            </w:r>
          </w:p>
        </w:tc>
        <w:tc>
          <w:tcPr>
            <w:tcW w:w="625" w:type="dxa"/>
            <w:tcBorders/>
            <w:shd w:fill="auto" w:val="clear"/>
            <w:vAlign w:val="bottom"/>
          </w:tcPr>
          <w:p>
            <w:pPr>
              <w:pStyle w:val="TableContents"/>
              <w:spacing w:before="0" w:after="0"/>
              <w:ind w:left="0" w:right="0" w:hanging="0"/>
              <w:jc w:val="left"/>
              <w:rPr/>
            </w:pPr>
            <w:r>
              <w:rPr/>
              <w:t> </w:t>
            </w:r>
          </w:p>
        </w:tc>
        <w:tc>
          <w:tcPr>
            <w:tcW w:w="8229"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Attention: Michael J. Aiello, Esq.</w:t>
            </w:r>
          </w:p>
        </w:tc>
      </w:tr>
      <w:tr>
        <w:trPr/>
        <w:tc>
          <w:tcPr>
            <w:tcW w:w="1351" w:type="dxa"/>
            <w:tcBorders/>
            <w:shd w:fill="auto" w:val="clear"/>
          </w:tcPr>
          <w:p>
            <w:pPr>
              <w:pStyle w:val="TableContents"/>
              <w:spacing w:before="0" w:after="0"/>
              <w:ind w:left="0" w:right="0" w:hanging="0"/>
              <w:jc w:val="left"/>
              <w:rPr/>
            </w:pPr>
            <w:r>
              <w:rPr/>
              <w:t> </w:t>
            </w:r>
          </w:p>
        </w:tc>
        <w:tc>
          <w:tcPr>
            <w:tcW w:w="625" w:type="dxa"/>
            <w:tcBorders/>
            <w:shd w:fill="auto" w:val="clear"/>
            <w:vAlign w:val="bottom"/>
          </w:tcPr>
          <w:p>
            <w:pPr>
              <w:pStyle w:val="TableContents"/>
              <w:spacing w:before="0" w:after="0"/>
              <w:ind w:left="0" w:right="0" w:hanging="0"/>
              <w:jc w:val="left"/>
              <w:rPr/>
            </w:pPr>
            <w:r>
              <w:rPr/>
              <w:t> </w:t>
            </w:r>
          </w:p>
        </w:tc>
        <w:tc>
          <w:tcPr>
            <w:tcW w:w="8229"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Telecopy: 212-259-6333</w:t>
            </w:r>
          </w:p>
        </w:tc>
      </w:tr>
      <w:tr>
        <w:trPr/>
        <w:tc>
          <w:tcPr>
            <w:tcW w:w="1351" w:type="dxa"/>
            <w:tcBorders/>
            <w:shd w:fill="auto" w:val="clear"/>
          </w:tcPr>
          <w:p>
            <w:pPr>
              <w:pStyle w:val="TableContents"/>
              <w:spacing w:before="0" w:after="0"/>
              <w:ind w:left="0" w:right="0" w:hanging="0"/>
              <w:jc w:val="left"/>
              <w:rPr/>
            </w:pPr>
            <w:r>
              <w:rPr/>
              <w:t> </w:t>
            </w:r>
          </w:p>
        </w:tc>
        <w:tc>
          <w:tcPr>
            <w:tcW w:w="625" w:type="dxa"/>
            <w:tcBorders/>
            <w:shd w:fill="auto" w:val="clear"/>
            <w:vAlign w:val="bottom"/>
          </w:tcPr>
          <w:p>
            <w:pPr>
              <w:pStyle w:val="TableContents"/>
              <w:spacing w:before="0" w:after="0"/>
              <w:ind w:left="0" w:right="0" w:hanging="0"/>
              <w:jc w:val="left"/>
              <w:rPr/>
            </w:pPr>
            <w:r>
              <w:rPr/>
              <w:t> </w:t>
            </w:r>
          </w:p>
        </w:tc>
        <w:tc>
          <w:tcPr>
            <w:tcW w:w="8229" w:type="dxa"/>
            <w:tcBorders/>
            <w:shd w:fill="auto" w:val="clear"/>
          </w:tcPr>
          <w:p>
            <w:pPr>
              <w:pStyle w:val="TableContents"/>
              <w:spacing w:before="0" w:after="0"/>
              <w:ind w:left="0" w:right="0" w:hanging="0"/>
              <w:jc w:val="left"/>
              <w:rPr/>
            </w:pPr>
            <w:r>
              <w:rPr/>
              <w:t> </w:t>
            </w:r>
          </w:p>
        </w:tc>
      </w:tr>
      <w:tr>
        <w:trPr/>
        <w:tc>
          <w:tcPr>
            <w:tcW w:w="1351" w:type="dxa"/>
            <w:tcBorders/>
            <w:shd w:fill="auto" w:val="clear"/>
          </w:tcPr>
          <w:p>
            <w:pPr>
              <w:pStyle w:val="TableContents"/>
              <w:spacing w:before="0" w:after="0"/>
              <w:ind w:left="0" w:right="0" w:hanging="0"/>
              <w:jc w:val="left"/>
              <w:rPr/>
            </w:pPr>
            <w:r>
              <w:rPr/>
              <w:t> </w:t>
            </w:r>
          </w:p>
        </w:tc>
        <w:tc>
          <w:tcPr>
            <w:tcW w:w="625" w:type="dxa"/>
            <w:tcBorders/>
            <w:shd w:fill="auto" w:val="clear"/>
            <w:vAlign w:val="bottom"/>
          </w:tcPr>
          <w:p>
            <w:pPr>
              <w:pStyle w:val="TableContents"/>
              <w:spacing w:before="0" w:after="0"/>
              <w:ind w:left="0" w:right="0" w:hanging="0"/>
              <w:jc w:val="left"/>
              <w:rPr/>
            </w:pPr>
            <w:r>
              <w:rPr/>
              <w:t> </w:t>
            </w:r>
          </w:p>
        </w:tc>
        <w:tc>
          <w:tcPr>
            <w:tcW w:w="8229"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and</w:t>
            </w:r>
          </w:p>
        </w:tc>
      </w:tr>
      <w:tr>
        <w:trPr/>
        <w:tc>
          <w:tcPr>
            <w:tcW w:w="1351" w:type="dxa"/>
            <w:tcBorders/>
            <w:shd w:fill="auto" w:val="clear"/>
          </w:tcPr>
          <w:p>
            <w:pPr>
              <w:pStyle w:val="TableContents"/>
              <w:spacing w:before="0" w:after="0"/>
              <w:ind w:left="0" w:right="0" w:hanging="0"/>
              <w:jc w:val="left"/>
              <w:rPr/>
            </w:pPr>
            <w:r>
              <w:rPr/>
              <w:t> </w:t>
            </w:r>
          </w:p>
        </w:tc>
        <w:tc>
          <w:tcPr>
            <w:tcW w:w="625" w:type="dxa"/>
            <w:tcBorders/>
            <w:shd w:fill="auto" w:val="clear"/>
            <w:vAlign w:val="bottom"/>
          </w:tcPr>
          <w:p>
            <w:pPr>
              <w:pStyle w:val="TableContents"/>
              <w:spacing w:before="0" w:after="0"/>
              <w:ind w:left="0" w:right="0" w:hanging="0"/>
              <w:jc w:val="left"/>
              <w:rPr/>
            </w:pPr>
            <w:r>
              <w:rPr/>
              <w:t> </w:t>
            </w:r>
          </w:p>
        </w:tc>
        <w:tc>
          <w:tcPr>
            <w:tcW w:w="8229" w:type="dxa"/>
            <w:tcBorders/>
            <w:shd w:fill="auto" w:val="clear"/>
          </w:tcPr>
          <w:p>
            <w:pPr>
              <w:pStyle w:val="TableContents"/>
              <w:spacing w:before="0" w:after="0"/>
              <w:ind w:left="0" w:right="0" w:hanging="0"/>
              <w:jc w:val="left"/>
              <w:rPr/>
            </w:pPr>
            <w:r>
              <w:rPr/>
              <w:t> </w:t>
            </w:r>
          </w:p>
        </w:tc>
      </w:tr>
      <w:tr>
        <w:trPr/>
        <w:tc>
          <w:tcPr>
            <w:tcW w:w="1351" w:type="dxa"/>
            <w:tcBorders/>
            <w:shd w:fill="auto" w:val="clear"/>
          </w:tcPr>
          <w:p>
            <w:pPr>
              <w:pStyle w:val="TableContents"/>
              <w:spacing w:before="0" w:after="0"/>
              <w:ind w:left="0" w:right="0" w:hanging="0"/>
              <w:jc w:val="left"/>
              <w:rPr/>
            </w:pPr>
            <w:r>
              <w:rPr/>
              <w:t> </w:t>
            </w:r>
          </w:p>
        </w:tc>
        <w:tc>
          <w:tcPr>
            <w:tcW w:w="625" w:type="dxa"/>
            <w:tcBorders/>
            <w:shd w:fill="auto" w:val="clear"/>
            <w:vAlign w:val="bottom"/>
          </w:tcPr>
          <w:p>
            <w:pPr>
              <w:pStyle w:val="TableContents"/>
              <w:spacing w:before="0" w:after="0"/>
              <w:ind w:left="0" w:right="0" w:hanging="0"/>
              <w:jc w:val="left"/>
              <w:rPr/>
            </w:pPr>
            <w:r>
              <w:rPr/>
              <w:t> </w:t>
            </w:r>
          </w:p>
        </w:tc>
        <w:tc>
          <w:tcPr>
            <w:tcW w:w="8229"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Dewey Ballantine LLP</w:t>
            </w:r>
          </w:p>
        </w:tc>
      </w:tr>
      <w:tr>
        <w:trPr/>
        <w:tc>
          <w:tcPr>
            <w:tcW w:w="1351" w:type="dxa"/>
            <w:tcBorders/>
            <w:shd w:fill="auto" w:val="clear"/>
          </w:tcPr>
          <w:p>
            <w:pPr>
              <w:pStyle w:val="TableContents"/>
              <w:spacing w:before="0" w:after="0"/>
              <w:ind w:left="0" w:right="0" w:hanging="0"/>
              <w:jc w:val="left"/>
              <w:rPr/>
            </w:pPr>
            <w:r>
              <w:rPr/>
              <w:t> </w:t>
            </w:r>
          </w:p>
        </w:tc>
        <w:tc>
          <w:tcPr>
            <w:tcW w:w="625" w:type="dxa"/>
            <w:tcBorders/>
            <w:shd w:fill="auto" w:val="clear"/>
            <w:vAlign w:val="bottom"/>
          </w:tcPr>
          <w:p>
            <w:pPr>
              <w:pStyle w:val="TableContents"/>
              <w:spacing w:before="0" w:after="0"/>
              <w:ind w:left="0" w:right="0" w:hanging="0"/>
              <w:jc w:val="left"/>
              <w:rPr/>
            </w:pPr>
            <w:r>
              <w:rPr/>
              <w:t> </w:t>
            </w:r>
          </w:p>
        </w:tc>
        <w:tc>
          <w:tcPr>
            <w:tcW w:w="8229"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1775 Pennsylvania Avenue, N.W.</w:t>
            </w:r>
          </w:p>
        </w:tc>
      </w:tr>
      <w:tr>
        <w:trPr/>
        <w:tc>
          <w:tcPr>
            <w:tcW w:w="1351" w:type="dxa"/>
            <w:tcBorders/>
            <w:shd w:fill="auto" w:val="clear"/>
          </w:tcPr>
          <w:p>
            <w:pPr>
              <w:pStyle w:val="TableContents"/>
              <w:spacing w:before="0" w:after="0"/>
              <w:ind w:left="0" w:right="0" w:hanging="0"/>
              <w:jc w:val="left"/>
              <w:rPr/>
            </w:pPr>
            <w:r>
              <w:rPr/>
              <w:t> </w:t>
            </w:r>
          </w:p>
        </w:tc>
        <w:tc>
          <w:tcPr>
            <w:tcW w:w="625" w:type="dxa"/>
            <w:tcBorders/>
            <w:shd w:fill="auto" w:val="clear"/>
            <w:vAlign w:val="bottom"/>
          </w:tcPr>
          <w:p>
            <w:pPr>
              <w:pStyle w:val="TableContents"/>
              <w:spacing w:before="0" w:after="0"/>
              <w:ind w:left="0" w:right="0" w:hanging="0"/>
              <w:jc w:val="left"/>
              <w:rPr/>
            </w:pPr>
            <w:r>
              <w:rPr/>
              <w:t> </w:t>
            </w:r>
          </w:p>
        </w:tc>
        <w:tc>
          <w:tcPr>
            <w:tcW w:w="8229"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Washington, DC 20006</w:t>
            </w:r>
          </w:p>
        </w:tc>
      </w:tr>
      <w:tr>
        <w:trPr/>
        <w:tc>
          <w:tcPr>
            <w:tcW w:w="1351" w:type="dxa"/>
            <w:tcBorders/>
            <w:shd w:fill="auto" w:val="clear"/>
          </w:tcPr>
          <w:p>
            <w:pPr>
              <w:pStyle w:val="TableContents"/>
              <w:spacing w:before="0" w:after="0"/>
              <w:ind w:left="0" w:right="0" w:hanging="0"/>
              <w:jc w:val="left"/>
              <w:rPr/>
            </w:pPr>
            <w:r>
              <w:rPr/>
              <w:t> </w:t>
            </w:r>
          </w:p>
        </w:tc>
        <w:tc>
          <w:tcPr>
            <w:tcW w:w="625" w:type="dxa"/>
            <w:tcBorders/>
            <w:shd w:fill="auto" w:val="clear"/>
            <w:vAlign w:val="bottom"/>
          </w:tcPr>
          <w:p>
            <w:pPr>
              <w:pStyle w:val="TableContents"/>
              <w:spacing w:before="0" w:after="0"/>
              <w:ind w:left="0" w:right="0" w:hanging="0"/>
              <w:jc w:val="left"/>
              <w:rPr/>
            </w:pPr>
            <w:r>
              <w:rPr/>
              <w:t> </w:t>
            </w:r>
          </w:p>
        </w:tc>
        <w:tc>
          <w:tcPr>
            <w:tcW w:w="8229"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Attention: James F. Bowe, Jr., Esq.</w:t>
            </w:r>
          </w:p>
        </w:tc>
      </w:tr>
      <w:tr>
        <w:trPr/>
        <w:tc>
          <w:tcPr>
            <w:tcW w:w="1351" w:type="dxa"/>
            <w:tcBorders/>
            <w:shd w:fill="auto" w:val="clear"/>
          </w:tcPr>
          <w:p>
            <w:pPr>
              <w:pStyle w:val="TableContents"/>
              <w:spacing w:before="0" w:after="0"/>
              <w:ind w:left="0" w:right="0" w:hanging="0"/>
              <w:jc w:val="left"/>
              <w:rPr/>
            </w:pPr>
            <w:r>
              <w:rPr/>
              <w:t> </w:t>
            </w:r>
          </w:p>
        </w:tc>
        <w:tc>
          <w:tcPr>
            <w:tcW w:w="625" w:type="dxa"/>
            <w:tcBorders/>
            <w:shd w:fill="auto" w:val="clear"/>
            <w:vAlign w:val="bottom"/>
          </w:tcPr>
          <w:p>
            <w:pPr>
              <w:pStyle w:val="TableContents"/>
              <w:spacing w:before="0" w:after="0"/>
              <w:ind w:left="0" w:right="0" w:hanging="0"/>
              <w:jc w:val="left"/>
              <w:rPr/>
            </w:pPr>
            <w:r>
              <w:rPr/>
              <w:t> </w:t>
            </w:r>
          </w:p>
        </w:tc>
        <w:tc>
          <w:tcPr>
            <w:tcW w:w="8229"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Telecopy: 202-862-1093</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77</w:t>
      </w:r>
    </w:p>
    <w:p>
      <w:pPr>
        <w:pStyle w:val="HorizontalLine"/>
        <w:pBdr>
          <w:bottom w:val="single" w:sz="12" w:space="0" w:color="808080"/>
        </w:pBdr>
        <w:spacing w:before="0" w:after="0"/>
        <w:jc w:val="left"/>
        <w:rPr/>
      </w:pPr>
      <w:r>
        <w:rPr/>
      </w:r>
      <w:r>
        <w:br w:type="page"/>
      </w:r>
    </w:p>
    <w:p>
      <w:pPr>
        <w:pStyle w:val="TextBody"/>
        <w:spacing w:before="0" w:after="0"/>
        <w:ind w:left="0" w:right="0" w:hanging="0"/>
        <w:jc w:val="center"/>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or to such other address or addresses as the Parties may from time to time designate as to itself by like notice.</w:t>
      </w:r>
    </w:p>
    <w:p>
      <w:pPr>
        <w:pStyle w:val="TextBody"/>
        <w:spacing w:before="0" w:after="0"/>
        <w:ind w:left="0" w:right="0" w:hanging="0"/>
        <w:jc w:val="left"/>
        <w:rPr/>
      </w:pPr>
      <w:r>
        <w:rPr/>
        <w:t> </w:t>
      </w:r>
    </w:p>
    <w:p>
      <w:pPr>
        <w:pStyle w:val="Heading2"/>
        <w:spacing w:before="0" w:after="0"/>
        <w:ind w:left="0" w:right="0" w:hanging="0"/>
        <w:jc w:val="left"/>
        <w:rPr>
          <w:rFonts w:ascii="Times New Roman" w:hAnsi="Times New Roman"/>
          <w:b w:val="false"/>
          <w:sz w:val="17"/>
        </w:rPr>
      </w:pPr>
      <w:bookmarkStart w:id="224" w:name="Section11_2_235349"/>
      <w:bookmarkEnd w:id="224"/>
      <w:r>
        <w:rPr>
          <w:rFonts w:ascii="Times New Roman" w:hAnsi="Times New Roman"/>
          <w:b w:val="false"/>
          <w:sz w:val="17"/>
        </w:rPr>
        <w:t xml:space="preserve">Section 11.2                                </w:t>
      </w:r>
      <w:r>
        <w:rPr>
          <w:rFonts w:ascii="Times New Roman" w:hAnsi="Times New Roman"/>
          <w:b w:val="false"/>
          <w:sz w:val="17"/>
          <w:u w:val="single"/>
        </w:rPr>
        <w:t>Assignment</w:t>
      </w:r>
      <w:r>
        <w:rPr>
          <w:rFonts w:ascii="Times New Roman" w:hAnsi="Times New Roman"/>
          <w:b w:val="false"/>
          <w:sz w:val="17"/>
        </w:rPr>
        <w:t>.  No Party shall assign this Agreement or any part hereof without the prior written consent of the other Party.  Subject to the foregoing, this Agreement shall be binding upon and inure to the benefit of the Parties and their respective permitted successors and assigns.</w:t>
      </w:r>
    </w:p>
    <w:p>
      <w:pPr>
        <w:pStyle w:val="Heading2"/>
        <w:spacing w:before="0" w:after="0"/>
        <w:ind w:left="0" w:right="0" w:hanging="0"/>
        <w:jc w:val="left"/>
        <w:rPr/>
      </w:pPr>
      <w:r>
        <w:rPr/>
        <w:t> </w:t>
      </w:r>
    </w:p>
    <w:p>
      <w:pPr>
        <w:pStyle w:val="Heading2"/>
        <w:spacing w:before="0" w:after="0"/>
        <w:ind w:left="0" w:right="0" w:hanging="0"/>
        <w:jc w:val="left"/>
        <w:rPr>
          <w:rFonts w:ascii="Times New Roman" w:hAnsi="Times New Roman"/>
          <w:b w:val="false"/>
          <w:sz w:val="17"/>
        </w:rPr>
      </w:pPr>
      <w:bookmarkStart w:id="225" w:name="Section11_3_235351"/>
      <w:bookmarkEnd w:id="225"/>
      <w:r>
        <w:rPr>
          <w:rFonts w:ascii="Times New Roman" w:hAnsi="Times New Roman"/>
          <w:b w:val="false"/>
          <w:sz w:val="17"/>
        </w:rPr>
        <w:t xml:space="preserve">Section 11.3                                </w:t>
      </w:r>
      <w:r>
        <w:rPr>
          <w:rFonts w:ascii="Times New Roman" w:hAnsi="Times New Roman"/>
          <w:b w:val="false"/>
          <w:sz w:val="17"/>
          <w:u w:val="single"/>
        </w:rPr>
        <w:t>Rights of Third Parties</w:t>
      </w:r>
      <w:r>
        <w:rPr>
          <w:rFonts w:ascii="Times New Roman" w:hAnsi="Times New Roman"/>
          <w:b w:val="false"/>
          <w:sz w:val="17"/>
        </w:rPr>
        <w:t xml:space="preserve">.  Except for the provisions of </w:t>
      </w:r>
      <w:r>
        <w:rPr>
          <w:rFonts w:ascii="Times New Roman" w:hAnsi="Times New Roman"/>
          <w:b w:val="false"/>
          <w:sz w:val="17"/>
          <w:u w:val="single"/>
        </w:rPr>
        <w:t>Section 9.2</w:t>
      </w:r>
      <w:r>
        <w:rPr>
          <w:rFonts w:ascii="Times New Roman" w:hAnsi="Times New Roman"/>
          <w:b w:val="false"/>
          <w:sz w:val="17"/>
        </w:rPr>
        <w:t>, which are intended to be enforceable by the Persons respectively referred to therein, nothing expressed or implied in this Agreement is intended or shall be construed to confer upon or give any Person, other than the Parties, any right or remedies under or by reason of this Agreement.</w:t>
      </w:r>
    </w:p>
    <w:p>
      <w:pPr>
        <w:pStyle w:val="Heading2"/>
        <w:spacing w:before="0" w:after="0"/>
        <w:ind w:left="0" w:right="0" w:hanging="0"/>
        <w:jc w:val="left"/>
        <w:rPr/>
      </w:pPr>
      <w:r>
        <w:rPr/>
        <w:t> </w:t>
      </w:r>
    </w:p>
    <w:p>
      <w:pPr>
        <w:pStyle w:val="Heading2"/>
        <w:spacing w:before="0" w:after="0"/>
        <w:ind w:left="0" w:right="0" w:hanging="0"/>
        <w:jc w:val="left"/>
        <w:rPr>
          <w:rFonts w:ascii="Times New Roman" w:hAnsi="Times New Roman"/>
          <w:b w:val="false"/>
          <w:sz w:val="17"/>
        </w:rPr>
      </w:pPr>
      <w:bookmarkStart w:id="226" w:name="Section11_4_235353"/>
      <w:bookmarkEnd w:id="226"/>
      <w:r>
        <w:rPr>
          <w:rFonts w:ascii="Times New Roman" w:hAnsi="Times New Roman"/>
          <w:b w:val="false"/>
          <w:sz w:val="17"/>
        </w:rPr>
        <w:t xml:space="preserve">Section 11.4                                </w:t>
      </w:r>
      <w:r>
        <w:rPr>
          <w:rFonts w:ascii="Times New Roman" w:hAnsi="Times New Roman"/>
          <w:b w:val="false"/>
          <w:sz w:val="17"/>
          <w:u w:val="single"/>
        </w:rPr>
        <w:t>Expenses</w:t>
      </w:r>
      <w:r>
        <w:rPr>
          <w:rFonts w:ascii="Times New Roman" w:hAnsi="Times New Roman"/>
          <w:b w:val="false"/>
          <w:sz w:val="17"/>
        </w:rPr>
        <w:t>.  Except as otherwise provided herein, each Party shall bear its own expenses incurred in connection with this Agreement and the transactions herein contemplated hereby whether or not such transactions shall be consummated, including all fees of its legal counsel, financial advisers and accountants.</w:t>
      </w:r>
    </w:p>
    <w:p>
      <w:pPr>
        <w:pStyle w:val="Heading2"/>
        <w:spacing w:before="0" w:after="0"/>
        <w:ind w:left="0" w:right="0" w:hanging="0"/>
        <w:jc w:val="left"/>
        <w:rPr/>
      </w:pPr>
      <w:r>
        <w:rPr/>
        <w:t> </w:t>
      </w:r>
    </w:p>
    <w:p>
      <w:pPr>
        <w:pStyle w:val="Heading2"/>
        <w:spacing w:before="0" w:after="0"/>
        <w:ind w:left="0" w:right="0" w:hanging="0"/>
        <w:jc w:val="left"/>
        <w:rPr>
          <w:rFonts w:ascii="Times New Roman" w:hAnsi="Times New Roman"/>
          <w:b w:val="false"/>
          <w:sz w:val="17"/>
        </w:rPr>
      </w:pPr>
      <w:bookmarkStart w:id="227" w:name="Section11_5_235355"/>
      <w:bookmarkEnd w:id="227"/>
      <w:r>
        <w:rPr>
          <w:rFonts w:ascii="Times New Roman" w:hAnsi="Times New Roman"/>
          <w:b w:val="false"/>
          <w:sz w:val="17"/>
        </w:rPr>
        <w:t xml:space="preserve">Section 11.5                                </w:t>
      </w:r>
      <w:r>
        <w:rPr>
          <w:rFonts w:ascii="Times New Roman" w:hAnsi="Times New Roman"/>
          <w:b w:val="false"/>
          <w:sz w:val="17"/>
          <w:u w:val="single"/>
        </w:rPr>
        <w:t>Counterparts</w:t>
      </w:r>
      <w:r>
        <w:rPr>
          <w:rFonts w:ascii="Times New Roman" w:hAnsi="Times New Roman"/>
          <w:b w:val="false"/>
          <w:sz w:val="17"/>
        </w:rPr>
        <w:t>.  This Agreement may be executed in two (2) or more counterparts, each of which shall be deemed an original, but all of which together shall constitute one and the same instrument.  Any facsimile copies hereof or signature hereon shall, for all purposes, be deemed originals.</w:t>
      </w:r>
    </w:p>
    <w:p>
      <w:pPr>
        <w:pStyle w:val="Heading2"/>
        <w:spacing w:before="0" w:after="0"/>
        <w:ind w:left="0" w:right="0" w:hanging="0"/>
        <w:jc w:val="left"/>
        <w:rPr/>
      </w:pPr>
      <w:r>
        <w:rPr/>
        <w:t> </w:t>
      </w:r>
    </w:p>
    <w:p>
      <w:pPr>
        <w:pStyle w:val="Heading2"/>
        <w:spacing w:before="0" w:after="0"/>
        <w:ind w:left="0" w:right="0" w:hanging="0"/>
        <w:jc w:val="left"/>
        <w:rPr>
          <w:rFonts w:ascii="Times New Roman" w:hAnsi="Times New Roman"/>
          <w:b w:val="false"/>
          <w:sz w:val="17"/>
        </w:rPr>
      </w:pPr>
      <w:bookmarkStart w:id="228" w:name="Section11_6_235357"/>
      <w:bookmarkEnd w:id="228"/>
      <w:r>
        <w:rPr>
          <w:rFonts w:ascii="Times New Roman" w:hAnsi="Times New Roman"/>
          <w:b w:val="false"/>
          <w:sz w:val="17"/>
        </w:rPr>
        <w:t xml:space="preserve">Section 11.6                                </w:t>
      </w:r>
      <w:r>
        <w:rPr>
          <w:rFonts w:ascii="Times New Roman" w:hAnsi="Times New Roman"/>
          <w:b w:val="false"/>
          <w:sz w:val="17"/>
          <w:u w:val="single"/>
        </w:rPr>
        <w:t>Entire Agreement</w:t>
      </w:r>
      <w:r>
        <w:rPr>
          <w:rFonts w:ascii="Times New Roman" w:hAnsi="Times New Roman"/>
          <w:b w:val="false"/>
          <w:sz w:val="17"/>
        </w:rPr>
        <w:t>.  This Agreement (together with the Disclosure Schedule and exhibits to this Agreement) constitutes the entire agreement among the Parties and supersede any other agreements, whether written or oral, that may have been made or entered into by or among any of the Parties or any of their respective Affiliates relating to the transactions contemplated hereby.  No representations, warranties, covenants, understandings or agreements, oral or otherwise, relating to the transactions contemplated by this Agreement exist between Buyer, on the one hand, and Seller or its Affiliates, on the other hand, except as expressly set forth in this Agreement.</w:t>
      </w:r>
    </w:p>
    <w:p>
      <w:pPr>
        <w:pStyle w:val="Heading2"/>
        <w:spacing w:before="0" w:after="0"/>
        <w:ind w:left="0" w:right="0" w:hanging="0"/>
        <w:jc w:val="left"/>
        <w:rPr/>
      </w:pPr>
      <w:r>
        <w:rPr/>
        <w:t> </w:t>
      </w:r>
    </w:p>
    <w:p>
      <w:pPr>
        <w:pStyle w:val="Heading2"/>
        <w:spacing w:before="0" w:after="0"/>
        <w:ind w:left="0" w:right="0" w:hanging="0"/>
        <w:jc w:val="left"/>
        <w:rPr>
          <w:rFonts w:ascii="Times New Roman" w:hAnsi="Times New Roman"/>
          <w:b w:val="false"/>
          <w:sz w:val="17"/>
        </w:rPr>
      </w:pPr>
      <w:bookmarkStart w:id="229" w:name="Section11_7_235400"/>
      <w:bookmarkEnd w:id="229"/>
      <w:r>
        <w:rPr>
          <w:rFonts w:ascii="Times New Roman" w:hAnsi="Times New Roman"/>
          <w:b w:val="false"/>
          <w:sz w:val="17"/>
        </w:rPr>
        <w:t xml:space="preserve">Section 11.7                                </w:t>
      </w:r>
      <w:r>
        <w:rPr>
          <w:rFonts w:ascii="Times New Roman" w:hAnsi="Times New Roman"/>
          <w:b w:val="false"/>
          <w:sz w:val="17"/>
          <w:u w:val="single"/>
        </w:rPr>
        <w:t>Disclosure Schedule</w:t>
      </w:r>
      <w:r>
        <w:rPr>
          <w:rFonts w:ascii="Times New Roman" w:hAnsi="Times New Roman"/>
          <w:b w:val="false"/>
          <w:sz w:val="17"/>
        </w:rPr>
        <w:t>.  Unless the context otherwise requires, all capitalized terms used in the Disclosure Schedule shall have the respective meanings assigned in this Agreement.  No reference to or disclosure of any item or other matter in the Disclosure Schedule shall be construed as an admission or indication that such item or other matter is material or that such item or other matter is required to be referred to or disclosed in the Disclosure Schedule.  No disclosure in the Disclosure Schedule relating to any possible breach or violation of any agreement or Law shall be construed as an admission or indication that any such breach or violation exists or has actually occurred.  The inclusion of any information in the Disclosure Schedule shall not be deemed to be an admission or acknowledgment by Seller, in and of itself, that such information is material to or outside the ordinary course of the business of the Company or any Subsidiary or is required to be disclosed on the Disclosure Schedule.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78</w:t>
      </w:r>
    </w:p>
    <w:p>
      <w:pPr>
        <w:pStyle w:val="HorizontalLine"/>
        <w:pBdr>
          <w:bottom w:val="single" w:sz="12" w:space="0" w:color="808080"/>
        </w:pBdr>
        <w:spacing w:before="0" w:after="0"/>
        <w:jc w:val="left"/>
        <w:rPr/>
      </w:pPr>
      <w:r>
        <w:rPr/>
      </w:r>
      <w:r>
        <w:br w:type="page"/>
      </w:r>
    </w:p>
    <w:p>
      <w:pPr>
        <w:pStyle w:val="TextBody"/>
        <w:spacing w:before="0" w:after="0"/>
        <w:ind w:left="0" w:right="0" w:hanging="0"/>
        <w:jc w:val="center"/>
        <w:rPr/>
      </w:pPr>
      <w:r>
        <w:rPr/>
        <w:t> </w:t>
      </w:r>
    </w:p>
    <w:p>
      <w:pPr>
        <w:pStyle w:val="Heading2"/>
        <w:spacing w:before="0" w:after="0"/>
        <w:ind w:left="0" w:right="0" w:hanging="0"/>
        <w:jc w:val="left"/>
        <w:rPr>
          <w:rFonts w:ascii="Times New Roman" w:hAnsi="Times New Roman"/>
          <w:b w:val="false"/>
          <w:sz w:val="17"/>
        </w:rPr>
      </w:pPr>
      <w:bookmarkStart w:id="230" w:name="Section11_8_235404"/>
      <w:bookmarkEnd w:id="230"/>
      <w:r>
        <w:rPr>
          <w:rFonts w:ascii="Times New Roman" w:hAnsi="Times New Roman"/>
          <w:b w:val="false"/>
          <w:sz w:val="17"/>
        </w:rPr>
        <w:t xml:space="preserve">Section 11.8                                </w:t>
      </w:r>
      <w:r>
        <w:rPr>
          <w:rFonts w:ascii="Times New Roman" w:hAnsi="Times New Roman"/>
          <w:b w:val="false"/>
          <w:sz w:val="17"/>
          <w:u w:val="single"/>
        </w:rPr>
        <w:t>Amendments, Supplements, Etc. </w:t>
      </w:r>
      <w:r>
        <w:rPr>
          <w:rFonts w:ascii="Times New Roman" w:hAnsi="Times New Roman"/>
          <w:b w:val="false"/>
          <w:sz w:val="17"/>
        </w:rPr>
        <w:t xml:space="preserve"> This Agreement may be amended or supplemented at any time by additional written agreements executed by both Buyer and Seller as may mutually be determined by the Parties to be necessary, desirable or expedient to further the purpose of this Agreement or to clarify the intention of the Parties.</w:t>
      </w:r>
    </w:p>
    <w:p>
      <w:pPr>
        <w:pStyle w:val="Heading2"/>
        <w:spacing w:before="0" w:after="0"/>
        <w:ind w:left="0" w:right="0" w:hanging="0"/>
        <w:jc w:val="left"/>
        <w:rPr/>
      </w:pPr>
      <w:r>
        <w:rPr/>
        <w:t> </w:t>
      </w:r>
    </w:p>
    <w:p>
      <w:pPr>
        <w:pStyle w:val="Heading2"/>
        <w:spacing w:before="0" w:after="0"/>
        <w:ind w:left="0" w:right="0" w:hanging="0"/>
        <w:jc w:val="left"/>
        <w:rPr>
          <w:rFonts w:ascii="Times New Roman" w:hAnsi="Times New Roman"/>
          <w:b w:val="false"/>
          <w:sz w:val="17"/>
        </w:rPr>
      </w:pPr>
      <w:bookmarkStart w:id="231" w:name="Section11_9_235406"/>
      <w:bookmarkEnd w:id="231"/>
      <w:r>
        <w:rPr>
          <w:rFonts w:ascii="Times New Roman" w:hAnsi="Times New Roman"/>
          <w:b w:val="false"/>
          <w:sz w:val="17"/>
        </w:rPr>
        <w:t xml:space="preserve">Section 11.9                                </w:t>
      </w:r>
      <w:r>
        <w:rPr>
          <w:rFonts w:ascii="Times New Roman" w:hAnsi="Times New Roman"/>
          <w:b w:val="false"/>
          <w:sz w:val="17"/>
          <w:u w:val="single"/>
        </w:rPr>
        <w:t>Publicity</w:t>
      </w:r>
      <w:r>
        <w:rPr>
          <w:rFonts w:ascii="Times New Roman" w:hAnsi="Times New Roman"/>
          <w:b w:val="false"/>
          <w:sz w:val="17"/>
        </w:rPr>
        <w:t>.  On the date of this Agreement each of Seller and Buyer shall prepare a press release in respect of the transactions contemplated by this Agreement for public dissemination on or after the date of this Agreement and Seller and Buyer shall mutually agree on each such press release prior to public dissemination.  Except as otherwise required by Law or the rules and regulations of any national securities exchange, no Party shall issue any press release or otherwise make any public statement with respect to the transactions contemplated by this Agreement without prior consultation with and consent of the other Party.</w:t>
      </w:r>
    </w:p>
    <w:p>
      <w:pPr>
        <w:pStyle w:val="Heading2"/>
        <w:spacing w:before="0" w:after="0"/>
        <w:ind w:left="0" w:right="0" w:hanging="0"/>
        <w:jc w:val="left"/>
        <w:rPr/>
      </w:pPr>
      <w:r>
        <w:rPr/>
        <w:t> </w:t>
      </w:r>
    </w:p>
    <w:p>
      <w:pPr>
        <w:pStyle w:val="Heading2"/>
        <w:spacing w:before="0" w:after="0"/>
        <w:ind w:left="0" w:right="0" w:hanging="0"/>
        <w:jc w:val="left"/>
        <w:rPr>
          <w:rFonts w:ascii="Times New Roman" w:hAnsi="Times New Roman"/>
          <w:b w:val="false"/>
          <w:sz w:val="17"/>
        </w:rPr>
      </w:pPr>
      <w:bookmarkStart w:id="232" w:name="Section11_10_235410"/>
      <w:bookmarkEnd w:id="232"/>
      <w:r>
        <w:rPr>
          <w:rFonts w:ascii="Times New Roman" w:hAnsi="Times New Roman"/>
          <w:b w:val="false"/>
          <w:sz w:val="17"/>
        </w:rPr>
        <w:t xml:space="preserve">Section 11.10                          </w:t>
      </w:r>
      <w:r>
        <w:rPr>
          <w:rFonts w:ascii="Times New Roman" w:hAnsi="Times New Roman"/>
          <w:b w:val="false"/>
          <w:sz w:val="17"/>
          <w:u w:val="single"/>
        </w:rPr>
        <w:t>Severability</w:t>
      </w:r>
      <w:r>
        <w:rPr>
          <w:rFonts w:ascii="Times New Roman" w:hAnsi="Times New Roman"/>
          <w:b w:val="false"/>
          <w:sz w:val="17"/>
        </w:rPr>
        <w:t>.  If any provision of this Agreement is held to be illegal, invalid or unenforceable under any present or future Law, and if the rights or obligations under this Agreement of Seller on the one hand and Buyer on the other hand will not be materially and adversely affected thereby, (a) such provision will be fully severable, (b) this Agreement will be construed and enforced as if such illegal, invalid, or unenforceable provision had never comprised a part hereof, (c) the remaining provisions of this Agreement will remain in full force and effect and will not be affected by the illegal, invalid, or unenforceable provision or by its severance from this Agreement and (d) in lieu of such illegal, invalid or unenforceable provision, there will be added automatically as a part of this Agreement a legal, valid and enforceable provision as similar in terms to such illegal, invalid or unenforceable provision as may be possible.</w:t>
      </w:r>
    </w:p>
    <w:p>
      <w:pPr>
        <w:pStyle w:val="Heading2"/>
        <w:spacing w:before="0" w:after="0"/>
        <w:ind w:left="0" w:right="0" w:hanging="0"/>
        <w:jc w:val="left"/>
        <w:rPr/>
      </w:pPr>
      <w:r>
        <w:rPr/>
        <w:t> </w:t>
      </w:r>
    </w:p>
    <w:p>
      <w:pPr>
        <w:pStyle w:val="Heading2"/>
        <w:spacing w:before="0" w:after="0"/>
        <w:ind w:left="0" w:right="0" w:hanging="0"/>
        <w:jc w:val="left"/>
        <w:rPr>
          <w:rFonts w:ascii="Times New Roman" w:hAnsi="Times New Roman"/>
          <w:b w:val="false"/>
          <w:sz w:val="17"/>
        </w:rPr>
      </w:pPr>
      <w:bookmarkStart w:id="233" w:name="Section11_11_235413"/>
      <w:bookmarkEnd w:id="233"/>
      <w:r>
        <w:rPr>
          <w:rFonts w:ascii="Times New Roman" w:hAnsi="Times New Roman"/>
          <w:b w:val="false"/>
          <w:sz w:val="17"/>
        </w:rPr>
        <w:t xml:space="preserve">Section 11.11                          </w:t>
      </w:r>
      <w:r>
        <w:rPr>
          <w:rFonts w:ascii="Times New Roman" w:hAnsi="Times New Roman"/>
          <w:b w:val="false"/>
          <w:sz w:val="17"/>
          <w:u w:val="single"/>
        </w:rPr>
        <w:t>Applicable Law; Waiver of Jury Trial</w:t>
      </w:r>
      <w:r>
        <w:rPr>
          <w:rFonts w:ascii="Times New Roman" w:hAnsi="Times New Roman"/>
          <w:b w:val="false"/>
          <w:sz w:val="17"/>
        </w:rPr>
        <w:t>.  This Agreement shall be governed by and construed under the Laws of the State of New York (without regard to the conflict of law principles thereof).  Each of the Parties irrevocably agrees that any legal action or proceeding with respect to this Agreement or for recognition and enforcement of any judgment in respect hereof shall be brought and determined in the United States District Court for the Southern District of New York or, if such legal action or proceeding may not be brought in such court for jurisdictional purposes, in the Supreme Court of New York.  Each of the Parties hereby (a) irrevocably submits with regard to any such action or proceeding to the exclusive personal jurisdiction of the aforesaid courts in the event any dispute arises out of this Agreement or any transaction contemplated hereby and waives the defense of sovereign immunity, (b) agrees that it shall not attempt to deny or defeat such personal jurisdiction by motion or other request for leave from any such court or that such action is brought in an inconvenient forum and (c) agrees that it shall not bring any action relating to this Agreement or any transaction contemplated hereby in any court other than any New York state or federal court sitting in New York, New York.  Each of the Parties waives trial by jury in any action to which they are parties involving, directly or indirectly, any matter in any way arising out of, related to or connected with this Agreement and the transactions contemplated hereby and thereby.</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79</w:t>
      </w:r>
    </w:p>
    <w:p>
      <w:pPr>
        <w:pStyle w:val="HorizontalLine"/>
        <w:pBdr>
          <w:bottom w:val="single" w:sz="12" w:space="0" w:color="808080"/>
        </w:pBdr>
        <w:spacing w:before="0" w:after="0"/>
        <w:jc w:val="left"/>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[REMAINDER OF PAGE INTENTIONALLY LEFT BLANK]</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80</w:t>
      </w:r>
    </w:p>
    <w:p>
      <w:pPr>
        <w:pStyle w:val="HorizontalLine"/>
        <w:pBdr>
          <w:bottom w:val="single" w:sz="12" w:space="0" w:color="808080"/>
        </w:pBdr>
        <w:spacing w:before="0" w:after="0"/>
        <w:jc w:val="left"/>
        <w:rPr/>
      </w:pPr>
      <w:r>
        <w:rPr/>
      </w:r>
      <w:r>
        <w:br w:type="page"/>
      </w:r>
    </w:p>
    <w:p>
      <w:pPr>
        <w:pStyle w:val="TextBody"/>
        <w:spacing w:before="0" w:after="0"/>
        <w:ind w:left="0" w:right="0" w:hanging="0"/>
        <w:jc w:val="center"/>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IN WITNESS WHEREOF, this Agreement has been duly executed and delivered by each Party as of the date first above written.</w:t>
      </w:r>
    </w:p>
    <w:p>
      <w:pPr>
        <w:pStyle w:val="TextBody"/>
        <w:spacing w:before="0" w:after="0"/>
        <w:ind w:left="0" w:right="0" w:hanging="0"/>
        <w:rPr/>
      </w:pPr>
      <w:r>
        <w:rPr/>
        <w:t> </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02"/>
        <w:gridCol w:w="312"/>
        <w:gridCol w:w="3020"/>
        <w:gridCol w:w="1771"/>
      </w:tblGrid>
      <w:tr>
        <w:trPr/>
        <w:tc>
          <w:tcPr>
            <w:tcW w:w="5102" w:type="dxa"/>
            <w:tcBorders/>
            <w:shd w:fill="auto" w:val="clear"/>
          </w:tcPr>
          <w:p>
            <w:pPr>
              <w:pStyle w:val="TableContents"/>
              <w:spacing w:before="0" w:after="0"/>
              <w:ind w:left="0" w:right="0" w:hanging="0"/>
              <w:jc w:val="left"/>
              <w:rPr/>
            </w:pPr>
            <w:r>
              <w:rPr/>
              <w:t> </w:t>
            </w:r>
          </w:p>
        </w:tc>
        <w:tc>
          <w:tcPr>
            <w:tcW w:w="5103" w:type="dxa"/>
            <w:gridSpan w:val="3"/>
            <w:tcBorders/>
            <w:shd w:fill="auto" w:val="clear"/>
          </w:tcPr>
          <w:p>
            <w:pPr>
              <w:pStyle w:val="TableContents"/>
              <w:spacing w:before="0" w:after="0"/>
              <w:ind w:left="0" w:right="0" w:hanging="0"/>
              <w:jc w:val="left"/>
              <w:rPr>
                <w:rFonts w:ascii="Times New Roman" w:hAnsi="Times New Roman"/>
                <w:b/>
                <w:sz w:val="17"/>
              </w:rPr>
            </w:pPr>
            <w:r>
              <w:rPr>
                <w:rFonts w:ascii="Times New Roman" w:hAnsi="Times New Roman"/>
                <w:b/>
                <w:sz w:val="17"/>
              </w:rPr>
              <w:t>SEMPRA ENERGY TRADING CORP.</w:t>
            </w:r>
          </w:p>
        </w:tc>
      </w:tr>
      <w:tr>
        <w:trPr/>
        <w:tc>
          <w:tcPr>
            <w:tcW w:w="5102" w:type="dxa"/>
            <w:tcBorders/>
            <w:shd w:fill="auto" w:val="clear"/>
          </w:tcPr>
          <w:p>
            <w:pPr>
              <w:pStyle w:val="TableContents"/>
              <w:spacing w:before="0" w:after="0"/>
              <w:ind w:left="0" w:right="0" w:hanging="0"/>
              <w:jc w:val="left"/>
              <w:rPr/>
            </w:pPr>
            <w:r>
              <w:rPr/>
              <w:t> </w:t>
            </w:r>
          </w:p>
        </w:tc>
        <w:tc>
          <w:tcPr>
            <w:tcW w:w="5103" w:type="dxa"/>
            <w:gridSpan w:val="3"/>
            <w:tcBorders/>
            <w:shd w:fill="auto" w:val="clear"/>
          </w:tcPr>
          <w:p>
            <w:pPr>
              <w:pStyle w:val="TableContents"/>
              <w:spacing w:before="0" w:after="0"/>
              <w:ind w:left="0" w:right="0" w:hanging="0"/>
              <w:jc w:val="left"/>
              <w:rPr/>
            </w:pPr>
            <w:r>
              <w:rPr/>
              <w:t> </w:t>
            </w:r>
          </w:p>
        </w:tc>
      </w:tr>
      <w:tr>
        <w:trPr/>
        <w:tc>
          <w:tcPr>
            <w:tcW w:w="5102" w:type="dxa"/>
            <w:tcBorders/>
            <w:shd w:fill="auto" w:val="clear"/>
          </w:tcPr>
          <w:p>
            <w:pPr>
              <w:pStyle w:val="TableContents"/>
              <w:spacing w:before="0" w:after="0"/>
              <w:ind w:left="0" w:right="0" w:hanging="0"/>
              <w:jc w:val="left"/>
              <w:rPr/>
            </w:pPr>
            <w:r>
              <w:rPr/>
              <w:t> </w:t>
            </w:r>
          </w:p>
        </w:tc>
        <w:tc>
          <w:tcPr>
            <w:tcW w:w="312"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By:</w:t>
            </w:r>
          </w:p>
        </w:tc>
        <w:tc>
          <w:tcPr>
            <w:tcW w:w="3020" w:type="dxa"/>
            <w:tcBorders>
              <w:bottom w:val="single" w:sz="8" w:space="0" w:color="000000"/>
            </w:tcBorders>
            <w:shd w:fill="auto" w:val="clear"/>
            <w:tcMar>
              <w:bottom w:w="28" w:type="dxa"/>
            </w:tcMar>
          </w:tcPr>
          <w:p>
            <w:pPr>
              <w:pStyle w:val="TableContents"/>
              <w:spacing w:before="0" w:after="0"/>
              <w:ind w:left="0" w:right="0" w:hanging="0"/>
              <w:jc w:val="left"/>
              <w:rPr/>
            </w:pPr>
            <w:r>
              <w:rPr/>
              <w:t>    </w:t>
            </w:r>
            <w:r>
              <w:rPr>
                <w:rFonts w:ascii="Times New Roman" w:hAnsi="Times New Roman"/>
                <w:sz w:val="17"/>
              </w:rPr>
              <w:t>/s/ Scott Werneburg</w:t>
            </w:r>
          </w:p>
        </w:tc>
        <w:tc>
          <w:tcPr>
            <w:tcW w:w="1771" w:type="dxa"/>
            <w:tcBorders/>
            <w:shd w:fill="auto" w:val="clear"/>
          </w:tcPr>
          <w:p>
            <w:pPr>
              <w:pStyle w:val="TableContents"/>
              <w:spacing w:before="0" w:after="0"/>
              <w:ind w:left="0" w:right="0" w:hanging="0"/>
              <w:jc w:val="left"/>
              <w:rPr/>
            </w:pPr>
            <w:r>
              <w:rPr/>
              <w:t> </w:t>
            </w:r>
          </w:p>
        </w:tc>
      </w:tr>
      <w:tr>
        <w:trPr/>
        <w:tc>
          <w:tcPr>
            <w:tcW w:w="5102" w:type="dxa"/>
            <w:tcBorders/>
            <w:shd w:fill="auto" w:val="clear"/>
          </w:tcPr>
          <w:p>
            <w:pPr>
              <w:pStyle w:val="TableContents"/>
              <w:spacing w:before="0" w:after="0"/>
              <w:ind w:left="0" w:right="0" w:hanging="0"/>
              <w:jc w:val="left"/>
              <w:rPr/>
            </w:pPr>
            <w:r>
              <w:rPr/>
              <w:t> </w:t>
            </w:r>
          </w:p>
        </w:tc>
        <w:tc>
          <w:tcPr>
            <w:tcW w:w="312" w:type="dxa"/>
            <w:tcBorders/>
            <w:shd w:fill="auto" w:val="clear"/>
          </w:tcPr>
          <w:p>
            <w:pPr>
              <w:pStyle w:val="TableContents"/>
              <w:spacing w:before="0" w:after="0"/>
              <w:ind w:left="0" w:right="0" w:hanging="0"/>
              <w:jc w:val="left"/>
              <w:rPr/>
            </w:pPr>
            <w:r>
              <w:rPr/>
              <w:t> </w:t>
            </w:r>
          </w:p>
        </w:tc>
        <w:tc>
          <w:tcPr>
            <w:tcW w:w="4791" w:type="dxa"/>
            <w:gridSpan w:val="2"/>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Scott Werneburg</w:t>
            </w:r>
          </w:p>
        </w:tc>
      </w:tr>
      <w:tr>
        <w:trPr/>
        <w:tc>
          <w:tcPr>
            <w:tcW w:w="5102" w:type="dxa"/>
            <w:tcBorders/>
            <w:shd w:fill="auto" w:val="clear"/>
          </w:tcPr>
          <w:p>
            <w:pPr>
              <w:pStyle w:val="TableContents"/>
              <w:spacing w:before="0" w:after="0"/>
              <w:ind w:left="0" w:right="0" w:hanging="0"/>
              <w:jc w:val="left"/>
              <w:rPr/>
            </w:pPr>
            <w:r>
              <w:rPr/>
              <w:t> </w:t>
            </w:r>
          </w:p>
        </w:tc>
        <w:tc>
          <w:tcPr>
            <w:tcW w:w="312" w:type="dxa"/>
            <w:tcBorders/>
            <w:shd w:fill="auto" w:val="clear"/>
          </w:tcPr>
          <w:p>
            <w:pPr>
              <w:pStyle w:val="TableContents"/>
              <w:spacing w:before="0" w:after="0"/>
              <w:ind w:left="0" w:right="0" w:hanging="0"/>
              <w:jc w:val="left"/>
              <w:rPr/>
            </w:pPr>
            <w:r>
              <w:rPr/>
              <w:t> </w:t>
            </w:r>
          </w:p>
        </w:tc>
        <w:tc>
          <w:tcPr>
            <w:tcW w:w="4791" w:type="dxa"/>
            <w:gridSpan w:val="2"/>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Managing Director</w:t>
            </w:r>
          </w:p>
        </w:tc>
      </w:tr>
      <w:tr>
        <w:trPr/>
        <w:tc>
          <w:tcPr>
            <w:tcW w:w="5102" w:type="dxa"/>
            <w:tcBorders/>
            <w:shd w:fill="auto" w:val="clear"/>
          </w:tcPr>
          <w:p>
            <w:pPr>
              <w:pStyle w:val="TableContents"/>
              <w:spacing w:before="0" w:after="0"/>
              <w:ind w:left="0" w:right="0" w:hanging="0"/>
              <w:jc w:val="left"/>
              <w:rPr/>
            </w:pPr>
            <w:r>
              <w:rPr/>
              <w:t> </w:t>
            </w:r>
          </w:p>
        </w:tc>
        <w:tc>
          <w:tcPr>
            <w:tcW w:w="5103" w:type="dxa"/>
            <w:gridSpan w:val="3"/>
            <w:tcBorders/>
            <w:shd w:fill="auto" w:val="clear"/>
          </w:tcPr>
          <w:p>
            <w:pPr>
              <w:pStyle w:val="TableContents"/>
              <w:spacing w:before="0" w:after="0"/>
              <w:ind w:left="0" w:right="0" w:hanging="0"/>
              <w:jc w:val="left"/>
              <w:rPr/>
            </w:pPr>
            <w:r>
              <w:rPr/>
              <w:t> </w:t>
            </w:r>
          </w:p>
        </w:tc>
      </w:tr>
      <w:tr>
        <w:trPr/>
        <w:tc>
          <w:tcPr>
            <w:tcW w:w="5102" w:type="dxa"/>
            <w:tcBorders/>
            <w:shd w:fill="auto" w:val="clear"/>
          </w:tcPr>
          <w:p>
            <w:pPr>
              <w:pStyle w:val="TableContents"/>
              <w:spacing w:before="0" w:after="0"/>
              <w:ind w:left="0" w:right="0" w:hanging="0"/>
              <w:jc w:val="left"/>
              <w:rPr/>
            </w:pPr>
            <w:r>
              <w:rPr/>
              <w:t> </w:t>
            </w:r>
          </w:p>
        </w:tc>
        <w:tc>
          <w:tcPr>
            <w:tcW w:w="5103" w:type="dxa"/>
            <w:gridSpan w:val="3"/>
            <w:tcBorders/>
            <w:shd w:fill="auto" w:val="clear"/>
          </w:tcPr>
          <w:p>
            <w:pPr>
              <w:pStyle w:val="TableContents"/>
              <w:spacing w:before="0" w:after="0"/>
              <w:ind w:left="0" w:right="0" w:hanging="0"/>
              <w:jc w:val="left"/>
              <w:rPr/>
            </w:pPr>
            <w:r>
              <w:rPr/>
              <w:t> </w:t>
            </w:r>
          </w:p>
        </w:tc>
      </w:tr>
      <w:tr>
        <w:trPr/>
        <w:tc>
          <w:tcPr>
            <w:tcW w:w="5102" w:type="dxa"/>
            <w:tcBorders/>
            <w:shd w:fill="auto" w:val="clear"/>
          </w:tcPr>
          <w:p>
            <w:pPr>
              <w:pStyle w:val="TableContents"/>
              <w:spacing w:before="0" w:after="0"/>
              <w:ind w:left="0" w:right="0" w:hanging="0"/>
              <w:jc w:val="left"/>
              <w:rPr/>
            </w:pPr>
            <w:r>
              <w:rPr/>
              <w:t> </w:t>
            </w:r>
          </w:p>
        </w:tc>
        <w:tc>
          <w:tcPr>
            <w:tcW w:w="5103" w:type="dxa"/>
            <w:gridSpan w:val="3"/>
            <w:tcBorders/>
            <w:shd w:fill="auto" w:val="clear"/>
          </w:tcPr>
          <w:p>
            <w:pPr>
              <w:pStyle w:val="TableContents"/>
              <w:spacing w:before="0" w:after="0"/>
              <w:ind w:left="0" w:right="0" w:hanging="0"/>
              <w:jc w:val="left"/>
              <w:rPr>
                <w:rFonts w:ascii="Times New Roman" w:hAnsi="Times New Roman"/>
                <w:b/>
                <w:sz w:val="17"/>
              </w:rPr>
            </w:pPr>
            <w:r>
              <w:rPr>
                <w:rFonts w:ascii="Times New Roman" w:hAnsi="Times New Roman"/>
                <w:b/>
                <w:sz w:val="17"/>
              </w:rPr>
              <w:t>PAA/VULCAN GAS STORAGE, LLC</w:t>
            </w:r>
          </w:p>
        </w:tc>
      </w:tr>
      <w:tr>
        <w:trPr/>
        <w:tc>
          <w:tcPr>
            <w:tcW w:w="5102" w:type="dxa"/>
            <w:tcBorders/>
            <w:shd w:fill="auto" w:val="clear"/>
          </w:tcPr>
          <w:p>
            <w:pPr>
              <w:pStyle w:val="TableContents"/>
              <w:spacing w:before="0" w:after="0"/>
              <w:ind w:left="0" w:right="0" w:hanging="0"/>
              <w:jc w:val="left"/>
              <w:rPr/>
            </w:pPr>
            <w:r>
              <w:rPr/>
              <w:t> </w:t>
            </w:r>
          </w:p>
        </w:tc>
        <w:tc>
          <w:tcPr>
            <w:tcW w:w="5103" w:type="dxa"/>
            <w:gridSpan w:val="3"/>
            <w:tcBorders/>
            <w:shd w:fill="auto" w:val="clear"/>
          </w:tcPr>
          <w:p>
            <w:pPr>
              <w:pStyle w:val="TableContents"/>
              <w:spacing w:before="0" w:after="0"/>
              <w:ind w:left="0" w:right="0" w:hanging="0"/>
              <w:jc w:val="left"/>
              <w:rPr/>
            </w:pPr>
            <w:r>
              <w:rPr/>
              <w:t> </w:t>
            </w:r>
          </w:p>
        </w:tc>
      </w:tr>
      <w:tr>
        <w:trPr/>
        <w:tc>
          <w:tcPr>
            <w:tcW w:w="5102" w:type="dxa"/>
            <w:tcBorders/>
            <w:shd w:fill="auto" w:val="clear"/>
          </w:tcPr>
          <w:p>
            <w:pPr>
              <w:pStyle w:val="TableContents"/>
              <w:spacing w:before="0" w:after="0"/>
              <w:ind w:left="0" w:right="0" w:hanging="0"/>
              <w:jc w:val="left"/>
              <w:rPr/>
            </w:pPr>
            <w:r>
              <w:rPr/>
              <w:t> </w:t>
            </w:r>
          </w:p>
        </w:tc>
        <w:tc>
          <w:tcPr>
            <w:tcW w:w="5103" w:type="dxa"/>
            <w:gridSpan w:val="3"/>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By: Plains All American Pipeline, L.P.,</w:t>
            </w:r>
          </w:p>
        </w:tc>
      </w:tr>
      <w:tr>
        <w:trPr/>
        <w:tc>
          <w:tcPr>
            <w:tcW w:w="5102" w:type="dxa"/>
            <w:tcBorders/>
            <w:shd w:fill="auto" w:val="clear"/>
          </w:tcPr>
          <w:p>
            <w:pPr>
              <w:pStyle w:val="TableContents"/>
              <w:spacing w:before="0" w:after="0"/>
              <w:ind w:left="0" w:right="0" w:hanging="0"/>
              <w:jc w:val="left"/>
              <w:rPr/>
            </w:pPr>
            <w:r>
              <w:rPr/>
              <w:t> </w:t>
            </w:r>
          </w:p>
        </w:tc>
        <w:tc>
          <w:tcPr>
            <w:tcW w:w="5103" w:type="dxa"/>
            <w:gridSpan w:val="3"/>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its Manager</w:t>
            </w:r>
          </w:p>
        </w:tc>
      </w:tr>
      <w:tr>
        <w:trPr/>
        <w:tc>
          <w:tcPr>
            <w:tcW w:w="5102" w:type="dxa"/>
            <w:tcBorders/>
            <w:shd w:fill="auto" w:val="clear"/>
          </w:tcPr>
          <w:p>
            <w:pPr>
              <w:pStyle w:val="TableContents"/>
              <w:spacing w:before="0" w:after="0"/>
              <w:ind w:left="0" w:right="0" w:hanging="0"/>
              <w:jc w:val="left"/>
              <w:rPr/>
            </w:pPr>
            <w:r>
              <w:rPr/>
              <w:t> </w:t>
            </w:r>
          </w:p>
        </w:tc>
        <w:tc>
          <w:tcPr>
            <w:tcW w:w="5103" w:type="dxa"/>
            <w:gridSpan w:val="3"/>
            <w:tcBorders/>
            <w:shd w:fill="auto" w:val="clear"/>
          </w:tcPr>
          <w:p>
            <w:pPr>
              <w:pStyle w:val="TableContents"/>
              <w:spacing w:before="0" w:after="0"/>
              <w:ind w:left="0" w:right="0" w:hanging="0"/>
              <w:jc w:val="left"/>
              <w:rPr/>
            </w:pPr>
            <w:r>
              <w:rPr/>
              <w:t> </w:t>
            </w:r>
          </w:p>
        </w:tc>
      </w:tr>
      <w:tr>
        <w:trPr/>
        <w:tc>
          <w:tcPr>
            <w:tcW w:w="5102" w:type="dxa"/>
            <w:tcBorders/>
            <w:shd w:fill="auto" w:val="clear"/>
          </w:tcPr>
          <w:p>
            <w:pPr>
              <w:pStyle w:val="TableContents"/>
              <w:spacing w:before="0" w:after="0"/>
              <w:ind w:left="0" w:right="0" w:hanging="0"/>
              <w:jc w:val="left"/>
              <w:rPr/>
            </w:pPr>
            <w:r>
              <w:rPr/>
              <w:t> </w:t>
            </w:r>
          </w:p>
        </w:tc>
        <w:tc>
          <w:tcPr>
            <w:tcW w:w="5103" w:type="dxa"/>
            <w:gridSpan w:val="3"/>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By: Plains AAP, L.P.,</w:t>
            </w:r>
          </w:p>
        </w:tc>
      </w:tr>
      <w:tr>
        <w:trPr/>
        <w:tc>
          <w:tcPr>
            <w:tcW w:w="5102" w:type="dxa"/>
            <w:tcBorders/>
            <w:shd w:fill="auto" w:val="clear"/>
          </w:tcPr>
          <w:p>
            <w:pPr>
              <w:pStyle w:val="TableContents"/>
              <w:spacing w:before="0" w:after="0"/>
              <w:ind w:left="0" w:right="0" w:hanging="0"/>
              <w:jc w:val="left"/>
              <w:rPr/>
            </w:pPr>
            <w:r>
              <w:rPr/>
              <w:t> </w:t>
            </w:r>
          </w:p>
        </w:tc>
        <w:tc>
          <w:tcPr>
            <w:tcW w:w="5103" w:type="dxa"/>
            <w:gridSpan w:val="3"/>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its General Partner</w:t>
            </w:r>
          </w:p>
        </w:tc>
      </w:tr>
      <w:tr>
        <w:trPr/>
        <w:tc>
          <w:tcPr>
            <w:tcW w:w="5102" w:type="dxa"/>
            <w:tcBorders/>
            <w:shd w:fill="auto" w:val="clear"/>
          </w:tcPr>
          <w:p>
            <w:pPr>
              <w:pStyle w:val="TableContents"/>
              <w:spacing w:before="0" w:after="0"/>
              <w:ind w:left="0" w:right="0" w:hanging="0"/>
              <w:jc w:val="left"/>
              <w:rPr/>
            </w:pPr>
            <w:r>
              <w:rPr/>
              <w:t> </w:t>
            </w:r>
          </w:p>
        </w:tc>
        <w:tc>
          <w:tcPr>
            <w:tcW w:w="5103" w:type="dxa"/>
            <w:gridSpan w:val="3"/>
            <w:tcBorders/>
            <w:shd w:fill="auto" w:val="clear"/>
          </w:tcPr>
          <w:p>
            <w:pPr>
              <w:pStyle w:val="TableContents"/>
              <w:spacing w:before="0" w:after="0"/>
              <w:ind w:left="0" w:right="0" w:hanging="0"/>
              <w:jc w:val="left"/>
              <w:rPr/>
            </w:pPr>
            <w:r>
              <w:rPr/>
              <w:t> </w:t>
            </w:r>
          </w:p>
        </w:tc>
      </w:tr>
      <w:tr>
        <w:trPr/>
        <w:tc>
          <w:tcPr>
            <w:tcW w:w="5102" w:type="dxa"/>
            <w:tcBorders/>
            <w:shd w:fill="auto" w:val="clear"/>
          </w:tcPr>
          <w:p>
            <w:pPr>
              <w:pStyle w:val="TableContents"/>
              <w:spacing w:before="0" w:after="0"/>
              <w:ind w:left="0" w:right="0" w:hanging="0"/>
              <w:jc w:val="left"/>
              <w:rPr/>
            </w:pPr>
            <w:r>
              <w:rPr/>
              <w:t> </w:t>
            </w:r>
          </w:p>
        </w:tc>
        <w:tc>
          <w:tcPr>
            <w:tcW w:w="5103" w:type="dxa"/>
            <w:gridSpan w:val="3"/>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By: Plains All American GP LLC,</w:t>
            </w:r>
          </w:p>
        </w:tc>
      </w:tr>
      <w:tr>
        <w:trPr/>
        <w:tc>
          <w:tcPr>
            <w:tcW w:w="5102" w:type="dxa"/>
            <w:tcBorders/>
            <w:shd w:fill="auto" w:val="clear"/>
          </w:tcPr>
          <w:p>
            <w:pPr>
              <w:pStyle w:val="TableContents"/>
              <w:spacing w:before="0" w:after="0"/>
              <w:ind w:left="0" w:right="0" w:hanging="0"/>
              <w:jc w:val="left"/>
              <w:rPr/>
            </w:pPr>
            <w:r>
              <w:rPr/>
              <w:t> </w:t>
            </w:r>
          </w:p>
        </w:tc>
        <w:tc>
          <w:tcPr>
            <w:tcW w:w="5103" w:type="dxa"/>
            <w:gridSpan w:val="3"/>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its General Partner</w:t>
            </w:r>
          </w:p>
        </w:tc>
      </w:tr>
      <w:tr>
        <w:trPr/>
        <w:tc>
          <w:tcPr>
            <w:tcW w:w="5102" w:type="dxa"/>
            <w:tcBorders/>
            <w:shd w:fill="auto" w:val="clear"/>
          </w:tcPr>
          <w:p>
            <w:pPr>
              <w:pStyle w:val="TableContents"/>
              <w:spacing w:before="0" w:after="0"/>
              <w:ind w:left="0" w:right="0" w:hanging="0"/>
              <w:jc w:val="left"/>
              <w:rPr/>
            </w:pPr>
            <w:r>
              <w:rPr/>
              <w:t> </w:t>
            </w:r>
          </w:p>
        </w:tc>
        <w:tc>
          <w:tcPr>
            <w:tcW w:w="5103" w:type="dxa"/>
            <w:gridSpan w:val="3"/>
            <w:tcBorders/>
            <w:shd w:fill="auto" w:val="clear"/>
          </w:tcPr>
          <w:p>
            <w:pPr>
              <w:pStyle w:val="TableContents"/>
              <w:spacing w:before="0" w:after="0"/>
              <w:ind w:left="0" w:right="0" w:hanging="0"/>
              <w:jc w:val="left"/>
              <w:rPr/>
            </w:pPr>
            <w:r>
              <w:rPr/>
              <w:t> </w:t>
            </w:r>
          </w:p>
        </w:tc>
      </w:tr>
      <w:tr>
        <w:trPr/>
        <w:tc>
          <w:tcPr>
            <w:tcW w:w="5102" w:type="dxa"/>
            <w:tcBorders/>
            <w:shd w:fill="auto" w:val="clear"/>
          </w:tcPr>
          <w:p>
            <w:pPr>
              <w:pStyle w:val="TableContents"/>
              <w:spacing w:before="0" w:after="0"/>
              <w:ind w:left="0" w:right="0" w:hanging="0"/>
              <w:jc w:val="left"/>
              <w:rPr/>
            </w:pPr>
            <w:r>
              <w:rPr/>
              <w:t> </w:t>
            </w:r>
          </w:p>
        </w:tc>
        <w:tc>
          <w:tcPr>
            <w:tcW w:w="312"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By:</w:t>
            </w:r>
          </w:p>
        </w:tc>
        <w:tc>
          <w:tcPr>
            <w:tcW w:w="3020" w:type="dxa"/>
            <w:tcBorders>
              <w:bottom w:val="single" w:sz="8" w:space="0" w:color="000000"/>
            </w:tcBorders>
            <w:shd w:fill="auto" w:val="clear"/>
            <w:tcMar>
              <w:bottom w:w="28" w:type="dxa"/>
            </w:tcMar>
          </w:tcPr>
          <w:p>
            <w:pPr>
              <w:pStyle w:val="TableContents"/>
              <w:spacing w:before="0" w:after="0"/>
              <w:ind w:left="0" w:right="0" w:hanging="0"/>
              <w:jc w:val="left"/>
              <w:rPr/>
            </w:pPr>
            <w:r>
              <w:rPr/>
              <w:t>    </w:t>
            </w:r>
            <w:r>
              <w:rPr>
                <w:rFonts w:ascii="Times New Roman" w:hAnsi="Times New Roman"/>
                <w:sz w:val="17"/>
              </w:rPr>
              <w:t>/s/ Harry N. Pefanis</w:t>
            </w:r>
          </w:p>
        </w:tc>
        <w:tc>
          <w:tcPr>
            <w:tcW w:w="1771" w:type="dxa"/>
            <w:tcBorders/>
            <w:shd w:fill="auto" w:val="clear"/>
          </w:tcPr>
          <w:p>
            <w:pPr>
              <w:pStyle w:val="TableContents"/>
              <w:spacing w:before="0" w:after="0"/>
              <w:ind w:left="0" w:right="0" w:hanging="0"/>
              <w:jc w:val="left"/>
              <w:rPr/>
            </w:pPr>
            <w:r>
              <w:rPr/>
              <w:t> </w:t>
            </w:r>
          </w:p>
        </w:tc>
      </w:tr>
      <w:tr>
        <w:trPr/>
        <w:tc>
          <w:tcPr>
            <w:tcW w:w="5102" w:type="dxa"/>
            <w:tcBorders/>
            <w:shd w:fill="auto" w:val="clear"/>
          </w:tcPr>
          <w:p>
            <w:pPr>
              <w:pStyle w:val="TableContents"/>
              <w:spacing w:before="0" w:after="0"/>
              <w:ind w:left="0" w:right="0" w:hanging="0"/>
              <w:jc w:val="left"/>
              <w:rPr/>
            </w:pPr>
            <w:r>
              <w:rPr/>
              <w:t> </w:t>
            </w:r>
          </w:p>
        </w:tc>
        <w:tc>
          <w:tcPr>
            <w:tcW w:w="5103" w:type="dxa"/>
            <w:gridSpan w:val="3"/>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Harry N. Pefanis</w:t>
            </w:r>
          </w:p>
        </w:tc>
      </w:tr>
      <w:tr>
        <w:trPr/>
        <w:tc>
          <w:tcPr>
            <w:tcW w:w="5102" w:type="dxa"/>
            <w:tcBorders/>
            <w:shd w:fill="auto" w:val="clear"/>
          </w:tcPr>
          <w:p>
            <w:pPr>
              <w:pStyle w:val="TableContents"/>
              <w:spacing w:before="0" w:after="0"/>
              <w:ind w:left="0" w:right="0" w:hanging="0"/>
              <w:jc w:val="left"/>
              <w:rPr/>
            </w:pPr>
            <w:r>
              <w:rPr/>
              <w:t> </w:t>
            </w:r>
          </w:p>
        </w:tc>
        <w:tc>
          <w:tcPr>
            <w:tcW w:w="5103" w:type="dxa"/>
            <w:gridSpan w:val="3"/>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President and COO</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81</w:t>
      </w:r>
    </w:p>
    <w:p>
      <w:pPr>
        <w:pStyle w:val="HorizontalLine"/>
        <w:pBdr>
          <w:bottom w:val="single" w:sz="12" w:space="0" w:color="808080"/>
        </w:pBdr>
        <w:spacing w:before="0" w:after="0"/>
        <w:jc w:val="left"/>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DejaVu Sans" w:cs="DejaVu Sans"/>
      <w:b/>
      <w:bCs/>
      <w:sz w:val="36"/>
      <w:szCs w:val="36"/>
    </w:rPr>
  </w:style>
  <w:style w:type="paragraph" w:styleId="Heading3">
    <w:name w:val="Heading 3"/>
    <w:basedOn w:val="Heading"/>
    <w:next w:val="TextBody"/>
    <w:qFormat/>
    <w:pPr>
      <w:numPr>
        <w:ilvl w:val="0"/>
        <w:numId w:val="0"/>
      </w:numPr>
      <w:spacing w:before="140" w:after="120"/>
      <w:outlineLvl w:val="2"/>
    </w:pPr>
    <w:rPr>
      <w:rFonts w:ascii="Liberation Serif" w:hAnsi="Liberation Serif" w:eastAsia="DejaVu Sans" w:cs="DejaVu Sans"/>
      <w:b/>
      <w:bCs/>
      <w:sz w:val="28"/>
      <w:szCs w:val="28"/>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DejaVu Sans"/>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145</Pages>
  <Words>66781</Words>
  <CharactersWithSpaces>424705</CharactersWithSpaces>
  <Paragraphs>3541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