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PAA GP Holdings LLC</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1600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40" w:type="dxa"/>
            <w:vAlign w:val="bottom"/>
            <w:gridSpan w:val="6"/>
          </w:tcPr>
          <w:p>
            <w:pPr>
              <w:spacing w:after="0" w:line="20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PAA</w:t>
              </w:r>
              <w:r>
                <w:rPr>
                  <w:rFonts w:ascii="Arial" w:cs="Arial" w:eastAsia="Arial" w:hAnsi="Arial"/>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0"/>
          <w:szCs w:val="20"/>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6"/>
          </w:tcPr>
          <w:p>
            <w:pPr>
              <w:ind w:left="60"/>
              <w:spacing w:after="0"/>
              <w:rPr>
                <w:sz w:val="20"/>
                <w:szCs w:val="20"/>
                <w:color w:val="auto"/>
              </w:rPr>
            </w:pPr>
            <w:r>
              <w:rPr>
                <w:rFonts w:ascii="Arial" w:cs="Arial" w:eastAsia="Arial" w:hAnsi="Arial"/>
                <w:sz w:val="17"/>
                <w:szCs w:val="17"/>
                <w:color w:val="0000FF"/>
              </w:rPr>
              <w:t>Common Units (Limited Partner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10/13/2023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800" w:type="dxa"/>
            <w:vAlign w:val="bottom"/>
            <w:vMerge w:val="restart"/>
          </w:tcPr>
          <w:p>
            <w:pPr>
              <w:ind w:left="80"/>
              <w:spacing w:after="0"/>
              <w:rPr>
                <w:sz w:val="20"/>
                <w:szCs w:val="20"/>
                <w:color w:val="auto"/>
              </w:rPr>
            </w:pPr>
            <w:r>
              <w:rPr>
                <w:rFonts w:ascii="Arial" w:cs="Arial" w:eastAsia="Arial" w:hAnsi="Arial"/>
                <w:sz w:val="17"/>
                <w:szCs w:val="17"/>
                <w:color w:val="0000FF"/>
                <w:w w:val="92"/>
              </w:rPr>
              <w:t>6,353,042</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1800" w:type="dxa"/>
            <w:vAlign w:val="bottom"/>
            <w:gridSpan w:val="5"/>
            <w:vMerge w:val="restart"/>
          </w:tcPr>
          <w:p>
            <w:pPr>
              <w:jc w:val="right"/>
              <w:ind w:right="1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w:t>
            </w:r>
            <w:r>
              <w:rPr>
                <w:rFonts w:ascii="Arial" w:cs="Arial" w:eastAsia="Arial" w:hAnsi="Arial"/>
                <w:sz w:val="22"/>
                <w:szCs w:val="22"/>
                <w:color w:val="008000"/>
                <w:w w:val="91"/>
                <w:vertAlign w:val="superscript"/>
              </w:rPr>
              <w:t>(1)(2)</w:t>
            </w:r>
            <w:r>
              <w:rPr>
                <w:rFonts w:ascii="Arial" w:cs="Arial" w:eastAsia="Arial" w:hAnsi="Arial"/>
                <w:sz w:val="17"/>
                <w:szCs w:val="17"/>
                <w:color w:val="auto"/>
                <w:w w:val="91"/>
              </w:rPr>
              <w:t xml:space="preserve">     </w:t>
            </w:r>
            <w:r>
              <w:rPr>
                <w:rFonts w:ascii="Arial" w:cs="Arial" w:eastAsia="Arial" w:hAnsi="Arial"/>
                <w:sz w:val="17"/>
                <w:szCs w:val="17"/>
                <w:color w:val="0000FF"/>
                <w:w w:val="91"/>
              </w:rPr>
              <w:t>232,653,928</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Interests)</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80" w:type="dxa"/>
            <w:vAlign w:val="bottom"/>
            <w:gridSpan w:val="17"/>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PAA GP Holdings LLC</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Plains AAP, L.P.</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Plains All American GP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380" w:type="dxa"/>
            <w:vAlign w:val="bottom"/>
          </w:tcPr>
          <w:p>
            <w:pPr>
              <w:ind w:left="26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1" w:lineRule="exact"/>
              <w:rPr>
                <w:rFonts w:ascii="Arial" w:cs="Arial" w:eastAsia="Arial" w:hAnsi="Arial"/>
                <w:sz w:val="21"/>
                <w:szCs w:val="21"/>
                <w:color w:val="0000EE"/>
                <w:w w:val="96"/>
              </w:rPr>
            </w:pPr>
            <w:hyperlink r:id="rId17">
              <w:r>
                <w:rPr>
                  <w:rFonts w:ascii="Arial" w:cs="Arial" w:eastAsia="Arial" w:hAnsi="Arial"/>
                  <w:sz w:val="21"/>
                  <w:szCs w:val="21"/>
                  <w:color w:val="0000EE"/>
                  <w:w w:val="96"/>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380" w:type="dxa"/>
            <w:vAlign w:val="bottom"/>
          </w:tcPr>
          <w:p>
            <w:pPr>
              <w:ind w:left="26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160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1603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7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if applicable, Company Units of PAA GP Holdings LLC ("PAGP GP").</w:t>
      </w:r>
    </w:p>
    <w:p>
      <w:pPr>
        <w:spacing w:after="0" w:line="14" w:lineRule="exact"/>
        <w:rPr>
          <w:rFonts w:ascii="Arial" w:cs="Arial" w:eastAsia="Arial" w:hAnsi="Arial"/>
          <w:sz w:val="12"/>
          <w:szCs w:val="12"/>
          <w:color w:val="008000"/>
        </w:rPr>
      </w:pPr>
    </w:p>
    <w:p>
      <w:pPr>
        <w:ind w:left="20" w:right="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October 13, 2023, certain limited partners of AAP exercised their Redemption Right with respect to an aggregate of 6,353,042 AAP Class A units, resulting in the cancellation of such AAP Class A units and the distribution of an aggregate of 6,353,042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30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10/16/2023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30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6"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2023-10-16T16:23:04Z</dcterms:created>
  <dcterms:modified xsi:type="dcterms:W3CDTF">2023-10-16T16:23:04Z</dcterms:modified>
</cp:coreProperties>
</file>