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(Amendment No. _ )</w:t>
      </w:r>
      <w:r>
        <w:rPr>
          <w:rFonts w:ascii="Arial" w:cs="Arial" w:eastAsia="Arial" w:hAnsi="Arial"/>
          <w:sz w:val="35"/>
          <w:szCs w:val="35"/>
          <w:b w:val="1"/>
          <w:bCs w:val="1"/>
          <w:color w:val="auto"/>
          <w:vertAlign w:val="superscript"/>
        </w:rPr>
        <w:t>*</w:t>
      </w:r>
    </w:p>
    <w:p>
      <w:pPr>
        <w:spacing w:after="0" w:line="200" w:lineRule="exact"/>
        <w:rPr>
          <w:sz w:val="24"/>
          <w:szCs w:val="24"/>
          <w:color w:val="auto"/>
        </w:rPr>
      </w:pPr>
    </w:p>
    <w:p>
      <w:pPr>
        <w:spacing w:after="0" w:line="393"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PLAINS GP HOLDINGS,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72651A207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Arial" w:cs="Arial" w:eastAsia="Arial" w:hAnsi="Arial"/>
          <w:sz w:val="22"/>
          <w:szCs w:val="22"/>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85" w:lineRule="auto"/>
        <w:tabs>
          <w:tab w:leader="none" w:pos="478"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3" w:lineRule="auto"/>
        <w:rPr>
          <w:rFonts w:ascii="Arial" w:cs="Arial" w:eastAsia="Arial" w:hAnsi="Arial"/>
          <w:sz w:val="19"/>
          <w:szCs w:val="19"/>
          <w:color w:val="auto"/>
        </w:rPr>
      </w:pPr>
      <w:r>
        <w:rPr>
          <w:rFonts w:ascii="Arial" w:cs="Arial" w:eastAsia="Arial" w:hAnsi="Arial"/>
          <w:sz w:val="35"/>
          <w:szCs w:val="35"/>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18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20" w:right="45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72651A207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Arial" w:cs="Arial" w:eastAsia="Arial" w:hAnsi="Arial"/>
                <w:sz w:val="22"/>
                <w:szCs w:val="22"/>
                <w:color w:val="auto"/>
              </w:rPr>
              <w:t>1.</w:t>
            </w:r>
          </w:p>
        </w:tc>
        <w:tc>
          <w:tcPr>
            <w:tcW w:w="3760" w:type="dxa"/>
            <w:vAlign w:val="bottom"/>
          </w:tcPr>
          <w:p>
            <w:pPr>
              <w:ind w:left="100"/>
              <w:spacing w:after="0"/>
              <w:rPr>
                <w:sz w:val="20"/>
                <w:szCs w:val="20"/>
                <w:color w:val="auto"/>
              </w:rPr>
            </w:pPr>
            <w:r>
              <w:rPr>
                <w:rFonts w:ascii="Arial" w:cs="Arial" w:eastAsia="Arial" w:hAnsi="Arial"/>
                <w:sz w:val="22"/>
                <w:szCs w:val="22"/>
                <w:color w:val="auto"/>
                <w:w w:val="99"/>
              </w:rPr>
              <w:t>NAMES OF REPORTING PERSONS</w:t>
            </w: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Massachusetts Financial Services Company ("MFS")</w:t>
            </w: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04-2747644</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2.</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THE APPROPRIATE BOX IF A MEMBER OF A GROUP*</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720" w:type="dxa"/>
            <w:vAlign w:val="bottom"/>
          </w:tcPr>
          <w:p>
            <w:pPr>
              <w:spacing w:after="0"/>
              <w:rPr>
                <w:sz w:val="21"/>
                <w:szCs w:val="21"/>
                <w:color w:val="auto"/>
              </w:rPr>
            </w:pPr>
          </w:p>
        </w:tc>
        <w:tc>
          <w:tcPr>
            <w:tcW w:w="3760" w:type="dxa"/>
            <w:vAlign w:val="bottom"/>
          </w:tcPr>
          <w:p>
            <w:pPr>
              <w:ind w:left="100"/>
              <w:spacing w:after="0" w:line="243" w:lineRule="exact"/>
              <w:rPr>
                <w:sz w:val="20"/>
                <w:szCs w:val="20"/>
                <w:color w:val="auto"/>
              </w:rPr>
            </w:pPr>
            <w:r>
              <w:rPr>
                <w:rFonts w:ascii="Arial" w:cs="Arial" w:eastAsia="Arial" w:hAnsi="Arial"/>
                <w:sz w:val="22"/>
                <w:szCs w:val="22"/>
                <w:color w:val="auto"/>
              </w:rPr>
              <w:t>(b) [ ]</w:t>
            </w: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Not Applicable</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3.</w:t>
            </w:r>
          </w:p>
        </w:tc>
        <w:tc>
          <w:tcPr>
            <w:tcW w:w="3760" w:type="dxa"/>
            <w:vAlign w:val="bottom"/>
          </w:tcPr>
          <w:p>
            <w:pPr>
              <w:ind w:left="100"/>
              <w:spacing w:after="0"/>
              <w:rPr>
                <w:sz w:val="20"/>
                <w:szCs w:val="20"/>
                <w:color w:val="auto"/>
              </w:rPr>
            </w:pPr>
            <w:r>
              <w:rPr>
                <w:rFonts w:ascii="Arial" w:cs="Arial" w:eastAsia="Arial" w:hAnsi="Arial"/>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4.</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Delaware</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1720" w:type="dxa"/>
            <w:vAlign w:val="bottom"/>
          </w:tcPr>
          <w:p>
            <w:pPr>
              <w:ind w:left="120"/>
              <w:spacing w:after="0"/>
              <w:rPr>
                <w:sz w:val="20"/>
                <w:szCs w:val="20"/>
                <w:color w:val="auto"/>
              </w:rPr>
            </w:pPr>
            <w:r>
              <w:rPr>
                <w:rFonts w:ascii="Arial" w:cs="Arial" w:eastAsia="Arial" w:hAnsi="Arial"/>
                <w:sz w:val="22"/>
                <w:szCs w:val="22"/>
                <w:color w:val="auto"/>
              </w:rPr>
              <w:t>NUMBER OF</w:t>
            </w:r>
          </w:p>
        </w:tc>
        <w:tc>
          <w:tcPr>
            <w:tcW w:w="3760" w:type="dxa"/>
            <w:vAlign w:val="bottom"/>
          </w:tcPr>
          <w:p>
            <w:pPr>
              <w:ind w:left="160"/>
              <w:spacing w:after="0"/>
              <w:rPr>
                <w:sz w:val="20"/>
                <w:szCs w:val="20"/>
                <w:color w:val="auto"/>
              </w:rPr>
            </w:pPr>
            <w:r>
              <w:rPr>
                <w:rFonts w:ascii="Arial" w:cs="Arial" w:eastAsia="Arial" w:hAnsi="Arial"/>
                <w:sz w:val="22"/>
                <w:szCs w:val="22"/>
                <w:color w:val="auto"/>
              </w:rPr>
              <w:t>5. SOLE VOTING POWER</w:t>
            </w:r>
          </w:p>
        </w:tc>
        <w:tc>
          <w:tcPr>
            <w:tcW w:w="5760" w:type="dxa"/>
            <w:vAlign w:val="bottom"/>
          </w:tcPr>
          <w:p>
            <w:pPr>
              <w:ind w:left="320"/>
              <w:spacing w:after="0"/>
              <w:rPr>
                <w:sz w:val="20"/>
                <w:szCs w:val="20"/>
                <w:color w:val="auto"/>
              </w:rPr>
            </w:pPr>
            <w:r>
              <w:rPr>
                <w:rFonts w:ascii="Arial" w:cs="Arial" w:eastAsia="Arial" w:hAnsi="Arial"/>
                <w:sz w:val="22"/>
                <w:szCs w:val="22"/>
                <w:color w:val="auto"/>
              </w:rPr>
              <w:t>16,186,393</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BENEFICIALLY</w:t>
            </w:r>
          </w:p>
        </w:tc>
        <w:tc>
          <w:tcPr>
            <w:tcW w:w="3760" w:type="dxa"/>
            <w:vAlign w:val="bottom"/>
          </w:tcPr>
          <w:p>
            <w:pPr>
              <w:ind w:left="160"/>
              <w:spacing w:after="0" w:line="243" w:lineRule="exact"/>
              <w:rPr>
                <w:sz w:val="20"/>
                <w:szCs w:val="20"/>
                <w:color w:val="auto"/>
              </w:rPr>
            </w:pPr>
            <w:r>
              <w:rPr>
                <w:rFonts w:ascii="Arial" w:cs="Arial" w:eastAsia="Arial" w:hAnsi="Arial"/>
                <w:sz w:val="22"/>
                <w:szCs w:val="22"/>
                <w:color w:val="auto"/>
              </w:rPr>
              <w:t>6. SHARED VOTING POWER</w:t>
            </w:r>
          </w:p>
        </w:tc>
        <w:tc>
          <w:tcPr>
            <w:tcW w:w="5760" w:type="dxa"/>
            <w:vAlign w:val="bottom"/>
          </w:tcPr>
          <w:p>
            <w:pPr>
              <w:ind w:left="320"/>
              <w:spacing w:after="0" w:line="243"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OWNED BY</w:t>
            </w:r>
          </w:p>
        </w:tc>
        <w:tc>
          <w:tcPr>
            <w:tcW w:w="3760" w:type="dxa"/>
            <w:vAlign w:val="bottom"/>
            <w:vMerge w:val="restart"/>
          </w:tcPr>
          <w:p>
            <w:pPr>
              <w:ind w:left="160"/>
              <w:spacing w:after="0"/>
              <w:rPr>
                <w:sz w:val="20"/>
                <w:szCs w:val="20"/>
                <w:color w:val="auto"/>
              </w:rPr>
            </w:pPr>
            <w:r>
              <w:rPr>
                <w:rFonts w:ascii="Arial" w:cs="Arial" w:eastAsia="Arial" w:hAnsi="Arial"/>
                <w:sz w:val="22"/>
                <w:szCs w:val="22"/>
                <w:color w:val="auto"/>
              </w:rPr>
              <w:t>7. SOLE DISPOSITIVE POWER</w:t>
            </w:r>
          </w:p>
        </w:tc>
        <w:tc>
          <w:tcPr>
            <w:tcW w:w="5760" w:type="dxa"/>
            <w:vAlign w:val="bottom"/>
            <w:vMerge w:val="restart"/>
          </w:tcPr>
          <w:p>
            <w:pPr>
              <w:ind w:left="320"/>
              <w:spacing w:after="0"/>
              <w:rPr>
                <w:sz w:val="20"/>
                <w:szCs w:val="20"/>
                <w:color w:val="auto"/>
              </w:rPr>
            </w:pPr>
            <w:r>
              <w:rPr>
                <w:rFonts w:ascii="Arial" w:cs="Arial" w:eastAsia="Arial" w:hAnsi="Arial"/>
                <w:sz w:val="22"/>
                <w:szCs w:val="22"/>
                <w:color w:val="auto"/>
              </w:rPr>
              <w:t>16,228,837</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REPORTING</w:t>
            </w:r>
          </w:p>
        </w:tc>
        <w:tc>
          <w:tcPr>
            <w:tcW w:w="3760" w:type="dxa"/>
            <w:vAlign w:val="bottom"/>
            <w:vMerge w:val="restart"/>
          </w:tcPr>
          <w:p>
            <w:pPr>
              <w:ind w:left="160"/>
              <w:spacing w:after="0"/>
              <w:rPr>
                <w:sz w:val="20"/>
                <w:szCs w:val="20"/>
                <w:color w:val="auto"/>
              </w:rPr>
            </w:pPr>
            <w:r>
              <w:rPr>
                <w:rFonts w:ascii="Arial" w:cs="Arial" w:eastAsia="Arial" w:hAnsi="Arial"/>
                <w:sz w:val="22"/>
                <w:szCs w:val="22"/>
                <w:color w:val="auto"/>
              </w:rPr>
              <w:t>8. SHARED DISPOSITIVE POWER</w:t>
            </w:r>
          </w:p>
        </w:tc>
        <w:tc>
          <w:tcPr>
            <w:tcW w:w="5760" w:type="dxa"/>
            <w:vAlign w:val="bottom"/>
            <w:vMerge w:val="restart"/>
          </w:tcPr>
          <w:p>
            <w:pPr>
              <w:ind w:left="3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3760" w:type="dxa"/>
            <w:vAlign w:val="bottom"/>
            <w:vMerge w:val="continue"/>
          </w:tcPr>
          <w:p>
            <w:pPr>
              <w:spacing w:after="0"/>
              <w:rPr>
                <w:sz w:val="23"/>
                <w:szCs w:val="23"/>
                <w:color w:val="auto"/>
              </w:rPr>
            </w:pPr>
          </w:p>
        </w:tc>
        <w:tc>
          <w:tcPr>
            <w:tcW w:w="57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w w:val="91"/>
              </w:rPr>
              <w:t>16,228,837 shares of Common Stock consisting of shares beneficially owned by MFS and/or certain other</w:t>
            </w: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non-reporting entities</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Not Applicable</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8.6%</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3760" w:type="dxa"/>
            <w:vAlign w:val="bottom"/>
          </w:tcPr>
          <w:p>
            <w:pPr>
              <w:ind w:left="100"/>
              <w:spacing w:after="0"/>
              <w:rPr>
                <w:sz w:val="20"/>
                <w:szCs w:val="20"/>
                <w:color w:val="auto"/>
              </w:rPr>
            </w:pPr>
            <w:r>
              <w:rPr>
                <w:rFonts w:ascii="Arial" w:cs="Arial" w:eastAsia="Arial" w:hAnsi="Arial"/>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1580" w:hanging="667"/>
        <w:spacing w:after="0"/>
        <w:tabs>
          <w:tab w:leader="none" w:pos="15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Name of Issuer</w:t>
      </w:r>
    </w:p>
    <w:p>
      <w:pPr>
        <w:spacing w:after="0" w:line="14" w:lineRule="exact"/>
        <w:rPr>
          <w:rFonts w:ascii="Arial" w:cs="Arial" w:eastAsia="Arial" w:hAnsi="Arial"/>
          <w:sz w:val="22"/>
          <w:szCs w:val="22"/>
          <w:b w:val="1"/>
          <w:bCs w:val="1"/>
          <w:color w:val="auto"/>
        </w:rPr>
      </w:pPr>
    </w:p>
    <w:p>
      <w:pPr>
        <w:ind w:left="1580"/>
        <w:spacing w:after="0"/>
        <w:rPr>
          <w:rFonts w:ascii="Arial" w:cs="Arial" w:eastAsia="Arial" w:hAnsi="Arial"/>
          <w:sz w:val="22"/>
          <w:szCs w:val="22"/>
          <w:b w:val="1"/>
          <w:bCs w:val="1"/>
          <w:color w:val="auto"/>
        </w:rPr>
      </w:pPr>
      <w:r>
        <w:rPr>
          <w:rFonts w:ascii="Arial" w:cs="Arial" w:eastAsia="Arial" w:hAnsi="Arial"/>
          <w:sz w:val="22"/>
          <w:szCs w:val="22"/>
          <w:color w:val="auto"/>
        </w:rPr>
        <w:t>PLAINS GP HOLDINGS, L.P.</w:t>
      </w:r>
    </w:p>
    <w:p>
      <w:pPr>
        <w:spacing w:after="0" w:line="101" w:lineRule="exact"/>
        <w:rPr>
          <w:rFonts w:ascii="Arial" w:cs="Arial" w:eastAsia="Arial" w:hAnsi="Arial"/>
          <w:sz w:val="22"/>
          <w:szCs w:val="22"/>
          <w:b w:val="1"/>
          <w:bCs w:val="1"/>
          <w:color w:val="auto"/>
        </w:rPr>
      </w:pPr>
    </w:p>
    <w:p>
      <w:pPr>
        <w:ind w:left="1580" w:right="5140" w:hanging="667"/>
        <w:spacing w:after="0" w:line="334" w:lineRule="auto"/>
        <w:tabs>
          <w:tab w:leader="none" w:pos="158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Address of Issuer's Principal Executive Offices </w:t>
      </w:r>
      <w:r>
        <w:rPr>
          <w:rFonts w:ascii="Arial" w:cs="Arial" w:eastAsia="Arial" w:hAnsi="Arial"/>
          <w:sz w:val="19"/>
          <w:szCs w:val="19"/>
          <w:color w:val="auto"/>
        </w:rPr>
        <w:t>333 Clay Street, Suite 1600, Houston, TX 77002</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580" w:hanging="667"/>
        <w:spacing w:after="0"/>
        <w:tabs>
          <w:tab w:leader="none" w:pos="15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1580"/>
        <w:spacing w:after="0"/>
        <w:rPr>
          <w:rFonts w:ascii="Arial" w:cs="Arial" w:eastAsia="Arial" w:hAnsi="Arial"/>
          <w:sz w:val="22"/>
          <w:szCs w:val="22"/>
          <w:b w:val="1"/>
          <w:bCs w:val="1"/>
          <w:color w:val="auto"/>
        </w:rPr>
      </w:pPr>
      <w:r>
        <w:rPr>
          <w:rFonts w:ascii="Arial" w:cs="Arial" w:eastAsia="Arial" w:hAnsi="Arial"/>
          <w:sz w:val="22"/>
          <w:szCs w:val="22"/>
          <w:color w:val="auto"/>
        </w:rPr>
        <w:t>Massachusetts Financial Services Company</w:t>
      </w:r>
    </w:p>
    <w:p>
      <w:pPr>
        <w:spacing w:after="0" w:line="101" w:lineRule="exact"/>
        <w:rPr>
          <w:rFonts w:ascii="Arial" w:cs="Arial" w:eastAsia="Arial" w:hAnsi="Arial"/>
          <w:sz w:val="22"/>
          <w:szCs w:val="22"/>
          <w:b w:val="1"/>
          <w:bCs w:val="1"/>
          <w:color w:val="auto"/>
        </w:rPr>
      </w:pPr>
    </w:p>
    <w:p>
      <w:pPr>
        <w:ind w:left="1580" w:right="4040" w:hanging="667"/>
        <w:spacing w:after="0" w:line="256" w:lineRule="auto"/>
        <w:tabs>
          <w:tab w:leader="none" w:pos="15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Principal Business Office or, if None, Residence </w:t>
      </w:r>
      <w:r>
        <w:rPr>
          <w:rFonts w:ascii="Arial" w:cs="Arial" w:eastAsia="Arial" w:hAnsi="Arial"/>
          <w:sz w:val="22"/>
          <w:szCs w:val="22"/>
          <w:color w:val="auto"/>
        </w:rPr>
        <w:t>111 Huntington Avenue, Boston, MA 02199</w:t>
      </w:r>
    </w:p>
    <w:p>
      <w:pPr>
        <w:spacing w:after="0" w:line="81" w:lineRule="exact"/>
        <w:rPr>
          <w:rFonts w:ascii="Arial" w:cs="Arial" w:eastAsia="Arial" w:hAnsi="Arial"/>
          <w:sz w:val="22"/>
          <w:szCs w:val="22"/>
          <w:b w:val="1"/>
          <w:bCs w:val="1"/>
          <w:color w:val="auto"/>
        </w:rPr>
      </w:pPr>
    </w:p>
    <w:p>
      <w:pPr>
        <w:ind w:left="1580" w:right="8400" w:hanging="667"/>
        <w:spacing w:after="0" w:line="334" w:lineRule="auto"/>
        <w:tabs>
          <w:tab w:leader="none" w:pos="15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Citizenship </w:t>
      </w:r>
      <w:r>
        <w:rPr>
          <w:rFonts w:ascii="Arial" w:cs="Arial" w:eastAsia="Arial" w:hAnsi="Arial"/>
          <w:sz w:val="19"/>
          <w:szCs w:val="19"/>
          <w:color w:val="auto"/>
        </w:rPr>
        <w:t>Delaware</w:t>
      </w:r>
    </w:p>
    <w:p>
      <w:pPr>
        <w:spacing w:after="0" w:line="12" w:lineRule="exact"/>
        <w:rPr>
          <w:rFonts w:ascii="Arial" w:cs="Arial" w:eastAsia="Arial" w:hAnsi="Arial"/>
          <w:sz w:val="19"/>
          <w:szCs w:val="19"/>
          <w:b w:val="1"/>
          <w:bCs w:val="1"/>
          <w:color w:val="auto"/>
        </w:rPr>
      </w:pPr>
    </w:p>
    <w:p>
      <w:pPr>
        <w:ind w:left="1580" w:right="7040" w:hanging="667"/>
        <w:spacing w:after="0" w:line="334" w:lineRule="auto"/>
        <w:tabs>
          <w:tab w:leader="none" w:pos="15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2" w:lineRule="exact"/>
        <w:rPr>
          <w:rFonts w:ascii="Arial" w:cs="Arial" w:eastAsia="Arial" w:hAnsi="Arial"/>
          <w:sz w:val="19"/>
          <w:szCs w:val="19"/>
          <w:b w:val="1"/>
          <w:bCs w:val="1"/>
          <w:color w:val="auto"/>
        </w:rPr>
      </w:pPr>
    </w:p>
    <w:p>
      <w:pPr>
        <w:ind w:left="1580" w:right="7980" w:hanging="667"/>
        <w:spacing w:after="0" w:line="334" w:lineRule="auto"/>
        <w:tabs>
          <w:tab w:leader="none" w:pos="15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72651A207</w:t>
      </w:r>
    </w:p>
    <w:p>
      <w:pPr>
        <w:spacing w:after="0" w:line="13"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If This Statement is Filed Pursuant to Rule 13d-1(b), or 13d-2(b) or (c), Check Whether the Person Filing is a:</w:t>
      </w:r>
    </w:p>
    <w:p>
      <w:pPr>
        <w:sectPr>
          <w:pgSz w:w="11900" w:h="16838" w:orient="portrait"/>
          <w:cols w:equalWidth="0" w:num="1">
            <w:col w:w="11020"/>
          </w:cols>
          <w:pgMar w:left="400" w:top="423" w:right="479" w:bottom="0" w:gutter="0" w:footer="0" w:header="0"/>
        </w:sectPr>
      </w:pPr>
    </w:p>
    <w:p>
      <w:pPr>
        <w:spacing w:after="0" w:line="131" w:lineRule="exact"/>
        <w:rPr>
          <w:sz w:val="20"/>
          <w:szCs w:val="20"/>
          <w:color w:val="auto"/>
        </w:rPr>
      </w:pPr>
    </w:p>
    <w:p>
      <w:pPr>
        <w:ind w:left="920"/>
        <w:spacing w:after="0"/>
        <w:tabs>
          <w:tab w:leader="none" w:pos="156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56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56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560" w:val="left"/>
        </w:tabs>
        <w:rPr>
          <w:sz w:val="20"/>
          <w:szCs w:val="20"/>
          <w:color w:val="auto"/>
        </w:rPr>
      </w:pPr>
      <w:r>
        <w:rPr>
          <w:rFonts w:ascii="Arial" w:cs="Arial" w:eastAsia="Arial" w:hAnsi="Arial"/>
          <w:sz w:val="22"/>
          <w:szCs w:val="22"/>
          <w:color w:val="auto"/>
        </w:rPr>
        <w:t>(d)</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560" w:val="left"/>
        </w:tabs>
        <w:rPr>
          <w:sz w:val="20"/>
          <w:szCs w:val="20"/>
          <w:color w:val="auto"/>
        </w:rPr>
      </w:pPr>
      <w:r>
        <w:rPr>
          <w:rFonts w:ascii="Arial" w:cs="Arial" w:eastAsia="Arial" w:hAnsi="Arial"/>
          <w:sz w:val="22"/>
          <w:szCs w:val="22"/>
          <w:color w:val="auto"/>
        </w:rPr>
        <w:t>(e)</w:t>
      </w:r>
      <w:r>
        <w:rPr>
          <w:sz w:val="20"/>
          <w:szCs w:val="20"/>
          <w:color w:val="auto"/>
        </w:rPr>
        <w:tab/>
      </w:r>
      <w:r>
        <w:rPr>
          <w:rFonts w:ascii="Arial" w:cs="Arial" w:eastAsia="Arial" w:hAnsi="Arial"/>
          <w:sz w:val="22"/>
          <w:szCs w:val="22"/>
          <w:color w:val="auto"/>
        </w:rPr>
        <w:t>[X]</w:t>
      </w:r>
    </w:p>
    <w:p>
      <w:pPr>
        <w:spacing w:after="0" w:line="125" w:lineRule="exact"/>
        <w:rPr>
          <w:sz w:val="20"/>
          <w:szCs w:val="20"/>
          <w:color w:val="auto"/>
        </w:rPr>
      </w:pPr>
    </w:p>
    <w:p>
      <w:pPr>
        <w:ind w:left="920"/>
        <w:spacing w:after="0"/>
        <w:tabs>
          <w:tab w:leader="none" w:pos="1560" w:val="left"/>
        </w:tabs>
        <w:rPr>
          <w:sz w:val="20"/>
          <w:szCs w:val="20"/>
          <w:color w:val="auto"/>
        </w:rPr>
      </w:pPr>
      <w:r>
        <w:rPr>
          <w:rFonts w:ascii="Arial" w:cs="Arial" w:eastAsia="Arial" w:hAnsi="Arial"/>
          <w:sz w:val="22"/>
          <w:szCs w:val="22"/>
          <w:color w:val="auto"/>
        </w:rPr>
        <w:t>(f)</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560" w:val="left"/>
        </w:tabs>
        <w:rPr>
          <w:sz w:val="20"/>
          <w:szCs w:val="20"/>
          <w:color w:val="auto"/>
        </w:rPr>
      </w:pPr>
      <w:r>
        <w:rPr>
          <w:rFonts w:ascii="Arial" w:cs="Arial" w:eastAsia="Arial" w:hAnsi="Arial"/>
          <w:sz w:val="22"/>
          <w:szCs w:val="22"/>
          <w:color w:val="auto"/>
        </w:rPr>
        <w:t>(g)</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560" w:val="left"/>
        </w:tabs>
        <w:rPr>
          <w:sz w:val="20"/>
          <w:szCs w:val="20"/>
          <w:color w:val="auto"/>
        </w:rPr>
      </w:pPr>
      <w:r>
        <w:rPr>
          <w:rFonts w:ascii="Arial" w:cs="Arial" w:eastAsia="Arial" w:hAnsi="Arial"/>
          <w:sz w:val="22"/>
          <w:szCs w:val="22"/>
          <w:color w:val="auto"/>
        </w:rPr>
        <w:t>(h)</w:t>
      </w:r>
      <w:r>
        <w:rPr>
          <w:sz w:val="20"/>
          <w:szCs w:val="20"/>
          <w:color w:val="auto"/>
        </w:rPr>
        <w:tab/>
      </w:r>
      <w:r>
        <w:rPr>
          <w:rFonts w:ascii="Arial" w:cs="Arial" w:eastAsia="Arial" w:hAnsi="Arial"/>
          <w:sz w:val="22"/>
          <w:szCs w:val="22"/>
          <w:color w:val="auto"/>
        </w:rPr>
        <w:t>[ ]</w:t>
      </w:r>
    </w:p>
    <w:p>
      <w:pPr>
        <w:spacing w:after="0" w:line="368" w:lineRule="exact"/>
        <w:rPr>
          <w:sz w:val="20"/>
          <w:szCs w:val="20"/>
          <w:color w:val="auto"/>
        </w:rPr>
      </w:pPr>
    </w:p>
    <w:p>
      <w:pPr>
        <w:ind w:left="920"/>
        <w:spacing w:after="0"/>
        <w:tabs>
          <w:tab w:leader="none" w:pos="1560" w:val="left"/>
        </w:tabs>
        <w:rPr>
          <w:sz w:val="20"/>
          <w:szCs w:val="20"/>
          <w:color w:val="auto"/>
        </w:rPr>
      </w:pPr>
      <w:r>
        <w:rPr>
          <w:rFonts w:ascii="Arial" w:cs="Arial" w:eastAsia="Arial" w:hAnsi="Arial"/>
          <w:sz w:val="22"/>
          <w:szCs w:val="22"/>
          <w:color w:val="auto"/>
        </w:rPr>
        <w:t>(i)</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560" w:val="left"/>
        </w:tabs>
        <w:rPr>
          <w:sz w:val="20"/>
          <w:szCs w:val="20"/>
          <w:color w:val="auto"/>
        </w:rPr>
      </w:pPr>
      <w:r>
        <w:rPr>
          <w:rFonts w:ascii="Arial" w:cs="Arial" w:eastAsia="Arial" w:hAnsi="Arial"/>
          <w:sz w:val="22"/>
          <w:szCs w:val="22"/>
          <w:color w:val="auto"/>
        </w:rPr>
        <w:t>(j)</w:t>
      </w:r>
      <w:r>
        <w:rPr>
          <w:sz w:val="20"/>
          <w:szCs w:val="20"/>
          <w:color w:val="auto"/>
        </w:rPr>
        <w:tab/>
      </w:r>
      <w:r>
        <w:rPr>
          <w:rFonts w:ascii="Arial" w:cs="Arial" w:eastAsia="Arial" w:hAnsi="Arial"/>
          <w:sz w:val="22"/>
          <w:szCs w:val="22"/>
          <w:color w:val="auto"/>
        </w:rPr>
        <w:t>[ ]</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color w:val="auto"/>
        </w:rPr>
        <w:t>Broker or dealer registered under Section 15 of the Act (15 U.S.C. 78o).</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Bank as defined in Section 3(a)(6) of the Act (15 U.S.C. 78c).</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Insurance Company as defined in Section 3(a)(19) of the Act (15 U.S.C. 78c).</w:t>
      </w:r>
    </w:p>
    <w:p>
      <w:pPr>
        <w:spacing w:after="0" w:line="125" w:lineRule="exact"/>
        <w:rPr>
          <w:sz w:val="20"/>
          <w:szCs w:val="20"/>
          <w:color w:val="auto"/>
        </w:rPr>
      </w:pPr>
    </w:p>
    <w:p>
      <w:pPr>
        <w:spacing w:after="0"/>
        <w:rPr>
          <w:sz w:val="20"/>
          <w:szCs w:val="20"/>
          <w:color w:val="auto"/>
        </w:rPr>
      </w:pPr>
      <w:r>
        <w:rPr>
          <w:rFonts w:ascii="Arial" w:cs="Arial" w:eastAsia="Arial" w:hAnsi="Arial"/>
          <w:sz w:val="19"/>
          <w:szCs w:val="19"/>
          <w:color w:val="auto"/>
        </w:rPr>
        <w:t>Investment Company registered under Section 8 of the Investment Company Act of 1940 (15 U.S.C.</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80a-8).</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color w:val="auto"/>
        </w:rPr>
        <w:t>An investment adviser in accordance with Rule 240.13d-1(b)(1)(ii)(E);</w:t>
      </w:r>
    </w:p>
    <w:p>
      <w:pPr>
        <w:spacing w:after="0" w:line="125" w:lineRule="exact"/>
        <w:rPr>
          <w:sz w:val="20"/>
          <w:szCs w:val="20"/>
          <w:color w:val="auto"/>
        </w:rPr>
      </w:pPr>
    </w:p>
    <w:p>
      <w:pPr>
        <w:ind w:right="540"/>
        <w:spacing w:after="0" w:line="415" w:lineRule="auto"/>
        <w:rPr>
          <w:sz w:val="20"/>
          <w:szCs w:val="20"/>
          <w:color w:val="auto"/>
        </w:rPr>
      </w:pPr>
      <w:r>
        <w:rPr>
          <w:rFonts w:ascii="Arial" w:cs="Arial" w:eastAsia="Arial" w:hAnsi="Arial"/>
          <w:sz w:val="19"/>
          <w:szCs w:val="19"/>
          <w:color w:val="auto"/>
        </w:rPr>
        <w:t>An employee benefit plan or endowment fund in accordance with Rule 240.13d-1(b)(1)(ii)(F); A parent holding company or control person in accordance with Rule 240.13d-1(b)(1)(ii)(G);</w:t>
      </w:r>
    </w:p>
    <w:p>
      <w:pPr>
        <w:ind w:right="320"/>
        <w:spacing w:after="0" w:line="250" w:lineRule="auto"/>
        <w:rPr>
          <w:sz w:val="20"/>
          <w:szCs w:val="20"/>
          <w:color w:val="auto"/>
        </w:rPr>
      </w:pPr>
      <w:r>
        <w:rPr>
          <w:rFonts w:ascii="Arial" w:cs="Arial" w:eastAsia="Arial" w:hAnsi="Arial"/>
          <w:sz w:val="22"/>
          <w:szCs w:val="22"/>
          <w:color w:val="auto"/>
        </w:rPr>
        <w:t>A savings association as defined in Section 3(b) of the Federal Deposit Insurance Act (12 U.S.C. 1813);</w:t>
      </w:r>
    </w:p>
    <w:p>
      <w:pPr>
        <w:spacing w:after="0" w:line="94"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A church plan that is excluded from the definition of an investment company under Section 3(c)(14) of the Investment Company Act of 1940 (15 U.S.C. 80a-3);</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color w:val="auto"/>
        </w:rPr>
        <w:t>Group, in accordance with Rule 240.13d-1(b)(1)(ii)(J).</w:t>
      </w:r>
    </w:p>
    <w:p>
      <w:pPr>
        <w:spacing w:after="0" w:line="502" w:lineRule="exact"/>
        <w:rPr>
          <w:sz w:val="20"/>
          <w:szCs w:val="20"/>
          <w:color w:val="auto"/>
        </w:rPr>
      </w:pPr>
    </w:p>
    <w:p>
      <w:pPr>
        <w:sectPr>
          <w:pgSz w:w="11900" w:h="16838" w:orient="portrait"/>
          <w:cols w:equalWidth="0" w:num="2">
            <w:col w:w="1980" w:space="360"/>
            <w:col w:w="8680"/>
          </w:cols>
          <w:pgMar w:left="400" w:top="423" w:right="479" w:bottom="0" w:gutter="0" w:footer="0" w:header="0"/>
          <w:type w:val="continuous"/>
        </w:sectPr>
      </w:pPr>
    </w:p>
    <w:p>
      <w:pPr>
        <w:ind w:right="660"/>
        <w:spacing w:after="0" w:line="250"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4" w:lineRule="exact"/>
        <w:rPr>
          <w:sz w:val="20"/>
          <w:szCs w:val="20"/>
          <w:color w:val="auto"/>
        </w:rPr>
      </w:pPr>
    </w:p>
    <w:p>
      <w:pPr>
        <w:ind w:left="1580" w:hanging="667"/>
        <w:spacing w:after="0"/>
        <w:tabs>
          <w:tab w:leader="none" w:pos="1580" w:val="left"/>
        </w:tabs>
        <w:numPr>
          <w:ilvl w:val="0"/>
          <w:numId w:val="4"/>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580" w:right="280"/>
        <w:spacing w:after="0" w:line="250" w:lineRule="auto"/>
        <w:rPr>
          <w:rFonts w:ascii="Arial" w:cs="Arial" w:eastAsia="Arial" w:hAnsi="Arial"/>
          <w:sz w:val="22"/>
          <w:szCs w:val="22"/>
          <w:color w:val="auto"/>
        </w:rPr>
      </w:pPr>
      <w:r>
        <w:rPr>
          <w:rFonts w:ascii="Arial" w:cs="Arial" w:eastAsia="Arial" w:hAnsi="Arial"/>
          <w:sz w:val="22"/>
          <w:szCs w:val="22"/>
          <w:color w:val="auto"/>
        </w:rPr>
        <w:t>16,228,837 shares of Common Stock consisting of shares beneficially owned by MFS and/or certain other non-reporting entities</w:t>
      </w:r>
    </w:p>
    <w:p>
      <w:pPr>
        <w:sectPr>
          <w:pgSz w:w="11900" w:h="16838" w:orient="portrait"/>
          <w:cols w:equalWidth="0" w:num="1">
            <w:col w:w="11020"/>
          </w:cols>
          <w:pgMar w:left="400" w:top="423" w:right="479" w:bottom="0" w:gutter="0" w:footer="0" w:header="0"/>
          <w:type w:val="continuous"/>
        </w:sectPr>
      </w:pPr>
    </w:p>
    <w:p>
      <w:pPr>
        <w:spacing w:after="0" w:line="94" w:lineRule="exact"/>
        <w:rPr>
          <w:sz w:val="20"/>
          <w:szCs w:val="20"/>
          <w:color w:val="auto"/>
        </w:rPr>
      </w:pPr>
    </w:p>
    <w:p>
      <w:pPr>
        <w:ind w:left="1580" w:hanging="667"/>
        <w:spacing w:after="0"/>
        <w:tabs>
          <w:tab w:leader="none" w:pos="158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580"/>
        <w:spacing w:after="0"/>
        <w:rPr>
          <w:rFonts w:ascii="Arial" w:cs="Arial" w:eastAsia="Arial" w:hAnsi="Arial"/>
          <w:sz w:val="22"/>
          <w:szCs w:val="22"/>
          <w:color w:val="auto"/>
        </w:rPr>
      </w:pPr>
      <w:r>
        <w:rPr>
          <w:rFonts w:ascii="Arial" w:cs="Arial" w:eastAsia="Arial" w:hAnsi="Arial"/>
          <w:sz w:val="22"/>
          <w:szCs w:val="22"/>
          <w:color w:val="auto"/>
        </w:rPr>
        <w:t>8.6%</w:t>
      </w:r>
    </w:p>
    <w:p>
      <w:pPr>
        <w:spacing w:after="0" w:line="125" w:lineRule="exact"/>
        <w:rPr>
          <w:rFonts w:ascii="Arial" w:cs="Arial" w:eastAsia="Arial" w:hAnsi="Arial"/>
          <w:sz w:val="22"/>
          <w:szCs w:val="22"/>
          <w:color w:val="auto"/>
        </w:rPr>
      </w:pPr>
    </w:p>
    <w:p>
      <w:pPr>
        <w:ind w:left="1580" w:hanging="667"/>
        <w:spacing w:after="0"/>
        <w:tabs>
          <w:tab w:leader="none" w:pos="1580" w:val="left"/>
        </w:tabs>
        <w:numPr>
          <w:ilvl w:val="0"/>
          <w:numId w:val="5"/>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rFonts w:ascii="Arial" w:cs="Arial" w:eastAsia="Arial" w:hAnsi="Arial"/>
          <w:sz w:val="22"/>
          <w:szCs w:val="22"/>
          <w:color w:val="auto"/>
        </w:rPr>
      </w:pPr>
    </w:p>
    <w:p>
      <w:pPr>
        <w:ind w:left="2340" w:hanging="765"/>
        <w:spacing w:after="0"/>
        <w:tabs>
          <w:tab w:leader="none" w:pos="2340" w:val="left"/>
        </w:tabs>
        <w:numPr>
          <w:ilvl w:val="1"/>
          <w:numId w:val="5"/>
        </w:numPr>
        <w:rPr>
          <w:rFonts w:ascii="Arial" w:cs="Arial" w:eastAsia="Arial" w:hAnsi="Arial"/>
          <w:sz w:val="22"/>
          <w:szCs w:val="22"/>
          <w:color w:val="auto"/>
        </w:rPr>
      </w:pPr>
      <w:r>
        <w:rPr>
          <w:rFonts w:ascii="Arial" w:cs="Arial" w:eastAsia="Arial" w:hAnsi="Arial"/>
          <w:sz w:val="22"/>
          <w:szCs w:val="22"/>
          <w:color w:val="auto"/>
        </w:rPr>
        <w:t>sole power to vote or to direct the vote</w:t>
      </w:r>
    </w:p>
    <w:p>
      <w:pPr>
        <w:spacing w:after="0" w:line="125" w:lineRule="exact"/>
        <w:rPr>
          <w:rFonts w:ascii="Arial" w:cs="Arial" w:eastAsia="Arial" w:hAnsi="Arial"/>
          <w:sz w:val="22"/>
          <w:szCs w:val="22"/>
          <w:color w:val="auto"/>
        </w:rPr>
      </w:pPr>
    </w:p>
    <w:p>
      <w:pPr>
        <w:ind w:left="2340" w:hanging="765"/>
        <w:spacing w:after="0"/>
        <w:tabs>
          <w:tab w:leader="none" w:pos="2340" w:val="left"/>
        </w:tabs>
        <w:numPr>
          <w:ilvl w:val="1"/>
          <w:numId w:val="5"/>
        </w:numPr>
        <w:rPr>
          <w:rFonts w:ascii="Arial" w:cs="Arial" w:eastAsia="Arial" w:hAnsi="Arial"/>
          <w:sz w:val="22"/>
          <w:szCs w:val="22"/>
          <w:color w:val="auto"/>
        </w:rPr>
      </w:pPr>
      <w:r>
        <w:rPr>
          <w:rFonts w:ascii="Arial" w:cs="Arial" w:eastAsia="Arial" w:hAnsi="Arial"/>
          <w:sz w:val="22"/>
          <w:szCs w:val="22"/>
          <w:color w:val="auto"/>
        </w:rPr>
        <w:t>shared power to vote or to direct the vote</w:t>
      </w:r>
    </w:p>
    <w:p>
      <w:pPr>
        <w:spacing w:after="0" w:line="125" w:lineRule="exact"/>
        <w:rPr>
          <w:rFonts w:ascii="Arial" w:cs="Arial" w:eastAsia="Arial" w:hAnsi="Arial"/>
          <w:sz w:val="22"/>
          <w:szCs w:val="22"/>
          <w:color w:val="auto"/>
        </w:rPr>
      </w:pPr>
    </w:p>
    <w:p>
      <w:pPr>
        <w:ind w:left="2340" w:hanging="765"/>
        <w:spacing w:after="0" w:line="183" w:lineRule="auto"/>
        <w:tabs>
          <w:tab w:leader="none" w:pos="2340" w:val="left"/>
        </w:tabs>
        <w:numPr>
          <w:ilvl w:val="1"/>
          <w:numId w:val="5"/>
        </w:numPr>
        <w:rPr>
          <w:rFonts w:ascii="Arial" w:cs="Arial" w:eastAsia="Arial" w:hAnsi="Arial"/>
          <w:sz w:val="39"/>
          <w:szCs w:val="39"/>
          <w:color w:val="auto"/>
          <w:vertAlign w:val="subscript"/>
        </w:rPr>
      </w:pPr>
      <w:r>
        <w:rPr>
          <w:rFonts w:ascii="Arial" w:cs="Arial" w:eastAsia="Arial" w:hAnsi="Arial"/>
          <w:sz w:val="20"/>
          <w:szCs w:val="20"/>
          <w:color w:val="auto"/>
        </w:rPr>
        <w:t>sole power to dispose or to direct the disposition of</w:t>
      </w:r>
    </w:p>
    <w:p>
      <w:pPr>
        <w:spacing w:after="0" w:line="103" w:lineRule="exact"/>
        <w:rPr>
          <w:rFonts w:ascii="Arial" w:cs="Arial" w:eastAsia="Arial" w:hAnsi="Arial"/>
          <w:sz w:val="39"/>
          <w:szCs w:val="39"/>
          <w:color w:val="auto"/>
          <w:vertAlign w:val="subscript"/>
        </w:rPr>
      </w:pPr>
    </w:p>
    <w:p>
      <w:pPr>
        <w:ind w:left="2340" w:right="780" w:hanging="765"/>
        <w:spacing w:after="0" w:line="183" w:lineRule="auto"/>
        <w:tabs>
          <w:tab w:leader="none" w:pos="2340" w:val="left"/>
        </w:tabs>
        <w:numPr>
          <w:ilvl w:val="1"/>
          <w:numId w:val="5"/>
        </w:numPr>
        <w:rPr>
          <w:rFonts w:ascii="Arial" w:cs="Arial" w:eastAsia="Arial" w:hAnsi="Arial"/>
          <w:sz w:val="39"/>
          <w:szCs w:val="39"/>
          <w:color w:val="auto"/>
          <w:vertAlign w:val="subscript"/>
        </w:rPr>
      </w:pPr>
      <w:r>
        <w:rPr>
          <w:rFonts w:ascii="Arial" w:cs="Arial" w:eastAsia="Arial" w:hAnsi="Arial"/>
          <w:sz w:val="20"/>
          <w:szCs w:val="20"/>
          <w:color w:val="auto"/>
        </w:rPr>
        <w:t>shared power to dispose or to direct the disposition of</w:t>
      </w:r>
    </w:p>
    <w:p>
      <w:pPr>
        <w:spacing w:after="0" w:line="98"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color w:val="auto"/>
        </w:rPr>
        <w:t>16,186,393</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color w:val="auto"/>
        </w:rPr>
        <w:t>16,228,837</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624" w:lineRule="exact"/>
        <w:rPr>
          <w:sz w:val="20"/>
          <w:szCs w:val="20"/>
          <w:color w:val="auto"/>
        </w:rPr>
      </w:pPr>
    </w:p>
    <w:p>
      <w:pPr>
        <w:sectPr>
          <w:pgSz w:w="11900" w:h="16838" w:orient="portrait"/>
          <w:cols w:equalWidth="0" w:num="2">
            <w:col w:w="6520" w:space="260"/>
            <w:col w:w="4240"/>
          </w:cols>
          <w:pgMar w:left="400" w:top="423" w:right="479" w:bottom="0" w:gutter="0" w:footer="0" w:header="0"/>
          <w:type w:val="continuous"/>
        </w:sectPr>
      </w:pPr>
    </w:p>
    <w:p>
      <w:pPr>
        <w:ind w:left="920" w:right="300"/>
        <w:spacing w:after="0" w:line="274"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 ]</w:t>
      </w:r>
    </w:p>
    <w:p>
      <w:pPr>
        <w:sectPr>
          <w:pgSz w:w="11900" w:h="16838" w:orient="portrait"/>
          <w:cols w:equalWidth="0" w:num="1">
            <w:col w:w="11020"/>
          </w:cols>
          <w:pgMar w:left="400" w:top="423" w:right="479" w:bottom="0" w:gutter="0" w:footer="0" w:header="0"/>
          <w:type w:val="continuous"/>
        </w:sectPr>
      </w:pPr>
    </w:p>
    <w:bookmarkStart w:id="3" w:name="page4"/>
    <w:bookmarkEnd w:id="3"/>
    <w:p>
      <w:pPr>
        <w:spacing w:after="0"/>
        <w:tabs>
          <w:tab w:leader="none" w:pos="90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ind w:left="920" w:right="360" w:hanging="903"/>
        <w:spacing w:after="0" w:line="256" w:lineRule="auto"/>
        <w:tabs>
          <w:tab w:leader="none" w:pos="900" w:val="left"/>
        </w:tabs>
        <w:rPr>
          <w:sz w:val="20"/>
          <w:szCs w:val="20"/>
          <w:color w:val="auto"/>
        </w:rPr>
      </w:pPr>
      <w:r>
        <w:rPr>
          <w:rFonts w:ascii="Arial" w:cs="Arial" w:eastAsia="Arial" w:hAnsi="Arial"/>
          <w:sz w:val="22"/>
          <w:szCs w:val="22"/>
          <w:b w:val="1"/>
          <w:bCs w:val="1"/>
          <w:color w:val="auto"/>
        </w:rPr>
        <w:t>Item 7.</w:t>
        <w:tab/>
        <w:t>Identification and Classification of the Subsidiary Which Acquired the Security Being Reported on by the Parent Holding Company.</w:t>
      </w:r>
    </w:p>
    <w:p>
      <w:pPr>
        <w:spacing w:after="0" w:line="87"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Certification.</w:t>
      </w:r>
    </w:p>
    <w:p>
      <w:pPr>
        <w:spacing w:after="0" w:line="239" w:lineRule="exact"/>
        <w:rPr>
          <w:sz w:val="20"/>
          <w:szCs w:val="20"/>
          <w:color w:val="auto"/>
        </w:rPr>
      </w:pPr>
    </w:p>
    <w:p>
      <w:pPr>
        <w:ind w:left="92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00"/>
          </w:cols>
          <w:pgMar w:left="400" w:top="112" w:right="49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4" w:lineRule="exact"/>
        <w:rPr>
          <w:sz w:val="20"/>
          <w:szCs w:val="20"/>
          <w:color w:val="auto"/>
        </w:rPr>
      </w:pPr>
    </w:p>
    <w:p>
      <w:pPr>
        <w:ind w:left="60" w:right="199"/>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6" w:lineRule="exact"/>
        <w:rPr>
          <w:sz w:val="20"/>
          <w:szCs w:val="20"/>
          <w:color w:val="auto"/>
        </w:rPr>
      </w:pPr>
    </w:p>
    <w:p>
      <w:pPr>
        <w:ind w:left="600"/>
        <w:spacing w:after="0"/>
        <w:rPr>
          <w:sz w:val="20"/>
          <w:szCs w:val="20"/>
          <w:color w:val="auto"/>
        </w:rPr>
      </w:pPr>
      <w:r>
        <w:rPr>
          <w:rFonts w:ascii="Arial" w:cs="Arial" w:eastAsia="Arial" w:hAnsi="Arial"/>
          <w:sz w:val="22"/>
          <w:szCs w:val="22"/>
          <w:color w:val="auto"/>
        </w:rPr>
        <w:t>Massachusetts Financial Services Company</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Robert R. Flaherty</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Date: February 11, 2021</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Name: Robert R. Flaherty</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Title: Vice President</w:t>
      </w:r>
    </w:p>
    <w:sectPr>
      <w:pgSz w:w="11900" w:h="16838" w:orient="portrait"/>
      <w:cols w:equalWidth="0" w:num="1">
        <w:col w:w="9019"/>
      </w:cols>
      <w:pgMar w:left="1440" w:top="40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2021-02-11T14:18:20Z</dcterms:created>
  <dcterms:modified xsi:type="dcterms:W3CDTF">2021-02-11T14:18:20Z</dcterms:modified>
</cp:coreProperties>
</file>