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27785d8k.htm"/>
      <w:bookmarkStart w:id="1" w:name="ksd62778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12,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0"/>
              <w:jc w:val="center"/>
              <w:rPr>
                <w:rFonts w:ascii="Times New Roman" w:hAnsi="Times New Roman"/>
                <w:b/>
                <w:sz w:val="17"/>
              </w:rPr>
            </w:pPr>
            <w:r>
              <w:rPr>
                <w:rFonts w:ascii="Times New Roman" w:hAnsi="Times New Roman"/>
                <w:b/>
                <w:sz w:val="17"/>
              </w:rPr>
              <w:t>90-1005472</w:t>
            </w:r>
          </w:p>
        </w:tc>
      </w:tr>
      <w:tr>
        <w:trPr/>
        <w:tc>
          <w:tcPr>
            <w:tcW w:w="3469"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b/>
              </w:rPr>
            </w:pPr>
            <w:r>
              <w:rPr>
                <w:b/>
              </w:rPr>
              <w:t>Item 7.01.</w:t>
            </w:r>
          </w:p>
        </w:tc>
        <w:tc>
          <w:tcPr>
            <w:tcW w:w="8982"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Stephens 2013 Fall Investment Conference to be held in New York, New York on Wednesday, November 13, 2013. Such presentation will give an overview of PAA and PAGP, including strategic positioning, organic growth activities, financial growth strategy and related matters. The presentation will be webcast live beginning at approximately 11:00 a.m. EST and will be available for a period of approximately 90 days following the event at the following weblink: http://wsw.com/webcast/stph21/PAA.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79"/>
        <w:gridCol w:w="116"/>
        <w:gridCol w:w="380"/>
        <w:gridCol w:w="116"/>
        <w:gridCol w:w="307"/>
        <w:gridCol w:w="116"/>
        <w:gridCol w:w="4691"/>
      </w:tblGrid>
      <w:tr>
        <w:trPr/>
        <w:tc>
          <w:tcPr>
            <w:tcW w:w="44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4691" w:type="dxa"/>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5114" w:type="dxa"/>
            <w:gridSpan w:val="3"/>
            <w:tcBorders/>
            <w:shd w:fill="auto" w:val="clear"/>
          </w:tcPr>
          <w:p>
            <w:pPr>
              <w:pStyle w:val="TableContents"/>
              <w:spacing w:before="0" w:after="283"/>
              <w:rPr/>
            </w:pPr>
            <w:r>
              <w:rPr/>
              <w:t>PLAINS GP HOLDINGS, L.P.</w:t>
            </w:r>
          </w:p>
        </w:tc>
      </w:tr>
      <w:tr>
        <w:trPr>
          <w:trHeight w:val="240" w:hRule="atLeast"/>
        </w:trPr>
        <w:tc>
          <w:tcPr>
            <w:tcW w:w="4479" w:type="dxa"/>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42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pPr>
            <w:r>
              <w:rPr/>
              <w:t>Date: November 12, 2013</w:t>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pPr>
            <w:r>
              <w:rPr/>
              <w:t>By:</w:t>
            </w:r>
          </w:p>
        </w:tc>
        <w:tc>
          <w:tcPr>
            <w:tcW w:w="116" w:type="dxa"/>
            <w:tcBorders/>
            <w:shd w:fill="auto" w:val="clear"/>
            <w:vAlign w:val="bottom"/>
          </w:tcPr>
          <w:p>
            <w:pPr>
              <w:pStyle w:val="TableContents"/>
              <w:spacing w:before="0" w:after="283"/>
              <w:rPr/>
            </w:pPr>
            <w:r>
              <w:rPr/>
              <w:t> </w:t>
            </w:r>
          </w:p>
        </w:tc>
        <w:tc>
          <w:tcPr>
            <w:tcW w:w="4691" w:type="dxa"/>
            <w:tcBorders/>
            <w:shd w:fill="auto" w:val="clear"/>
          </w:tcPr>
          <w:p>
            <w:pPr>
              <w:pStyle w:val="TableContents"/>
              <w:spacing w:before="0" w:after="283"/>
              <w:rPr/>
            </w:pPr>
            <w:r>
              <w:rPr/>
              <w:t>PAA GP HOLDINGS LLC, its general partner</w:t>
            </w:r>
          </w:p>
        </w:tc>
      </w:tr>
      <w:tr>
        <w:trPr>
          <w:trHeight w:val="240" w:hRule="atLeast"/>
        </w:trPr>
        <w:tc>
          <w:tcPr>
            <w:tcW w:w="4479" w:type="dxa"/>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42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pPr>
            <w:r>
              <w:rPr/>
              <w:t>By:</w:t>
            </w:r>
          </w:p>
        </w:tc>
        <w:tc>
          <w:tcPr>
            <w:tcW w:w="116" w:type="dxa"/>
            <w:tcBorders>
              <w:bottom w:val="single" w:sz="2" w:space="0" w:color="000000"/>
            </w:tcBorders>
            <w:shd w:fill="auto" w:val="clear"/>
            <w:tcMar>
              <w:bottom w:w="28" w:type="dxa"/>
            </w:tcMar>
            <w:vAlign w:val="bottom"/>
          </w:tcPr>
          <w:p>
            <w:pPr>
              <w:pStyle w:val="TableContents"/>
              <w:spacing w:before="0" w:after="283"/>
              <w:rPr/>
            </w:pPr>
            <w:r>
              <w:rPr/>
              <w:t> </w:t>
            </w:r>
          </w:p>
        </w:tc>
        <w:tc>
          <w:tcPr>
            <w:tcW w:w="4691"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691"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425</Words>
  <CharactersWithSpaces>2729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8-K</dc:title>
</cp:coreProperties>
</file>