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447729dfwp.htm"/>
      <w:bookmarkStart w:id="1" w:name="ksd447729dfwp"/>
      <w:bookmarkEnd w:id="0"/>
      <w:bookmarkEnd w:id="1"/>
      <w:r>
        <w:rPr>
          <w:rFonts w:ascii="Times New Roman" w:hAnsi="Times New Roman"/>
          <w:sz w:val="20"/>
        </w:rPr>
        <w:t xml:space="preserve">Filed Pursuant to Rule 433 </w:t>
      </w:r>
    </w:p>
    <w:p>
      <w:pPr>
        <w:pStyle w:val="TextBody"/>
        <w:spacing w:before="0" w:after="0"/>
        <w:jc w:val="right"/>
        <w:rPr>
          <w:rFonts w:ascii="Times New Roman" w:hAnsi="Times New Roman"/>
          <w:sz w:val="20"/>
        </w:rPr>
      </w:pPr>
      <w:r>
        <w:rPr>
          <w:rFonts w:ascii="Times New Roman" w:hAnsi="Times New Roman"/>
          <w:sz w:val="20"/>
        </w:rPr>
        <w:t xml:space="preserve">Registration No. 333-184137 </w:t>
      </w:r>
    </w:p>
    <w:p>
      <w:pPr>
        <w:pStyle w:val="TextBody"/>
        <w:spacing w:before="0" w:after="0"/>
        <w:jc w:val="right"/>
        <w:rPr>
          <w:rFonts w:ascii="Times New Roman" w:hAnsi="Times New Roman"/>
          <w:sz w:val="20"/>
        </w:rPr>
      </w:pPr>
      <w:r>
        <w:rPr>
          <w:rFonts w:ascii="Times New Roman" w:hAnsi="Times New Roman"/>
          <w:sz w:val="20"/>
        </w:rPr>
        <w:t xml:space="preserve">December 3, 2012 </w:t>
      </w:r>
    </w:p>
    <w:p>
      <w:pPr>
        <w:pStyle w:val="TextBody"/>
        <w:spacing w:before="180" w:after="0"/>
        <w:jc w:val="center"/>
        <w:rPr>
          <w:rFonts w:ascii="Times New Roman" w:hAnsi="Times New Roman"/>
          <w:b/>
          <w:sz w:val="20"/>
        </w:rPr>
      </w:pPr>
      <w:r>
        <w:rPr>
          <w:rFonts w:ascii="Times New Roman" w:hAnsi="Times New Roman"/>
          <w:b/>
          <w:sz w:val="20"/>
        </w:rPr>
        <w:t xml:space="preserve">Final Term Sheet </w:t>
      </w:r>
    </w:p>
    <w:p>
      <w:pPr>
        <w:pStyle w:val="TextBody"/>
        <w:spacing w:before="0" w:after="0"/>
        <w:jc w:val="center"/>
        <w:rPr>
          <w:rFonts w:ascii="Times New Roman" w:hAnsi="Times New Roman"/>
          <w:b/>
          <w:sz w:val="20"/>
        </w:rPr>
      </w:pPr>
      <w:r>
        <w:rPr>
          <w:rFonts w:ascii="Times New Roman" w:hAnsi="Times New Roman"/>
          <w:b/>
          <w:sz w:val="20"/>
        </w:rPr>
        <w:t xml:space="preserve">$400,000,000 2.85% Senior Notes due 2023 </w:t>
      </w:r>
    </w:p>
    <w:p>
      <w:pPr>
        <w:pStyle w:val="TextBody"/>
        <w:spacing w:before="0" w:after="0"/>
        <w:jc w:val="center"/>
        <w:rPr>
          <w:rFonts w:ascii="Times New Roman" w:hAnsi="Times New Roman"/>
          <w:b/>
          <w:sz w:val="20"/>
        </w:rPr>
      </w:pPr>
      <w:r>
        <w:rPr>
          <w:rFonts w:ascii="Times New Roman" w:hAnsi="Times New Roman"/>
          <w:b/>
          <w:sz w:val="20"/>
        </w:rPr>
        <w:t xml:space="preserve">$350,000,000 4.30% Senior Notes due 2043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top w:val="single" w:sz="2" w:space="0" w:color="000000"/>
              <w:bottom w:val="single" w:sz="2" w:space="0" w:color="000000"/>
            </w:tcBorders>
            <w:shd w:fill="auto" w:val="clear"/>
            <w:tcMar>
              <w:top w:w="28" w:type="dxa"/>
              <w:bottom w:w="28" w:type="dxa"/>
            </w:tcMar>
          </w:tcPr>
          <w:p>
            <w:pPr>
              <w:pStyle w:val="TableContents"/>
              <w:spacing w:before="0" w:after="283"/>
              <w:rPr>
                <w:rFonts w:ascii="Times New Roman" w:hAnsi="Times New Roman"/>
                <w:sz w:val="20"/>
              </w:rPr>
            </w:pPr>
            <w:r>
              <w:rPr>
                <w:rFonts w:ascii="Times New Roman" w:hAnsi="Times New Roman"/>
                <w:sz w:val="20"/>
              </w:rPr>
              <w:t>Issuers:</w:t>
            </w:r>
          </w:p>
        </w:tc>
        <w:tc>
          <w:tcPr>
            <w:tcW w:w="20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79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rFonts w:ascii="Times New Roman" w:hAnsi="Times New Roman"/>
                <w:sz w:val="20"/>
              </w:rPr>
            </w:pPr>
            <w:r>
              <w:rPr>
                <w:rFonts w:ascii="Times New Roman" w:hAnsi="Times New Roman"/>
                <w:sz w:val="20"/>
              </w:rPr>
              <w:t>Plains All American Pipeline, L.P. and PAA Finance Corp.</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Security Type:</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Senior Unsecured Notes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Legal Format:</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SEC Registered</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Ratings (Moodys / S&amp;P)*:</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Baa2/BBB</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Pricing Date:</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December 3, 2012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Settlement Date (T+5):</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December 10, 2012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Maturity Date:</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January 31, 2023</w:t>
            </w:r>
          </w:p>
          <w:p>
            <w:pPr>
              <w:pStyle w:val="TableContents"/>
              <w:spacing w:before="0" w:after="15"/>
              <w:rPr>
                <w:rFonts w:ascii="Times New Roman" w:hAnsi="Times New Roman"/>
                <w:sz w:val="20"/>
              </w:rPr>
            </w:pPr>
            <w:r>
              <w:rPr>
                <w:rFonts w:ascii="Times New Roman" w:hAnsi="Times New Roman"/>
                <w:sz w:val="20"/>
              </w:rPr>
              <w:t>2043 Notes: January 31, 2043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Principal Amount:</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$400,000,000</w:t>
            </w:r>
          </w:p>
          <w:p>
            <w:pPr>
              <w:pStyle w:val="TableContents"/>
              <w:spacing w:before="0" w:after="15"/>
              <w:rPr>
                <w:rFonts w:ascii="Times New Roman" w:hAnsi="Times New Roman"/>
                <w:sz w:val="20"/>
              </w:rPr>
            </w:pPr>
            <w:r>
              <w:rPr>
                <w:rFonts w:ascii="Times New Roman" w:hAnsi="Times New Roman"/>
                <w:sz w:val="20"/>
              </w:rPr>
              <w:t>2043 Notes: $350,000,000</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Benchmark:</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UST 1.625% due November 15, 2022</w:t>
            </w:r>
          </w:p>
          <w:p>
            <w:pPr>
              <w:pStyle w:val="TableContents"/>
              <w:spacing w:before="0" w:after="15"/>
              <w:rPr>
                <w:rFonts w:ascii="Times New Roman" w:hAnsi="Times New Roman"/>
                <w:sz w:val="20"/>
              </w:rPr>
            </w:pPr>
            <w:r>
              <w:rPr>
                <w:rFonts w:ascii="Times New Roman" w:hAnsi="Times New Roman"/>
                <w:sz w:val="20"/>
              </w:rPr>
              <w:t>2043 Notes: UST 2.750% due August 15, 2042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Benchmark Yield:</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1.628%</w:t>
            </w:r>
          </w:p>
          <w:p>
            <w:pPr>
              <w:pStyle w:val="TableContents"/>
              <w:spacing w:before="0" w:after="15"/>
              <w:rPr>
                <w:rFonts w:ascii="Times New Roman" w:hAnsi="Times New Roman"/>
                <w:sz w:val="20"/>
              </w:rPr>
            </w:pPr>
            <w:r>
              <w:rPr>
                <w:rFonts w:ascii="Times New Roman" w:hAnsi="Times New Roman"/>
                <w:sz w:val="20"/>
              </w:rPr>
              <w:t>2043 Notes: 2.804%</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Spread to Benchmark:</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+125 bps</w:t>
            </w:r>
          </w:p>
          <w:p>
            <w:pPr>
              <w:pStyle w:val="TableContents"/>
              <w:spacing w:before="0" w:after="15"/>
              <w:rPr>
                <w:rFonts w:ascii="Times New Roman" w:hAnsi="Times New Roman"/>
                <w:sz w:val="20"/>
              </w:rPr>
            </w:pPr>
            <w:r>
              <w:rPr>
                <w:rFonts w:ascii="Times New Roman" w:hAnsi="Times New Roman"/>
                <w:sz w:val="20"/>
              </w:rPr>
              <w:t>2043 Notes: +150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Yield to Maturity:</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2.878%</w:t>
            </w:r>
          </w:p>
          <w:p>
            <w:pPr>
              <w:pStyle w:val="TableContents"/>
              <w:spacing w:before="0" w:after="15"/>
              <w:rPr>
                <w:rFonts w:ascii="Times New Roman" w:hAnsi="Times New Roman"/>
                <w:sz w:val="20"/>
              </w:rPr>
            </w:pPr>
            <w:r>
              <w:rPr>
                <w:rFonts w:ascii="Times New Roman" w:hAnsi="Times New Roman"/>
                <w:sz w:val="20"/>
              </w:rPr>
              <w:t>2043 Notes: 4.304%</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Coupon:</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2.85%</w:t>
            </w:r>
          </w:p>
          <w:p>
            <w:pPr>
              <w:pStyle w:val="TableContents"/>
              <w:spacing w:before="0" w:after="15"/>
              <w:rPr>
                <w:rFonts w:ascii="Times New Roman" w:hAnsi="Times New Roman"/>
                <w:sz w:val="20"/>
              </w:rPr>
            </w:pPr>
            <w:r>
              <w:rPr>
                <w:rFonts w:ascii="Times New Roman" w:hAnsi="Times New Roman"/>
                <w:sz w:val="20"/>
              </w:rPr>
              <w:t>2043 Notes: 4.30%</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Public Offering Price:</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99.752%</w:t>
            </w:r>
          </w:p>
          <w:p>
            <w:pPr>
              <w:pStyle w:val="TableContents"/>
              <w:spacing w:before="0" w:after="15"/>
              <w:rPr>
                <w:rFonts w:ascii="Times New Roman" w:hAnsi="Times New Roman"/>
                <w:sz w:val="20"/>
              </w:rPr>
            </w:pPr>
            <w:r>
              <w:rPr>
                <w:rFonts w:ascii="Times New Roman" w:hAnsi="Times New Roman"/>
                <w:sz w:val="20"/>
              </w:rPr>
              <w:t>2043 Notes: 99.925%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Net Proceeds (after estimated expenses) to the Partnership:</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$742.0 million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Make-Whole Call:</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T+20 bps</w:t>
            </w:r>
          </w:p>
          <w:p>
            <w:pPr>
              <w:pStyle w:val="TableContents"/>
              <w:spacing w:before="0" w:after="15"/>
              <w:rPr>
                <w:rFonts w:ascii="Times New Roman" w:hAnsi="Times New Roman"/>
                <w:sz w:val="20"/>
              </w:rPr>
            </w:pPr>
            <w:r>
              <w:rPr>
                <w:rFonts w:ascii="Times New Roman" w:hAnsi="Times New Roman"/>
                <w:sz w:val="20"/>
              </w:rPr>
              <w:t>2043 Notes: T+25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Call at Par:</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On or after October 31, 2022</w:t>
            </w:r>
          </w:p>
          <w:p>
            <w:pPr>
              <w:pStyle w:val="TableContents"/>
              <w:spacing w:before="0" w:after="15"/>
              <w:rPr>
                <w:rFonts w:ascii="Times New Roman" w:hAnsi="Times New Roman"/>
                <w:sz w:val="20"/>
              </w:rPr>
            </w:pPr>
            <w:r>
              <w:rPr>
                <w:rFonts w:ascii="Times New Roman" w:hAnsi="Times New Roman"/>
                <w:sz w:val="20"/>
              </w:rPr>
              <w:t>2043 Notes: On or after July 31, 2042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Interest Payment Dates:</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January 31 and July 31, beginning July 31, 2013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CUSIP / ISIN:</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2023 Notes: 72650R BB7 / US72650RBB78</w:t>
            </w:r>
          </w:p>
          <w:p>
            <w:pPr>
              <w:pStyle w:val="TableContents"/>
              <w:spacing w:before="0" w:after="15"/>
              <w:rPr>
                <w:rFonts w:ascii="Times New Roman" w:hAnsi="Times New Roman"/>
                <w:sz w:val="20"/>
              </w:rPr>
            </w:pPr>
            <w:r>
              <w:rPr>
                <w:rFonts w:ascii="Times New Roman" w:hAnsi="Times New Roman"/>
                <w:sz w:val="20"/>
              </w:rPr>
              <w:t>2043 Notes: 72650R BC5/ US72650RBC51</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Joint Book-Running Managers:</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Barclays Capital Inc.</w:t>
            </w:r>
          </w:p>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SunTrust Robinson Humphrey, Inc.</w:t>
            </w:r>
          </w:p>
          <w:p>
            <w:pPr>
              <w:pStyle w:val="TableContents"/>
              <w:spacing w:before="0" w:after="15"/>
              <w:rPr>
                <w:rFonts w:ascii="Times New Roman" w:hAnsi="Times New Roman"/>
                <w:sz w:val="20"/>
              </w:rPr>
            </w:pPr>
            <w:r>
              <w:rPr>
                <w:rFonts w:ascii="Times New Roman" w:hAnsi="Times New Roman"/>
                <w:sz w:val="20"/>
              </w:rPr>
              <w:t>UBS Securities LLC</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top w:val="single" w:sz="2" w:space="0" w:color="000000"/>
              <w:bottom w:val="single" w:sz="2" w:space="0" w:color="000000"/>
            </w:tcBorders>
            <w:shd w:fill="auto" w:val="clear"/>
            <w:tcMar>
              <w:top w:w="28" w:type="dxa"/>
              <w:bottom w:w="28" w:type="dxa"/>
            </w:tcMar>
          </w:tcPr>
          <w:p>
            <w:pPr>
              <w:pStyle w:val="TableContents"/>
              <w:spacing w:before="0" w:after="283"/>
              <w:rPr>
                <w:rFonts w:ascii="Times New Roman" w:hAnsi="Times New Roman"/>
                <w:sz w:val="20"/>
              </w:rPr>
            </w:pPr>
            <w:r>
              <w:rPr>
                <w:rFonts w:ascii="Times New Roman" w:hAnsi="Times New Roman"/>
                <w:sz w:val="20"/>
              </w:rPr>
              <w:t>Co-Managers:</w:t>
            </w:r>
          </w:p>
        </w:tc>
        <w:tc>
          <w:tcPr>
            <w:tcW w:w="20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79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Scotia Capital (USA) Inc.</w:t>
            </w:r>
          </w:p>
          <w:p>
            <w:pPr>
              <w:pStyle w:val="TableContents"/>
              <w:spacing w:before="0" w:after="0"/>
              <w:rPr>
                <w:rFonts w:ascii="Times New Roman" w:hAnsi="Times New Roman"/>
                <w:sz w:val="20"/>
              </w:rPr>
            </w:pPr>
            <w:r>
              <w:rPr>
                <w:rFonts w:ascii="Times New Roman" w:hAnsi="Times New Roman"/>
                <w:sz w:val="20"/>
              </w:rPr>
              <w:t>SMBC Nikko Capital Markets Limited</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BB&amp;T Capital Markets, a division of Scott &amp; Stringfellow, LLC</w:t>
            </w:r>
          </w:p>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CIBC World Markets Corp.</w:t>
            </w:r>
          </w:p>
          <w:p>
            <w:pPr>
              <w:pStyle w:val="TableContents"/>
              <w:spacing w:before="0" w:after="0"/>
              <w:rPr>
                <w:rFonts w:ascii="Times New Roman" w:hAnsi="Times New Roman"/>
                <w:sz w:val="20"/>
              </w:rPr>
            </w:pPr>
            <w:r>
              <w:rPr>
                <w:rFonts w:ascii="Times New Roman" w:hAnsi="Times New Roman"/>
                <w:sz w:val="20"/>
              </w:rPr>
              <w:t>Fifth Third Securities, Inc.</w:t>
            </w:r>
          </w:p>
          <w:p>
            <w:pPr>
              <w:pStyle w:val="TableContents"/>
              <w:spacing w:before="0" w:after="0"/>
              <w:rPr>
                <w:rFonts w:ascii="Times New Roman" w:hAnsi="Times New Roman"/>
                <w:sz w:val="20"/>
              </w:rPr>
            </w:pPr>
            <w:r>
              <w:rPr>
                <w:rFonts w:ascii="Times New Roman" w:hAnsi="Times New Roman"/>
                <w:sz w:val="20"/>
              </w:rPr>
              <w:t>ING Financial Markets LLC</w:t>
            </w:r>
          </w:p>
          <w:p>
            <w:pPr>
              <w:pStyle w:val="TableContents"/>
              <w:spacing w:before="0" w:after="0"/>
              <w:rPr>
                <w:rFonts w:ascii="Times New Roman" w:hAnsi="Times New Roman"/>
                <w:sz w:val="20"/>
              </w:rPr>
            </w:pPr>
            <w:r>
              <w:rPr>
                <w:rFonts w:ascii="Times New Roman" w:hAnsi="Times New Roman"/>
                <w:sz w:val="20"/>
              </w:rPr>
              <w:t>PNC Capital Markets LLC</w:t>
            </w:r>
          </w:p>
          <w:p>
            <w:pPr>
              <w:pStyle w:val="TableContents"/>
              <w:spacing w:before="0" w:after="15"/>
              <w:rPr>
                <w:rFonts w:ascii="Times New Roman" w:hAnsi="Times New Roman"/>
                <w:sz w:val="20"/>
              </w:rPr>
            </w:pPr>
            <w:r>
              <w:rPr>
                <w:rFonts w:ascii="Times New Roman" w:hAnsi="Times New Roman"/>
                <w:sz w:val="20"/>
              </w:rPr>
              <w:t>U.S. Bancorp Investments, Inc.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Note: A securities rating is not a recommendation to buy, sell or hold securities and may be revised or withdrawn at any time. </w:t>
            </w:r>
          </w:p>
        </w:tc>
      </w:tr>
    </w:tbl>
    <w:p>
      <w:pPr>
        <w:pStyle w:val="TextBody"/>
        <w:spacing w:before="180" w:after="0"/>
        <w:rPr>
          <w:rFonts w:ascii="Times New Roman" w:hAnsi="Times New Roman"/>
          <w:sz w:val="20"/>
        </w:rPr>
      </w:pPr>
      <w:r>
        <w:rPr>
          <w:rFonts w:ascii="Times New Roman" w:hAnsi="Times New Roman"/>
          <w:sz w:val="20"/>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Wells Fargo Securities, LLC at 1-800-326-5897, Barclays Capital Inc. at 1-888-603-5847, Citigroup Global Markets Inc. at 1-800-831-9146, SunTrust Robinson Humphrey, Inc. at 1-800-685-4786, or UBS Securities LLC at 1-877-827-6444 ext. 561-3884.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459</Words>
  <CharactersWithSpaces>2950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Free Writing Prospectus</dc:title>
</cp:coreProperties>
</file>