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TABLE OF CONTENTS</w:t>
        </w:r>
      </w:hyperlink>
    </w:p>
    <w:p>
      <w:pPr>
        <w:spacing w:after="0" w:line="200" w:lineRule="exact"/>
        <w:rPr>
          <w:sz w:val="24"/>
          <w:szCs w:val="24"/>
          <w:color w:val="auto"/>
        </w:rPr>
      </w:pP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20" w:type="dxa"/>
            <w:vAlign w:val="bottom"/>
          </w:tcPr>
          <w:p>
            <w:pPr>
              <w:ind w:left="60"/>
              <w:spacing w:after="0"/>
              <w:rPr>
                <w:sz w:val="20"/>
                <w:szCs w:val="20"/>
                <w:color w:val="auto"/>
              </w:rPr>
            </w:pPr>
            <w:r>
              <w:rPr>
                <w:rFonts w:ascii="Arial" w:cs="Arial" w:eastAsia="Arial" w:hAnsi="Arial"/>
                <w:sz w:val="18"/>
                <w:szCs w:val="18"/>
                <w:b w:val="1"/>
                <w:bCs w:val="1"/>
                <w:color w:val="auto"/>
                <w:w w:val="89"/>
              </w:rPr>
              <w:t>Registration No. 333-216194</w:t>
            </w:r>
          </w:p>
        </w:tc>
      </w:tr>
      <w:tr>
        <w:trPr>
          <w:trHeight w:val="63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0" w:type="dxa"/>
            <w:vAlign w:val="bottom"/>
            <w:gridSpan w:val="2"/>
          </w:tcPr>
          <w:p>
            <w:pPr>
              <w:ind w:left="480"/>
              <w:spacing w:after="0"/>
              <w:rPr>
                <w:sz w:val="20"/>
                <w:szCs w:val="20"/>
                <w:color w:val="auto"/>
              </w:rPr>
            </w:pPr>
            <w:r>
              <w:rPr>
                <w:rFonts w:ascii="Arial" w:cs="Arial" w:eastAsia="Arial" w:hAnsi="Arial"/>
                <w:sz w:val="18"/>
                <w:szCs w:val="18"/>
                <w:b w:val="1"/>
                <w:bCs w:val="1"/>
                <w:color w:val="auto"/>
              </w:rPr>
              <w:t>CALCULATION OF REGISTRATION FEE</w:t>
            </w: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80" w:type="dxa"/>
            <w:vAlign w:val="bottom"/>
          </w:tcPr>
          <w:p>
            <w:pPr>
              <w:jc w:val="center"/>
              <w:ind w:left="164"/>
              <w:spacing w:after="0" w:line="117" w:lineRule="exact"/>
              <w:rPr>
                <w:sz w:val="20"/>
                <w:szCs w:val="20"/>
                <w:color w:val="auto"/>
              </w:rPr>
            </w:pPr>
            <w:r>
              <w:rPr>
                <w:rFonts w:ascii="Arial" w:cs="Arial" w:eastAsia="Arial" w:hAnsi="Arial"/>
                <w:sz w:val="12"/>
                <w:szCs w:val="12"/>
                <w:b w:val="1"/>
                <w:bCs w:val="1"/>
                <w:color w:val="auto"/>
              </w:rPr>
              <w:t>Amount to</w:t>
            </w:r>
          </w:p>
        </w:tc>
        <w:tc>
          <w:tcPr>
            <w:tcW w:w="2020" w:type="dxa"/>
            <w:vAlign w:val="bottom"/>
          </w:tcPr>
          <w:p>
            <w:pPr>
              <w:jc w:val="center"/>
              <w:ind w:right="8"/>
              <w:spacing w:after="0" w:line="117" w:lineRule="exact"/>
              <w:rPr>
                <w:sz w:val="20"/>
                <w:szCs w:val="20"/>
                <w:color w:val="auto"/>
              </w:rPr>
            </w:pPr>
            <w:r>
              <w:rPr>
                <w:rFonts w:ascii="Arial" w:cs="Arial" w:eastAsia="Arial" w:hAnsi="Arial"/>
                <w:sz w:val="12"/>
                <w:szCs w:val="12"/>
                <w:b w:val="1"/>
                <w:bCs w:val="1"/>
                <w:color w:val="auto"/>
              </w:rPr>
              <w:t>Offering price</w:t>
            </w:r>
          </w:p>
        </w:tc>
        <w:tc>
          <w:tcPr>
            <w:tcW w:w="1480" w:type="dxa"/>
            <w:vAlign w:val="bottom"/>
          </w:tcPr>
          <w:p>
            <w:pPr>
              <w:jc w:val="center"/>
              <w:ind w:left="208"/>
              <w:spacing w:after="0" w:line="117" w:lineRule="exact"/>
              <w:rPr>
                <w:sz w:val="20"/>
                <w:szCs w:val="20"/>
                <w:color w:val="auto"/>
              </w:rPr>
            </w:pPr>
            <w:r>
              <w:rPr>
                <w:rFonts w:ascii="Arial" w:cs="Arial" w:eastAsia="Arial" w:hAnsi="Arial"/>
                <w:sz w:val="12"/>
                <w:szCs w:val="12"/>
                <w:b w:val="1"/>
                <w:bCs w:val="1"/>
                <w:color w:val="auto"/>
              </w:rPr>
              <w:t>Aggregate</w:t>
            </w:r>
          </w:p>
        </w:tc>
        <w:tc>
          <w:tcPr>
            <w:tcW w:w="2220" w:type="dxa"/>
            <w:vAlign w:val="bottom"/>
          </w:tcPr>
          <w:p>
            <w:pPr>
              <w:jc w:val="center"/>
              <w:ind w:left="404"/>
              <w:spacing w:after="0" w:line="117" w:lineRule="exact"/>
              <w:rPr>
                <w:sz w:val="20"/>
                <w:szCs w:val="20"/>
                <w:color w:val="auto"/>
              </w:rPr>
            </w:pPr>
            <w:r>
              <w:rPr>
                <w:rFonts w:ascii="Arial" w:cs="Arial" w:eastAsia="Arial" w:hAnsi="Arial"/>
                <w:sz w:val="12"/>
                <w:szCs w:val="12"/>
                <w:b w:val="1"/>
                <w:bCs w:val="1"/>
                <w:color w:val="auto"/>
              </w:rPr>
              <w:t>Amount of</w:t>
            </w:r>
          </w:p>
        </w:tc>
      </w:tr>
      <w:tr>
        <w:trPr>
          <w:trHeight w:val="182"/>
        </w:trPr>
        <w:tc>
          <w:tcPr>
            <w:tcW w:w="20" w:type="dxa"/>
            <w:vAlign w:val="bottom"/>
          </w:tcPr>
          <w:p>
            <w:pPr>
              <w:spacing w:after="0"/>
              <w:rPr>
                <w:sz w:val="15"/>
                <w:szCs w:val="15"/>
                <w:color w:val="auto"/>
              </w:rPr>
            </w:pPr>
          </w:p>
        </w:tc>
        <w:tc>
          <w:tcPr>
            <w:tcW w:w="35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Class of securities registered</w:t>
            </w:r>
          </w:p>
        </w:tc>
        <w:tc>
          <w:tcPr>
            <w:tcW w:w="218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84"/>
              </w:rPr>
              <w:t>be registered</w:t>
            </w:r>
          </w:p>
        </w:tc>
        <w:tc>
          <w:tcPr>
            <w:tcW w:w="2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per unit</w:t>
            </w:r>
          </w:p>
        </w:tc>
        <w:tc>
          <w:tcPr>
            <w:tcW w:w="14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7"/>
              </w:rPr>
              <w:t>offering price</w:t>
            </w:r>
          </w:p>
        </w:tc>
        <w:tc>
          <w:tcPr>
            <w:tcW w:w="2220" w:type="dxa"/>
            <w:vAlign w:val="bottom"/>
            <w:tcBorders>
              <w:bottom w:val="single" w:sz="8" w:color="auto"/>
            </w:tcBorders>
          </w:tcPr>
          <w:p>
            <w:pPr>
              <w:jc w:val="center"/>
              <w:ind w:left="424"/>
              <w:spacing w:after="0"/>
              <w:rPr>
                <w:sz w:val="20"/>
                <w:szCs w:val="20"/>
                <w:color w:val="auto"/>
              </w:rPr>
            </w:pPr>
            <w:r>
              <w:rPr>
                <w:rFonts w:ascii="Arial" w:cs="Arial" w:eastAsia="Arial" w:hAnsi="Arial"/>
                <w:sz w:val="14"/>
                <w:szCs w:val="14"/>
                <w:b w:val="1"/>
                <w:bCs w:val="1"/>
                <w:color w:val="auto"/>
                <w:w w:val="86"/>
              </w:rPr>
              <w:t>registration fee</w:t>
            </w: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Class A shares representing limited partner</w:t>
            </w:r>
          </w:p>
        </w:tc>
        <w:tc>
          <w:tcPr>
            <w:tcW w:w="2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auto"/>
              </w:rPr>
              <w:t>interests</w:t>
            </w:r>
          </w:p>
        </w:tc>
        <w:tc>
          <w:tcPr>
            <w:tcW w:w="2180" w:type="dxa"/>
            <w:vAlign w:val="bottom"/>
          </w:tcPr>
          <w:p>
            <w:pPr>
              <w:jc w:val="center"/>
              <w:ind w:left="164"/>
              <w:spacing w:after="0"/>
              <w:rPr>
                <w:sz w:val="20"/>
                <w:szCs w:val="20"/>
                <w:color w:val="auto"/>
              </w:rPr>
            </w:pPr>
            <w:r>
              <w:rPr>
                <w:rFonts w:ascii="Arial" w:cs="Arial" w:eastAsia="Arial" w:hAnsi="Arial"/>
                <w:sz w:val="18"/>
                <w:szCs w:val="18"/>
                <w:color w:val="auto"/>
                <w:w w:val="86"/>
              </w:rPr>
              <w:t>48,300,000</w:t>
            </w:r>
          </w:p>
        </w:tc>
        <w:tc>
          <w:tcPr>
            <w:tcW w:w="2020" w:type="dxa"/>
            <w:vAlign w:val="bottom"/>
          </w:tcPr>
          <w:p>
            <w:pPr>
              <w:jc w:val="center"/>
              <w:ind w:right="28"/>
              <w:spacing w:after="0"/>
              <w:rPr>
                <w:sz w:val="20"/>
                <w:szCs w:val="20"/>
                <w:color w:val="auto"/>
              </w:rPr>
            </w:pPr>
            <w:r>
              <w:rPr>
                <w:rFonts w:ascii="Arial" w:cs="Arial" w:eastAsia="Arial" w:hAnsi="Arial"/>
                <w:sz w:val="18"/>
                <w:szCs w:val="18"/>
                <w:color w:val="auto"/>
                <w:w w:val="87"/>
              </w:rPr>
              <w:t>$31.00</w:t>
            </w:r>
          </w:p>
        </w:tc>
        <w:tc>
          <w:tcPr>
            <w:tcW w:w="1480" w:type="dxa"/>
            <w:vAlign w:val="bottom"/>
          </w:tcPr>
          <w:p>
            <w:pPr>
              <w:jc w:val="center"/>
              <w:ind w:left="228"/>
              <w:spacing w:after="0"/>
              <w:rPr>
                <w:sz w:val="20"/>
                <w:szCs w:val="20"/>
                <w:color w:val="auto"/>
              </w:rPr>
            </w:pPr>
            <w:r>
              <w:rPr>
                <w:rFonts w:ascii="Arial" w:cs="Arial" w:eastAsia="Arial" w:hAnsi="Arial"/>
                <w:sz w:val="18"/>
                <w:szCs w:val="18"/>
                <w:color w:val="auto"/>
                <w:w w:val="87"/>
              </w:rPr>
              <w:t>$1,497,300,000</w:t>
            </w:r>
          </w:p>
        </w:tc>
        <w:tc>
          <w:tcPr>
            <w:tcW w:w="2220" w:type="dxa"/>
            <w:vAlign w:val="bottom"/>
          </w:tcPr>
          <w:p>
            <w:pPr>
              <w:jc w:val="center"/>
              <w:ind w:left="404"/>
              <w:spacing w:after="0"/>
              <w:rPr>
                <w:sz w:val="20"/>
                <w:szCs w:val="20"/>
                <w:color w:val="auto"/>
              </w:rPr>
            </w:pPr>
            <w:r>
              <w:rPr>
                <w:rFonts w:ascii="Arial" w:cs="Arial" w:eastAsia="Arial" w:hAnsi="Arial"/>
                <w:sz w:val="18"/>
                <w:szCs w:val="18"/>
                <w:color w:val="auto"/>
                <w:w w:val="88"/>
              </w:rPr>
              <w:t>$173,538(1)</w:t>
            </w:r>
          </w:p>
        </w:tc>
      </w:tr>
      <w:tr>
        <w:trPr>
          <w:trHeight w:val="29"/>
        </w:trPr>
        <w:tc>
          <w:tcPr>
            <w:tcW w:w="2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40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333-216194 by means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144145</wp:posOffset>
            </wp:positionV>
            <wp:extent cx="3112770" cy="694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277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42,000,000 Class A Shares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are selling 42,000,000 of our Class A shares in this offering. Our Class A shares are listed on the New York Stock Exchange (the "NYSE") under the symbol "PAGP." The last reported sale price of our Class A shares on the NYSE on February 22, 2017 was $31.31 per Class A share.</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underwriters have agreed to purchase the Class A shares from us at a price of $30.536 per share, which will result in $1.302 billion of gross proceeds to us before expenses. The underwriters may offer the Class A shares from time to time for sale in one or more transactions on the NYSE in the over-the-counter market, through negotiated transactions or otherwise at market prices prevailing at the time of sale, at prices related to prevailing market prices or at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Investing in our Class A shares involves risks. Limited partnerships are inherently different from corporations. You should carefully consider the risks relating to investing in our Class A shares and each of the risk factors described under "Risk Factors" on page S-6 of this prospectus supplement before you make an investment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95885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Delivery of the Class A shares is expected to be made on or about March 1, 2017.</w:t>
      </w:r>
    </w:p>
    <w:p>
      <w:pPr>
        <w:spacing w:after="0" w:line="225" w:lineRule="exact"/>
        <w:rPr>
          <w:sz w:val="20"/>
          <w:szCs w:val="20"/>
          <w:color w:val="auto"/>
        </w:rPr>
      </w:pPr>
    </w:p>
    <w:p>
      <w:pPr>
        <w:jc w:val="center"/>
        <w:ind w:right="140"/>
        <w:spacing w:after="0" w:line="370"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granted the underwriters a 30-day option to purchase up to 6,300,000 additional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Sole Book-Running Manager</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Citigroup</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Co-Managers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81"/>
        </w:trPr>
        <w:tc>
          <w:tcPr>
            <w:tcW w:w="164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3120" w:type="dxa"/>
            <w:vAlign w:val="bottom"/>
            <w:gridSpan w:val="2"/>
          </w:tcPr>
          <w:p>
            <w:pPr>
              <w:ind w:left="1040"/>
              <w:spacing w:after="0"/>
              <w:rPr>
                <w:sz w:val="20"/>
                <w:szCs w:val="20"/>
                <w:color w:val="auto"/>
              </w:rPr>
            </w:pPr>
            <w:r>
              <w:rPr>
                <w:rFonts w:ascii="Arial" w:cs="Arial" w:eastAsia="Arial" w:hAnsi="Arial"/>
                <w:sz w:val="22"/>
                <w:szCs w:val="22"/>
                <w:b w:val="1"/>
                <w:bCs w:val="1"/>
                <w:color w:val="auto"/>
              </w:rPr>
              <w:t>BNP PARIBAS</w:t>
            </w:r>
          </w:p>
        </w:tc>
        <w:tc>
          <w:tcPr>
            <w:tcW w:w="1760" w:type="dxa"/>
            <w:vAlign w:val="bottom"/>
            <w:gridSpan w:val="2"/>
          </w:tcPr>
          <w:p>
            <w:pPr>
              <w:ind w:left="660"/>
              <w:spacing w:after="0"/>
              <w:rPr>
                <w:sz w:val="20"/>
                <w:szCs w:val="20"/>
                <w:color w:val="auto"/>
              </w:rPr>
            </w:pPr>
            <w:r>
              <w:rPr>
                <w:rFonts w:ascii="Arial" w:cs="Arial" w:eastAsia="Arial" w:hAnsi="Arial"/>
                <w:sz w:val="22"/>
                <w:szCs w:val="22"/>
                <w:b w:val="1"/>
                <w:bCs w:val="1"/>
                <w:color w:val="auto"/>
              </w:rPr>
              <w:t>MUFG</w:t>
            </w:r>
          </w:p>
        </w:tc>
        <w:tc>
          <w:tcPr>
            <w:tcW w:w="262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891"/>
        </w:trPr>
        <w:tc>
          <w:tcPr>
            <w:tcW w:w="3140" w:type="dxa"/>
            <w:vAlign w:val="bottom"/>
            <w:gridSpan w:val="2"/>
          </w:tcPr>
          <w:p>
            <w:pPr>
              <w:spacing w:after="0"/>
              <w:rPr>
                <w:sz w:val="20"/>
                <w:szCs w:val="20"/>
                <w:color w:val="auto"/>
              </w:rPr>
            </w:pPr>
            <w:r>
              <w:rPr>
                <w:rFonts w:ascii="Arial" w:cs="Arial" w:eastAsia="Arial" w:hAnsi="Arial"/>
                <w:sz w:val="22"/>
                <w:szCs w:val="22"/>
                <w:b w:val="1"/>
                <w:bCs w:val="1"/>
                <w:color w:val="auto"/>
                <w:w w:val="99"/>
              </w:rPr>
              <w:t>Suntrust Robinson Humphrey</w:t>
            </w:r>
          </w:p>
        </w:tc>
        <w:tc>
          <w:tcPr>
            <w:tcW w:w="3380" w:type="dxa"/>
            <w:vAlign w:val="bottom"/>
            <w:gridSpan w:val="3"/>
          </w:tcPr>
          <w:p>
            <w:pPr>
              <w:ind w:left="780"/>
              <w:spacing w:after="0"/>
              <w:rPr>
                <w:sz w:val="20"/>
                <w:szCs w:val="20"/>
                <w:color w:val="auto"/>
              </w:rPr>
            </w:pPr>
            <w:r>
              <w:rPr>
                <w:rFonts w:ascii="Arial" w:cs="Arial" w:eastAsia="Arial" w:hAnsi="Arial"/>
                <w:sz w:val="22"/>
                <w:szCs w:val="22"/>
                <w:b w:val="1"/>
                <w:bCs w:val="1"/>
                <w:color w:val="auto"/>
              </w:rPr>
              <w:t>CIBC Capital Markets</w:t>
            </w:r>
          </w:p>
        </w:tc>
        <w:tc>
          <w:tcPr>
            <w:tcW w:w="2620" w:type="dxa"/>
            <w:vAlign w:val="bottom"/>
          </w:tcPr>
          <w:p>
            <w:pPr>
              <w:jc w:val="right"/>
              <w:spacing w:after="0"/>
              <w:rPr>
                <w:sz w:val="20"/>
                <w:szCs w:val="20"/>
                <w:color w:val="auto"/>
              </w:rPr>
            </w:pPr>
            <w:r>
              <w:rPr>
                <w:rFonts w:ascii="Arial" w:cs="Arial" w:eastAsia="Arial" w:hAnsi="Arial"/>
                <w:sz w:val="22"/>
                <w:szCs w:val="22"/>
                <w:b w:val="1"/>
                <w:bCs w:val="1"/>
                <w:color w:val="auto"/>
              </w:rPr>
              <w:t>Fifth Third Securities</w:t>
            </w:r>
          </w:p>
        </w:tc>
      </w:tr>
      <w:tr>
        <w:trPr>
          <w:trHeight w:val="891"/>
        </w:trPr>
        <w:tc>
          <w:tcPr>
            <w:tcW w:w="1640" w:type="dxa"/>
            <w:vAlign w:val="bottom"/>
          </w:tcPr>
          <w:p>
            <w:pPr>
              <w:spacing w:after="0"/>
              <w:rPr>
                <w:sz w:val="20"/>
                <w:szCs w:val="20"/>
                <w:color w:val="auto"/>
              </w:rPr>
            </w:pPr>
            <w:r>
              <w:rPr>
                <w:rFonts w:ascii="Arial" w:cs="Arial" w:eastAsia="Arial" w:hAnsi="Arial"/>
                <w:sz w:val="22"/>
                <w:szCs w:val="22"/>
                <w:b w:val="1"/>
                <w:bCs w:val="1"/>
                <w:color w:val="auto"/>
              </w:rPr>
              <w:t>ING</w:t>
            </w:r>
          </w:p>
        </w:tc>
        <w:tc>
          <w:tcPr>
            <w:tcW w:w="1500" w:type="dxa"/>
            <w:vAlign w:val="bottom"/>
          </w:tcPr>
          <w:p>
            <w:pPr>
              <w:spacing w:after="0"/>
              <w:rPr>
                <w:sz w:val="24"/>
                <w:szCs w:val="24"/>
                <w:color w:val="auto"/>
              </w:rPr>
            </w:pPr>
          </w:p>
        </w:tc>
        <w:tc>
          <w:tcPr>
            <w:tcW w:w="3380" w:type="dxa"/>
            <w:vAlign w:val="bottom"/>
            <w:gridSpan w:val="3"/>
          </w:tcPr>
          <w:p>
            <w:pPr>
              <w:ind w:left="160"/>
              <w:spacing w:after="0"/>
              <w:rPr>
                <w:sz w:val="20"/>
                <w:szCs w:val="20"/>
                <w:color w:val="auto"/>
              </w:rPr>
            </w:pPr>
            <w:r>
              <w:rPr>
                <w:rFonts w:ascii="Arial" w:cs="Arial" w:eastAsia="Arial" w:hAnsi="Arial"/>
                <w:sz w:val="22"/>
                <w:szCs w:val="22"/>
                <w:b w:val="1"/>
                <w:bCs w:val="1"/>
                <w:color w:val="auto"/>
              </w:rPr>
              <w:t>PNC Capital Markets LLC</w:t>
            </w:r>
          </w:p>
        </w:tc>
        <w:tc>
          <w:tcPr>
            <w:tcW w:w="2620" w:type="dxa"/>
            <w:vAlign w:val="bottom"/>
          </w:tcPr>
          <w:p>
            <w:pPr>
              <w:jc w:val="right"/>
              <w:spacing w:after="0"/>
              <w:rPr>
                <w:sz w:val="20"/>
                <w:szCs w:val="20"/>
                <w:color w:val="auto"/>
              </w:rPr>
            </w:pPr>
            <w:r>
              <w:rPr>
                <w:rFonts w:ascii="Arial" w:cs="Arial" w:eastAsia="Arial" w:hAnsi="Arial"/>
                <w:sz w:val="22"/>
                <w:szCs w:val="22"/>
                <w:b w:val="1"/>
                <w:bCs w:val="1"/>
                <w:color w:val="auto"/>
              </w:rPr>
              <w:t>Regions Securities LLC</w:t>
            </w:r>
          </w:p>
        </w:tc>
      </w:tr>
      <w:tr>
        <w:trPr>
          <w:trHeight w:val="206"/>
        </w:trPr>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20" w:type="dxa"/>
            <w:vAlign w:val="bottom"/>
            <w:gridSpan w:val="3"/>
            <w:vMerge w:val="restart"/>
          </w:tcPr>
          <w:p>
            <w:pPr>
              <w:jc w:val="center"/>
              <w:ind w:right="3080"/>
              <w:spacing w:after="0"/>
              <w:rPr>
                <w:sz w:val="20"/>
                <w:szCs w:val="20"/>
                <w:color w:val="auto"/>
              </w:rPr>
            </w:pPr>
            <w:r>
              <w:rPr>
                <w:rFonts w:ascii="Arial" w:cs="Arial" w:eastAsia="Arial" w:hAnsi="Arial"/>
                <w:sz w:val="18"/>
                <w:szCs w:val="18"/>
                <w:b w:val="1"/>
                <w:bCs w:val="1"/>
                <w:color w:val="auto"/>
                <w:w w:val="85"/>
              </w:rPr>
              <w:t>Prospectus Supplement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7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Important Notice About Information in this Prospectus Supplement and the Accompanying Base Prospectus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3"/>
          </w:tcPr>
          <w:p>
            <w:pPr>
              <w:jc w:val="right"/>
              <w:spacing w:after="0"/>
              <w:rPr>
                <w:rFonts w:ascii="Arial" w:cs="Arial" w:eastAsia="Arial" w:hAnsi="Arial"/>
                <w:sz w:val="11"/>
                <w:szCs w:val="11"/>
                <w:color w:val="0000EE"/>
                <w:w w:val="75"/>
              </w:rPr>
            </w:pPr>
            <w:hyperlink w:anchor="page4">
              <w:r>
                <w:rPr>
                  <w:rFonts w:ascii="Arial" w:cs="Arial" w:eastAsia="Arial" w:hAnsi="Arial"/>
                  <w:sz w:val="11"/>
                  <w:szCs w:val="11"/>
                  <w:color w:val="0000EE"/>
                  <w:w w:val="75"/>
                </w:rPr>
                <w:t>S-ii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Forward-Looking Statements</w:t>
              </w:r>
            </w:hyperlink>
          </w:p>
        </w:tc>
        <w:tc>
          <w:tcPr>
            <w:tcW w:w="5540" w:type="dxa"/>
            <w:vAlign w:val="bottom"/>
            <w:gridSpan w:val="7"/>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2380" w:type="dxa"/>
            <w:vAlign w:val="bottom"/>
            <w:gridSpan w:val="12"/>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Prospectus Supplement Summary</w:t>
              </w:r>
            </w:hyperlink>
          </w:p>
        </w:tc>
        <w:tc>
          <w:tcPr>
            <w:tcW w:w="64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7">
              <w:r>
                <w:rPr>
                  <w:rFonts w:ascii="Arial" w:cs="Arial" w:eastAsia="Arial" w:hAnsi="Arial"/>
                  <w:sz w:val="10"/>
                  <w:szCs w:val="10"/>
                  <w:color w:val="0000EE"/>
                  <w:w w:val="76"/>
                </w:rPr>
                <w:t>S-1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1480" w:type="dxa"/>
            <w:vAlign w:val="bottom"/>
            <w:gridSpan w:val="10"/>
          </w:tcPr>
          <w:p>
            <w:pPr>
              <w:spacing w:after="0"/>
              <w:rPr>
                <w:sz w:val="17"/>
                <w:szCs w:val="17"/>
                <w:color w:val="auto"/>
              </w:rPr>
            </w:pPr>
          </w:p>
        </w:tc>
        <w:tc>
          <w:tcPr>
            <w:tcW w:w="64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2">
              <w:r>
                <w:rPr>
                  <w:rFonts w:ascii="Arial" w:cs="Arial" w:eastAsia="Arial" w:hAnsi="Arial"/>
                  <w:sz w:val="10"/>
                  <w:szCs w:val="10"/>
                  <w:color w:val="0000EE"/>
                  <w:w w:val="76"/>
                </w:rPr>
                <w:t>S-6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Use of Proceeds</w:t>
              </w:r>
            </w:hyperlink>
          </w:p>
        </w:tc>
        <w:tc>
          <w:tcPr>
            <w:tcW w:w="76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3">
              <w:r>
                <w:rPr>
                  <w:rFonts w:ascii="Arial" w:cs="Arial" w:eastAsia="Arial" w:hAnsi="Arial"/>
                  <w:sz w:val="10"/>
                  <w:szCs w:val="10"/>
                  <w:color w:val="0000EE"/>
                  <w:w w:val="76"/>
                </w:rPr>
                <w:t>S-7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Price Range of Class A Shares and Distributions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4">
              <w:r>
                <w:rPr>
                  <w:rFonts w:ascii="Arial" w:cs="Arial" w:eastAsia="Arial" w:hAnsi="Arial"/>
                  <w:sz w:val="10"/>
                  <w:szCs w:val="10"/>
                  <w:color w:val="0000EE"/>
                  <w:w w:val="76"/>
                </w:rPr>
                <w:t>S-8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Capitalization</w:t>
              </w:r>
            </w:hyperlink>
          </w:p>
        </w:tc>
        <w:tc>
          <w:tcPr>
            <w:tcW w:w="2400" w:type="dxa"/>
            <w:vAlign w:val="bottom"/>
            <w:gridSpan w:val="10"/>
          </w:tcPr>
          <w:p>
            <w:pPr>
              <w:spacing w:after="0"/>
              <w:rPr>
                <w:sz w:val="17"/>
                <w:szCs w:val="17"/>
                <w:color w:val="auto"/>
              </w:rPr>
            </w:pPr>
          </w:p>
        </w:tc>
        <w:tc>
          <w:tcPr>
            <w:tcW w:w="53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5">
              <w:r>
                <w:rPr>
                  <w:rFonts w:ascii="Arial" w:cs="Arial" w:eastAsia="Arial" w:hAnsi="Arial"/>
                  <w:sz w:val="10"/>
                  <w:szCs w:val="10"/>
                  <w:color w:val="0000EE"/>
                  <w:w w:val="76"/>
                </w:rPr>
                <w:t>S-9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Underwriting</w:t>
              </w:r>
            </w:hyperlink>
          </w:p>
        </w:tc>
        <w:tc>
          <w:tcPr>
            <w:tcW w:w="40" w:type="dxa"/>
            <w:vAlign w:val="bottom"/>
          </w:tcPr>
          <w:p>
            <w:pPr>
              <w:spacing w:after="0"/>
              <w:rPr>
                <w:sz w:val="17"/>
                <w:szCs w:val="17"/>
                <w:color w:val="auto"/>
              </w:rPr>
            </w:pPr>
          </w:p>
        </w:tc>
        <w:tc>
          <w:tcPr>
            <w:tcW w:w="7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7">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360" w:type="dxa"/>
            <w:vAlign w:val="bottom"/>
            <w:gridSpan w:val="7"/>
          </w:tcPr>
          <w:p>
            <w:pPr>
              <w:jc w:val="right"/>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S-15</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7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360" w:type="dxa"/>
            <w:vAlign w:val="bottom"/>
            <w:gridSpan w:val="7"/>
          </w:tcPr>
          <w:p>
            <w:pPr>
              <w:jc w:val="right"/>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S-15</w:t>
              </w:r>
            </w:hyperlink>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w w:val="83"/>
              </w:rPr>
              <w:t>Prospectus</w:t>
            </w: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78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iii</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0"/>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Forward-Looking Statements</w:t>
              </w:r>
            </w:hyperlink>
          </w:p>
        </w:tc>
        <w:tc>
          <w:tcPr>
            <w:tcW w:w="740" w:type="dxa"/>
            <w:vAlign w:val="bottom"/>
            <w:tcBorders>
              <w:top w:val="single" w:sz="8" w:color="0000EE"/>
            </w:tcBorders>
            <w:gridSpan w:val="3"/>
          </w:tcPr>
          <w:p>
            <w:pPr>
              <w:spacing w:after="0"/>
              <w:rPr>
                <w:sz w:val="17"/>
                <w:szCs w:val="17"/>
                <w:color w:val="auto"/>
              </w:rPr>
            </w:pPr>
          </w:p>
        </w:tc>
        <w:tc>
          <w:tcPr>
            <w:tcW w:w="59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About Plains GP Holdings, L.P.</w:t>
              </w:r>
            </w:hyperlink>
          </w:p>
        </w:tc>
        <w:tc>
          <w:tcPr>
            <w:tcW w:w="6500" w:type="dxa"/>
            <w:vAlign w:val="bottom"/>
            <w:gridSpan w:val="7"/>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1380" w:type="dxa"/>
            <w:vAlign w:val="bottom"/>
            <w:gridSpan w:val="9"/>
          </w:tcPr>
          <w:p>
            <w:pPr>
              <w:spacing w:after="0"/>
              <w:rPr>
                <w:sz w:val="17"/>
                <w:szCs w:val="17"/>
                <w:color w:val="auto"/>
              </w:rPr>
            </w:pPr>
          </w:p>
        </w:tc>
        <w:tc>
          <w:tcPr>
            <w:tcW w:w="6500" w:type="dxa"/>
            <w:vAlign w:val="bottom"/>
            <w:gridSpan w:val="7"/>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Use of Proceeds</w:t>
              </w:r>
            </w:hyperlink>
          </w:p>
        </w:tc>
        <w:tc>
          <w:tcPr>
            <w:tcW w:w="7620" w:type="dxa"/>
            <w:vAlign w:val="bottom"/>
            <w:gridSpan w:val="13"/>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Our Cash Distribution Policy</w:t>
              </w:r>
            </w:hyperlink>
          </w:p>
        </w:tc>
        <w:tc>
          <w:tcPr>
            <w:tcW w:w="360" w:type="dxa"/>
            <w:vAlign w:val="bottom"/>
            <w:gridSpan w:val="7"/>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10"/>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The Partnership Agreement</w:t>
              </w:r>
            </w:hyperlink>
          </w:p>
        </w:tc>
        <w:tc>
          <w:tcPr>
            <w:tcW w:w="6720" w:type="dxa"/>
            <w:vAlign w:val="bottom"/>
            <w:gridSpan w:val="8"/>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Description of Our Shares</w:t>
              </w:r>
            </w:hyperlink>
          </w:p>
        </w:tc>
        <w:tc>
          <w:tcPr>
            <w:tcW w:w="6840" w:type="dxa"/>
            <w:vAlign w:val="bottom"/>
            <w:gridSpan w:val="9"/>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Material U.S. Federal Income Tax Consequences</w:t>
              </w:r>
            </w:hyperlink>
          </w:p>
        </w:tc>
        <w:tc>
          <w:tcPr>
            <w:tcW w:w="5320" w:type="dxa"/>
            <w:vAlign w:val="bottom"/>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bottom w:val="single" w:sz="8" w:color="0000EE"/>
            </w:tcBorders>
            <w:gridSpan w:val="3"/>
          </w:tcPr>
          <w:p>
            <w:pPr>
              <w:jc w:val="right"/>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21</w:t>
              </w:r>
            </w:hyperlink>
          </w:p>
        </w:tc>
        <w:tc>
          <w:tcPr>
            <w:tcW w:w="0" w:type="dxa"/>
            <w:vAlign w:val="bottom"/>
          </w:tcPr>
          <w:p>
            <w:pPr>
              <w:spacing w:after="0"/>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Investment in Plains GP Holdings, L.P. by Employee Benefit Plans</w:t>
              </w:r>
            </w:hyperlink>
          </w:p>
        </w:tc>
        <w:tc>
          <w:tcPr>
            <w:tcW w:w="360" w:type="dxa"/>
            <w:vAlign w:val="bottom"/>
            <w:gridSpan w:val="7"/>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4060" w:type="dxa"/>
            <w:vAlign w:val="bottom"/>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top w:val="single" w:sz="8" w:color="0000EE"/>
            </w:tcBorders>
            <w:gridSpan w:val="3"/>
          </w:tcPr>
          <w:p>
            <w:pPr>
              <w:jc w:val="right"/>
              <w:spacing w:after="0"/>
              <w:rPr>
                <w:rFonts w:ascii="Arial" w:cs="Arial" w:eastAsia="Arial" w:hAnsi="Arial"/>
                <w:sz w:val="15"/>
                <w:szCs w:val="15"/>
                <w:color w:val="0000EE"/>
                <w:w w:val="71"/>
              </w:rPr>
            </w:pPr>
            <w:hyperlink w:anchor="page56">
              <w:r>
                <w:rPr>
                  <w:rFonts w:ascii="Arial" w:cs="Arial" w:eastAsia="Arial" w:hAnsi="Arial"/>
                  <w:sz w:val="15"/>
                  <w:szCs w:val="15"/>
                  <w:color w:val="0000EE"/>
                  <w:w w:val="71"/>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7380" w:type="dxa"/>
            <w:vAlign w:val="bottom"/>
            <w:gridSpan w:val="12"/>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top w:val="single" w:sz="8" w:color="0000EE"/>
            </w:tcBorders>
            <w:gridSpan w:val="3"/>
          </w:tcPr>
          <w:p>
            <w:pPr>
              <w:jc w:val="right"/>
              <w:spacing w:after="0"/>
              <w:rPr>
                <w:rFonts w:ascii="Arial" w:cs="Arial" w:eastAsia="Arial" w:hAnsi="Arial"/>
                <w:sz w:val="15"/>
                <w:szCs w:val="15"/>
                <w:color w:val="0000EE"/>
                <w:w w:val="71"/>
              </w:rPr>
            </w:pPr>
            <w:hyperlink w:anchor="page57">
              <w:r>
                <w:rPr>
                  <w:rFonts w:ascii="Arial" w:cs="Arial" w:eastAsia="Arial" w:hAnsi="Arial"/>
                  <w:sz w:val="15"/>
                  <w:szCs w:val="15"/>
                  <w:color w:val="0000EE"/>
                  <w:w w:val="71"/>
                </w:rPr>
                <w:t>30</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7780" w:type="dxa"/>
            <w:vAlign w:val="bottom"/>
            <w:gridSpan w:val="14"/>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top w:val="single" w:sz="8" w:color="0000EE"/>
            </w:tcBorders>
            <w:gridSpan w:val="3"/>
          </w:tcPr>
          <w:p>
            <w:pPr>
              <w:jc w:val="right"/>
              <w:spacing w:after="0"/>
              <w:rPr>
                <w:rFonts w:ascii="Arial" w:cs="Arial" w:eastAsia="Arial" w:hAnsi="Arial"/>
                <w:sz w:val="15"/>
                <w:szCs w:val="15"/>
                <w:color w:val="0000EE"/>
                <w:w w:val="71"/>
              </w:rPr>
            </w:pPr>
            <w:hyperlink w:anchor="page57">
              <w:r>
                <w:rPr>
                  <w:rFonts w:ascii="Arial" w:cs="Arial" w:eastAsia="Arial" w:hAnsi="Arial"/>
                  <w:sz w:val="15"/>
                  <w:szCs w:val="15"/>
                  <w:color w:val="0000EE"/>
                  <w:w w:val="71"/>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 PROSPECTUS SUPPLEMENT AND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ACCOMPANYING BASE PROSPECTUS</w:t>
      </w:r>
    </w:p>
    <w:p>
      <w:pPr>
        <w:spacing w:after="0" w:line="219"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are providing information to you about this offering of our Class A shares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prospectus supplement and the accompanying base prospectus contain and incorporate by reference information that you should consider when making your investment decision. Neither we nor the underwriters or their affiliates and agents have authorized anyone to provide you with additional or different information.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our Class A shares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None of Plains GP Holdings, L.P., the underwriters or any of their respective representatives is making any representation to you regarding the legality of an investment in our Class A shares by you under applicable laws. You should consult with your own advisors as to legal, tax, business, financial and related aspects of an investment in the Class A shares.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prospectus supplement and the accompanying base prospectus, unless the context clearly indicates otherwise:</w:t>
      </w:r>
    </w:p>
    <w:p>
      <w:pPr>
        <w:spacing w:after="0" w:line="239" w:lineRule="exact"/>
        <w:rPr>
          <w:sz w:val="20"/>
          <w:szCs w:val="20"/>
          <w:color w:val="auto"/>
        </w:rPr>
      </w:pPr>
    </w:p>
    <w:p>
      <w:pPr>
        <w:ind w:left="1080" w:right="22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"ours," "we," "us," "the Partnership," "Plains GP Holdings, L.P." or "PAGP"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refers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refers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refers to PAA GP Holdings LLC;</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agreed to, among other things, the permanent elimination of PAA's incentive distribution rights and the economic rights associated with its 2% general partner interest; and</w:t>
      </w:r>
    </w:p>
    <w:p>
      <w:pPr>
        <w:spacing w:after="0" w:line="199" w:lineRule="exact"/>
        <w:rPr>
          <w:sz w:val="20"/>
          <w:szCs w:val="20"/>
          <w:color w:val="auto"/>
        </w:rPr>
      </w:pPr>
    </w:p>
    <w:p>
      <w:pPr>
        <w:ind w:left="1080" w:right="60" w:hanging="532"/>
        <w:spacing w:after="0" w:line="25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2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 (as defined below);</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NGLs.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on page S-6 of this prospectus supplement and as discussed in Item 1A. "Risk Factors" in our Annual Report on Form 10-K for the fiscal year ended December 31, 2016 (File No. 001-36132),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firstLine="351"/>
        <w:spacing w:after="0" w:line="254"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Class A shares. Please read "Risk Factors" on page S-6 of this prospectus supplement and in our Annual Report on Form 10-K for the fiscal year ended December 31, 2016, which is incorporated by reference herein, for information regarding risks you should consider before investing in our Class A shares.</w:t>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240" w:right="140" w:firstLine="348"/>
        <w:spacing w:after="0" w:line="254" w:lineRule="auto"/>
        <w:rPr>
          <w:sz w:val="20"/>
          <w:szCs w:val="20"/>
          <w:color w:val="auto"/>
        </w:rPr>
      </w:pPr>
      <w:r>
        <w:rPr>
          <w:rFonts w:ascii="Arial" w:cs="Arial" w:eastAsia="Arial" w:hAnsi="Arial"/>
          <w:sz w:val="18"/>
          <w:szCs w:val="18"/>
          <w:color w:val="auto"/>
        </w:rPr>
        <w:t>We are a Delaware limited partnership formed in July 2013 that has elected to be treated as a corporation for United States federal income tax purposes. We do not directly own any operating assets; our principal sources of cash flow are derived from our indirect investment in PAA. As of February 22, 2017, we directly and indirectly owned 103,277,067 Class A Units of AAP, which we refer to as AAP Class A units, which represented a 42.8% limited partner interest in AAP. AAP owns a non-economic general partner interest in PAA and, as of February 22, 2017, owned 243,391,545 common units of PAA. Our general partner, PAA GP Holdings LLC, has responsibility for managing the business and affairs of PAA, in addition to AAP and PAGP.</w:t>
      </w:r>
    </w:p>
    <w:p>
      <w:pPr>
        <w:spacing w:after="0" w:line="198"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left="240" w:right="40" w:firstLine="351"/>
        <w:spacing w:after="0" w:line="307" w:lineRule="auto"/>
        <w:rPr>
          <w:sz w:val="20"/>
          <w:szCs w:val="20"/>
          <w:color w:val="auto"/>
        </w:rPr>
      </w:pPr>
      <w:r>
        <w:rPr>
          <w:rFonts w:ascii="Arial" w:cs="Arial" w:eastAsia="Arial" w:hAnsi="Arial"/>
          <w:sz w:val="15"/>
          <w:szCs w:val="15"/>
          <w:color w:val="auto"/>
        </w:rPr>
        <w:t>Consistent with our business strategy, we are continuously engaged in the evaluation of potential acquisitions, joint ventures and capital projects. In addition, we continue to evaluate our asset portfolio to determine whether additional sales of non-core assets would further optimize our portfolio and strengthen our balance sheet. As a part of these efforts, we often engage in discussions with potential third parties regarding the possible purchase of or investment in assets and operations that are strategic and complementary to our existing operations, or the potential sale of assets that we believe might have more value to a third-party buyer.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With respect to a potential divestiture, we may also conduct an auction process or may negotiate a transaction with one or a limited number of potential buyers. These acquisition and investment efforts often involve assets which, if acquired, constructed or sold, as applicable, could have a material effect on our financial condition and results of operations.</w:t>
      </w:r>
    </w:p>
    <w:p>
      <w:pPr>
        <w:spacing w:after="0" w:line="166" w:lineRule="exact"/>
        <w:rPr>
          <w:sz w:val="20"/>
          <w:szCs w:val="20"/>
          <w:color w:val="auto"/>
        </w:rPr>
      </w:pPr>
    </w:p>
    <w:p>
      <w:pPr>
        <w:ind w:left="240" w:right="140" w:firstLine="348"/>
        <w:spacing w:after="0" w:line="306"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color w:val="auto"/>
        </w:rPr>
        <w:t>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 we make to be accretive in the long term, we can provide no assurance that our expectations will ultimately be realized.</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Alpha Crude Connector Acquisition</w:t>
      </w:r>
    </w:p>
    <w:p>
      <w:pPr>
        <w:spacing w:after="0" w:line="225" w:lineRule="exact"/>
        <w:rPr>
          <w:sz w:val="20"/>
          <w:szCs w:val="20"/>
          <w:color w:val="auto"/>
        </w:rPr>
      </w:pPr>
    </w:p>
    <w:p>
      <w:pPr>
        <w:ind w:left="240" w:right="40" w:firstLine="351"/>
        <w:spacing w:after="0" w:line="289" w:lineRule="auto"/>
        <w:rPr>
          <w:sz w:val="20"/>
          <w:szCs w:val="20"/>
          <w:color w:val="auto"/>
        </w:rPr>
      </w:pPr>
      <w:r>
        <w:rPr>
          <w:rFonts w:ascii="Arial" w:cs="Arial" w:eastAsia="Arial" w:hAnsi="Arial"/>
          <w:sz w:val="16"/>
          <w:szCs w:val="16"/>
          <w:color w:val="auto"/>
        </w:rPr>
        <w:t>On February 14, 2017, pursuant to (1) that certain Securities Purchase Agreement dated as of January 19, 2017, by and between Plains Pipeline, L.P. ("PPLP"), a wholly owned subsidiary of PAA and COG Operating LLC, a wholly owned subsidiary of Concho Resources Inc. (the "Class A Agreement"), and (2) that certain Securities Purchase Agreement, dated as of January 19, 2017, by and between PPLP and Frontier Midstream Solutions, LLC (together, with the Class A Agreement, the "Agreements"), a wholly owned subsidiary of PPLP acquired all of the issued and outstanding membership interests in Alpha Holding Company, LLC (collectively, the "ACC Acquisition") for approximately $1.215 billion, subject to certain adjustments provided under the Agreements. The ACC Acquisition was funded with borrowings under PAA's senior unsecured revolving credit facility. Prior to the closing of the ACC Acquisition, PPLP assigned all of its right, title and interest in and to the Agreements to its wholly owned subsidiary, Plains ACC Holdings LLC ("Plains ACC").</w:t>
      </w:r>
    </w:p>
    <w:p>
      <w:pPr>
        <w:spacing w:after="0" w:line="172" w:lineRule="exact"/>
        <w:rPr>
          <w:sz w:val="20"/>
          <w:szCs w:val="20"/>
          <w:color w:val="auto"/>
        </w:rPr>
      </w:pPr>
    </w:p>
    <w:p>
      <w:pPr>
        <w:ind w:left="240" w:firstLine="342"/>
        <w:spacing w:after="0" w:line="290" w:lineRule="auto"/>
        <w:rPr>
          <w:sz w:val="20"/>
          <w:szCs w:val="20"/>
          <w:color w:val="auto"/>
        </w:rPr>
      </w:pPr>
      <w:r>
        <w:rPr>
          <w:rFonts w:ascii="Arial" w:cs="Arial" w:eastAsia="Arial" w:hAnsi="Arial"/>
          <w:sz w:val="16"/>
          <w:szCs w:val="16"/>
          <w:color w:val="auto"/>
        </w:rPr>
        <w:t>As a result of the ACC Acquisition, Plains ACC is the indirect owner of the FERC-regulated crude oil gathering system known as "Alpha Crude Connector" (the "System") located in Eddy and Lea Counties, New Mexico and Culberson, Loving and Winkler Counties, Texas. The System is comprised of 515 miles of gathering and transmission lines and five market interconnects, including PAA's Basin Pipeline system at Wink. Following closing of the ACC Acquisition, PAA intends to make three additional interconnects to PAA's existing Northern Delaware Basin system as well as additional enhancements intended to increase the system capacity to approximately 350,000 barrels per day, depending on the level of volume at each delivery point. The System is supported by acreage dedications covering approximately 315,000 gross acres, the majority of which have 10-year terms, and include a significant acreage dedication from Concho Resources, Inc., one of the largest Permian Basin producers.</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Advantage Pipeline Joint Venture</w:t>
      </w:r>
    </w:p>
    <w:p>
      <w:pPr>
        <w:spacing w:after="0" w:line="225" w:lineRule="exact"/>
        <w:rPr>
          <w:sz w:val="20"/>
          <w:szCs w:val="20"/>
          <w:color w:val="auto"/>
        </w:rPr>
      </w:pPr>
    </w:p>
    <w:p>
      <w:pPr>
        <w:ind w:left="240" w:right="120" w:firstLine="351"/>
        <w:spacing w:after="0" w:line="255" w:lineRule="auto"/>
        <w:rPr>
          <w:sz w:val="20"/>
          <w:szCs w:val="20"/>
          <w:color w:val="auto"/>
        </w:rPr>
      </w:pPr>
      <w:r>
        <w:rPr>
          <w:rFonts w:ascii="Arial" w:cs="Arial" w:eastAsia="Arial" w:hAnsi="Arial"/>
          <w:sz w:val="18"/>
          <w:szCs w:val="18"/>
          <w:color w:val="auto"/>
        </w:rPr>
        <w:t>On February 13, 2017, PAA and Noble Midstream Partners LP ("Noble") entered into definitive agreements to form a 50/50 joint venture (the "Joint Venture") to acquire Advantage Pipeline, LLC ("Advantage"), which owns a 70-mile, 16-inch crude oil pipeline located in the southern Delaware Basin (the "Advantage Pipeline"). The Joint Venture will acquire Advantage for $133 million. The majority of PAA's 50% share is expected to be paid in PAA common units issued to certain of the sellers at closing. The acquisition is subject to customary closing conditions, including the receipt of regulatory approvals.</w:t>
      </w:r>
    </w:p>
    <w:p>
      <w:pPr>
        <w:spacing w:after="0" w:line="19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Noble will serve as operator and will construct a 15-mile pipeline to deliver crude oil to the Advantage Pipeline from its central gathering facility in the southern Delaware Basin. PAA will construct a pipeline to connect its Wolfbone Ranch facility to the Advantage Pipeline near Highway 285. The connections are estimated to be completed in the second quarter of 2017. The Advantage Pipeline will be contractually supported by an acreage dedication from Noble Energy, Inc. and a volume commitment from Plains Marketing, L.P., our wholly-owned subsidiary ("Plains Marketing").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8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Continuous Offering Programs</w:t>
      </w:r>
    </w:p>
    <w:p>
      <w:pPr>
        <w:spacing w:after="0" w:line="225" w:lineRule="exact"/>
        <w:rPr>
          <w:sz w:val="20"/>
          <w:szCs w:val="20"/>
          <w:color w:val="auto"/>
        </w:rPr>
      </w:pPr>
    </w:p>
    <w:p>
      <w:pPr>
        <w:ind w:left="240" w:right="120" w:firstLine="351"/>
        <w:spacing w:after="0" w:line="291" w:lineRule="auto"/>
        <w:rPr>
          <w:sz w:val="20"/>
          <w:szCs w:val="20"/>
          <w:color w:val="auto"/>
        </w:rPr>
      </w:pPr>
      <w:r>
        <w:rPr>
          <w:rFonts w:ascii="Arial" w:cs="Arial" w:eastAsia="Arial" w:hAnsi="Arial"/>
          <w:sz w:val="16"/>
          <w:szCs w:val="16"/>
          <w:color w:val="auto"/>
        </w:rPr>
        <w:t>On December 27, 2016, we entered into an equity distribution agreement pursuant to which we may, from time to time through sales agents, sell Class A shares representing limited partnership interests having an aggregate offering price of up to $500 million (the "PAGP Continuous Offering Program"). We did not issue any Class A shares prior to December 31, 2016. Subsequent to December 31, 2016, we issued approximately 1.8 million Class A shares, generating proceeds of approximately $60 million, net of $1 million of commissions to sales agents. Pursuant to the Omnibus Agreement, we used the net proceeds from the sale of these Class A shares to purchase an equal number of AAP units from AAP, and AAP in turn used the net proceeds from the sale of such AAP units to purchase an equal number of common units from PAA.</w:t>
      </w:r>
    </w:p>
    <w:p>
      <w:pPr>
        <w:spacing w:after="0" w:line="174"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On November 30, 2016, PAA entered into an equity distribution agreement pursuant to which it may, from time to time through sales agents, sell PAA common units with an aggregate offering price of up to $750 million (the "PAA Continuous Offering Program"). Subsequent to December 31, 2016, PAA has issued approximately 4.0 million PAA common units under the PAA Continuous Offering Program, generating proceeds of approximately $129 million, net of $1 million of commissions to sales agents.</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Other Activity</w:t>
      </w:r>
    </w:p>
    <w:p>
      <w:pPr>
        <w:spacing w:after="0" w:line="225"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During the first quarter of 2017, we completed the sale of an undivided interest in a segment of our Red River Pipeline for proceeds of approximately $70 million. In addition, we entered into definitive agreements to sell two non-core assets for aggregate proceeds of approximately $310 million. These remaining sales transactions include a natural gas storage facility and a non-core pipeline segment. We expect the remaining sales transactions to close during the first half of 2017, subject to customary closing conditions, including receipt of regulatory approvals.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left="240" w:firstLine="351"/>
        <w:spacing w:after="0" w:line="323" w:lineRule="auto"/>
        <w:rPr>
          <w:sz w:val="20"/>
          <w:szCs w:val="20"/>
          <w:color w:val="auto"/>
        </w:rPr>
      </w:pPr>
      <w:r>
        <w:rPr>
          <w:rFonts w:ascii="Arial" w:cs="Arial" w:eastAsia="Arial" w:hAnsi="Arial"/>
          <w:sz w:val="15"/>
          <w:szCs w:val="15"/>
          <w:color w:val="auto"/>
        </w:rPr>
        <w:t xml:space="preserve">Our principal executive offices are located at 333 Clay Street, Suite 1600, Houston, TX 77002 and our telephone number is (713) 646-4100. Our website is located at </w:t>
      </w:r>
      <w:r>
        <w:rPr>
          <w:rFonts w:ascii="Arial" w:cs="Arial" w:eastAsia="Arial" w:hAnsi="Arial"/>
          <w:sz w:val="15"/>
          <w:szCs w:val="15"/>
          <w:i w:val="1"/>
          <w:iCs w:val="1"/>
          <w:color w:val="auto"/>
        </w:rPr>
        <w:t>ir.pagp.com</w:t>
      </w:r>
      <w:r>
        <w:rPr>
          <w:rFonts w:ascii="Arial" w:cs="Arial" w:eastAsia="Arial" w:hAnsi="Arial"/>
          <w:sz w:val="15"/>
          <w:szCs w:val="15"/>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right="200" w:firstLine="351"/>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2016,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98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rPr>
              <w:t>The Offering</w:t>
            </w:r>
          </w:p>
        </w:tc>
      </w:tr>
      <w:tr>
        <w:trPr>
          <w:trHeight w:val="426"/>
        </w:trPr>
        <w:tc>
          <w:tcPr>
            <w:tcW w:w="29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Class A Shares Offered</w:t>
            </w: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6"/>
              </w:rPr>
              <w:t>42,000,000 Class A shares; (48,300,000 Class A shares if the underwriters exercise in full their option to</w:t>
            </w:r>
          </w:p>
        </w:tc>
      </w:tr>
      <w:tr>
        <w:trPr>
          <w:trHeight w:val="222"/>
        </w:trPr>
        <w:tc>
          <w:tcPr>
            <w:tcW w:w="298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purchase additional Class A shares).</w:t>
            </w:r>
          </w:p>
        </w:tc>
      </w:tr>
      <w:tr>
        <w:trPr>
          <w:trHeight w:val="426"/>
        </w:trPr>
        <w:tc>
          <w:tcPr>
            <w:tcW w:w="29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Class A Shares Outstanding After</w:t>
            </w: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145,277,067 Class A shares (151,577,067 Class A shares if the underwriters exercise in full their option to</w:t>
            </w:r>
          </w:p>
        </w:tc>
      </w:tr>
      <w:tr>
        <w:trPr>
          <w:trHeight w:val="222"/>
        </w:trPr>
        <w:tc>
          <w:tcPr>
            <w:tcW w:w="298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This Offering</w:t>
            </w: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purchase additional Class A shares).</w:t>
            </w:r>
          </w:p>
        </w:tc>
      </w:tr>
      <w:tr>
        <w:trPr>
          <w:trHeight w:val="426"/>
        </w:trPr>
        <w:tc>
          <w:tcPr>
            <w:tcW w:w="29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We expect the net proceeds of this offering will be approximately $1.282 billion, after deducting the</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underwriters' discounts and commissions and estimated offering expenses. Pursuant to the Omnibus</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89"/>
              </w:rPr>
              <w:t>Agreement, we have agreed to use the net proceeds, after deducting the sales agents commissions and offering</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expenses, from any public or private offering and sale of Class A shares, including this offering, to purchase</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5"/>
              </w:rPr>
              <w:t>from AAP a number of AAP Class A units equal to the number of Class A shares sold in such offering at a</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price equal to the net proceeds from such offering. The Omnibus Agreement also provides that immediately</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following such purchase and sale, AAP will use the net proceeds it receives from such sale of AAP Class A</w:t>
            </w:r>
          </w:p>
        </w:tc>
      </w:tr>
      <w:tr>
        <w:trPr>
          <w:trHeight w:val="222"/>
        </w:trPr>
        <w:tc>
          <w:tcPr>
            <w:tcW w:w="298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units to us to purchase from PAA an equivalent number of PAA common units.</w:t>
            </w:r>
          </w:p>
        </w:tc>
      </w:tr>
      <w:tr>
        <w:trPr>
          <w:trHeight w:val="426"/>
        </w:trPr>
        <w:tc>
          <w:tcPr>
            <w:tcW w:w="298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6"/>
              </w:rPr>
              <w:t>PAA is expected to use the net proceeds it receives from the sale of such common units to AAP to repay</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9"/>
              </w:rPr>
              <w:t>outstanding borrowings under its senior unsecured revolving credit facility and for general partnership</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purposes, which may include, among other things, repayment of indebtedness, acquisitions, capital</w:t>
            </w:r>
          </w:p>
        </w:tc>
      </w:tr>
      <w:tr>
        <w:trPr>
          <w:trHeight w:val="222"/>
        </w:trPr>
        <w:tc>
          <w:tcPr>
            <w:tcW w:w="298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expenditures and additions to working capital.</w:t>
            </w:r>
          </w:p>
        </w:tc>
      </w:tr>
      <w:tr>
        <w:trPr>
          <w:trHeight w:val="426"/>
        </w:trPr>
        <w:tc>
          <w:tcPr>
            <w:tcW w:w="298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2"/>
              </w:rPr>
              <w:t>Amounts repaid under PAA's senior unsecured revolving credit facility may be reborrowed to fund its ongoing</w:t>
            </w:r>
          </w:p>
        </w:tc>
      </w:tr>
      <w:tr>
        <w:trPr>
          <w:trHeight w:val="216"/>
        </w:trPr>
        <w:tc>
          <w:tcPr>
            <w:tcW w:w="29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89"/>
              </w:rPr>
              <w:t>expansion capital program, future acquisitions and investments or for general partnership purposes. Please read</w:t>
            </w:r>
          </w:p>
        </w:tc>
      </w:tr>
      <w:tr>
        <w:trPr>
          <w:trHeight w:val="222"/>
        </w:trPr>
        <w:tc>
          <w:tcPr>
            <w:tcW w:w="298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"Use of Proceeds" in this prospectus supplement for further information.</w:t>
            </w:r>
          </w:p>
        </w:tc>
      </w:tr>
      <w:tr>
        <w:trPr>
          <w:trHeight w:val="444"/>
        </w:trPr>
        <w:tc>
          <w:tcPr>
            <w:tcW w:w="298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r>
        <w:trPr>
          <w:trHeight w:val="427"/>
        </w:trPr>
        <w:tc>
          <w:tcPr>
            <w:tcW w:w="2980" w:type="dxa"/>
            <w:vAlign w:val="bottom"/>
          </w:tcPr>
          <w:p>
            <w:pPr>
              <w:spacing w:after="0"/>
              <w:rPr>
                <w:sz w:val="24"/>
                <w:szCs w:val="24"/>
                <w:color w:val="auto"/>
              </w:rPr>
            </w:pPr>
          </w:p>
        </w:tc>
        <w:tc>
          <w:tcPr>
            <w:tcW w:w="8440" w:type="dxa"/>
            <w:vAlign w:val="bottom"/>
          </w:tcPr>
          <w:p>
            <w:pPr>
              <w:ind w:left="2620"/>
              <w:spacing w:after="0"/>
              <w:rPr>
                <w:sz w:val="20"/>
                <w:szCs w:val="20"/>
                <w:color w:val="auto"/>
              </w:rPr>
            </w:pPr>
            <w:r>
              <w:rPr>
                <w:rFonts w:ascii="Arial" w:cs="Arial" w:eastAsia="Arial" w:hAnsi="Arial"/>
                <w:sz w:val="18"/>
                <w:szCs w:val="18"/>
                <w:color w:val="auto"/>
              </w:rPr>
              <w:t>S-4</w:t>
            </w:r>
          </w:p>
        </w:tc>
      </w:tr>
      <w:tr>
        <w:trPr>
          <w:trHeight w:val="228"/>
        </w:trPr>
        <w:tc>
          <w:tcPr>
            <w:tcW w:w="298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right"/>
        <w:ind w:right="1071"/>
        <w:spacing w:after="0"/>
        <w:rPr>
          <w:sz w:val="20"/>
          <w:szCs w:val="20"/>
          <w:color w:val="auto"/>
        </w:rPr>
      </w:pPr>
      <w:r>
        <w:rPr>
          <w:rFonts w:ascii="Arial" w:cs="Arial" w:eastAsia="Arial" w:hAnsi="Arial"/>
          <w:sz w:val="18"/>
          <w:szCs w:val="18"/>
          <w:color w:val="auto"/>
        </w:rPr>
        <w:t>Cash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 w:right="60"/>
        <w:spacing w:after="0" w:line="301" w:lineRule="auto"/>
        <w:rPr>
          <w:sz w:val="20"/>
          <w:szCs w:val="20"/>
          <w:color w:val="auto"/>
        </w:rPr>
      </w:pPr>
      <w:r>
        <w:rPr>
          <w:rFonts w:ascii="Arial" w:cs="Arial" w:eastAsia="Arial" w:hAnsi="Arial"/>
          <w:sz w:val="15"/>
          <w:szCs w:val="15"/>
          <w:color w:val="auto"/>
        </w:rPr>
        <w:t>Our partnership agreement requires that within 55 days following the end of each quarter, we distribute all of our available cash to Class A shareholders of record upon the applicable record date. 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 (i) comply with applicable law or any agreement binding upon us or our subsidiaries (exclusive of PAA and its subsidiaries), (ii) provide funds for future distributions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-1103630</wp:posOffset>
            </wp:positionV>
            <wp:extent cx="7250430" cy="3871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1595"/>
                    </a:xfrm>
                    <a:prstGeom prst="rect">
                      <a:avLst/>
                    </a:prstGeom>
                    <a:noFill/>
                  </pic:spPr>
                </pic:pic>
              </a:graphicData>
            </a:graphic>
          </wp:anchor>
        </w:drawing>
      </w:r>
    </w:p>
    <w:p>
      <w:pPr>
        <w:ind w:left="9" w:hanging="9"/>
        <w:spacing w:after="0" w:line="292" w:lineRule="auto"/>
        <w:tabs>
          <w:tab w:leader="none" w:pos="317"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for future capital expenditures, debt service and other credit needs as well as any federal, state, provincial or other income tax that may affect the Partnership in the future or (iv) provide for the proper conduct of our business, including with respect to the matters described under "The Partnership Agreement" of the accompanying base prospectus. For a description of our cash distribution policy, please read "Cash Distribution Policy" in the accompanying base prospectus.</w:t>
      </w:r>
    </w:p>
    <w:p>
      <w:pPr>
        <w:spacing w:after="0" w:line="171" w:lineRule="exact"/>
        <w:rPr>
          <w:sz w:val="20"/>
          <w:szCs w:val="20"/>
          <w:color w:val="auto"/>
        </w:rPr>
      </w:pPr>
    </w:p>
    <w:p>
      <w:pPr>
        <w:ind w:left="9" w:right="40"/>
        <w:spacing w:after="0" w:line="254" w:lineRule="auto"/>
        <w:rPr>
          <w:sz w:val="20"/>
          <w:szCs w:val="20"/>
          <w:color w:val="auto"/>
        </w:rPr>
      </w:pPr>
      <w:r>
        <w:rPr>
          <w:rFonts w:ascii="Arial" w:cs="Arial" w:eastAsia="Arial" w:hAnsi="Arial"/>
          <w:sz w:val="18"/>
          <w:szCs w:val="18"/>
          <w:color w:val="auto"/>
        </w:rPr>
        <w:t>On February 14, 2017, we paid a quarterly cash distribution of $0.55 per unit ($2.20 per unit on an annualized basis) to holders of record of such Class A shares at the close of business on January 31, 2017. This distribution represented a year-over-year distribution decrease of approximately 11% over the quarterly distribution of $0.615 per Class A share ($2.46 per Class A share on an annualized basis) we paid in February 2016 and no increase over the quarterly distribution per Class A share we paid in November 2016 on a reverse split adjusted basis.</w:t>
      </w:r>
    </w:p>
    <w:p>
      <w:pPr>
        <w:spacing w:after="0" w:line="198" w:lineRule="exact"/>
        <w:rPr>
          <w:sz w:val="20"/>
          <w:szCs w:val="20"/>
          <w:color w:val="auto"/>
        </w:rPr>
      </w:pPr>
    </w:p>
    <w:p>
      <w:pPr>
        <w:ind w:left="9" w:right="40"/>
        <w:spacing w:after="0" w:line="256" w:lineRule="auto"/>
        <w:rPr>
          <w:sz w:val="20"/>
          <w:szCs w:val="20"/>
          <w:color w:val="auto"/>
        </w:rPr>
      </w:pPr>
      <w:r>
        <w:rPr>
          <w:rFonts w:ascii="Arial" w:cs="Arial" w:eastAsia="Arial" w:hAnsi="Arial"/>
          <w:sz w:val="18"/>
          <w:szCs w:val="18"/>
          <w:color w:val="auto"/>
        </w:rPr>
        <w:t>Cash distributions in respect of the first quarter 2017 have not been declared or paid. Because this offering is expected to close before the record date for the first quarter 2017 distribution, purchasers in this offering will be entitled to receive the first quarter 2017 distribution so long as they are holders of record on the record date for such distribution.</w:t>
      </w:r>
    </w:p>
    <w:p>
      <w:pPr>
        <w:spacing w:after="0" w:line="197" w:lineRule="exact"/>
        <w:rPr>
          <w:sz w:val="20"/>
          <w:szCs w:val="20"/>
          <w:color w:val="auto"/>
        </w:rPr>
      </w:pPr>
    </w:p>
    <w:p>
      <w:pPr>
        <w:sectPr>
          <w:pgSz w:w="11900" w:h="16838" w:orient="portrait"/>
          <w:cols w:equalWidth="0" w:num="2">
            <w:col w:w="2631" w:space="720"/>
            <w:col w:w="7789"/>
          </w:cols>
          <w:pgMar w:left="240" w:top="131" w:right="519" w:bottom="1440" w:gutter="0" w:footer="0" w:header="0"/>
        </w:sectPr>
      </w:pPr>
    </w:p>
    <w:p>
      <w:pPr>
        <w:ind w:left="240"/>
        <w:spacing w:after="0"/>
        <w:tabs>
          <w:tab w:leader="none" w:pos="3340" w:val="left"/>
        </w:tabs>
        <w:rPr>
          <w:sz w:val="20"/>
          <w:szCs w:val="20"/>
          <w:color w:val="auto"/>
        </w:rPr>
      </w:pPr>
      <w:r>
        <w:rPr>
          <w:rFonts w:ascii="Arial" w:cs="Arial" w:eastAsia="Arial" w:hAnsi="Arial"/>
          <w:sz w:val="18"/>
          <w:szCs w:val="18"/>
          <w:color w:val="auto"/>
        </w:rPr>
        <w:t>Exchange Listing</w:t>
      </w:r>
      <w:r>
        <w:rPr>
          <w:sz w:val="20"/>
          <w:szCs w:val="20"/>
          <w:color w:val="auto"/>
        </w:rPr>
        <w:tab/>
      </w:r>
      <w:r>
        <w:rPr>
          <w:rFonts w:ascii="Arial" w:cs="Arial" w:eastAsia="Arial" w:hAnsi="Arial"/>
          <w:sz w:val="15"/>
          <w:szCs w:val="15"/>
          <w:color w:val="auto"/>
        </w:rPr>
        <w:t>Our Class A shares are traded on the NYSE under the symbol "PAGP."</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Before making an investment in the Class A shares offered hereby, you should carefully consider the risk factors included in Item 1A. "Risk Factors" of our Annual Report on Form 10-K for the fiscal year ended December 31, 2016 (File No. 001-36132),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Class A shares could decline, and you could lose all or part of your investment.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expect the net proceeds of this offering will be approximately $1.282 billion, after deducting the underwriting discounts and commissions and estimated offering expenses. Pursuant to the Omnibus Agreement, we have agreed to use the net proceeds from any public or private offering and sale of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us to purchase from PAA an equivalent number of common units of PAA.</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PAA is expected to use the net proceeds it receives from the sale of such common units to AAP to repay outstanding borrowings under its senior unsecured revolving credit facility and for general partnership purposes, including acquisitions, joint venture investments and other expansion capital expenditures. Amounts repaid under PAA's unsecured revolving credit facility may be reborrowed to fund its ongoing expansion capital program, future acquisitions and investments or for general partnership purposes.</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Affiliates of certain of the underwriters are lenders under PAA's senior unsecured revolving credit facility. In accordance with PAA's expected use of proceeds from the sale of common units to AAP as a result of concurrent sales of Class A shares pursuant to this offering (as provided in the Omnibus Agreement) to repay indebtedness under its senior unsecured revolving credit facility, such affiliates may receive a portion of the net proceeds from this offering. Please read "Underwriting" in this prospectus supplement for further information.</w:t>
      </w:r>
    </w:p>
    <w:p>
      <w:pPr>
        <w:spacing w:after="0" w:line="19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February 22, 2017, PAA had approximately $1.0 billion of borrowings outstanding under its senior unsecured revolving credit facility with a weighted average interest rate of 1.99%. PAA's senior unsecured revolving credit facility matures in August 2021. Borrowings under PAA's senior unsecured revolving credit facility were used to finance the ACC Acquisition.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CLASS A SHARES AND DISTRIBUTIONS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Class A shares are listed and traded on the NYSE under the symbol "PAGP." As of February 22, 2017, the closing market price for our Class A shares was $31.31 per share and there were approximately 38,000 record holders and beneficial owners (held in street name). As of February 22, 2017, there were 103,277,067 Class A shares outstanding.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high and low sales prices for our Class A shares and the cash distributions declared per Class A share for the periods indicated.</w:t>
      </w:r>
    </w:p>
    <w:p>
      <w:pPr>
        <w:spacing w:after="0" w:line="3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234"/>
              <w:spacing w:after="0"/>
              <w:rPr>
                <w:sz w:val="20"/>
                <w:szCs w:val="20"/>
                <w:color w:val="auto"/>
              </w:rPr>
            </w:pPr>
            <w:r>
              <w:rPr>
                <w:rFonts w:ascii="Arial" w:cs="Arial" w:eastAsia="Arial" w:hAnsi="Arial"/>
                <w:sz w:val="14"/>
                <w:szCs w:val="14"/>
                <w:b w:val="1"/>
                <w:bCs w:val="1"/>
                <w:color w:val="auto"/>
              </w:rPr>
              <w:t>Class A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Range</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1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4"/>
            <w:vMerge w:val="continue"/>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 Share(1)(2)</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1st Quarter (through February 22, 2017)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35.58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4th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36.59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2nd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30.70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3rd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70.94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2"/>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1st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77.12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300" w:hanging="540"/>
        <w:spacing w:after="0" w:line="268" w:lineRule="auto"/>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distributions associated with the quarter presented. These distributions were declared and paid in the following calendar quarter.</w:t>
      </w:r>
    </w:p>
    <w:p>
      <w:pPr>
        <w:spacing w:after="0" w:line="212" w:lineRule="exact"/>
        <w:rPr>
          <w:rFonts w:ascii="Arial" w:cs="Arial" w:eastAsia="Arial" w:hAnsi="Arial"/>
          <w:sz w:val="18"/>
          <w:szCs w:val="18"/>
          <w:color w:val="auto"/>
        </w:rPr>
      </w:pPr>
    </w:p>
    <w:p>
      <w:pPr>
        <w:ind w:left="2260" w:right="200" w:hanging="540"/>
        <w:spacing w:after="0" w:line="268" w:lineRule="auto"/>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historical distributions have been adjusted to give effect to the 1:2.663 reverse split that occurred on November 15, 2016 in connection with the closing of the Simplification Agreement.</w:t>
      </w:r>
    </w:p>
    <w:p>
      <w:pPr>
        <w:spacing w:after="0" w:line="199" w:lineRule="exact"/>
        <w:rPr>
          <w:rFonts w:ascii="Arial" w:cs="Arial" w:eastAsia="Arial" w:hAnsi="Arial"/>
          <w:sz w:val="18"/>
          <w:szCs w:val="18"/>
          <w:color w:val="auto"/>
        </w:rPr>
      </w:pPr>
    </w:p>
    <w:p>
      <w:pPr>
        <w:ind w:left="2260" w:right="80" w:hanging="540"/>
        <w:spacing w:after="0" w:line="306" w:lineRule="auto"/>
        <w:tabs>
          <w:tab w:leader="none" w:pos="2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distributions in respect of the first quarter 2017 have not been declared or paid. Because this offering is expected to close before the record date for the first quarter 2017 distribution, purchasers in this offering will be entitled to receive the first quarter 2017 distribution so long as they are holders of record on the record date for such distribution.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2016:</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historical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adjusted basis to give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ACC Acquisition; and</w:t>
      </w:r>
    </w:p>
    <w:p>
      <w:pPr>
        <w:spacing w:after="0" w:line="238" w:lineRule="exact"/>
        <w:rPr>
          <w:rFonts w:ascii="Arial" w:cs="Arial" w:eastAsia="Arial" w:hAnsi="Arial"/>
          <w:sz w:val="18"/>
          <w:szCs w:val="18"/>
          <w:color w:val="auto"/>
        </w:rPr>
      </w:pPr>
    </w:p>
    <w:p>
      <w:pPr>
        <w:ind w:left="1620" w:right="100" w:hanging="532"/>
        <w:spacing w:after="0" w:line="256"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(i) 1.8 million Class A shares under the PAGP Continuous Offering Program, plus the corresponding issuance of 1.8 million PAA common units pursuant to the Omnibus Agreement, and (ii) 4.0 million PAA common units under PAA's Continuous Offering Program, each after December 31, 2016, generating aggregate proceeds of approximately $190 million, net of commissions to our sales agents;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the sale of the Class A shares offered hereby and the application of the net proceeds therefrom as described under "Use of Proceeds" in this prospectus supplement, net of offering expenses.</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As further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DEBT(1)(2)(3)</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PAA commercial paper notes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PAA senior secured hedged inventory facility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PAA senior notes: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6.13% senior notes due January 2017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Total short-term debt</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DEBT(3)</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w w:val="96"/>
              </w:rPr>
              <w:t>PAA Senior notes, net of unamortized discounts and debt issuance cost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9,874</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PAA commercial paper notes(1)(2)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PAA senior unsecured revolving credit facility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Total long-term debt</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PARTNERS' CAPITAL</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Class A shareholders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Total partners' capital</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capitalization</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20,831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22,046</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35" w:lineRule="auto"/>
        <w:tabs>
          <w:tab w:leader="none" w:pos="1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PAA commercial paper notes are backstopped by the PAA senior unsecured revolving credit facility and the PAA senior secured hedged inventory facility, which mature in August 2021 and August 2019, respectively; as such, any borrowings under the PAA commercial paper program reduce the available capacity under these facilities. As of December 31, 2016, we classified $563 million of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40"/>
        <w:spacing w:after="0" w:line="323" w:lineRule="auto"/>
        <w:rPr>
          <w:sz w:val="20"/>
          <w:szCs w:val="20"/>
          <w:color w:val="auto"/>
        </w:rPr>
      </w:pPr>
      <w:r>
        <w:rPr>
          <w:rFonts w:ascii="Arial" w:cs="Arial" w:eastAsia="Arial" w:hAnsi="Arial"/>
          <w:sz w:val="15"/>
          <w:szCs w:val="15"/>
          <w:color w:val="auto"/>
        </w:rPr>
        <w:t>borrowings under PAA's commercial paper program as short-term debt, as these borrowings were primarily designated as working capital borrowings, were required to be repaid within one year and were primarily for hedged NGL and crude oil inventory and NYMEX and ICE margin deposits. As of December 31, 2016, we classified $247 million of the borrowings under PAA's commercial paper program as long-term based on PAA's ability and intent to refinance these commercial paper notes on a long-term basis under its credit facilities.</w:t>
      </w:r>
    </w:p>
    <w:p>
      <w:pPr>
        <w:spacing w:after="0" w:line="165" w:lineRule="exact"/>
        <w:rPr>
          <w:sz w:val="20"/>
          <w:szCs w:val="20"/>
          <w:color w:val="auto"/>
        </w:rPr>
      </w:pPr>
    </w:p>
    <w:p>
      <w:pPr>
        <w:ind w:left="1680" w:right="20" w:hanging="531"/>
        <w:spacing w:after="0" w:line="253"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PAA's commercial paper program and PAA's senior secured hedged inventory facility. On a historical, as adjusted and as further adjusted basis as of December 31, 2016, $247 million was outstanding for PMCULC under PAA's commercial paper program and $600 million was outstanding for PMCULC under PAA's senior secured hedged inventory facility. As of February 22, 2017, PAA had approximately $962 million of borrowings outstanding under its commercial paper program, $1.125 billion of borrowings outstanding under its senior secured hedged inventory facility, $1.0 billion of borrowings outstanding under its senior unsecured revolving credit facility and no borrowings under its senior unsecured 364-day revolving credit facility.</w:t>
      </w:r>
    </w:p>
    <w:p>
      <w:pPr>
        <w:spacing w:after="0" w:line="228" w:lineRule="exact"/>
        <w:rPr>
          <w:rFonts w:ascii="Arial" w:cs="Arial" w:eastAsia="Arial" w:hAnsi="Arial"/>
          <w:sz w:val="18"/>
          <w:szCs w:val="18"/>
          <w:color w:val="auto"/>
        </w:rPr>
      </w:pPr>
    </w:p>
    <w:p>
      <w:pPr>
        <w:ind w:left="1680" w:hanging="531"/>
        <w:spacing w:after="0" w:line="290"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PAA's fixed-rate senior notes (including current maturities) had a face value of approximately $10.3 billion as of December 31, 2016. We estimated the aggregate fair value of these notes as of December 31, 2016 to be approximately $10.4 billion. PAA's fixed-rate senior notes are traded among institutions, and these trades are routinely published by a reporting service. Our determination of fair value is based on reported trading activity near year end.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Subject to the terms and conditions set forth in an underwriting agreement between us and Citigroup Global Markets Inc., as sole book-running manager and representative of the underwriters named below (the "underwriters"), we have agreed to sell to the underwriters and the underwriters have agreed, severally and not jointly, to purchase the number of Class A shares listed next to its name in the following table: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Class A Shares to</w:t>
            </w:r>
          </w:p>
        </w:tc>
        <w:tc>
          <w:tcPr>
            <w:tcW w:w="0" w:type="dxa"/>
            <w:vAlign w:val="bottom"/>
          </w:tcPr>
          <w:p>
            <w:pPr>
              <w:spacing w:after="0"/>
              <w:rPr>
                <w:sz w:val="1"/>
                <w:szCs w:val="1"/>
                <w:color w:val="auto"/>
              </w:rPr>
            </w:pPr>
          </w:p>
        </w:tc>
      </w:t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1220" w:type="dxa"/>
            <w:vAlign w:val="bottom"/>
          </w:tcPr>
          <w:p>
            <w:pPr>
              <w:jc w:val="right"/>
              <w:spacing w:after="0"/>
              <w:rPr>
                <w:sz w:val="20"/>
                <w:szCs w:val="20"/>
                <w:color w:val="auto"/>
              </w:rPr>
            </w:pPr>
            <w:r>
              <w:rPr>
                <w:rFonts w:ascii="Arial" w:cs="Arial" w:eastAsia="Arial" w:hAnsi="Arial"/>
                <w:sz w:val="18"/>
                <w:szCs w:val="18"/>
                <w:color w:val="auto"/>
              </w:rPr>
              <w:t>853,448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220" w:type="dxa"/>
            <w:vAlign w:val="bottom"/>
          </w:tcPr>
          <w:p>
            <w:pPr>
              <w:jc w:val="right"/>
              <w:spacing w:after="0"/>
              <w:rPr>
                <w:sz w:val="20"/>
                <w:szCs w:val="20"/>
                <w:color w:val="auto"/>
              </w:rPr>
            </w:pPr>
            <w:r>
              <w:rPr>
                <w:rFonts w:ascii="Arial" w:cs="Arial" w:eastAsia="Arial" w:hAnsi="Arial"/>
                <w:sz w:val="18"/>
                <w:szCs w:val="18"/>
                <w:color w:val="auto"/>
              </w:rPr>
              <w:t>426,724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220" w:type="dxa"/>
            <w:vAlign w:val="bottom"/>
          </w:tcPr>
          <w:p>
            <w:pPr>
              <w:jc w:val="right"/>
              <w:spacing w:after="0"/>
              <w:rPr>
                <w:sz w:val="20"/>
                <w:szCs w:val="20"/>
                <w:color w:val="auto"/>
              </w:rPr>
            </w:pPr>
            <w:r>
              <w:rPr>
                <w:rFonts w:ascii="Arial" w:cs="Arial" w:eastAsia="Arial" w:hAnsi="Arial"/>
                <w:sz w:val="18"/>
                <w:szCs w:val="18"/>
                <w:color w:val="auto"/>
              </w:rPr>
              <w:t>426,724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Fifth Third Securities, Inc.</w:t>
            </w:r>
          </w:p>
        </w:tc>
        <w:tc>
          <w:tcPr>
            <w:tcW w:w="1220" w:type="dxa"/>
            <w:vAlign w:val="bottom"/>
          </w:tcPr>
          <w:p>
            <w:pPr>
              <w:jc w:val="right"/>
              <w:spacing w:after="0"/>
              <w:rPr>
                <w:sz w:val="20"/>
                <w:szCs w:val="20"/>
                <w:color w:val="auto"/>
              </w:rPr>
            </w:pPr>
            <w:r>
              <w:rPr>
                <w:rFonts w:ascii="Arial" w:cs="Arial" w:eastAsia="Arial" w:hAnsi="Arial"/>
                <w:sz w:val="18"/>
                <w:szCs w:val="18"/>
                <w:color w:val="auto"/>
              </w:rPr>
              <w:t>284,483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220" w:type="dxa"/>
            <w:vAlign w:val="bottom"/>
          </w:tcPr>
          <w:p>
            <w:pPr>
              <w:jc w:val="right"/>
              <w:spacing w:after="0"/>
              <w:rPr>
                <w:sz w:val="20"/>
                <w:szCs w:val="20"/>
                <w:color w:val="auto"/>
              </w:rPr>
            </w:pPr>
            <w:r>
              <w:rPr>
                <w:rFonts w:ascii="Arial" w:cs="Arial" w:eastAsia="Arial" w:hAnsi="Arial"/>
                <w:sz w:val="18"/>
                <w:szCs w:val="18"/>
                <w:color w:val="auto"/>
              </w:rPr>
              <w:t>284,483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vMerge w:val="continue"/>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42,000,000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underwriters to purchase the Class A shares included in this offering are subject to approval of legal matters by counsel and to other conditions. Under the terms of the underwriting agreement, the underwriters are committed to purchase all of the Class A shares (other than those covered by the underwriters' option to purchase additional Class A shares described below).</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Greg L. Armstrong, Chairman, Chief Executive Officer and Director of the board of directors of our general partner, has informed us that he intends to purchase up to approximately 50,000 Class A shares in this offering. However, there can be no assurance that Mr. Armstrong will participate in this offering, and if he does participate, there can be no assurance as to the number of shares that Mr. Armstrong will purchase.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underwriters may receive from purchasers of Class A shares normal brokerage commissions in amounts agreed with such purchasers. The underwriters may offer the Class A shares from time to time for sale in one or more transactions on the NYSE, in the over-the-counter market, through negotiated transactions or otherwise at market prices prevailing at the time of sale, at prices related to prevailing market prices or at negotiated prices, subject to receipt and acceptance by it and subject to its right to reject any order in whole or in part. In connection with the sale of the Class A shares offered hereby, the underwriters may be deemed to have received compensation in the form of underwriting discounts and commissions. The underwriters may effect such transactions by selling Class A shares to or through dealers, and such dealers may receive compensation in the form of discounts, concessions or commissions from the underwriters and/or purchasers of Class A shares for whom they may act as agents or to whom they may sell as principal.</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6,300,000 additional Class A shares at the public offering price less the underwriting discounts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 xml:space="preserve">We, PAA, our general partner, certain officers and directors of our general partner and certain of their affiliates have agreed that, for a period of 60 days from the date of this prospectus supplement, we and they will not, without the prior written consent of Citigroup Global Markets Inc., offer, sell, contract to sell, pledge or otherwise dispose of any Class A shares, PAA common units or any securities convertible into, or exercisable or exchangeable for or that represent the right to receive Class A shares, PAA common units or any securities that are senior to or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Class A shares or PAA common units, including the grant of any options or warrants to purchase Class A shares. Certain Kayne Anderson entities, which collectively own approximately 6.1 million Class A shares and approximately 9.9 million PAA common units and which are affiliated with Robert V. Sinnott, a director of our general partner, are not subject to this agreement and may sell some or all of their Class A shares and PAA common units during the lock-up period. In addition, approximately 2.0 million Class A shares and/or PAA common units owned by certain Kayne Anderson entities attributable to unaffiliated limited partners of such entities are not subject to this agreement. This agreement also will not apply to (i) grants under existing employee benefit plans (including long-term incentive plans adopted by our general partner, PAA GP, Plains AAP, L.P. or Plains All American GP LLC), (ii) issuances of Class A shares, PAA common units or any securities convertible or exchangeable into Class A shares or PAA common units as payment of any part of the purchase price in connection with acquisitions by us and our affiliates or any third parties (with any transferees in such acquisitions agreeing to be bound by the lock-up agreement for the remainder of the term), (iii) certain sales of Class A shares or PAA common units by the officers or directors of the company that controls our general partner to pay tax liabilities associated with the vesting of units, (iv) transfers of Class A shares or PAA common units by the officers and directors of our general partner in connection with gifts or charitable donations, (v) issuances or deliveries of Class A shares or PAA common units in connection with the conversion, vesting or exercise of securities (including long-term incentive plan awards and the right of holders of AAP Class A units to exchange such AAP Class A Units and our Class B shares for our Class A shares) currently outstanding,</w:t>
      </w:r>
    </w:p>
    <w:p>
      <w:pPr>
        <w:spacing w:after="0" w:line="3" w:lineRule="exact"/>
        <w:rPr>
          <w:sz w:val="20"/>
          <w:szCs w:val="20"/>
          <w:color w:val="auto"/>
        </w:rPr>
      </w:pPr>
    </w:p>
    <w:p>
      <w:pPr>
        <w:ind w:right="420" w:firstLine="8"/>
        <w:spacing w:after="0" w:line="323" w:lineRule="auto"/>
        <w:tabs>
          <w:tab w:leader="none" w:pos="2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issuances of PAA common units to AAP pursuant to the Omnibus Agreement in connection with this offering. Citigroup Global Markets Inc., in its sole discretion, may release any of the Class A shares or PAA common units subject to these lock-up agreements at any time without notice.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NYSE under the symbol "PAGP."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offering, the underwriters may purchase and sell Class A shares in the open market. These transactions may include short sales, syndicate covering transactions and stabilizing transactions. Short sales involve syndicate sales of Class A shares in excess of the number of Class A shares to be purchased by the underwriters in the offering, which creates a syndicate short position. "Covered" short sales are sales of Class A shares made in an amount up to the number of Class A shares represented by the underwriters' option to purchase additional Class A shares. In determining the source of Class A shares to close out the covered syndicate short position, the underwriters will consider, among other things, the price of Class A shares available for purchase in the open market as compared to the price at which they may purchase units through the option to purchase additional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Class A shares. Transactions to close out the covered syndicate short position involve either purchases of the Class A shares in the open market after the distribution has been completed or the exercise of the option to purchase additional Class A shares. The underwriters may also make "naked" short sales of Class A shares in excess of the option to purchase additional Class A shares. The underwriters must close out any naked short position by purchasing Class A shares in the open market. A naked short position is more likely to be created if the underwriters are concerned that there may be downward pressure on the price of the Class A shares in the open market after pricing that could adversely affect investors who purchase in the offering. Stabilizing transactions consist of bids for or purchases of Class A shares in the open market while the offering is in progress.</w:t>
      </w:r>
    </w:p>
    <w:p>
      <w:pPr>
        <w:spacing w:after="0" w:line="174"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underwriters also may impose a penalty bid. Penalty bids permit the underwriters to reclaim a selling concession from a syndicate member when the underwriters repurchase Class A shares originally sold by that syndicate member in order to cover syndicate short positions or make stabilizing purchases.</w:t>
      </w:r>
    </w:p>
    <w:p>
      <w:pPr>
        <w:spacing w:after="0" w:line="116" w:lineRule="exact"/>
        <w:rPr>
          <w:sz w:val="20"/>
          <w:szCs w:val="20"/>
          <w:color w:val="auto"/>
        </w:rPr>
      </w:pPr>
    </w:p>
    <w:p>
      <w:pPr>
        <w:jc w:val="both"/>
        <w:ind w:right="80"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Class A shares. They may also cause the price of the Class A shares to be higher than the price that would otherwise exist in the open market in the absence of these transactions. The underwriters may conduct these transactions on the NYSE or in the over-the-counter market, or otherwise. If the underwriters commence any of these transactions, they may discontinue them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$500,000.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Affiliates of certain of the underwriters are lenders under PAA's senior unsecured revolving credit facility. In accordance with PAA's expected use of proceeds from the sale of common units to AAP as a result of concurrent sales of Class A shares pursuant to this offering (as provided in the Omnibus Agreement) to repay indebtedness under its senior unsecured revolving credit facility, such affiliates may receive a portion of the net proceeds from this offering.</w:t>
      </w:r>
    </w:p>
    <w:p>
      <w:pPr>
        <w:spacing w:after="0" w:line="14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underwriters or their affiliates have lending relationships with us, they may hedge their credit exposure to us consistent with their customary risk management policies.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jc w:val="center"/>
        <w:ind w:right="500"/>
        <w:spacing w:after="0" w:line="370" w:lineRule="auto"/>
        <w:rPr>
          <w:sz w:val="20"/>
          <w:szCs w:val="20"/>
          <w:color w:val="auto"/>
        </w:rPr>
      </w:pPr>
      <w:r>
        <w:rPr>
          <w:rFonts w:ascii="Arial" w:cs="Arial" w:eastAsia="Arial" w:hAnsi="Arial"/>
          <w:sz w:val="15"/>
          <w:szCs w:val="15"/>
          <w:color w:val="auto"/>
        </w:rPr>
        <w:t>This prospectus supplement and the accompanying base prospectus in electronic format may be made available on the website maintained by the underwriters. The underwriters may agree to allocate a number of Class A shares for sale to their online brokerage account holders. The Class A shares will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be allocated to the underwriters, which may make Internet distributions on the same basis as other allocations. In addition, Class A shares may be sold by the underwriters to securities dealers who resell Class A shares to online brokerage account holders.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underwriters is not part of this prospectus supplement or the accompanying base prospectus or registration statement of which the accompanying base prospectus forms a part, has not been endorsed by us and should not be relied on by investors in deciding whether to purchase Class A shares. The underwriters are not responsible for information contained in websites that they do not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validity of the Class A shares offered in this prospectus supplement will be passed upon for us by Vinson &amp; Elkins L.L.P., Houston, Texas. Certain legal matters will be passed upon for the underwriters by Baker Botts L.L.P., Houston, Texas.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2016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Class A shares contemplated by this prospectus supplement are complete:</w:t>
      </w:r>
    </w:p>
    <w:p>
      <w:pPr>
        <w:spacing w:after="0" w:line="20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and February 21, 2017;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52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w:t>
      </w:r>
    </w:p>
    <w:p>
      <w:pPr>
        <w:spacing w:after="0" w:line="13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not, and the underwriters and their affiliates and agents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Class A Shares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1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4" w:lineRule="exact"/>
        <w:rPr>
          <w:sz w:val="20"/>
          <w:szCs w:val="20"/>
          <w:color w:val="auto"/>
        </w:rPr>
      </w:pPr>
    </w:p>
    <w:p>
      <w:pPr>
        <w:jc w:val="both"/>
        <w:ind w:right="1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2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3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6"/>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6"/>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26">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516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Use of Proceeds</w:t>
              </w:r>
            </w:hyperlink>
          </w:p>
        </w:tc>
        <w:tc>
          <w:tcPr>
            <w:tcW w:w="4900" w:type="dxa"/>
            <w:vAlign w:val="bottom"/>
            <w:gridSpan w:val="12"/>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Our Cash Distribution Policy</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466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508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we may, over time, offer and sell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should help you understand some of the conventions used in this prospectus. All references in this prospectus to:</w:t>
      </w:r>
    </w:p>
    <w:p>
      <w:pPr>
        <w:spacing w:after="0" w:line="239" w:lineRule="exact"/>
        <w:rPr>
          <w:sz w:val="20"/>
          <w:szCs w:val="20"/>
          <w:color w:val="auto"/>
        </w:rPr>
      </w:pPr>
    </w:p>
    <w:p>
      <w:pPr>
        <w:ind w:left="1080" w:right="16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including, but not limited to: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5" w:lineRule="exact"/>
        <w:rPr>
          <w:rFonts w:ascii="Arial" w:cs="Arial" w:eastAsia="Arial" w:hAnsi="Arial"/>
          <w:sz w:val="16"/>
          <w:szCs w:val="16"/>
          <w:color w:val="auto"/>
        </w:rPr>
      </w:pPr>
    </w:p>
    <w:p>
      <w:pPr>
        <w:jc w:val="both"/>
        <w:ind w:left="1080" w:right="3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jc w:val="both"/>
        <w:ind w:right="70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rather than filed),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and February 21, 2017;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also make available free of charge on our website at ir.pagp.com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prospectus and you should not consider information contained on our website as part of this prospectus.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2016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We do not directly own any operating assets; our principal sources of cash flow are derived from our indirect investment in PAA. As of February 22, 2017, we directly and indirectly owned 103,277,067 Class A Units of AAP, which we refer to as AAP Class A units, which represented a 42.8% limited partner interest in AAP. AAP owns a non-economic general partner interest in PAA and, as of February 22, 2017, owned 243,391,545 common units of PAA. Our general partner, PAA GP Holdings LLC, has responsibility for managing the business and affairs of PAA, in addition to AAP and PAGP.</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2016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repayment of indebtedness, acquisitions, capital expenditures and additions to working capital.</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Pursuant to the Omnibus Agreement, we have agreed to use the net proceeds from any sale of Class A shares to purchase from AAP a number of AAP Class A units equal to the number of Class A shares sold at a price equal to the net proceeds from such sale. The Omnibus Agreement also provides that immediately following such purchase and sale, AAP will use the net proceeds it receives from such sale of AAP Class A units to PAGP to purchase from PAA an equivalent number of common units of PAA. It is anticipated that PAA will, in turn, use the net proceeds from such sale of common units to AAP for general partnership purposes, which may include, among other things, repayment of indebtedness, acquisitions, capital expenditures and additions to working capital.</w:t>
      </w:r>
    </w:p>
    <w:p>
      <w:pPr>
        <w:spacing w:after="0" w:line="170"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February 22, 2017, we directly and indirectly owned 103,277,067 AAP Class A units, which represented a 42.8% limited partnership interest in AAP. AAP owns a non-economic general partner interest in PAA and, as of February 22, 2017, owned 243,391,545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4"/>
              </w:rPr>
              <w:t>Issuance of additional shares (or other partnership</w:t>
            </w:r>
          </w:p>
        </w:tc>
        <w:tc>
          <w:tcPr>
            <w:tcW w:w="7540" w:type="dxa"/>
            <w:vAlign w:val="bottom"/>
          </w:tcPr>
          <w:p>
            <w:pPr>
              <w:spacing w:after="0"/>
              <w:rPr>
                <w:sz w:val="18"/>
                <w:szCs w:val="18"/>
                <w:color w:val="auto"/>
              </w:rPr>
            </w:pPr>
          </w:p>
        </w:tc>
      </w:tr>
      <w:tr>
        <w:trPr>
          <w:trHeight w:val="222"/>
        </w:trPr>
        <w:tc>
          <w:tcPr>
            <w:tcW w:w="38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Amendment of our partnership agreement</w:t>
            </w:r>
          </w:p>
        </w:tc>
        <w:tc>
          <w:tcPr>
            <w:tcW w:w="7540" w:type="dxa"/>
            <w:vAlign w:val="bottom"/>
          </w:tcPr>
          <w:p>
            <w:pPr>
              <w:ind w:left="300"/>
              <w:spacing w:after="0"/>
              <w:rPr>
                <w:sz w:val="20"/>
                <w:szCs w:val="20"/>
                <w:color w:val="auto"/>
              </w:rPr>
            </w:pPr>
            <w:r>
              <w:rPr>
                <w:rFonts w:ascii="Arial" w:cs="Arial" w:eastAsia="Arial" w:hAnsi="Arial"/>
                <w:sz w:val="18"/>
                <w:szCs w:val="18"/>
                <w:color w:val="auto"/>
                <w:w w:val="87"/>
              </w:rPr>
              <w:t>Amendments to our partnership agreement may be proposed only by or with the consent of our general</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6"/>
              </w:rPr>
              <w:t>partner. Certain amendments may be made by our general partner without the approval of our</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87"/>
              </w:rPr>
              <w:t>shareholders. Other amendments generally require the approval of a majority of our outstanding shares</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3"/>
              </w:rPr>
              <w:t>(including under certain circumstances, our Class C shares). Please read "—Amendments to Our</w:t>
            </w:r>
          </w:p>
        </w:tc>
      </w:tr>
      <w:tr>
        <w:trPr>
          <w:trHeight w:val="222"/>
        </w:trPr>
        <w:tc>
          <w:tcPr>
            <w:tcW w:w="3820" w:type="dxa"/>
            <w:vAlign w:val="bottom"/>
          </w:tcPr>
          <w:p>
            <w:pPr>
              <w:spacing w:after="0"/>
              <w:rPr>
                <w:sz w:val="19"/>
                <w:szCs w:val="19"/>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Partnership Agreement."</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Merger of our partnership or the sale of all or</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A majority of our outstanding shares in certain circumstances. Please read "—Merger, Sale or Other</w:t>
            </w:r>
          </w:p>
        </w:tc>
      </w:tr>
      <w:tr>
        <w:trPr>
          <w:trHeight w:val="222"/>
        </w:trPr>
        <w:tc>
          <w:tcPr>
            <w:tcW w:w="3820" w:type="dxa"/>
            <w:vAlign w:val="bottom"/>
          </w:tcPr>
          <w:p>
            <w:pPr>
              <w:ind w:left="180"/>
              <w:spacing w:after="0"/>
              <w:rPr>
                <w:sz w:val="20"/>
                <w:szCs w:val="20"/>
                <w:color w:val="auto"/>
              </w:rPr>
            </w:pPr>
            <w:r>
              <w:rPr>
                <w:rFonts w:ascii="Arial" w:cs="Arial" w:eastAsia="Arial" w:hAnsi="Arial"/>
                <w:sz w:val="18"/>
                <w:szCs w:val="18"/>
                <w:color w:val="auto"/>
              </w:rPr>
              <w:t>substantially all of our assets</w:t>
            </w:r>
          </w:p>
        </w:tc>
        <w:tc>
          <w:tcPr>
            <w:tcW w:w="7540" w:type="dxa"/>
            <w:vAlign w:val="bottom"/>
          </w:tcPr>
          <w:p>
            <w:pPr>
              <w:ind w:left="300"/>
              <w:spacing w:after="0"/>
              <w:rPr>
                <w:sz w:val="20"/>
                <w:szCs w:val="20"/>
                <w:color w:val="auto"/>
              </w:rPr>
            </w:pPr>
            <w:r>
              <w:rPr>
                <w:rFonts w:ascii="Arial" w:cs="Arial" w:eastAsia="Arial" w:hAnsi="Arial"/>
                <w:sz w:val="18"/>
                <w:szCs w:val="18"/>
                <w:color w:val="auto"/>
              </w:rPr>
              <w:t>Disposition of Assets."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Dissolution</w:t>
            </w:r>
          </w:p>
        </w:tc>
        <w:tc>
          <w:tcPr>
            <w:tcW w:w="7540" w:type="dxa"/>
            <w:vAlign w:val="bottom"/>
          </w:tcPr>
          <w:p>
            <w:pPr>
              <w:ind w:left="30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Reconstitution upon dissolution</w:t>
            </w:r>
          </w:p>
        </w:tc>
        <w:tc>
          <w:tcPr>
            <w:tcW w:w="7540" w:type="dxa"/>
            <w:vAlign w:val="bottom"/>
          </w:tcPr>
          <w:p>
            <w:pPr>
              <w:ind w:left="30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Withdrawal of our general partner</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 Please read "—Withdrawal or Removal of the General Partner."</w:t>
            </w:r>
          </w:p>
        </w:tc>
      </w:tr>
      <w:tr>
        <w:trPr>
          <w:trHeight w:val="466"/>
        </w:trPr>
        <w:tc>
          <w:tcPr>
            <w:tcW w:w="3820" w:type="dxa"/>
            <w:vAlign w:val="bottom"/>
          </w:tcPr>
          <w:p>
            <w:pPr>
              <w:spacing w:after="0"/>
              <w:rPr>
                <w:sz w:val="20"/>
                <w:szCs w:val="20"/>
                <w:color w:val="auto"/>
              </w:rPr>
            </w:pPr>
            <w:r>
              <w:rPr>
                <w:rFonts w:ascii="Arial" w:cs="Arial" w:eastAsia="Arial" w:hAnsi="Arial"/>
                <w:sz w:val="18"/>
                <w:szCs w:val="18"/>
                <w:color w:val="auto"/>
              </w:rPr>
              <w:t>Removal of our general partner</w:t>
            </w:r>
          </w:p>
        </w:tc>
        <w:tc>
          <w:tcPr>
            <w:tcW w:w="7540" w:type="dxa"/>
            <w:vAlign w:val="bottom"/>
          </w:tcPr>
          <w:p>
            <w:pPr>
              <w:ind w:left="300"/>
              <w:spacing w:after="0"/>
              <w:rPr>
                <w:sz w:val="20"/>
                <w:szCs w:val="20"/>
                <w:color w:val="auto"/>
              </w:rPr>
            </w:pPr>
            <w:r>
              <w:rPr>
                <w:rFonts w:ascii="Arial" w:cs="Arial" w:eastAsia="Arial" w:hAnsi="Arial"/>
                <w:sz w:val="18"/>
                <w:szCs w:val="18"/>
                <w:color w:val="auto"/>
                <w:w w:val="93"/>
              </w:rPr>
              <w:t>Not less than 66</w:t>
            </w:r>
            <w:r>
              <w:rPr>
                <w:rFonts w:ascii="Arial" w:cs="Arial" w:eastAsia="Arial" w:hAnsi="Arial"/>
                <w:sz w:val="29"/>
                <w:szCs w:val="29"/>
                <w:color w:val="auto"/>
                <w:w w:val="93"/>
                <w:vertAlign w:val="superscript"/>
              </w:rPr>
              <w:t>2</w:t>
            </w:r>
            <w:r>
              <w:rPr>
                <w:rFonts w:ascii="Arial" w:cs="Arial" w:eastAsia="Arial" w:hAnsi="Arial"/>
                <w:sz w:val="18"/>
                <w:szCs w:val="18"/>
                <w:color w:val="auto"/>
                <w:w w:val="93"/>
              </w:rPr>
              <w:t>/</w:t>
            </w:r>
            <w:r>
              <w:rPr>
                <w:rFonts w:ascii="Arial" w:cs="Arial" w:eastAsia="Arial" w:hAnsi="Arial"/>
                <w:sz w:val="14"/>
                <w:szCs w:val="14"/>
                <w:color w:val="auto"/>
                <w:w w:val="93"/>
              </w:rPr>
              <w:t>3</w:t>
            </w:r>
            <w:r>
              <w:rPr>
                <w:rFonts w:ascii="Arial" w:cs="Arial" w:eastAsia="Arial" w:hAnsi="Arial"/>
                <w:sz w:val="18"/>
                <w:szCs w:val="18"/>
                <w:color w:val="auto"/>
                <w:w w:val="93"/>
              </w:rPr>
              <w:t>% of our outstanding shares, including shares held by our general partner, the</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Legacy Owners and their respective affiliates. Please read "—Withdrawal or Removal of the General</w:t>
            </w:r>
          </w:p>
        </w:tc>
      </w:tr>
      <w:tr>
        <w:trPr>
          <w:trHeight w:val="222"/>
        </w:trPr>
        <w:tc>
          <w:tcPr>
            <w:tcW w:w="3820" w:type="dxa"/>
            <w:vAlign w:val="bottom"/>
          </w:tcPr>
          <w:p>
            <w:pPr>
              <w:spacing w:after="0"/>
              <w:rPr>
                <w:sz w:val="19"/>
                <w:szCs w:val="19"/>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Partner."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Transfer of the general partner interest</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 Please read "—Transfer of General Partner Interest."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2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settlement of or creation of a reserve for contingent liabilities;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 Public Election of Directors") unless any action by the shareholders requires approval by holders of a greater percentage of the shares, in which case the quorum will be the greater percentage.</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officers of our general partner that are serving as directors will not be included in a class or subject to election by our shareholders. In addition, the CEO of our general partner is automatically designated as the Chairman of the board of directors of our general partner. Furthermore, any director subject to appointment by the holders of PAA's Series A preferred units (as described below) will not be included in a class or subject to election by our shareholders. Each class of directors will serve a three-year term.</w:t>
      </w:r>
    </w:p>
    <w:p>
      <w:pPr>
        <w:spacing w:after="0" w:line="17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provided that 19.9% of the outstanding Class A shares, Class B shares and Class C shares beneficially owned by a greater than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 owner will be counted for purposes of determining a quorum for the election of our general partner's board of directors.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we would have the power to indemnify the person against liabilities under our partnership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or the Class C shares on any stock exchange. All of our Class B shares are owned by the Legacy Owners, including holders of the Class B Units of AAP (the "AAP management units") who have exchanged such AAP management units for AAP Class A units and a like number of Class B shares, or their permitted transferees. All of the Class C shares are owned by PAA.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2018 and 2019,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our Class A shares that is an individual, corporation, estate or trust that is not a U.S. holder as defined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In addition, the fiduciaries of any ERISA Plan with investment discretion with respect to the assets of an employee benefit plan should determine whether an investment in our Class A shares is authorized by the appropriate governing instrument and is a proper investment for the plan.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under certain circumstances. Under these rules, an entity's assets generally would not be considered to be "plan assets" if, among other things:</w:t>
      </w:r>
    </w:p>
    <w:p>
      <w:pPr>
        <w:spacing w:after="0" w:line="262" w:lineRule="exact"/>
        <w:rPr>
          <w:sz w:val="20"/>
          <w:szCs w:val="20"/>
          <w:color w:val="auto"/>
        </w:rPr>
      </w:pPr>
    </w:p>
    <w:p>
      <w:pPr>
        <w:ind w:left="1080" w:right="30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sell the Class A shares offered hereby through one or more underwriters on a firm commitment basis.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prospectus supplement with respect to any offering of Class A shares will set forth the terms of the offering, including: (i) the name or names of any underwriters; (ii) the purchase price of the Class A shares and the proceeds to us from the sale; (iii) any underwriting discounts and commissions and other items constituting underwriters' compensation; and (iv) any delayed delivery arrangements.</w:t>
      </w:r>
    </w:p>
    <w:p>
      <w:pPr>
        <w:spacing w:after="0" w:line="19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will enter into an underwriting agreement with the underwriters at the time of sale to them. We will set forth the names of these underwriters and the terms of the transaction in the prospectus supplement, which will be used by the underwriters to make resales of the Class A shares in respect of which this prospectus is delivered to the public. We may indemnify the underwriters under the relevant underwriting agreement against specific liabilities, including liabilities under the Securities Act. The underwriters may also be our customers or may engage in transactions with or perform services for us in the ordinary course of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624840</wp:posOffset>
            </wp:positionV>
            <wp:extent cx="2830195" cy="6261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30195" cy="62611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60"/>
        <w:spacing w:after="0"/>
        <w:rPr>
          <w:sz w:val="20"/>
          <w:szCs w:val="20"/>
          <w:color w:val="auto"/>
        </w:rPr>
      </w:pPr>
      <w:r>
        <w:rPr>
          <w:rFonts w:ascii="Arial" w:cs="Arial" w:eastAsia="Arial" w:hAnsi="Arial"/>
          <w:sz w:val="23"/>
          <w:szCs w:val="23"/>
          <w:b w:val="1"/>
          <w:bCs w:val="1"/>
          <w:color w:val="auto"/>
        </w:rPr>
        <w:t>42,000,000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167640</wp:posOffset>
            </wp:positionV>
            <wp:extent cx="1895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 SUPPLEMENT</w:t>
      </w:r>
    </w:p>
    <w:p>
      <w:pPr>
        <w:spacing w:after="0" w:line="21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Sole Book-Running Manager</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Citigroup</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BBVA</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BNP PARIBAS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MUFG</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SMBC Nikko</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Robinson Humphrey</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CIBC Capital Markets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Fifth Third Securities</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ING</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PNC Capital Markets LLC</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Roman"/>
      <w:start w:val="3"/>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lvl w:ilvl="1">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1)"/>
      <w:numFmt w:val="lowerRoman"/>
      <w:start w:val="6"/>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5"/>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Roman"/>
      <w:start w:val="3"/>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2020-01-16T09:19:29Z</dcterms:created>
  <dcterms:modified xsi:type="dcterms:W3CDTF">2020-01-16T09:19:29Z</dcterms:modified>
</cp:coreProperties>
</file>