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525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52513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KAFU Holdings (QP), L.P.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AVENUE OF THE STARS, SUITE 300</w:t>
      </w:r>
    </w:p>
    <w:p>
      <w:pPr>
        <w:spacing w:after="0" w:line="355"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LOS ANGELES</w:t>
            </w:r>
          </w:p>
        </w:tc>
        <w:tc>
          <w:tcPr>
            <w:tcW w:w="900" w:type="dxa"/>
            <w:vAlign w:val="bottom"/>
          </w:tcPr>
          <w:p>
            <w:pPr>
              <w:ind w:left="60"/>
              <w:spacing w:after="0"/>
              <w:rPr>
                <w:sz w:val="20"/>
                <w:szCs w:val="20"/>
                <w:color w:val="auto"/>
              </w:rPr>
            </w:pPr>
            <w:r>
              <w:rPr>
                <w:rFonts w:ascii="Arial" w:cs="Arial" w:eastAsia="Arial" w:hAnsi="Arial"/>
                <w:sz w:val="17"/>
                <w:szCs w:val="17"/>
                <w:color w:val="0000FF"/>
              </w:rPr>
              <w:t>CA</w:t>
            </w:r>
          </w:p>
        </w:tc>
        <w:tc>
          <w:tcPr>
            <w:tcW w:w="1680" w:type="dxa"/>
            <w:vAlign w:val="bottom"/>
          </w:tcPr>
          <w:p>
            <w:pPr>
              <w:ind w:left="42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60"/>
              <w:spacing w:after="0"/>
              <w:rPr>
                <w:sz w:val="20"/>
                <w:szCs w:val="20"/>
                <w:color w:val="auto"/>
              </w:rPr>
            </w:pPr>
            <w:r>
              <w:rPr>
                <w:rFonts w:ascii="Arial" w:cs="Arial" w:eastAsia="Arial" w:hAnsi="Arial"/>
                <w:sz w:val="13"/>
                <w:szCs w:val="13"/>
                <w:color w:val="auto"/>
              </w:rPr>
              <w:t>(State)</w:t>
            </w:r>
          </w:p>
        </w:tc>
        <w:tc>
          <w:tcPr>
            <w:tcW w:w="16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0" w:type="dxa"/>
            <w:vAlign w:val="bottom"/>
            <w:gridSpan w:val="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3920" w:type="dxa"/>
            <w:vAlign w:val="bottom"/>
            <w:gridSpan w:val="2"/>
          </w:tcPr>
          <w:p>
            <w:pPr>
              <w:spacing w:after="0" w:line="20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PLAINS ALL AMERICAN PIPELINE LP </w:t>
              </w:r>
            </w:hyperlink>
            <w:r>
              <w:rPr>
                <w:rFonts w:ascii="Arial" w:cs="Arial" w:eastAsia="Arial" w:hAnsi="Arial"/>
                <w:sz w:val="21"/>
                <w:szCs w:val="21"/>
                <w:color w:val="000000"/>
              </w:rPr>
              <w:t>[</w:t>
            </w:r>
          </w:p>
        </w:tc>
        <w:tc>
          <w:tcPr>
            <w:tcW w:w="17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3660" w:type="dxa"/>
            <w:vAlign w:val="bottom"/>
            <w:shd w:val="clear" w:color="auto" w:fill="0000EE"/>
          </w:tcPr>
          <w:p>
            <w:pPr>
              <w:spacing w:after="0" w:line="27" w:lineRule="exact"/>
              <w:rPr>
                <w:rFonts w:ascii="Arial" w:cs="Arial" w:eastAsia="Arial" w:hAnsi="Arial"/>
                <w:sz w:val="2"/>
                <w:szCs w:val="2"/>
                <w:color w:val="0000FF"/>
              </w:rPr>
            </w:pPr>
            <w:hyperlink r:id="rId13">
              <w:r>
                <w:rPr>
                  <w:rFonts w:ascii="Arial" w:cs="Arial" w:eastAsia="Arial" w:hAnsi="Arial"/>
                  <w:sz w:val="2"/>
                  <w:szCs w:val="2"/>
                  <w:color w:val="0000FF"/>
                </w:rPr>
                <w:t xml:space="preserve">PAA </w:t>
              </w:r>
              <w:r>
                <w:rPr>
                  <w:rFonts w:ascii="Arial" w:cs="Arial" w:eastAsia="Arial" w:hAnsi="Arial"/>
                  <w:sz w:val="3"/>
                  <w:szCs w:val="3"/>
                  <w:color w:val="000000"/>
                </w:rPr>
                <w:t>]</w:t>
              </w:r>
            </w:hyperlink>
          </w:p>
        </w:tc>
        <w:tc>
          <w:tcPr>
            <w:tcW w:w="260" w:type="dxa"/>
            <w:vAlign w:val="bottom"/>
          </w:tcPr>
          <w:p>
            <w:pPr>
              <w:spacing w:after="0"/>
              <w:rPr>
                <w:sz w:val="2"/>
                <w:szCs w:val="2"/>
                <w:color w:val="auto"/>
              </w:rPr>
            </w:pPr>
          </w:p>
        </w:tc>
        <w:tc>
          <w:tcPr>
            <w:tcW w:w="500" w:type="dxa"/>
            <w:vAlign w:val="bottom"/>
          </w:tcPr>
          <w:p>
            <w:pPr>
              <w:ind w:left="260"/>
              <w:spacing w:after="0" w:line="27" w:lineRule="exact"/>
              <w:rPr>
                <w:sz w:val="20"/>
                <w:szCs w:val="20"/>
                <w:color w:val="auto"/>
              </w:rPr>
            </w:pPr>
            <w:r>
              <w:rPr>
                <w:rFonts w:ascii="Arial" w:cs="Arial" w:eastAsia="Arial" w:hAnsi="Arial"/>
                <w:sz w:val="3"/>
                <w:szCs w:val="3"/>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40" w:type="dxa"/>
            <w:vAlign w:val="bottom"/>
          </w:tcPr>
          <w:p>
            <w:pPr>
              <w:spacing w:after="0"/>
              <w:rPr>
                <w:sz w:val="2"/>
                <w:szCs w:val="2"/>
                <w:color w:val="auto"/>
              </w:rPr>
            </w:pPr>
          </w:p>
        </w:tc>
        <w:tc>
          <w:tcPr>
            <w:tcW w:w="1240" w:type="dxa"/>
            <w:vAlign w:val="bottom"/>
            <w:vMerge w:val="restart"/>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7"/>
        </w:trPr>
        <w:tc>
          <w:tcPr>
            <w:tcW w:w="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24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3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4"/>
                <w:szCs w:val="4"/>
                <w:color w:val="auto"/>
              </w:rPr>
            </w:pPr>
          </w:p>
        </w:tc>
        <w:tc>
          <w:tcPr>
            <w:tcW w:w="124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80" w:type="dxa"/>
            <w:vAlign w:val="bottom"/>
          </w:tcPr>
          <w:p>
            <w:pPr>
              <w:spacing w:after="0"/>
              <w:rPr>
                <w:sz w:val="7"/>
                <w:szCs w:val="7"/>
                <w:color w:val="auto"/>
              </w:rPr>
            </w:pPr>
          </w:p>
        </w:tc>
        <w:tc>
          <w:tcPr>
            <w:tcW w:w="392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392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660" w:type="dxa"/>
            <w:vAlign w:val="bottom"/>
            <w:gridSpan w:val="2"/>
            <w:vMerge w:val="restart"/>
          </w:tcPr>
          <w:p>
            <w:pPr>
              <w:ind w:left="800"/>
              <w:spacing w:after="0"/>
              <w:rPr>
                <w:sz w:val="20"/>
                <w:szCs w:val="20"/>
                <w:color w:val="auto"/>
              </w:rPr>
            </w:pPr>
            <w:r>
              <w:rPr>
                <w:rFonts w:ascii="Arial" w:cs="Arial" w:eastAsia="Arial" w:hAnsi="Arial"/>
                <w:sz w:val="17"/>
                <w:szCs w:val="17"/>
                <w:color w:val="0000FF"/>
                <w:w w:val="92"/>
              </w:rPr>
              <w:t>See remaks</w:t>
            </w: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3740" w:type="dxa"/>
            <w:vAlign w:val="bottom"/>
            <w:gridSpan w:val="2"/>
            <w:vMerge w:val="restart"/>
          </w:tcPr>
          <w:p>
            <w:pPr>
              <w:ind w:left="80"/>
              <w:spacing w:after="0"/>
              <w:rPr>
                <w:sz w:val="20"/>
                <w:szCs w:val="20"/>
                <w:color w:val="auto"/>
              </w:rPr>
            </w:pPr>
            <w:r>
              <w:rPr>
                <w:rFonts w:ascii="Arial" w:cs="Arial" w:eastAsia="Arial" w:hAnsi="Arial"/>
                <w:sz w:val="17"/>
                <w:szCs w:val="17"/>
                <w:color w:val="0000FF"/>
              </w:rPr>
              <w:t>06/28/2019</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7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80" w:type="dxa"/>
            <w:vAlign w:val="bottom"/>
            <w:tcBorders>
              <w:bottom w:val="single" w:sz="8" w:color="2C2C2C"/>
            </w:tcBorders>
          </w:tcPr>
          <w:p>
            <w:pPr>
              <w:spacing w:after="0"/>
              <w:rPr>
                <w:sz w:val="12"/>
                <w:szCs w:val="12"/>
                <w:color w:val="auto"/>
              </w:rPr>
            </w:pPr>
          </w:p>
        </w:tc>
        <w:tc>
          <w:tcPr>
            <w:tcW w:w="3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400" w:type="dxa"/>
            <w:vAlign w:val="bottom"/>
            <w:tcBorders>
              <w:bottom w:val="single" w:sz="8" w:color="2C2C2C"/>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0" w:type="dxa"/>
            <w:vAlign w:val="bottom"/>
            <w:gridSpan w:val="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28" w:lineRule="auto"/>
        <w:tabs>
          <w:tab w:leader="none" w:pos="46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20"/>
        <w:spacing w:after="0"/>
        <w:rPr>
          <w:sz w:val="20"/>
          <w:szCs w:val="20"/>
          <w:color w:val="auto"/>
        </w:rPr>
      </w:pPr>
      <w:r>
        <w:rPr>
          <w:rFonts w:ascii="Arial" w:cs="Arial" w:eastAsia="Arial" w:hAnsi="Arial"/>
          <w:sz w:val="13"/>
          <w:szCs w:val="13"/>
          <w:color w:val="auto"/>
        </w:rPr>
        <w:t>Form filed by More than One Reporting</w:t>
      </w:r>
    </w:p>
    <w:p>
      <w:pPr>
        <w:ind w:left="4620"/>
        <w:spacing w:after="0"/>
        <w:rPr>
          <w:sz w:val="20"/>
          <w:szCs w:val="20"/>
          <w:color w:val="auto"/>
        </w:rPr>
      </w:pPr>
      <w:r>
        <w:rPr>
          <w:rFonts w:ascii="Arial" w:cs="Arial" w:eastAsia="Arial" w:hAnsi="Arial"/>
          <w:sz w:val="13"/>
          <w:szCs w:val="13"/>
          <w:color w:val="auto"/>
        </w:rPr>
        <w:t>Person</w:t>
      </w:r>
    </w:p>
    <w:p>
      <w:pPr>
        <w:spacing w:after="0" w:line="269" w:lineRule="exact"/>
        <w:rPr>
          <w:sz w:val="20"/>
          <w:szCs w:val="20"/>
          <w:color w:val="auto"/>
        </w:rPr>
      </w:pPr>
    </w:p>
    <w:p>
      <w:pPr>
        <w:sectPr>
          <w:pgSz w:w="11900" w:h="16838" w:orient="portrait"/>
          <w:cols w:equalWidth="0" w:num="2">
            <w:col w:w="3920" w:space="8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1340" w:type="dxa"/>
            <w:vAlign w:val="bottom"/>
            <w:gridSpan w:val="2"/>
          </w:tcPr>
          <w:p>
            <w:pPr>
              <w:ind w:left="400"/>
              <w:spacing w:after="0"/>
              <w:rPr>
                <w:sz w:val="20"/>
                <w:szCs w:val="20"/>
                <w:color w:val="auto"/>
              </w:rPr>
            </w:pPr>
            <w:r>
              <w:rPr>
                <w:rFonts w:ascii="Arial" w:cs="Arial" w:eastAsia="Arial" w:hAnsi="Arial"/>
                <w:sz w:val="12"/>
                <w:szCs w:val="12"/>
                <w:b w:val="1"/>
                <w:bCs w:val="1"/>
                <w:color w:val="auto"/>
              </w:rPr>
              <w:t>6. Ownership</w:t>
            </w:r>
          </w:p>
        </w:tc>
        <w:tc>
          <w:tcPr>
            <w:tcW w:w="12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500"/>
              <w:spacing w:after="0" w:line="130"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8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1340" w:type="dxa"/>
            <w:vAlign w:val="bottom"/>
            <w:gridSpan w:val="2"/>
          </w:tcPr>
          <w:p>
            <w:pPr>
              <w:ind w:left="400"/>
              <w:spacing w:after="0" w:line="130" w:lineRule="exact"/>
              <w:rPr>
                <w:sz w:val="20"/>
                <w:szCs w:val="20"/>
                <w:color w:val="auto"/>
              </w:rPr>
            </w:pPr>
            <w:r>
              <w:rPr>
                <w:rFonts w:ascii="Arial" w:cs="Arial" w:eastAsia="Arial" w:hAnsi="Arial"/>
                <w:sz w:val="12"/>
                <w:szCs w:val="12"/>
                <w:b w:val="1"/>
                <w:bCs w:val="1"/>
                <w:color w:val="auto"/>
              </w:rPr>
              <w:t>Form: Direct</w:t>
            </w: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134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(D) or Indirect</w:t>
            </w:r>
          </w:p>
        </w:tc>
        <w:tc>
          <w:tcPr>
            <w:tcW w:w="1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Owned Following   (I) (Instr. 4)</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7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17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540" w:type="dxa"/>
            <w:vAlign w:val="bottom"/>
            <w:gridSpan w:val="2"/>
            <w:vMerge w:val="restart"/>
          </w:tcPr>
          <w:p>
            <w:pPr>
              <w:ind w:left="600"/>
              <w:spacing w:after="0"/>
              <w:rPr>
                <w:sz w:val="20"/>
                <w:szCs w:val="20"/>
                <w:color w:val="auto"/>
              </w:rPr>
            </w:pPr>
            <w:r>
              <w:rPr>
                <w:rFonts w:ascii="Arial" w:cs="Arial" w:eastAsia="Arial" w:hAnsi="Arial"/>
                <w:sz w:val="17"/>
                <w:szCs w:val="17"/>
                <w:color w:val="0000FF"/>
              </w:rPr>
              <w:t>06/28/2019</w:t>
            </w: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3"/>
                <w:szCs w:val="13"/>
                <w:color w:val="0000FF"/>
              </w:rPr>
              <w:t>J</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3"/>
              </w:rPr>
              <w:t>1,009</w:t>
            </w:r>
          </w:p>
        </w:tc>
        <w:tc>
          <w:tcPr>
            <w:tcW w:w="600" w:type="dxa"/>
            <w:vAlign w:val="bottom"/>
            <w:vMerge w:val="restart"/>
          </w:tcPr>
          <w:p>
            <w:pPr>
              <w:ind w:left="240"/>
              <w:spacing w:after="0"/>
              <w:rPr>
                <w:sz w:val="20"/>
                <w:szCs w:val="20"/>
                <w:color w:val="auto"/>
              </w:rPr>
            </w:pPr>
            <w:r>
              <w:rPr>
                <w:rFonts w:ascii="Arial" w:cs="Arial" w:eastAsia="Arial" w:hAnsi="Arial"/>
                <w:sz w:val="17"/>
                <w:szCs w:val="17"/>
                <w:color w:val="0000FF"/>
              </w:rPr>
              <w:t>A</w:t>
            </w:r>
          </w:p>
        </w:tc>
        <w:tc>
          <w:tcPr>
            <w:tcW w:w="100" w:type="dxa"/>
            <w:vAlign w:val="bottom"/>
          </w:tcPr>
          <w:p>
            <w:pPr>
              <w:spacing w:after="0"/>
              <w:rPr>
                <w:sz w:val="22"/>
                <w:szCs w:val="22"/>
                <w:color w:val="auto"/>
              </w:rPr>
            </w:pPr>
          </w:p>
        </w:tc>
        <w:tc>
          <w:tcPr>
            <w:tcW w:w="460" w:type="dxa"/>
            <w:vAlign w:val="bottom"/>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Pr>
          <w:p>
            <w:pPr>
              <w:spacing w:after="0"/>
              <w:rPr>
                <w:sz w:val="22"/>
                <w:szCs w:val="22"/>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7"/>
                <w:szCs w:val="17"/>
                <w:color w:val="0000FF"/>
              </w:rPr>
              <w:t>1,009</w:t>
            </w:r>
          </w:p>
        </w:tc>
        <w:tc>
          <w:tcPr>
            <w:tcW w:w="900" w:type="dxa"/>
            <w:vAlign w:val="bottom"/>
            <w:vMerge w:val="restart"/>
          </w:tcPr>
          <w:p>
            <w:pPr>
              <w:ind w:left="780"/>
              <w:spacing w:after="0"/>
              <w:rPr>
                <w:sz w:val="20"/>
                <w:szCs w:val="20"/>
                <w:color w:val="auto"/>
              </w:rPr>
            </w:pPr>
            <w:r>
              <w:rPr>
                <w:rFonts w:ascii="Arial" w:cs="Arial" w:eastAsia="Arial" w:hAnsi="Arial"/>
                <w:sz w:val="17"/>
                <w:szCs w:val="17"/>
                <w:color w:val="0000FF"/>
              </w:rPr>
              <w:t>I</w:t>
            </w:r>
          </w:p>
        </w:tc>
        <w:tc>
          <w:tcPr>
            <w:tcW w:w="44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Arial" w:cs="Arial" w:eastAsia="Arial" w:hAnsi="Arial"/>
                <w:sz w:val="17"/>
                <w:szCs w:val="17"/>
                <w:color w:val="0000FF"/>
                <w:w w:val="87"/>
              </w:rPr>
              <w:t>Ssee</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220" w:type="dxa"/>
            <w:vAlign w:val="bottom"/>
            <w:gridSpan w:val="4"/>
            <w:vMerge w:val="restart"/>
          </w:tcPr>
          <w:p>
            <w:pPr>
              <w:spacing w:after="0" w:line="274" w:lineRule="exact"/>
              <w:rPr>
                <w:sz w:val="20"/>
                <w:szCs w:val="20"/>
                <w:color w:val="auto"/>
              </w:rPr>
            </w:pPr>
            <w:r>
              <w:rPr>
                <w:rFonts w:ascii="Arial" w:cs="Arial" w:eastAsia="Arial" w:hAnsi="Arial"/>
                <w:sz w:val="31"/>
                <w:szCs w:val="31"/>
                <w:color w:val="0000FF"/>
                <w:w w:val="95"/>
                <w:vertAlign w:val="subscript"/>
              </w:rPr>
              <w:t>footnotes</w:t>
            </w:r>
            <w:r>
              <w:rPr>
                <w:rFonts w:ascii="Arial" w:cs="Arial" w:eastAsia="Arial" w:hAnsi="Arial"/>
                <w:sz w:val="11"/>
                <w:szCs w:val="11"/>
                <w:color w:val="008000"/>
                <w:w w:val="95"/>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top w:val="single" w:sz="8" w:color="2C2C2C"/>
            </w:tcBorders>
          </w:tcPr>
          <w:p>
            <w:pPr>
              <w:spacing w:after="0"/>
              <w:rPr>
                <w:sz w:val="22"/>
                <w:szCs w:val="22"/>
                <w:color w:val="auto"/>
              </w:rPr>
            </w:pPr>
          </w:p>
        </w:tc>
        <w:tc>
          <w:tcPr>
            <w:tcW w:w="1540" w:type="dxa"/>
            <w:vAlign w:val="bottom"/>
            <w:tcBorders>
              <w:top w:val="single" w:sz="8" w:color="2C2C2C"/>
            </w:tcBorders>
            <w:gridSpan w:val="2"/>
            <w:vMerge w:val="restart"/>
          </w:tcPr>
          <w:p>
            <w:pPr>
              <w:ind w:left="600"/>
              <w:spacing w:after="0"/>
              <w:rPr>
                <w:sz w:val="20"/>
                <w:szCs w:val="20"/>
                <w:color w:val="auto"/>
              </w:rPr>
            </w:pPr>
            <w:r>
              <w:rPr>
                <w:rFonts w:ascii="Arial" w:cs="Arial" w:eastAsia="Arial" w:hAnsi="Arial"/>
                <w:sz w:val="17"/>
                <w:szCs w:val="17"/>
                <w:color w:val="0000FF"/>
              </w:rPr>
              <w:t>06/28/2019</w:t>
            </w: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J</w:t>
            </w: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1,009</w:t>
            </w:r>
          </w:p>
        </w:tc>
        <w:tc>
          <w:tcPr>
            <w:tcW w:w="600" w:type="dxa"/>
            <w:vAlign w:val="bottom"/>
            <w:tcBorders>
              <w:top w:val="single" w:sz="8" w:color="2C2C2C"/>
            </w:tcBorders>
            <w:vMerge w:val="restart"/>
          </w:tcPr>
          <w:p>
            <w:pPr>
              <w:ind w:left="240"/>
              <w:spacing w:after="0"/>
              <w:rPr>
                <w:sz w:val="20"/>
                <w:szCs w:val="20"/>
                <w:color w:val="auto"/>
              </w:rPr>
            </w:pPr>
            <w:r>
              <w:rPr>
                <w:rFonts w:ascii="Arial" w:cs="Arial" w:eastAsia="Arial" w:hAnsi="Arial"/>
                <w:sz w:val="17"/>
                <w:szCs w:val="17"/>
                <w:color w:val="0000FF"/>
              </w:rPr>
              <w:t>D</w:t>
            </w:r>
          </w:p>
        </w:tc>
        <w:tc>
          <w:tcPr>
            <w:tcW w:w="1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gridSpan w:val="2"/>
            <w:vMerge w:val="restart"/>
          </w:tcPr>
          <w:p>
            <w:pPr>
              <w:jc w:val="right"/>
              <w:ind w:right="140"/>
              <w:spacing w:after="0"/>
              <w:rPr>
                <w:sz w:val="20"/>
                <w:szCs w:val="20"/>
                <w:color w:val="auto"/>
              </w:rPr>
            </w:pPr>
            <w:r>
              <w:rPr>
                <w:rFonts w:ascii="Arial" w:cs="Arial" w:eastAsia="Arial" w:hAnsi="Arial"/>
                <w:sz w:val="17"/>
                <w:szCs w:val="17"/>
                <w:color w:val="0000FF"/>
              </w:rPr>
              <w:t>0</w:t>
            </w:r>
          </w:p>
        </w:tc>
        <w:tc>
          <w:tcPr>
            <w:tcW w:w="900" w:type="dxa"/>
            <w:vAlign w:val="bottom"/>
            <w:tcBorders>
              <w:top w:val="single" w:sz="8" w:color="2C2C2C"/>
            </w:tcBorders>
            <w:vMerge w:val="restart"/>
          </w:tcPr>
          <w:p>
            <w:pPr>
              <w:ind w:left="780"/>
              <w:spacing w:after="0"/>
              <w:rPr>
                <w:sz w:val="20"/>
                <w:szCs w:val="20"/>
                <w:color w:val="auto"/>
              </w:rPr>
            </w:pPr>
            <w:r>
              <w:rPr>
                <w:rFonts w:ascii="Arial" w:cs="Arial" w:eastAsia="Arial" w:hAnsi="Arial"/>
                <w:sz w:val="17"/>
                <w:szCs w:val="17"/>
                <w:color w:val="0000FF"/>
              </w:rPr>
              <w:t>I</w:t>
            </w:r>
          </w:p>
        </w:tc>
        <w:tc>
          <w:tcPr>
            <w:tcW w:w="4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87"/>
              </w:rPr>
              <w:t>Ssee</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220" w:type="dxa"/>
            <w:vAlign w:val="bottom"/>
            <w:gridSpan w:val="4"/>
            <w:vMerge w:val="restart"/>
          </w:tcPr>
          <w:p>
            <w:pPr>
              <w:spacing w:after="0"/>
              <w:rPr>
                <w:sz w:val="20"/>
                <w:szCs w:val="20"/>
                <w:color w:val="auto"/>
              </w:rPr>
            </w:pPr>
            <w:r>
              <w:rPr>
                <w:rFonts w:ascii="Arial" w:cs="Arial" w:eastAsia="Arial" w:hAnsi="Arial"/>
                <w:sz w:val="17"/>
                <w:szCs w:val="17"/>
                <w:color w:val="0000FF"/>
                <w:w w:val="96"/>
              </w:rPr>
              <w:t>footnotes</w:t>
            </w:r>
            <w:r>
              <w:rPr>
                <w:rFonts w:ascii="Arial" w:cs="Arial" w:eastAsia="Arial" w:hAnsi="Arial"/>
                <w:sz w:val="22"/>
                <w:szCs w:val="22"/>
                <w:color w:val="008000"/>
                <w:w w:val="96"/>
                <w:vertAlign w:val="superscript"/>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12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320" w:type="dxa"/>
            <w:vAlign w:val="bottom"/>
            <w:gridSpan w:val="13"/>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20" w:type="dxa"/>
            <w:vAlign w:val="bottom"/>
            <w:gridSpan w:val="10"/>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6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Amount of</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8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Form:</w:t>
            </w:r>
          </w:p>
        </w:tc>
        <w:tc>
          <w:tcPr>
            <w:tcW w:w="360" w:type="dxa"/>
            <w:vAlign w:val="bottom"/>
          </w:tcPr>
          <w:p>
            <w:pPr>
              <w:spacing w:after="0"/>
              <w:rPr>
                <w:sz w:val="11"/>
                <w:szCs w:val="11"/>
                <w:color w:val="auto"/>
              </w:rPr>
            </w:pPr>
          </w:p>
        </w:tc>
        <w:tc>
          <w:tcPr>
            <w:tcW w:w="8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00" w:type="dxa"/>
            <w:vAlign w:val="bottom"/>
          </w:tcPr>
          <w:p>
            <w:pPr>
              <w:spacing w:after="0"/>
              <w:rPr>
                <w:sz w:val="13"/>
                <w:szCs w:val="13"/>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ind w:left="60"/>
              <w:spacing w:after="0" w:line="128" w:lineRule="exact"/>
              <w:rPr>
                <w:sz w:val="20"/>
                <w:szCs w:val="20"/>
                <w:color w:val="auto"/>
              </w:rPr>
            </w:pPr>
            <w:r>
              <w:rPr>
                <w:rFonts w:ascii="Arial" w:cs="Arial" w:eastAsia="Arial" w:hAnsi="Arial"/>
                <w:sz w:val="13"/>
                <w:szCs w:val="13"/>
                <w:color w:val="0000FF"/>
                <w:w w:val="95"/>
              </w:rPr>
              <w:t>Shares/Class</w:t>
            </w:r>
          </w:p>
        </w:tc>
        <w:tc>
          <w:tcPr>
            <w:tcW w:w="80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00" w:type="dxa"/>
            <w:vAlign w:val="bottom"/>
            <w:vMerge w:val="restart"/>
          </w:tcPr>
          <w:p>
            <w:pPr>
              <w:ind w:left="240"/>
              <w:spacing w:after="0"/>
              <w:rPr>
                <w:sz w:val="20"/>
                <w:szCs w:val="20"/>
                <w:color w:val="auto"/>
              </w:rPr>
            </w:pPr>
            <w:r>
              <w:rPr>
                <w:rFonts w:ascii="Arial" w:cs="Arial" w:eastAsia="Arial" w:hAnsi="Arial"/>
                <w:sz w:val="13"/>
                <w:szCs w:val="13"/>
                <w:color w:val="0000FF"/>
              </w:rPr>
              <w:t>06/28/2019</w:t>
            </w:r>
          </w:p>
        </w:tc>
        <w:tc>
          <w:tcPr>
            <w:tcW w:w="1120" w:type="dxa"/>
            <w:vAlign w:val="bottom"/>
          </w:tcPr>
          <w:p>
            <w:pPr>
              <w:spacing w:after="0"/>
              <w:rPr>
                <w:sz w:val="11"/>
                <w:szCs w:val="11"/>
                <w:color w:val="auto"/>
              </w:rPr>
            </w:pPr>
          </w:p>
        </w:tc>
        <w:tc>
          <w:tcPr>
            <w:tcW w:w="4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1"/>
                <w:szCs w:val="11"/>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w w:val="98"/>
              </w:rPr>
              <w:t>1,009</w:t>
            </w:r>
          </w:p>
        </w:tc>
        <w:tc>
          <w:tcPr>
            <w:tcW w:w="820" w:type="dxa"/>
            <w:vAlign w:val="bottom"/>
            <w:vMerge w:val="restart"/>
          </w:tcPr>
          <w:p>
            <w:pPr>
              <w:ind w:left="320"/>
              <w:spacing w:after="0"/>
              <w:rPr>
                <w:sz w:val="20"/>
                <w:szCs w:val="20"/>
                <w:color w:val="auto"/>
              </w:rPr>
            </w:pPr>
            <w:r>
              <w:rPr>
                <w:rFonts w:ascii="Arial" w:cs="Arial" w:eastAsia="Arial" w:hAnsi="Arial"/>
                <w:sz w:val="11"/>
                <w:szCs w:val="11"/>
                <w:color w:val="008000"/>
              </w:rPr>
              <w:t>(1)(2)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96"/>
              </w:rPr>
              <w:t>(1)(2)</w:t>
            </w:r>
          </w:p>
        </w:tc>
        <w:tc>
          <w:tcPr>
            <w:tcW w:w="600" w:type="dxa"/>
            <w:vAlign w:val="bottom"/>
          </w:tcPr>
          <w:p>
            <w:pPr>
              <w:ind w:left="80"/>
              <w:spacing w:after="0" w:line="128" w:lineRule="exact"/>
              <w:rPr>
                <w:sz w:val="20"/>
                <w:szCs w:val="20"/>
                <w:color w:val="auto"/>
              </w:rPr>
            </w:pPr>
            <w:r>
              <w:rPr>
                <w:rFonts w:ascii="Arial" w:cs="Arial" w:eastAsia="Arial" w:hAnsi="Arial"/>
                <w:sz w:val="13"/>
                <w:szCs w:val="13"/>
                <w:color w:val="0000FF"/>
                <w:w w:val="94"/>
              </w:rPr>
              <w:t>Common</w:t>
            </w:r>
          </w:p>
        </w:tc>
        <w:tc>
          <w:tcPr>
            <w:tcW w:w="10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7"/>
                <w:szCs w:val="17"/>
                <w:color w:val="0000FF"/>
                <w:w w:val="89"/>
              </w:rPr>
              <w:t>1,009</w:t>
            </w:r>
          </w:p>
        </w:tc>
        <w:tc>
          <w:tcPr>
            <w:tcW w:w="40" w:type="dxa"/>
            <w:vAlign w:val="bottom"/>
          </w:tcPr>
          <w:p>
            <w:pPr>
              <w:spacing w:after="0"/>
              <w:rPr>
                <w:sz w:val="11"/>
                <w:szCs w:val="11"/>
                <w:color w:val="auto"/>
              </w:rPr>
            </w:pPr>
          </w:p>
        </w:tc>
        <w:tc>
          <w:tcPr>
            <w:tcW w:w="800" w:type="dxa"/>
            <w:vAlign w:val="bottom"/>
            <w:gridSpan w:val="2"/>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vMerge w:val="restart"/>
          </w:tcPr>
          <w:p>
            <w:pPr>
              <w:ind w:left="80"/>
              <w:spacing w:after="0"/>
              <w:rPr>
                <w:sz w:val="20"/>
                <w:szCs w:val="20"/>
                <w:color w:val="auto"/>
              </w:rPr>
            </w:pPr>
            <w:r>
              <w:rPr>
                <w:rFonts w:ascii="Arial" w:cs="Arial" w:eastAsia="Arial" w:hAnsi="Arial"/>
                <w:sz w:val="13"/>
                <w:szCs w:val="13"/>
                <w:color w:val="0000FF"/>
                <w:w w:val="96"/>
              </w:rPr>
              <w:t>16,278,228</w:t>
            </w:r>
            <w:r>
              <w:rPr>
                <w:rFonts w:ascii="Arial" w:cs="Arial" w:eastAsia="Arial" w:hAnsi="Arial"/>
                <w:sz w:val="22"/>
                <w:szCs w:val="22"/>
                <w:color w:val="008000"/>
                <w:w w:val="96"/>
                <w:vertAlign w:val="superscript"/>
              </w:rPr>
              <w:t>(4)</w:t>
            </w:r>
          </w:p>
        </w:tc>
        <w:tc>
          <w:tcPr>
            <w:tcW w:w="44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36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A Units/GP</w:t>
            </w:r>
          </w:p>
        </w:tc>
        <w:tc>
          <w:tcPr>
            <w:tcW w:w="8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600" w:type="dxa"/>
            <w:vAlign w:val="bottom"/>
          </w:tcPr>
          <w:p>
            <w:pPr>
              <w:ind w:left="180"/>
              <w:spacing w:after="0"/>
              <w:rPr>
                <w:sz w:val="20"/>
                <w:szCs w:val="20"/>
                <w:color w:val="auto"/>
              </w:rPr>
            </w:pPr>
            <w:r>
              <w:rPr>
                <w:rFonts w:ascii="Arial" w:cs="Arial" w:eastAsia="Arial" w:hAnsi="Arial"/>
                <w:sz w:val="13"/>
                <w:szCs w:val="13"/>
                <w:color w:val="0000FF"/>
              </w:rPr>
              <w:t>Units</w:t>
            </w:r>
          </w:p>
        </w:tc>
        <w:tc>
          <w:tcPr>
            <w:tcW w:w="10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3"/>
          </w:tcPr>
          <w:p>
            <w:pPr>
              <w:ind w:left="40"/>
              <w:spacing w:after="0" w:line="173" w:lineRule="exact"/>
              <w:rPr>
                <w:sz w:val="20"/>
                <w:szCs w:val="20"/>
                <w:color w:val="auto"/>
              </w:rPr>
            </w:pPr>
            <w:r>
              <w:rPr>
                <w:rFonts w:ascii="Arial" w:cs="Arial" w:eastAsia="Arial" w:hAnsi="Arial"/>
                <w:sz w:val="12"/>
                <w:szCs w:val="12"/>
                <w:color w:val="0000FF"/>
                <w:w w:val="97"/>
              </w:rPr>
              <w:t>footnotes</w:t>
            </w:r>
            <w:r>
              <w:rPr>
                <w:rFonts w:ascii="Arial" w:cs="Arial" w:eastAsia="Arial" w:hAnsi="Arial"/>
                <w:sz w:val="20"/>
                <w:szCs w:val="20"/>
                <w:color w:val="008000"/>
                <w:w w:val="97"/>
                <w:vertAlign w:val="superscript"/>
              </w:rPr>
              <w:t>(1)(2)</w:t>
            </w: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200" w:firstLine="6"/>
        <w:spacing w:after="0" w:line="242"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Eighth Amended and Restated limited partnership agreement of Plains AAP, L.P. ("AAP") provides that each limited partner holding Class A Units will have the right, subject to certain limitations, to redeem its Class A Units for common units ("Common Units") of Plains All American Pipeline, L.P. (the "Issuer") held by AAP on a one-for-one basis, by delivering Class A Units to AAP with the associated Class B Shares in Plains GP Holdings, L.P. ("PAGP") and GP Units in PAA GP Holdings LLC (if applicable), to PAGP (the "Redemption Right"). The Redemption Right does not expire. On June 28, 2019, KAFU Holdings (QP), L.P. exercised the Redemption Right with respect to an aggregate 1,009 Class A Units.</w:t>
      </w:r>
    </w:p>
    <w:p>
      <w:pPr>
        <w:spacing w:after="0" w:line="32" w:lineRule="exact"/>
        <w:rPr>
          <w:rFonts w:ascii="Arial" w:cs="Arial" w:eastAsia="Arial" w:hAnsi="Arial"/>
          <w:sz w:val="13"/>
          <w:szCs w:val="13"/>
          <w:color w:val="008000"/>
        </w:rPr>
      </w:pPr>
    </w:p>
    <w:p>
      <w:pPr>
        <w:ind w:left="40" w:right="300" w:firstLine="6"/>
        <w:spacing w:after="0" w:line="26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KAFU Holdings (QP), L.P. ("KAFU") owns an equivalent number of Class A Units, Class B Shares and GP Units. KACALP is the manager of the general partner of KAFU and may be deemed to beneficially own the Class A Units, Class B Shares and GP Units held by KAFU.</w:t>
      </w:r>
    </w:p>
    <w:p>
      <w:pPr>
        <w:spacing w:after="0" w:line="20"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transactions involve an in-kind distribution to redeeming limited partners of KAFU Holdings (QP), L.P.</w:t>
      </w:r>
    </w:p>
    <w:p>
      <w:pPr>
        <w:spacing w:after="0" w:line="49" w:lineRule="exact"/>
        <w:rPr>
          <w:rFonts w:ascii="Arial" w:cs="Arial" w:eastAsia="Arial" w:hAnsi="Arial"/>
          <w:sz w:val="13"/>
          <w:szCs w:val="13"/>
          <w:color w:val="008000"/>
        </w:rPr>
      </w:pPr>
    </w:p>
    <w:p>
      <w:pPr>
        <w:ind w:left="40" w:right="160" w:firstLine="6"/>
        <w:spacing w:after="0" w:line="302"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 a simultaneous transaction, KAFU exercised the exchange right provided for in the limited partnership agreement of AAP pursuant to which 3,454 Class A Units, Class B Shares and GP Units were exchanged for a like number of PAGP Class A Shares. The number of derivative securities owned reflects both the redemption transaction reported herein and the simultaneous exchange transaction.</w:t>
      </w:r>
    </w:p>
    <w:p>
      <w:pPr>
        <w:sectPr>
          <w:pgSz w:w="11900" w:h="16838" w:orient="portrait"/>
          <w:cols w:equalWidth="0" w:num="1">
            <w:col w:w="11520"/>
          </w:cols>
          <w:pgMar w:left="240" w:top="224" w:right="139" w:bottom="1440" w:gutter="0" w:footer="0" w:header="0"/>
          <w:type w:val="continuous"/>
        </w:sectPr>
      </w:pPr>
    </w:p>
    <w:p>
      <w:pPr>
        <w:spacing w:after="0" w:line="24"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/s/ David Shladovsky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5080</wp:posOffset>
            </wp:positionV>
            <wp:extent cx="13785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8585" cy="8255"/>
                    </a:xfrm>
                    <a:prstGeom prst="rect">
                      <a:avLst/>
                    </a:prstGeom>
                    <a:noFill/>
                  </pic:spPr>
                </pic:pic>
              </a:graphicData>
            </a:graphic>
          </wp:anchor>
        </w:drawing>
      </w:r>
    </w:p>
    <w:p>
      <w:pPr>
        <w:spacing w:after="0" w:line="25"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-12065</wp:posOffset>
            </wp:positionV>
            <wp:extent cx="5067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52"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136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0000FF"/>
        </w:rPr>
        <w:t>07/01/2019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97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84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28" w:lineRule="exact"/>
        <w:rPr>
          <w:sz w:val="20"/>
          <w:szCs w:val="20"/>
          <w:color w:val="auto"/>
        </w:rPr>
      </w:pPr>
    </w:p>
    <w:p>
      <w:pPr>
        <w:sectPr>
          <w:pgSz w:w="11900" w:h="16838" w:orient="portrait"/>
          <w:cols w:equalWidth="0" w:num="2">
            <w:col w:w="9040" w:space="120"/>
            <w:col w:w="2360"/>
          </w:cols>
          <w:pgMar w:left="240" w:top="224"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8385"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2020-02-26T20:09:24Z</dcterms:created>
  <dcterms:modified xsi:type="dcterms:W3CDTF">2020-02-26T20:09:24Z</dcterms:modified>
</cp:coreProperties>
</file>