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60" w:right="66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16"/>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(State or other jurisdiction of</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3"/>
              </w:rPr>
              <w:t>incorporation or organization)</w:t>
            </w:r>
          </w:p>
        </w:tc>
        <w:tc>
          <w:tcPr>
            <w:tcW w:w="3080" w:type="dxa"/>
            <w:vAlign w:val="bottom"/>
          </w:tcPr>
          <w:p>
            <w:pPr>
              <w:jc w:val="center"/>
              <w:ind w:left="16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50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308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5080" w:type="dxa"/>
            <w:vAlign w:val="bottom"/>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jc w:val="center"/>
              <w:ind w:left="163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1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Title of Each Class</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110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37"/>
        </w:trPr>
        <w:tc>
          <w:tcPr>
            <w:tcW w:w="5460" w:type="dxa"/>
            <w:vAlign w:val="bottom"/>
            <w:gridSpan w:val="3"/>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4180" w:type="dxa"/>
            <w:vAlign w:val="bottom"/>
          </w:tcPr>
          <w:p>
            <w:pPr>
              <w:spacing w:after="0"/>
              <w:rPr>
                <w:sz w:val="24"/>
                <w:szCs w:val="24"/>
                <w:color w:val="auto"/>
              </w:rPr>
            </w:pPr>
          </w:p>
        </w:tc>
      </w:tr>
    </w:tbl>
    <w:p>
      <w:pPr>
        <w:spacing w:after="0" w:line="121" w:lineRule="exact"/>
        <w:rPr>
          <w:sz w:val="24"/>
          <w:szCs w:val="24"/>
          <w:color w:val="auto"/>
        </w:rPr>
      </w:pPr>
    </w:p>
    <w:p>
      <w:pPr>
        <w:ind w:left="340" w:right="1540"/>
        <w:spacing w:after="0" w:line="458"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00"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0" w:lineRule="exact"/>
        <w:rPr>
          <w:sz w:val="24"/>
          <w:szCs w:val="24"/>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3" w:right="279" w:bottom="0" w:gutter="0" w:footer="0" w:header="0"/>
        </w:sectPr>
      </w:pPr>
    </w:p>
    <w:p>
      <w:pPr>
        <w:spacing w:after="0" w:line="43"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40"/>
          </w:cols>
          <w:pgMar w:left="240" w:top="233" w:right="27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83" w:lineRule="exact"/>
        <w:rPr>
          <w:sz w:val="24"/>
          <w:szCs w:val="24"/>
          <w:color w:val="auto"/>
        </w:rPr>
      </w:pPr>
    </w:p>
    <w:p>
      <w:pPr>
        <w:sectPr>
          <w:pgSz w:w="11900" w:h="16838" w:orient="portrait"/>
          <w:cols w:equalWidth="0" w:num="2">
            <w:col w:w="6800" w:space="720"/>
            <w:col w:w="386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44"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$17.1 billion on June 30, 2015, based on a closing price of $43.57 per Common Unit as reported on the New York Stock Exchange on such date.</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February 12, 2016, there were 397,730,991 Common Units outstanding.</w:t>
      </w:r>
    </w:p>
    <w:p>
      <w:pPr>
        <w:spacing w:after="0" w:line="14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321310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10-K—2015 ANNUAL REPORT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180" w:type="dxa"/>
            <w:vAlign w:val="bottom"/>
            <w:gridSpan w:val="10"/>
            <w:vMerge w:val="restart"/>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4180" w:type="dxa"/>
            <w:vAlign w:val="bottom"/>
            <w:gridSpan w:val="10"/>
            <w:vMerge w:val="continue"/>
          </w:tcPr>
          <w:p>
            <w:pPr>
              <w:spacing w:after="0"/>
              <w:rPr>
                <w:sz w:val="13"/>
                <w:szCs w:val="13"/>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26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 and 2.</w:t>
              </w:r>
            </w:hyperlink>
          </w:p>
        </w:tc>
        <w:tc>
          <w:tcPr>
            <w:tcW w:w="8940" w:type="dxa"/>
            <w:vAlign w:val="bottom"/>
            <w:gridSpan w:val="26"/>
          </w:tcPr>
          <w:p>
            <w:pPr>
              <w:ind w:left="240"/>
              <w:spacing w:after="0"/>
              <w:rPr>
                <w:rFonts w:ascii="Arial" w:cs="Arial" w:eastAsia="Arial" w:hAnsi="Arial"/>
                <w:sz w:val="18"/>
                <w:szCs w:val="18"/>
                <w:color w:val="0000EE"/>
              </w:rPr>
            </w:pPr>
            <w:hyperlink w:anchor="page3">
              <w:r>
                <w:rPr>
                  <w:rFonts w:ascii="Arial" w:cs="Arial" w:eastAsia="Arial" w:hAnsi="Arial"/>
                  <w:sz w:val="18"/>
                  <w:szCs w:val="18"/>
                  <w:color w:val="0000EE"/>
                </w:rPr>
                <w:t>Business and Properties</w:t>
              </w:r>
            </w:hyperlink>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1A.</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1B.</w:t>
              </w:r>
            </w:hyperlink>
          </w:p>
        </w:tc>
        <w:tc>
          <w:tcPr>
            <w:tcW w:w="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Unresolved Staff Comments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120" w:type="dxa"/>
            <w:vAlign w:val="bottom"/>
            <w:gridSpan w:val="2"/>
          </w:tcPr>
          <w:p>
            <w:pPr>
              <w:spacing w:after="0"/>
              <w:rPr>
                <w:sz w:val="17"/>
                <w:szCs w:val="17"/>
                <w:color w:val="auto"/>
              </w:rPr>
            </w:pPr>
          </w:p>
        </w:tc>
        <w:tc>
          <w:tcPr>
            <w:tcW w:w="620" w:type="dxa"/>
            <w:vAlign w:val="bottom"/>
            <w:gridSpan w:val="3"/>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740" w:type="dxa"/>
            <w:vAlign w:val="bottom"/>
            <w:gridSpan w:val="5"/>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3"/>
          </w:tcPr>
          <w:p>
            <w:pPr>
              <w:jc w:val="center"/>
              <w:ind w:right="4160"/>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PART II</w:t>
              </w:r>
            </w:hyperlink>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740" w:type="dxa"/>
            <w:vAlign w:val="bottom"/>
            <w:gridSpan w:val="5"/>
          </w:tcPr>
          <w:p>
            <w:pPr>
              <w:spacing w:after="0"/>
              <w:rPr>
                <w:sz w:val="24"/>
                <w:szCs w:val="24"/>
                <w:color w:val="auto"/>
              </w:rPr>
            </w:pPr>
          </w:p>
        </w:tc>
        <w:tc>
          <w:tcPr>
            <w:tcW w:w="8940" w:type="dxa"/>
            <w:vAlign w:val="bottom"/>
            <w:gridSpan w:val="26"/>
          </w:tcPr>
          <w:p>
            <w:pPr>
              <w:ind w:left="240"/>
              <w:spacing w:after="0"/>
              <w:rPr>
                <w:rFonts w:ascii="Arial" w:cs="Arial" w:eastAsia="Arial" w:hAnsi="Arial"/>
                <w:sz w:val="18"/>
                <w:szCs w:val="18"/>
                <w:color w:val="0000EE"/>
              </w:rPr>
            </w:pPr>
            <w:hyperlink w:anchor="page52">
              <w:r>
                <w:rPr>
                  <w:rFonts w:ascii="Arial" w:cs="Arial" w:eastAsia="Arial" w:hAnsi="Arial"/>
                  <w:sz w:val="18"/>
                  <w:szCs w:val="18"/>
                  <w:color w:val="0000EE"/>
                </w:rPr>
                <w:t>Market for Registrant’s Common Units, Related Unitholder Matters and Issuer Purchases of Equity Securities</w:t>
              </w:r>
            </w:hyperlink>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6.</w:t>
              </w:r>
            </w:hyperlink>
          </w:p>
        </w:tc>
        <w:tc>
          <w:tcPr>
            <w:tcW w:w="740" w:type="dxa"/>
            <w:vAlign w:val="bottom"/>
            <w:gridSpan w:val="5"/>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Selected Financial Data</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7.</w:t>
              </w:r>
            </w:hyperlink>
          </w:p>
        </w:tc>
        <w:tc>
          <w:tcPr>
            <w:tcW w:w="80" w:type="dxa"/>
            <w:vAlign w:val="bottom"/>
          </w:tcPr>
          <w:p>
            <w:pPr>
              <w:spacing w:after="0"/>
              <w:rPr>
                <w:sz w:val="17"/>
                <w:szCs w:val="17"/>
                <w:color w:val="auto"/>
              </w:rPr>
            </w:pPr>
          </w:p>
        </w:tc>
        <w:tc>
          <w:tcPr>
            <w:tcW w:w="660" w:type="dxa"/>
            <w:vAlign w:val="bottom"/>
            <w:gridSpan w:val="4"/>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7A.</w:t>
              </w:r>
            </w:hyperlink>
          </w:p>
        </w:tc>
        <w:tc>
          <w:tcPr>
            <w:tcW w:w="8940" w:type="dxa"/>
            <w:vAlign w:val="bottom"/>
            <w:gridSpan w:val="26"/>
          </w:tcPr>
          <w:p>
            <w:pPr>
              <w:ind w:left="2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Item 8.</w:t>
              </w:r>
            </w:hyperlink>
          </w:p>
        </w:tc>
        <w:tc>
          <w:tcPr>
            <w:tcW w:w="740" w:type="dxa"/>
            <w:vAlign w:val="bottom"/>
            <w:gridSpan w:val="5"/>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Item 9.</w:t>
              </w:r>
            </w:hyperlink>
          </w:p>
        </w:tc>
        <w:tc>
          <w:tcPr>
            <w:tcW w:w="740" w:type="dxa"/>
            <w:vAlign w:val="bottom"/>
            <w:gridSpan w:val="5"/>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Item 9A.</w:t>
              </w:r>
            </w:hyperlink>
          </w:p>
        </w:tc>
        <w:tc>
          <w:tcPr>
            <w:tcW w:w="600" w:type="dxa"/>
            <w:vAlign w:val="bottom"/>
            <w:gridSpan w:val="2"/>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Item 9B.</w:t>
              </w:r>
            </w:hyperlink>
          </w:p>
        </w:tc>
        <w:tc>
          <w:tcPr>
            <w:tcW w:w="600" w:type="dxa"/>
            <w:vAlign w:val="bottom"/>
            <w:gridSpan w:val="2"/>
          </w:tcPr>
          <w:p>
            <w:pPr>
              <w:spacing w:after="0"/>
              <w:rPr>
                <w:sz w:val="17"/>
                <w:szCs w:val="17"/>
                <w:color w:val="auto"/>
              </w:rPr>
            </w:pPr>
          </w:p>
        </w:tc>
        <w:tc>
          <w:tcPr>
            <w:tcW w:w="8940" w:type="dxa"/>
            <w:vAlign w:val="bottom"/>
            <w:gridSpan w:val="26"/>
          </w:tcPr>
          <w:p>
            <w:pPr>
              <w:ind w:left="2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4100" w:type="dxa"/>
            <w:vAlign w:val="bottom"/>
            <w:gridSpan w:val="7"/>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10.</w:t>
              </w:r>
            </w:hyperlink>
          </w:p>
        </w:tc>
        <w:tc>
          <w:tcPr>
            <w:tcW w:w="8940" w:type="dxa"/>
            <w:vAlign w:val="bottom"/>
            <w:gridSpan w:val="26"/>
          </w:tcPr>
          <w:p>
            <w:pPr>
              <w:ind w:left="240"/>
              <w:spacing w:after="0"/>
              <w:rPr>
                <w:rFonts w:ascii="Arial" w:cs="Arial" w:eastAsia="Arial" w:hAnsi="Arial"/>
                <w:sz w:val="18"/>
                <w:szCs w:val="18"/>
                <w:color w:val="0000EE"/>
              </w:rPr>
            </w:pPr>
            <w:hyperlink w:anchor="page77">
              <w:r>
                <w:rPr>
                  <w:rFonts w:ascii="Arial" w:cs="Arial" w:eastAsia="Arial" w:hAnsi="Arial"/>
                  <w:sz w:val="18"/>
                  <w:szCs w:val="18"/>
                  <w:color w:val="0000EE"/>
                </w:rPr>
                <w:t>Directors and Executive Officers of Our General Partner and Corporate Governance</w:t>
              </w:r>
            </w:hyperlink>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Item 11.</w:t>
              </w:r>
            </w:hyperlink>
          </w:p>
        </w:tc>
        <w:tc>
          <w:tcPr>
            <w:tcW w:w="8940" w:type="dxa"/>
            <w:vAlign w:val="bottom"/>
            <w:gridSpan w:val="26"/>
          </w:tcPr>
          <w:p>
            <w:pPr>
              <w:ind w:left="24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8940" w:type="dxa"/>
            <w:vAlign w:val="bottom"/>
            <w:gridSpan w:val="26"/>
          </w:tcPr>
          <w:p>
            <w:pPr>
              <w:ind w:left="240"/>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Unitholder Matters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13.</w:t>
              </w:r>
            </w:hyperlink>
          </w:p>
        </w:tc>
        <w:tc>
          <w:tcPr>
            <w:tcW w:w="8940" w:type="dxa"/>
            <w:vAlign w:val="bottom"/>
            <w:gridSpan w:val="26"/>
          </w:tcPr>
          <w:p>
            <w:pPr>
              <w:ind w:left="24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2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14.</w:t>
              </w:r>
            </w:hyperlink>
          </w:p>
        </w:tc>
        <w:tc>
          <w:tcPr>
            <w:tcW w:w="8940" w:type="dxa"/>
            <w:vAlign w:val="bottom"/>
            <w:gridSpan w:val="26"/>
          </w:tcPr>
          <w:p>
            <w:pPr>
              <w:ind w:left="24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Principal Accountant Fees and Services</w:t>
              </w:r>
            </w:hyperlink>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PART IV</w:t>
              </w:r>
            </w:hyperlink>
          </w:p>
        </w:tc>
        <w:tc>
          <w:tcPr>
            <w:tcW w:w="4120" w:type="dxa"/>
            <w:vAlign w:val="bottom"/>
            <w:gridSpan w:val="8"/>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Item 15.</w:t>
              </w:r>
            </w:hyperlink>
          </w:p>
        </w:tc>
        <w:tc>
          <w:tcPr>
            <w:tcW w:w="8940" w:type="dxa"/>
            <w:vAlign w:val="bottom"/>
            <w:gridSpan w:val="26"/>
          </w:tcPr>
          <w:p>
            <w:pPr>
              <w:ind w:left="240"/>
              <w:spacing w:after="0"/>
              <w:rPr>
                <w:rFonts w:ascii="Arial" w:cs="Arial" w:eastAsia="Arial" w:hAnsi="Arial"/>
                <w:sz w:val="18"/>
                <w:szCs w:val="18"/>
                <w:color w:val="0000EE"/>
              </w:rPr>
            </w:pPr>
            <w:hyperlink w:anchor="page108">
              <w:r>
                <w:rPr>
                  <w:rFonts w:ascii="Arial" w:cs="Arial" w:eastAsia="Arial" w:hAnsi="Arial"/>
                  <w:sz w:val="18"/>
                  <w:szCs w:val="18"/>
                  <w:color w:val="0000EE"/>
                </w:rPr>
                <w:t>Exhibits and Financial Statement Schedules</w:t>
              </w:r>
            </w:hyperlink>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1200" w:type="dxa"/>
            <w:vAlign w:val="bottom"/>
            <w:gridSpan w:val="6"/>
          </w:tcPr>
          <w:p>
            <w:pPr>
              <w:jc w:val="center"/>
              <w:ind w:left="81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right="260" w:hanging="324"/>
        <w:spacing w:after="0" w:line="259"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3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right="360" w:hanging="324"/>
        <w:spacing w:after="0" w:line="34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ectPr>
          <w:pgSz w:w="11900" w:h="16838" w:orient="portrait"/>
          <w:cols w:equalWidth="0" w:num="1">
            <w:col w:w="11460"/>
          </w:cols>
          <w:pgMar w:left="240" w:top="121" w:right="199" w:bottom="0" w:gutter="0" w:footer="0" w:header="0"/>
        </w:sectPr>
      </w:pPr>
    </w:p>
    <w:bookmarkStart w:id="2" w:name="page3"/>
    <w:bookmarkEnd w:id="2"/>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40" w:hanging="324"/>
        <w:spacing w:after="0" w:line="308"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“PAA,” “we,” “us,” “our,” “ours” and similar terms refer to Plains All American Pipeline, L.P. and its subsidiaries.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(“AAP”). In addition to its ownership of PAA GP LLC, AAP also owns all of our incentive distribution rights (“IDRs”). Plains All American GP LLC, a Delaware limited liability company (“GP LLC”), is AAP’s general partner. References to our “general partner,” as the context requires, include any or all of PAA GP LLC, AAP and GP LLC.</w:t>
      </w:r>
    </w:p>
    <w:p>
      <w:pPr>
        <w:spacing w:after="0" w:line="1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Plains GP Holdings, L.P. (“PAGP”), a Delaware limited partnership that completed its initial public offering in October 2013 and that has elected to be treated as a corporation for U.S. federal income tax purposes, is the sole member of GP LLC, and at December 31, 2015, owned an approximate 38% limited partner interest in AAP (an approximate 35% economic interest). PAA GP Holdings LLC, a Delaware limited liability company (“GP Holdings”), is the general partner of PAGP.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operations are conducted directly and indirectly through, and our operating assets are owned by, our subsidiaries. GP LLC has responsibility for conducting our business and managing our operations; however, PAGP effectively controls our business and affairs through the exercise of its rights as the sole and managing member of our general partner, including its right to</w:t>
      </w:r>
    </w:p>
    <w:p>
      <w:pPr>
        <w:sectPr>
          <w:pgSz w:w="11900" w:h="16838" w:orient="portrait"/>
          <w:cols w:equalWidth="0" w:num="1">
            <w:col w:w="11420"/>
          </w:cols>
          <w:pgMar w:left="240" w:top="341" w:right="23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appoint certain members to the board of directors of our general partner.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AAP, which are referred to herein as the “AAP Management Units”).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two charts below show the structure and ownership of PAA and its subsidiaries as of December 31, 2015 in both a summarized and more detailed format. The first chart depicts PAA’s legal structure in summary format, while the second chart depicts a more comprehensive view of PAA’s legal structure, including ownership and economic interests and shares and units outstanding.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(as of December 31, 2015)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226175" cy="4056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405638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In January 2016, we completed the sale of approximately 61.0 million Series A Convertible Preferred Units representing limited partner interests in us. See Note 10 to our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appointment rights limited to non-management investors that own greater than 10% interest in AAP.</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(as of December 31, 2015) </w:t>
      </w:r>
      <w:r>
        <w:rPr>
          <w:rFonts w:ascii="Arial" w:cs="Arial" w:eastAsia="Arial" w:hAnsi="Arial"/>
          <w:sz w:val="22"/>
          <w:szCs w:val="22"/>
          <w:b w:val="1"/>
          <w:bCs w:val="1"/>
          <w:color w:val="auto"/>
          <w:vertAlign w:val="superscript"/>
        </w:rPr>
        <w:t>(1)</w:t>
      </w:r>
    </w:p>
    <w:p>
      <w:pPr>
        <w:sectPr>
          <w:pgSz w:w="11900" w:h="16838" w:orient="portrait"/>
          <w:cols w:equalWidth="0" w:num="1">
            <w:col w:w="11380"/>
          </w:cols>
          <w:pgMar w:left="240" w:top="125" w:right="27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1229360</wp:posOffset>
            </wp:positionH>
            <wp:positionV relativeFrom="page">
              <wp:posOffset>88900</wp:posOffset>
            </wp:positionV>
            <wp:extent cx="51111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11115"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440" w:right="359" w:bottom="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1440" w:right="35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40" w:hanging="11"/>
        <w:spacing w:after="0" w:line="277" w:lineRule="auto"/>
        <w:rPr>
          <w:sz w:val="20"/>
          <w:szCs w:val="20"/>
          <w:color w:val="auto"/>
        </w:rPr>
      </w:pPr>
      <w:r>
        <w:rPr>
          <w:rFonts w:ascii="Arial" w:cs="Arial" w:eastAsia="Arial" w:hAnsi="Arial"/>
          <w:sz w:val="18"/>
          <w:szCs w:val="18"/>
          <w:color w:val="auto"/>
        </w:rPr>
        <w:t>In January 2016, we completed the sale of approximately 61.0 million Series A Convertible Preferred Units representing limited partner interests in us. See Note 10 to our Consolidated Financial Statements for additional information.</w:t>
      </w:r>
    </w:p>
    <w:p>
      <w:pPr>
        <w:spacing w:after="0" w:line="170"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See Item 5. “Market for Registrant’s Common Units, Related Unitholder Matters and Issuer Purchases of Equity Securities” for discussion of our general partner’s IDRs.</w:t>
      </w:r>
    </w:p>
    <w:p>
      <w:pPr>
        <w:spacing w:after="0" w:line="197" w:lineRule="exact"/>
        <w:rPr>
          <w:sz w:val="20"/>
          <w:szCs w:val="20"/>
          <w:color w:val="auto"/>
        </w:rPr>
      </w:pPr>
    </w:p>
    <w:p>
      <w:pPr>
        <w:ind w:right="940" w:hanging="11"/>
        <w:spacing w:after="0" w:line="277" w:lineRule="auto"/>
        <w:rPr>
          <w:sz w:val="20"/>
          <w:szCs w:val="20"/>
          <w:color w:val="auto"/>
        </w:rPr>
      </w:pPr>
      <w:r>
        <w:rPr>
          <w:rFonts w:ascii="Arial" w:cs="Arial" w:eastAsia="Arial" w:hAnsi="Arial"/>
          <w:sz w:val="18"/>
          <w:szCs w:val="18"/>
          <w:color w:val="auto"/>
        </w:rPr>
        <w:t>The Partnership holds direct and indirect ownership interests in consolidated operating subsidiaries including, but not limited to, Plains Marketing, L.P., Plains Pipeline, L.P. and Plains Midstream Canada ULC (“PMC”).</w:t>
      </w:r>
    </w:p>
    <w:p>
      <w:pPr>
        <w:spacing w:after="0" w:line="170"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The Partnership holds indirect equity interests in unconsolidated entities including BridgeTex Pipeline Company, LLC (“BridgeTex”), Butte Pipe Line Company (“Butte”), Caddo Pipeline LLC (“Caddo”), Diamond Pipeline LLC (“Diamond”), Eagle Ford Pipeline LLC (“Eagle Ford Pipeline”), Eagle Ford Terminals Corpus Christi LLC (“Eagle Ford Terminals”), Frontier Pipeline Company (“Frontier”), Saddlehorn Pipeline Company, LLC (“Saddlehorn”), Settoon Towing, LLC (“Settoon Towing”) and White Cliffs Pipeline LLC (“White Cliffs”).</w:t>
      </w:r>
    </w:p>
    <w:p>
      <w:pPr>
        <w:spacing w:after="0" w:line="171" w:lineRule="exact"/>
        <w:rPr>
          <w:sz w:val="20"/>
          <w:szCs w:val="20"/>
          <w:color w:val="auto"/>
        </w:rPr>
      </w:pPr>
    </w:p>
    <w:p>
      <w:pPr>
        <w:sectPr>
          <w:pgSz w:w="11900" w:h="16838" w:orient="portrait"/>
          <w:cols w:equalWidth="0" w:num="2">
            <w:col w:w="140" w:space="520"/>
            <w:col w:w="10640"/>
          </w:cols>
          <w:pgMar w:left="240" w:top="1440" w:right="35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ind w:right="320" w:hanging="11"/>
        <w:spacing w:after="0" w:line="264" w:lineRule="auto"/>
        <w:rPr>
          <w:sz w:val="20"/>
          <w:szCs w:val="20"/>
          <w:color w:val="auto"/>
        </w:rPr>
      </w:pPr>
      <w:r>
        <w:rPr>
          <w:rFonts w:ascii="Arial" w:cs="Arial" w:eastAsia="Arial" w:hAnsi="Arial"/>
          <w:sz w:val="18"/>
          <w:szCs w:val="18"/>
          <w:color w:val="auto"/>
        </w:rPr>
        <w:t>Represents the number of Class A units of AAP (“AAP units”) for which the AAP Management Units would be exchangeable, assuming a conversion rate of approximately 0.938 AAP units for each AAP Management Unit as of December 31, 2015. The AAP Management Units are entitled to certain proportionate distributions paid by AAP.</w:t>
      </w:r>
    </w:p>
    <w:p>
      <w:pPr>
        <w:spacing w:after="0" w:line="181" w:lineRule="exact"/>
        <w:rPr>
          <w:sz w:val="20"/>
          <w:szCs w:val="20"/>
          <w:color w:val="auto"/>
        </w:rPr>
      </w:pPr>
    </w:p>
    <w:p>
      <w:pPr>
        <w:jc w:val="both"/>
        <w:ind w:right="60" w:hanging="11"/>
        <w:spacing w:after="0" w:line="264" w:lineRule="auto"/>
        <w:rPr>
          <w:sz w:val="20"/>
          <w:szCs w:val="20"/>
          <w:color w:val="auto"/>
        </w:rPr>
      </w:pPr>
      <w:r>
        <w:rPr>
          <w:rFonts w:ascii="Arial" w:cs="Arial" w:eastAsia="Arial" w:hAnsi="Arial"/>
          <w:sz w:val="18"/>
          <w:szCs w:val="18"/>
          <w:color w:val="auto"/>
        </w:rPr>
        <w:t>As of December 31, 2015, PAGP owned approximately 38% of the membership interests in its general partner, which percentage corresponds to its ownership percentage of AAP units (approximately 38%, representing an approximate 35% economic interest in AAP, including the dilutive effect of the AAP Management Units).</w:t>
      </w:r>
    </w:p>
    <w:p>
      <w:pPr>
        <w:spacing w:after="0" w:line="177" w:lineRule="exact"/>
        <w:rPr>
          <w:sz w:val="20"/>
          <w:szCs w:val="20"/>
          <w:color w:val="auto"/>
        </w:rPr>
      </w:pPr>
    </w:p>
    <w:p>
      <w:pPr>
        <w:sectPr>
          <w:pgSz w:w="11900" w:h="16838" w:orient="portrait"/>
          <w:cols w:equalWidth="0" w:num="2">
            <w:col w:w="140" w:space="520"/>
            <w:col w:w="10640"/>
          </w:cols>
          <w:pgMar w:left="240" w:top="1440" w:right="359" w:bottom="0" w:gutter="0" w:footer="0" w:header="0"/>
          <w:type w:val="continuous"/>
        </w:sectPr>
      </w:pPr>
    </w:p>
    <w:p>
      <w:pPr>
        <w:spacing w:after="0"/>
        <w:rPr>
          <w:sz w:val="20"/>
          <w:szCs w:val="20"/>
          <w:color w:val="auto"/>
        </w:rPr>
      </w:pPr>
      <w:r>
        <w:rPr>
          <w:rFonts w:ascii="Arial" w:cs="Arial" w:eastAsia="Arial" w:hAnsi="Arial"/>
          <w:sz w:val="15"/>
          <w:szCs w:val="15"/>
          <w:b w:val="1"/>
          <w:bCs w:val="1"/>
          <w:color w:val="auto"/>
        </w:rPr>
        <w:t>Business Strategy</w:t>
      </w:r>
    </w:p>
    <w:p>
      <w:pPr>
        <w:sectPr>
          <w:pgSz w:w="11900" w:h="16838" w:orient="portrait"/>
          <w:cols w:equalWidth="0" w:num="1">
            <w:col w:w="11300"/>
          </w:cols>
          <w:pgMar w:left="240" w:top="1440" w:right="359" w:bottom="0" w:gutter="0" w:footer="0" w:header="0"/>
          <w:type w:val="continuous"/>
        </w:sectPr>
      </w:pPr>
    </w:p>
    <w:bookmarkStart w:id="5" w:name="page6"/>
    <w:bookmarkEnd w:id="5"/>
    <w:p>
      <w:pPr>
        <w:spacing w:after="0" w:line="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principal business strategy is to provide competitive and efficient midstream transportation, terminalling, storage, processing, fractionation and supply and logistics services to producers, refiners and other customers. Toward this end, we endeavor to address regional supply and demand imbalances for crude oil and NGL in the United States and Canada by combining the strategic location and capabilities of our transportation, terminalling, storage, processing and fractionation assets with our extensive supply, logistics and distribution expertise. We believe successful execution of this strategy will enable us to generate sustainable earnings and cash flow. We intend to manage and grow our business by:</w:t>
      </w:r>
    </w:p>
    <w:p>
      <w:pPr>
        <w:spacing w:after="0" w:line="173"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commercially optimizing our existing assets and realizing cost efficiencies through operational improvements;</w:t>
      </w:r>
    </w:p>
    <w:p>
      <w:pPr>
        <w:spacing w:after="0" w:line="225" w:lineRule="exact"/>
        <w:rPr>
          <w:rFonts w:ascii="Arial" w:cs="Arial" w:eastAsia="Arial" w:hAnsi="Arial"/>
          <w:sz w:val="18"/>
          <w:szCs w:val="18"/>
          <w:color w:val="auto"/>
        </w:rPr>
      </w:pPr>
    </w:p>
    <w:p>
      <w:pPr>
        <w:jc w:val="both"/>
        <w:ind w:left="980" w:right="8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our transportation (including pipeline, rail, barge and truck), terminalling, storage, processing and fractionation assets in conjunction with our supply and logistics activities to capitalize on inefficient energy markets and to address physical market imbalances, mitigate inherent risks and increase margin;</w:t>
      </w:r>
    </w:p>
    <w:p>
      <w:pPr>
        <w:spacing w:after="0" w:line="181" w:lineRule="exact"/>
        <w:rPr>
          <w:rFonts w:ascii="Arial" w:cs="Arial" w:eastAsia="Arial" w:hAnsi="Arial"/>
          <w:sz w:val="18"/>
          <w:szCs w:val="18"/>
          <w:color w:val="auto"/>
        </w:rPr>
      </w:pPr>
    </w:p>
    <w:p>
      <w:pPr>
        <w:ind w:left="980" w:right="840" w:hanging="324"/>
        <w:spacing w:after="0" w:line="34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developing and implementing growth projects that (i) address evolving crude oil and NGL needs in the midstream transportation and infrastructure sector and (ii) are well positioned to benefit from long-term industry trends and opportunities; and</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that complement our existing asset base and distribution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225" w:lineRule="exact"/>
        <w:rPr>
          <w:sz w:val="20"/>
          <w:szCs w:val="20"/>
          <w:color w:val="auto"/>
        </w:rPr>
      </w:pPr>
    </w:p>
    <w:p>
      <w:pPr>
        <w:ind w:left="980" w:right="120" w:hanging="324"/>
        <w:spacing w:after="0" w:line="293"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Many of our assets are strategically located and operationally flexible. </w:t>
      </w:r>
      <w:r>
        <w:rPr>
          <w:rFonts w:ascii="Arial" w:cs="Arial" w:eastAsia="Arial" w:hAnsi="Arial"/>
          <w:sz w:val="16"/>
          <w:szCs w:val="16"/>
          <w:color w:val="auto"/>
        </w:rPr>
        <w:t>The majority of our primary Transportation segment assets are in crude</w:t>
      </w:r>
      <w:r>
        <w:rPr>
          <w:rFonts w:ascii="Arial" w:cs="Arial" w:eastAsia="Arial" w:hAnsi="Arial"/>
          <w:sz w:val="16"/>
          <w:szCs w:val="16"/>
          <w:i w:val="1"/>
          <w:iCs w:val="1"/>
          <w:color w:val="auto"/>
        </w:rPr>
        <w:t xml:space="preserve"> </w:t>
      </w:r>
      <w:r>
        <w:rPr>
          <w:rFonts w:ascii="Arial" w:cs="Arial" w:eastAsia="Arial" w:hAnsi="Arial"/>
          <w:sz w:val="16"/>
          <w:szCs w:val="16"/>
          <w:color w:val="auto"/>
        </w:rPr>
        <w:t>oil service, are located in well-established crude oil producing regions and other transportation corridors and are connected, directly or indirectly, with our Facilities segment assets. The majority of our Facilities segment assets are located at major trading locations and premium markets that serve as gateways to major North American refinery and distribution markets where we have strong business relationships. In addition, our assets include pipeline, rail, barge, truck and storage assets, which provide our customers and us with significant flexibility and optionality to satisfy demand and balance markets, particularly during a dynamic period of changing product flows.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60" w:hanging="324"/>
        <w:spacing w:after="0" w:line="31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We possess specialized crude oil and NGL market knowledge. </w:t>
      </w:r>
      <w:r>
        <w:rPr>
          <w:rFonts w:ascii="Arial" w:cs="Arial" w:eastAsia="Arial" w:hAnsi="Arial"/>
          <w:sz w:val="16"/>
          <w:szCs w:val="16"/>
          <w:color w:val="auto"/>
        </w:rPr>
        <w:t>We believe our business relationships with participants in various phases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and NGL distribution chain, from producers to refiners, as well as our own industry expertise (including our knowledge of North American crude oil and NGL flows), provide us with an extensive understanding of the North American physical crude oil and NGL markets.</w:t>
      </w:r>
    </w:p>
    <w:p>
      <w:pPr>
        <w:spacing w:after="0" w:line="146" w:lineRule="exact"/>
        <w:rPr>
          <w:rFonts w:ascii="Arial" w:cs="Arial" w:eastAsia="Arial" w:hAnsi="Arial"/>
          <w:sz w:val="16"/>
          <w:szCs w:val="16"/>
          <w:color w:val="auto"/>
        </w:rPr>
      </w:pPr>
    </w:p>
    <w:p>
      <w:pPr>
        <w:ind w:left="980" w:hanging="324"/>
        <w:spacing w:after="0" w:line="279" w:lineRule="auto"/>
        <w:tabs>
          <w:tab w:leader="none" w:pos="944"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Our supply and logistics activities typically generate a base level of margin with the opportunity to realize incremental margins. </w:t>
      </w:r>
      <w:r>
        <w:rPr>
          <w:rFonts w:ascii="Arial" w:cs="Arial" w:eastAsia="Arial" w:hAnsi="Arial"/>
          <w:sz w:val="17"/>
          <w:szCs w:val="17"/>
          <w:color w:val="auto"/>
        </w:rPr>
        <w:t>We believe the</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activities executed within our Supply and Logistics segment in combination with our risk management strategies provides us with a balance that typically provides us with the opportunity to generate a base level of margin in a variety of market conditions (subject to the effects of seasonality). In certain circumstances, we may be able to realize incremental margins during volatile market conditions.</w:t>
      </w:r>
    </w:p>
    <w:p>
      <w:pPr>
        <w:spacing w:after="0" w:line="171" w:lineRule="exact"/>
        <w:rPr>
          <w:rFonts w:ascii="Arial" w:cs="Arial" w:eastAsia="Arial" w:hAnsi="Arial"/>
          <w:sz w:val="17"/>
          <w:szCs w:val="17"/>
          <w:color w:val="auto"/>
        </w:rPr>
      </w:pPr>
    </w:p>
    <w:p>
      <w:pPr>
        <w:ind w:left="980" w:right="20" w:hanging="324"/>
        <w:spacing w:after="0" w:line="293"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6"/>
          <w:szCs w:val="16"/>
          <w:color w:val="auto"/>
        </w:rPr>
        <w:t>Since 1998, we have completed and integrated over 85 acquisitions with an aggregate purchase price of approximately $11.7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We have also implemented expansion capital projects totaling approximately $10 billion. In addition, considering our investment grade credit rating, liquidity and capital structure, we believe we have the financial resources and strength necessary to finance future strategic expansion and acquisition opportunities. As of December 31, 2015, we had approximately $2.3 billion of liquidity available, including cash and cash equivalents and availability under our committed credit facilities, subject to continued covenant compliance.</w:t>
      </w:r>
    </w:p>
    <w:p>
      <w:pPr>
        <w:spacing w:after="0" w:line="164" w:lineRule="exact"/>
        <w:rPr>
          <w:rFonts w:ascii="Arial" w:cs="Arial" w:eastAsia="Arial" w:hAnsi="Arial"/>
          <w:sz w:val="16"/>
          <w:szCs w:val="16"/>
          <w:color w:val="auto"/>
        </w:rPr>
      </w:pPr>
    </w:p>
    <w:p>
      <w:pPr>
        <w:ind w:left="980" w:right="220" w:hanging="324"/>
        <w:spacing w:after="0" w:line="25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We have an experienced management team whose interests are aligned with those of our unitholders. </w:t>
      </w:r>
      <w:r>
        <w:rPr>
          <w:rFonts w:ascii="Arial" w:cs="Arial" w:eastAsia="Arial" w:hAnsi="Arial"/>
          <w:sz w:val="18"/>
          <w:szCs w:val="18"/>
          <w:color w:val="auto"/>
        </w:rPr>
        <w:t>Our executive management team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of 31 years industry experience, and an average of 18 years with us or our predecessors and affiliates. In addition, through their ownership of common units, indirect interests in our general partner, grants of phantom units and AAP Management Units, our management team has a vested interest in our continued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In that regard, we intend to maintain a credit profile that we believe is consistent with investment grade credit ratings. We have targeted a general credit profile with the following attributes:</w:t>
      </w:r>
    </w:p>
    <w:p>
      <w:pPr>
        <w:spacing w:after="0" w:line="181"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225" w:lineRule="exact"/>
        <w:rPr>
          <w:rFonts w:ascii="Arial" w:cs="Arial" w:eastAsia="Arial" w:hAnsi="Arial"/>
          <w:sz w:val="18"/>
          <w:szCs w:val="18"/>
          <w:color w:val="auto"/>
        </w:rPr>
      </w:pPr>
    </w:p>
    <w:p>
      <w:pPr>
        <w:ind w:left="980" w:right="80" w:hanging="324"/>
        <w:spacing w:after="0" w:line="25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3.5x and 4.0x (adjusted EBITDA is earnings before interest, taxes, depreciation and amortization, equity-indexed compensation plan charges, certain gains and losses from derivative activities and other selected items that impact comparability. See Item 7. “Management’s Discussion and Analysis of Financial Condition and Results of Operations — Results of Operations — Non-GAAP Financial Measures” for a discussion of our selected items that impact comparability and our non-GAAP measures.);</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first two of these four metrics include long-term debt as a critical measure. We also incur short-term debt in connection with our supply and logistics activities that involve the simultaneous purchase and forward sale of crude oil, NGL and natural gas. The crude oil, NGL and natural gas purchased</w:t>
      </w:r>
    </w:p>
    <w:p>
      <w:pPr>
        <w:sectPr>
          <w:pgSz w:w="11900" w:h="16908" w:orient="portrait"/>
          <w:cols w:equalWidth="0" w:num="1">
            <w:col w:w="11360"/>
          </w:cols>
          <w:pgMar w:left="240" w:top="125" w:right="299" w:bottom="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in these transactions are hedged. We do not consider the working capital borrowings associated with these activities to be part of our long-term capital structure.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significantly above baseline levels.</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Typically, to maintain our targeted credit profile and achieve growth through acquisitions and expansion capital, we fund approximately 55% of the capital requirements associated with these activities with equity and cash flow in excess of distributions. During the latter part of 2015, energy industry conditions deteriorated and capital markets access for energy companies was disrupted, which has continued into 2016. To fund our ongoing capital program and maintain a solid capital structure and significant liquidity, in January 2016, we raised $1.6 billion of equity capital through the sale of approximately 61.0 million unregistered Series A Convertible Preferred Units. See Note 10 to our Consolidated Financial Statements for additional information. From time to time, we may be outside the parameters of our targeted credit profile as, in certain cases, capital expenditures and acquisitions may be financed initially using debt or there may be delays in realizing anticipated synergies from acquisitions or contributions from expansion capital projects to adjusted EBITDA. As a result of the challenging environment and the impact of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gap in the timing between funding our capital program and the time the assets are placed in service and begin to generate cash flow, we expect our long-term debt-to-adjusted EBITDA to be above our target range for the near-term. We expect this leverage ratio will improve and return to our targeted levels as the industry recovers and we realize EBITDA growth from our capital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acquisition of midstream assets and businesses that are strategic and complementary to our existing operations constitutes an integral component of our business strategy and growth objectives. Such assets and businesses include crude oil, refined products and NGL logistics assets, natural gas storage assets and other energy assets that have characteristics and provide opportunities similar to our existing business lines and enable us to leverage our assets, knowledge and skill 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acquisitions greater than $200 million that we have completed over the past five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Acquisition </w:t>
            </w:r>
            <w:r>
              <w:rPr>
                <w:rFonts w:ascii="Arial" w:cs="Arial" w:eastAsia="Arial" w:hAnsi="Arial"/>
                <w:sz w:val="17"/>
                <w:szCs w:val="17"/>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2"/>
                <w:szCs w:val="12"/>
                <w:color w:val="auto"/>
              </w:rPr>
            </w:pPr>
          </w:p>
        </w:tc>
        <w:tc>
          <w:tcPr>
            <w:tcW w:w="45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 xml:space="preserve">Purchase Price </w:t>
            </w:r>
            <w:r>
              <w:rPr>
                <w:rFonts w:ascii="Arial" w:cs="Arial" w:eastAsia="Arial" w:hAnsi="Arial"/>
                <w:sz w:val="16"/>
                <w:szCs w:val="16"/>
                <w:b w:val="1"/>
                <w:bCs w:val="1"/>
                <w:color w:val="auto"/>
                <w:w w:val="89"/>
                <w:vertAlign w:val="superscript"/>
              </w:rPr>
              <w:t>(2)</w:t>
            </w:r>
          </w:p>
        </w:tc>
        <w:tc>
          <w:tcPr>
            <w:tcW w:w="0" w:type="dxa"/>
            <w:vAlign w:val="bottom"/>
          </w:tcPr>
          <w:p>
            <w:pPr>
              <w:spacing w:after="0"/>
              <w:rPr>
                <w:sz w:val="1"/>
                <w:szCs w:val="1"/>
                <w:color w:val="auto"/>
              </w:rPr>
            </w:pPr>
          </w:p>
        </w:tc>
      </w:tr>
      <w:tr>
        <w:trPr>
          <w:trHeight w:val="176"/>
        </w:trPr>
        <w:tc>
          <w:tcPr>
            <w:tcW w:w="376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95"/>
        </w:trPr>
        <w:tc>
          <w:tcPr>
            <w:tcW w:w="3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50% Interest in BridgeTex Pipeline Company,</w:t>
            </w: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Nov-2014</w:t>
            </w:r>
          </w:p>
        </w:tc>
        <w:tc>
          <w:tcPr>
            <w:tcW w:w="26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BridgeTex owns a crude oil pipeline that extends from</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 (“BridgeTex”)</w:t>
            </w:r>
          </w:p>
        </w:tc>
        <w:tc>
          <w:tcPr>
            <w:tcW w:w="128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Colorado City, Texas to East Houston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2"/>
        </w:trPr>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US Development Group Crude Oil Rail</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Dec-2012</w:t>
            </w:r>
          </w:p>
        </w:tc>
        <w:tc>
          <w:tcPr>
            <w:tcW w:w="476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Four operating crude oil rail terminals and one terminal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Terminals</w:t>
            </w:r>
          </w:p>
        </w:tc>
        <w:tc>
          <w:tcPr>
            <w:tcW w:w="1280" w:type="dxa"/>
            <w:vAlign w:val="bottom"/>
          </w:tcPr>
          <w:p>
            <w:pPr>
              <w:spacing w:after="0"/>
              <w:rPr>
                <w:sz w:val="20"/>
                <w:szCs w:val="20"/>
                <w:color w:val="auto"/>
              </w:rPr>
            </w:pPr>
          </w:p>
        </w:tc>
        <w:tc>
          <w:tcPr>
            <w:tcW w:w="4760" w:type="dxa"/>
            <w:vAlign w:val="bottom"/>
            <w:gridSpan w:val="3"/>
          </w:tcPr>
          <w:p>
            <w:pPr>
              <w:ind w:left="260"/>
              <w:spacing w:after="0"/>
              <w:rPr>
                <w:sz w:val="20"/>
                <w:szCs w:val="20"/>
                <w:color w:val="auto"/>
              </w:rPr>
            </w:pPr>
            <w:r>
              <w:rPr>
                <w:rFonts w:ascii="Arial" w:cs="Arial" w:eastAsia="Arial" w:hAnsi="Arial"/>
                <w:sz w:val="18"/>
                <w:szCs w:val="18"/>
                <w:color w:val="auto"/>
              </w:rPr>
              <w:t>under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BP Canada Energy Company</w:t>
            </w: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Apr-2012</w:t>
            </w:r>
          </w:p>
        </w:tc>
        <w:tc>
          <w:tcPr>
            <w:tcW w:w="47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NGL assets located in Canada and the upper-Midwest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2"/>
        </w:trPr>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Western Refining, Inc. Pipeline and Storage</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89"/>
              </w:rPr>
              <w:t>Dec-2011</w:t>
            </w:r>
          </w:p>
        </w:tc>
        <w:tc>
          <w:tcPr>
            <w:tcW w:w="476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Multi-product storage facility in Virginia and Crude oil</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280" w:type="dxa"/>
            <w:vAlign w:val="bottom"/>
          </w:tcPr>
          <w:p>
            <w:pPr>
              <w:spacing w:after="0"/>
              <w:rPr>
                <w:sz w:val="20"/>
                <w:szCs w:val="20"/>
                <w:color w:val="auto"/>
              </w:rPr>
            </w:pPr>
          </w:p>
        </w:tc>
        <w:tc>
          <w:tcPr>
            <w:tcW w:w="4760" w:type="dxa"/>
            <w:vAlign w:val="bottom"/>
            <w:gridSpan w:val="3"/>
          </w:tcPr>
          <w:p>
            <w:pPr>
              <w:ind w:left="260"/>
              <w:spacing w:after="0"/>
              <w:rPr>
                <w:sz w:val="20"/>
                <w:szCs w:val="20"/>
                <w:color w:val="auto"/>
              </w:rPr>
            </w:pPr>
            <w:r>
              <w:rPr>
                <w:rFonts w:ascii="Arial" w:cs="Arial" w:eastAsia="Arial" w:hAnsi="Arial"/>
                <w:sz w:val="18"/>
                <w:szCs w:val="18"/>
                <w:color w:val="auto"/>
              </w:rPr>
              <w:t>pipeline in southeastern New Mexico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Velocity South Texas Gathering, LLC</w:t>
            </w: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Nov-2011</w:t>
            </w:r>
          </w:p>
        </w:tc>
        <w:tc>
          <w:tcPr>
            <w:tcW w:w="47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Crude oil and condensate gathering and transportation</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assets in South Texas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Feb-2011</w:t>
            </w:r>
          </w:p>
        </w:tc>
        <w:tc>
          <w:tcPr>
            <w:tcW w:w="4760" w:type="dxa"/>
            <w:vAlign w:val="bottom"/>
            <w:gridSpan w:val="3"/>
          </w:tcPr>
          <w:p>
            <w:pPr>
              <w:ind w:left="260"/>
              <w:spacing w:after="0"/>
              <w:rPr>
                <w:sz w:val="20"/>
                <w:szCs w:val="20"/>
                <w:color w:val="auto"/>
              </w:rPr>
            </w:pPr>
            <w:r>
              <w:rPr>
                <w:rFonts w:ascii="Arial" w:cs="Arial" w:eastAsia="Arial" w:hAnsi="Arial"/>
                <w:sz w:val="18"/>
                <w:szCs w:val="18"/>
                <w:color w:val="auto"/>
                <w:w w:val="97"/>
              </w:rPr>
              <w:t>Southern Pines Energy Center natural gas storage facility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line="216" w:lineRule="exact"/>
              <w:rPr>
                <w:sz w:val="20"/>
                <w:szCs w:val="20"/>
                <w:color w:val="auto"/>
              </w:rPr>
            </w:pPr>
            <w:r>
              <w:rPr>
                <w:rFonts w:ascii="Arial" w:cs="Arial" w:eastAsia="Arial" w:hAnsi="Arial"/>
                <w:sz w:val="18"/>
                <w:szCs w:val="18"/>
                <w:color w:val="auto"/>
              </w:rPr>
              <w:t>765</w:t>
            </w:r>
            <w:r>
              <w:rPr>
                <w:rFonts w:ascii="Arial" w:cs="Arial" w:eastAsia="Arial" w:hAnsi="Arial"/>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Nexen Holdings U.S.A. Inc. Gathering and</w:t>
            </w: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Dec-2010</w:t>
            </w:r>
          </w:p>
        </w:tc>
        <w:tc>
          <w:tcPr>
            <w:tcW w:w="476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Crude oil gathering business and transportation assets in</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Assets</w:t>
            </w:r>
          </w:p>
        </w:tc>
        <w:tc>
          <w:tcPr>
            <w:tcW w:w="1280" w:type="dxa"/>
            <w:vAlign w:val="bottom"/>
            <w:shd w:val="clear" w:color="auto" w:fill="CCEEFF"/>
          </w:tcPr>
          <w:p>
            <w:pPr>
              <w:spacing w:after="0"/>
              <w:rPr>
                <w:sz w:val="20"/>
                <w:szCs w:val="20"/>
                <w:color w:val="auto"/>
              </w:rPr>
            </w:pPr>
          </w:p>
        </w:tc>
        <w:tc>
          <w:tcPr>
            <w:tcW w:w="4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North Dakota and Montana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60" w:hanging="11"/>
        <w:spacing w:after="0" w:line="257" w:lineRule="auto"/>
        <w:rPr>
          <w:sz w:val="20"/>
          <w:szCs w:val="20"/>
          <w:color w:val="auto"/>
        </w:rPr>
      </w:pPr>
      <w:r>
        <w:rPr>
          <w:rFonts w:ascii="Arial" w:cs="Arial" w:eastAsia="Arial" w:hAnsi="Arial"/>
          <w:sz w:val="18"/>
          <w:szCs w:val="18"/>
          <w:color w:val="auto"/>
        </w:rPr>
        <w:t>Excludes our acquisition of all of the outstanding publicly-traded common units of PAA Natural Gas Storage, L.P. (“PNG”) on December 31, 2013 (referred to herein as the “PNG Merger”), as we historically consolidated PNG into our financial statements for financial reporting purposes in accordance with generally accepted accounting principles in the United States (“GAAP”). As consideration for the PNG Merger, we issued approximately 14.7 million PAA common units with a value of approximately $760 million. See Note 10 to our Consolidated Financial Statements for further discussion of the PNG Merger.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248" w:lineRule="exact"/>
        <w:rPr>
          <w:sz w:val="20"/>
          <w:szCs w:val="20"/>
          <w:color w:val="auto"/>
        </w:rPr>
      </w:pPr>
    </w:p>
    <w:p>
      <w:pPr>
        <w:ind w:left="20" w:right="500" w:hanging="11"/>
        <w:spacing w:after="0" w:line="277" w:lineRule="auto"/>
        <w:rPr>
          <w:sz w:val="20"/>
          <w:szCs w:val="20"/>
          <w:color w:val="auto"/>
        </w:rPr>
      </w:pPr>
      <w:r>
        <w:rPr>
          <w:rFonts w:ascii="Arial" w:cs="Arial" w:eastAsia="Arial" w:hAnsi="Arial"/>
          <w:sz w:val="18"/>
          <w:szCs w:val="18"/>
          <w:color w:val="auto"/>
        </w:rPr>
        <w:t>Approximate purchase price of $1.075 billion, net of working capital acquired. We account for our 50% interest in BridgeTex under the equity method of accounting.</w:t>
      </w:r>
    </w:p>
    <w:p>
      <w:pPr>
        <w:spacing w:after="0" w:line="170"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Purchase price includes approximately $17 million of imputed interest. A prepayment of $50 million was made during 2011. Approximate purchase price of $1.192 billion, net of working capital, linefill and long-term inventory acquired.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both transactions with Western.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$750 million, net of cash and other working capital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$170 million, net of cash, inventory and other working capital acquired.</w:t>
      </w:r>
    </w:p>
    <w:p>
      <w:pPr>
        <w:spacing w:after="0" w:line="22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60"/>
          </w:cols>
          <w:pgMar w:left="240" w:top="125" w:right="25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Ongoing Acquisition and Investment Activities</w:t>
      </w:r>
    </w:p>
    <w:p>
      <w:pPr>
        <w:sectPr>
          <w:pgSz w:w="11900" w:h="16838" w:orient="portrait"/>
          <w:cols w:equalWidth="0" w:num="1">
            <w:col w:w="11400"/>
          </w:cols>
          <w:pgMar w:left="240" w:top="125" w:right="259" w:bottom="0" w:gutter="0" w:footer="0" w:header="0"/>
          <w:type w:val="continuous"/>
        </w:sectPr>
      </w:pPr>
    </w:p>
    <w:bookmarkStart w:id="7" w:name="page8"/>
    <w:bookmarkEnd w:id="7"/>
    <w:p>
      <w:pPr>
        <w:spacing w:after="0" w:line="36" w:lineRule="exact"/>
        <w:rPr>
          <w:sz w:val="20"/>
          <w:szCs w:val="20"/>
          <w:color w:val="auto"/>
        </w:rPr>
      </w:pPr>
    </w:p>
    <w:p>
      <w:pPr>
        <w:ind w:left="20" w:right="120" w:firstLine="643"/>
        <w:spacing w:after="0" w:line="290"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 xml:space="preserve">From time to time, we may also sell assets that we regard as non-core or </w:t>
      </w:r>
      <w:r>
        <w:rPr>
          <w:rFonts w:ascii="Arial" w:cs="Arial" w:eastAsia="Arial" w:hAnsi="Arial"/>
          <w:sz w:val="17"/>
          <w:szCs w:val="17"/>
          <w:color w:val="auto"/>
        </w:rPr>
        <w:t>that we believe might be a better fit with the business and/or assets of a third-party buyer.</w:t>
      </w:r>
    </w:p>
    <w:p>
      <w:pPr>
        <w:spacing w:after="0" w:line="174"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investments we make to be accretive in the long term, we can provide no assurance that our expectations will ultimately be realized. See Item 1A. “Risk Factors—Risks Related to Our Business—If we do not make acquisitions or if we make acquisitions that fail to perform as anticipated, our future growth may be limited” and “— Acquisitions involve risks that may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extensive asset base and our relationships with customers provide us with opportunities for organic growth through the construction of additional assets that are complementary to, and expand or extend, our existing asset base. We believe that the diversity and balance of our expansion capital project portfolio (i.e., relatively large number of projects that are small to medium sized and spread across multiple geographic regions) reduces our overall exposure to cost overruns, timing delays and other adverse market developments with respect to a particular project or region. Our 2016 expansion capital plan is representative of the diversity and balance of our overall project portfolio. The following expansion capital projects are included in our 2016 capital plan as of February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2016 Plan</w:t>
            </w:r>
          </w:p>
        </w:tc>
        <w:tc>
          <w:tcPr>
            <w:tcW w:w="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Basin/Region</w:t>
            </w:r>
          </w:p>
        </w:tc>
        <w:tc>
          <w:tcPr>
            <w:tcW w:w="300" w:type="dxa"/>
            <w:vAlign w:val="bottom"/>
          </w:tcPr>
          <w:p>
            <w:pPr>
              <w:spacing w:after="0"/>
              <w:rPr>
                <w:sz w:val="12"/>
                <w:szCs w:val="12"/>
                <w:color w:val="auto"/>
              </w:rPr>
            </w:pPr>
          </w:p>
        </w:tc>
        <w:tc>
          <w:tcPr>
            <w:tcW w:w="20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Project</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 xml:space="preserve">Amount </w:t>
            </w:r>
            <w:r>
              <w:rPr>
                <w:rFonts w:ascii="Arial" w:cs="Arial" w:eastAsia="Arial" w:hAnsi="Arial"/>
                <w:sz w:val="17"/>
                <w:szCs w:val="17"/>
                <w:b w:val="1"/>
                <w:bCs w:val="1"/>
                <w:color w:val="auto"/>
                <w:w w:val="90"/>
                <w:vertAlign w:val="superscript"/>
              </w:rPr>
              <w:t>(1)</w:t>
            </w:r>
          </w:p>
        </w:tc>
        <w:tc>
          <w:tcPr>
            <w:tcW w:w="160" w:type="dxa"/>
            <w:vAlign w:val="bottom"/>
          </w:tcPr>
          <w:p>
            <w:pPr>
              <w:spacing w:after="0"/>
              <w:rPr>
                <w:sz w:val="12"/>
                <w:szCs w:val="12"/>
                <w:color w:val="auto"/>
              </w:rPr>
            </w:pPr>
          </w:p>
        </w:tc>
        <w:tc>
          <w:tcPr>
            <w:tcW w:w="42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In-Service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Permian</w:t>
            </w:r>
          </w:p>
        </w:tc>
        <w:tc>
          <w:tcPr>
            <w:tcW w:w="3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Permian Basin Area</w:t>
            </w: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Multiple projects to increase and expand our pipeline</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Pipeline Projects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infrastructure in the Delaware Basin</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Installation of two separate valves and pump stations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to add 80,000 Bbls/d of additional capacity (increases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pipeline capacity to 330,000 Bbls/d)</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Eagle Ford</w:t>
            </w:r>
          </w:p>
        </w:tc>
        <w:tc>
          <w:tcPr>
            <w:tcW w:w="30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rPr>
              <w:t>Eagle Ford JV Project</w:t>
            </w:r>
          </w:p>
        </w:tc>
        <w:tc>
          <w:tcPr>
            <w:tcW w:w="3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44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50% interest in new, 1.2 million barrel terminal in</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Corpus Christi, TX capable of loading ocean going</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vessels at a rate of 20,000 barrels per hour</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Central / Mid-</w:t>
            </w:r>
          </w:p>
        </w:tc>
        <w:tc>
          <w:tcPr>
            <w:tcW w:w="3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Diamond Pipeline</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260</w:t>
            </w:r>
          </w:p>
        </w:tc>
        <w:tc>
          <w:tcPr>
            <w:tcW w:w="44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50% interest in 440 miles of new crude oil pipeline;</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Continent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200,000 Bbls/d capacity from Cushing, OK to Valero’s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refinery in Memphis, TN</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jc w:val="right"/>
              <w:ind w:right="3779"/>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2016 Plan</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Projected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Basin/Region</w:t>
            </w:r>
          </w:p>
        </w:tc>
        <w:tc>
          <w:tcPr>
            <w:tcW w:w="300" w:type="dxa"/>
            <w:vAlign w:val="bottom"/>
          </w:tcPr>
          <w:p>
            <w:pPr>
              <w:spacing w:after="0"/>
              <w:rPr>
                <w:sz w:val="12"/>
                <w:szCs w:val="12"/>
                <w:color w:val="auto"/>
              </w:rPr>
            </w:pPr>
          </w:p>
        </w:tc>
        <w:tc>
          <w:tcPr>
            <w:tcW w:w="20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Project</w:t>
            </w: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 xml:space="preserve">Amount </w:t>
            </w:r>
            <w:r>
              <w:rPr>
                <w:rFonts w:ascii="Arial" w:cs="Arial" w:eastAsia="Arial" w:hAnsi="Arial"/>
                <w:sz w:val="17"/>
                <w:szCs w:val="17"/>
                <w:b w:val="1"/>
                <w:bCs w:val="1"/>
                <w:color w:val="auto"/>
                <w:w w:val="90"/>
                <w:vertAlign w:val="superscript"/>
              </w:rPr>
              <w:t>(1)</w:t>
            </w:r>
          </w:p>
        </w:tc>
        <w:tc>
          <w:tcPr>
            <w:tcW w:w="160" w:type="dxa"/>
            <w:vAlign w:val="bottom"/>
          </w:tcPr>
          <w:p>
            <w:pPr>
              <w:spacing w:after="0"/>
              <w:rPr>
                <w:sz w:val="12"/>
                <w:szCs w:val="12"/>
                <w:color w:val="auto"/>
              </w:rPr>
            </w:pPr>
          </w:p>
        </w:tc>
        <w:tc>
          <w:tcPr>
            <w:tcW w:w="426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In-Service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Approximately 400 miles of new crude oil</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(Cushing to Longview)</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pipeline; 150,000 Bbls/d capacity from Cushing, OK</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 Longview, TX</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Cushing Terminal</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Expansions</w:t>
            </w: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 of 1.6 million barrels of storage capacity</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Caddo Pipeline</w:t>
            </w: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50% interest in 80 miles of new 12-inch crude oil</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pipeline; 80,000 Bbls/d capacity between Longview,</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TX and Shreveport, LA</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Rocky Mountain</w:t>
            </w:r>
          </w:p>
        </w:tc>
        <w:tc>
          <w:tcPr>
            <w:tcW w:w="30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Saddlehorn Pipeline</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44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8"/>
              </w:rPr>
              <w:t>40% of Saddlehorn’s 190,000 Bbls/d of capacity in the</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600 miles of new 20-inch crude oil undivided joint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interest pipeline from the DJ Basin to Cushing, OK</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Gulf Coast</w:t>
            </w:r>
          </w:p>
        </w:tc>
        <w:tc>
          <w:tcPr>
            <w:tcW w:w="30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 James Terminal</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7"/>
                <w:szCs w:val="17"/>
                <w:color w:val="auto"/>
              </w:rPr>
            </w:pPr>
          </w:p>
        </w:tc>
        <w:tc>
          <w:tcPr>
            <w:tcW w:w="44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Addition of 1.5 million barrels of storage capacity with</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Expansions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connectivity to the rail and dock facilities</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420" w:type="dxa"/>
            <w:vAlign w:val="bottom"/>
            <w:gridSpan w:val="3"/>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rPr>
              <w:t>Fort Saskatchewan</w:t>
            </w:r>
          </w:p>
        </w:tc>
        <w:tc>
          <w:tcPr>
            <w:tcW w:w="380" w:type="dxa"/>
            <w:vAlign w:val="bottom"/>
          </w:tcPr>
          <w:p>
            <w:pPr>
              <w:spacing w:after="0"/>
              <w:rPr>
                <w:sz w:val="17"/>
                <w:szCs w:val="17"/>
                <w:color w:val="auto"/>
              </w:rPr>
            </w:pPr>
          </w:p>
        </w:tc>
        <w:tc>
          <w:tcPr>
            <w:tcW w:w="11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190</w:t>
            </w:r>
          </w:p>
        </w:tc>
        <w:tc>
          <w:tcPr>
            <w:tcW w:w="44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Multi-phase project, Phase I of which includes</w:t>
            </w: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Various,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Facility Projects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w w:val="98"/>
              </w:rPr>
              <w:t>(i) development of two new high rate delivery caverns,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throughout 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(ii) conversion of service of two existing caverns,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and 2017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(iii) the addition of 2.4 million barrels of brine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capacity and (iv) development of a truck loading</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-3697605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-3697605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8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8239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8"/>
          <w:szCs w:val="18"/>
          <w:color w:val="auto"/>
        </w:rPr>
        <w:t>facility</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Phase II includes (i) expanding inlet fractionation</w:t>
      </w:r>
    </w:p>
    <w:p>
      <w:pPr>
        <w:sectPr>
          <w:pgSz w:w="11900" w:h="16875" w:orient="portrait"/>
          <w:cols w:equalWidth="0" w:num="1">
            <w:col w:w="11460"/>
          </w:cols>
          <w:pgMar w:left="240" w:top="341" w:right="199" w:bottom="0" w:gutter="0" w:footer="0" w:header="0"/>
        </w:sectPr>
      </w:pPr>
    </w:p>
    <w:bookmarkStart w:id="8" w:name="page9"/>
    <w:bookmarkEnd w:id="8"/>
    <w:p>
      <w:pPr>
        <w:ind w:left="5680"/>
        <w:spacing w:after="0"/>
        <w:rPr>
          <w:sz w:val="20"/>
          <w:szCs w:val="20"/>
          <w:color w:val="auto"/>
        </w:rPr>
      </w:pPr>
      <w:r>
        <w:rPr>
          <w:rFonts w:ascii="Arial" w:cs="Arial" w:eastAsia="Arial" w:hAnsi="Arial"/>
          <w:sz w:val="18"/>
          <w:szCs w:val="18"/>
          <w:color w:val="auto"/>
        </w:rPr>
        <w:t>capacity by 20,000 Bbls/d, (ii) development of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new ethane caverns and a utility cavern, (iii) the</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addition of 2.7 million barrels of brine capacity and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(iv) development of a propane rail loading facility</w:t>
      </w:r>
    </w:p>
    <w:p>
      <w:pPr>
        <w:spacing w:after="0" w:line="9" w:lineRule="exact"/>
        <w:rPr>
          <w:sz w:val="20"/>
          <w:szCs w:val="20"/>
          <w:color w:val="auto"/>
        </w:rPr>
      </w:pPr>
    </w:p>
    <w:p>
      <w:pPr>
        <w:spacing w:after="0"/>
        <w:tabs>
          <w:tab w:leader="none" w:pos="2000" w:val="left"/>
          <w:tab w:leader="none" w:pos="5100" w:val="left"/>
        </w:tabs>
        <w:rPr>
          <w:sz w:val="20"/>
          <w:szCs w:val="20"/>
          <w:color w:val="auto"/>
        </w:rPr>
      </w:pPr>
      <w:r>
        <w:rPr>
          <w:rFonts w:ascii="Arial" w:cs="Arial" w:eastAsia="Arial" w:hAnsi="Arial"/>
          <w:sz w:val="18"/>
          <w:szCs w:val="18"/>
          <w:color w:val="auto"/>
        </w:rPr>
        <w:t>Other</w:t>
      </w:r>
      <w:r>
        <w:rPr>
          <w:sz w:val="20"/>
          <w:szCs w:val="20"/>
          <w:color w:val="auto"/>
        </w:rPr>
        <w:tab/>
      </w:r>
      <w:r>
        <w:rPr>
          <w:rFonts w:ascii="Arial" w:cs="Arial" w:eastAsia="Arial" w:hAnsi="Arial"/>
          <w:sz w:val="18"/>
          <w:szCs w:val="18"/>
          <w:color w:val="auto"/>
        </w:rPr>
        <w:t>Other Projects</w:t>
      </w:r>
      <w:r>
        <w:rPr>
          <w:sz w:val="20"/>
          <w:szCs w:val="20"/>
          <w:color w:val="auto"/>
        </w:rPr>
        <w:tab/>
      </w:r>
      <w:r>
        <w:rPr>
          <w:rFonts w:ascii="Arial" w:cs="Arial" w:eastAsia="Arial" w:hAnsi="Arial"/>
          <w:sz w:val="16"/>
          <w:szCs w:val="16"/>
          <w:color w:val="auto"/>
        </w:rPr>
        <w:t>280</w:t>
      </w:r>
    </w:p>
    <w:p>
      <w:pPr>
        <w:spacing w:after="0" w:line="9" w:lineRule="exact"/>
        <w:rPr>
          <w:sz w:val="20"/>
          <w:szCs w:val="20"/>
          <w:color w:val="auto"/>
        </w:rPr>
      </w:pPr>
    </w:p>
    <w:p>
      <w:pPr>
        <w:ind w:left="5000" w:hanging="967"/>
        <w:spacing w:after="0"/>
        <w:tabs>
          <w:tab w:leader="none" w:pos="5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1,500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60" w:right="20" w:hanging="652"/>
        <w:spacing w:after="0" w:line="264" w:lineRule="auto"/>
        <w:tabs>
          <w:tab w:leader="none" w:pos="657" w:val="left"/>
        </w:tabs>
        <w:numPr>
          <w:ilvl w:val="0"/>
          <w:numId w:val="9"/>
        </w:numPr>
        <w:rPr>
          <w:rFonts w:ascii="Arial" w:cs="Arial" w:eastAsia="Arial" w:hAnsi="Arial"/>
          <w:sz w:val="9"/>
          <w:szCs w:val="9"/>
          <w:b w:val="1"/>
          <w:bCs w:val="1"/>
          <w:color w:val="auto"/>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-878205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The health of the global petroleum market is dependent on the relative supply and demand of hydrocarbons, including crude oil and NGL. These supply and demand economics are greatly influenced by the broader global economic climate, exposing the petroleum market to the challenges and volatility associated with global economic development. For the period from 2004 through 2013, global liquids production increased 7.6 million barrels per day while global liquids consumption increased 8.1 million barrels per day. However, in 2014, global production growth outpaced global consumption growth by 1.1 million barrels per day, with non-OPEC accounting for 104% of the production growth. In 2015, the markets remained oversupplied due to the continuation of the 2014 imbalance. Supply growth in 2015 outpaced demand growth by another 1.0 million barrels per day, resulting in an imbalance of 1.9 million barrels per day. The table below depicts historical OPEC and Non-OPEC liquids production and global liquids consumption and is derived from the EIA Short-Term Energy Outlook, January 2016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 xml:space="preserve">Annual Liquids Production </w:t>
            </w:r>
            <w:r>
              <w:rPr>
                <w:rFonts w:ascii="Arial" w:cs="Arial" w:eastAsia="Arial" w:hAnsi="Arial"/>
                <w:sz w:val="17"/>
                <w:szCs w:val="17"/>
                <w:b w:val="1"/>
                <w:bCs w:val="1"/>
                <w:color w:val="auto"/>
                <w:w w:val="96"/>
                <w:vertAlign w:val="superscript"/>
              </w:rPr>
              <w:t>(1)</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from 2004</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from 2013</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 from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20" w:type="dxa"/>
            <w:vAlign w:val="bottom"/>
            <w:gridSpan w:val="7"/>
          </w:tcPr>
          <w:p>
            <w:pPr>
              <w:jc w:val="right"/>
              <w:ind w:right="90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Production (Supply)</w:t>
            </w:r>
          </w:p>
        </w:tc>
        <w:tc>
          <w:tcPr>
            <w:tcW w:w="18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OPEC</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37.3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0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center"/>
              <w:ind w:left="335"/>
              <w:spacing w:after="0"/>
              <w:rPr>
                <w:sz w:val="20"/>
                <w:szCs w:val="20"/>
                <w:color w:val="auto"/>
              </w:rPr>
            </w:pPr>
            <w:r>
              <w:rPr>
                <w:rFonts w:ascii="Arial" w:cs="Arial" w:eastAsia="Arial" w:hAnsi="Arial"/>
                <w:sz w:val="18"/>
                <w:szCs w:val="18"/>
                <w:color w:val="auto"/>
                <w:w w:val="91"/>
              </w:rPr>
              <w:t>(0.1)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Non-OPEC</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w:t>
            </w: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9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7"/>
              </w:rPr>
              <w:t>2.4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940" w:type="dxa"/>
            <w:vAlign w:val="bottom"/>
            <w:tcBorders>
              <w:top w:val="single" w:sz="8" w:color="auto"/>
            </w:tcBorders>
          </w:tcPr>
          <w:p>
            <w:pPr>
              <w:jc w:val="center"/>
              <w:ind w:left="635"/>
              <w:spacing w:after="0"/>
              <w:rPr>
                <w:sz w:val="20"/>
                <w:szCs w:val="20"/>
                <w:color w:val="auto"/>
              </w:rPr>
            </w:pPr>
            <w:r>
              <w:rPr>
                <w:rFonts w:ascii="Arial" w:cs="Arial" w:eastAsia="Arial" w:hAnsi="Arial"/>
                <w:sz w:val="18"/>
                <w:szCs w:val="18"/>
                <w:color w:val="auto"/>
                <w:w w:val="87"/>
              </w:rPr>
              <w:t>2.3</w:t>
            </w:r>
          </w:p>
        </w:tc>
        <w:tc>
          <w:tcPr>
            <w:tcW w:w="3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Consumption (Demand)</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w:t>
            </w: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7"/>
              </w:rPr>
              <w:t>1.2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Supply / Demand Balance</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7"/>
              </w:rPr>
              <w:t>1.1</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18"/>
          <w:szCs w:val="18"/>
          <w:color w:val="auto"/>
        </w:rPr>
        <w:t>Amounts are derived from the EIA’s Short-Term Energy Outlook.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surge in liquids production without a commensurate increase in demand has led to a near-to-medium-term supply imbalance, which has resulted in a reduction to benchmark petroleum prices. Producers, in turn, are scaling back capital programs, which will ultimately reduce supply. This is expected to lead to underinvestment in long lead time projects and stimulate petroleum demand growth, which ultimately should lead to an environment where prices will recover to a level to support future production growth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9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The nature and extent of these imbalances change from time to time as a result of a variety of factors, including regional production declines and/or increases; refinery expansions, modifications and shut-downs; available transportation and storage capacity; and government mandates and related regulatory factors.</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From 2011 through 2014, the combination of (i) a significant increase in North American production volumes, (ii) a change in crude oil qualities and related differentials and (iii) high utilization of existing pipeline and terminal infrastructure stimulated multiple industry initiatives to build new pipeline and terminal infrastructure, convert certain pipeline assets to alternative service or reverse flows and expand the use of trucks, rail and barges for the movement of crude oil and condensate. Increased production came from mature producing areas such as the Rockies, the Permian Basin in West Texas and the Mid-Continent region, as well as from less mature, but rapidly growing areas such as the Eagle Ford Shale in South Texas and the Bakken Shale in North Dakota. As a result, North American crude oil production increased 3.6 million barrels per day, or 32%, between 2011 and 2014, with the increases coming primarily from Canada, the Eagle Ford Shale, the Permian Basin and the Bakken Shale. Production increases in all of these regions strained existing transportation,</w:t>
      </w:r>
    </w:p>
    <w:p>
      <w:pPr>
        <w:sectPr>
          <w:pgSz w:w="11900" w:h="16838" w:orient="portrait"/>
          <w:cols w:equalWidth="0" w:num="1">
            <w:col w:w="11420"/>
          </w:cols>
          <w:pgMar w:left="240" w:top="125" w:right="239" w:bottom="0" w:gutter="0" w:footer="0" w:header="0"/>
        </w:sectPr>
      </w:pPr>
    </w:p>
    <w:bookmarkStart w:id="9" w:name="page10"/>
    <w:bookmarkEnd w:id="9"/>
    <w:p>
      <w:pPr>
        <w:spacing w:after="0" w:line="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terminalling and downstream infrastructure. This opportunity for new crude oil infrastructure attracted significant investment in midstream oil assets, resulting in excess midstream capacity in the Permian, Eagle Ford, Williston, Midcontinent and Denver Julesburg basins.</w:t>
      </w:r>
    </w:p>
    <w:p>
      <w:pPr>
        <w:spacing w:after="0" w:line="147"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However, in the latter half of 2014 crude oil prices fell approximately 50%, and then approximately another 30% during 2015. The reduction in prices precipitated a significant slowdown in drilling activity and plans as producers right-sized their capital budgets to the significantly reduced levels of cash flow resulting from lower prices, a process that is continuing into 2016. The combination of the slowdown of growth in U.S. crude oil production caused by declining prices and the significant commitments for new infrastructure created an environment in which margins have compressed and differentials are less than transportation costs in some cases.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addition, significant shifts in the type and location of crude oil being produced in North America, relative to the types and location of crude oil being produced five years ago, have led to changes in the utilization of downstream infrastructure. Since reaching a multi-year low in 2009, U.S. net refinery inputs of crude oil have increased to 16.2 million barrels per day in 2015. From 2009 through 2014, refiners increased throughputs to take advantage of discounted domestic production, which led to lower use of imported crude oil by U.S. refineries. This decline in imports was a meaningful change in a multi-year trend where foreign imports of crude oil tripled over an approximately 23-year period from 1985-2007. In 2015, U.S. refinery inputs reached historically high levels fueled by price driven demand growth and exports. U.S. petroleum consumption increased to 19.5 million barrels per day for the twelve month period ended October 2015, the highest levels since 2008. The table below shows the overall domestic petroleum consumption projected through 2017 and is derived from the EIA Short-Term Energy Outlook, January 2016 (see EIA website at </w:t>
      </w:r>
      <w:r>
        <w:rPr>
          <w:rFonts w:ascii="Arial" w:cs="Arial" w:eastAsia="Arial" w:hAnsi="Arial"/>
          <w:sz w:val="17"/>
          <w:szCs w:val="17"/>
          <w:i w:val="1"/>
          <w:iCs w:val="1"/>
          <w:color w:val="auto"/>
        </w:rPr>
        <w:t>www.eia.doe.gov</w:t>
      </w:r>
      <w:r>
        <w:rPr>
          <w:rFonts w:ascii="Arial" w:cs="Arial" w:eastAsia="Arial" w:hAnsi="Arial"/>
          <w:sz w:val="17"/>
          <w:szCs w:val="17"/>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8"/>
              </w:rPr>
              <w:t>Actual</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Projected</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(In millions of barrels per day)</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Domestic Crude Oil Production</w:t>
            </w: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9.4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Imports - Crude Oil</w:t>
            </w:r>
          </w:p>
        </w:tc>
        <w:tc>
          <w:tcPr>
            <w:tcW w:w="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Other (Supply Adjustment/Stock Change)</w:t>
            </w:r>
          </w:p>
        </w:tc>
        <w:tc>
          <w:tcPr>
            <w:tcW w:w="680" w:type="dxa"/>
            <w:vAlign w:val="bottom"/>
            <w:gridSpan w:val="2"/>
          </w:tcPr>
          <w:p>
            <w:pPr>
              <w:jc w:val="right"/>
              <w:ind w:right="148"/>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Crude Oil Input to Domestic Refineries</w:t>
            </w: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Product Imports / (Exports)</w:t>
            </w:r>
          </w:p>
        </w:tc>
        <w:tc>
          <w:tcPr>
            <w:tcW w:w="6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from Renewable Sources</w:t>
            </w:r>
          </w:p>
        </w:tc>
        <w:tc>
          <w:tcPr>
            <w:tcW w:w="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200"/>
              <w:spacing w:after="0"/>
              <w:rPr>
                <w:sz w:val="20"/>
                <w:szCs w:val="20"/>
                <w:color w:val="auto"/>
              </w:rPr>
            </w:pPr>
            <w:r>
              <w:rPr>
                <w:rFonts w:ascii="Arial" w:cs="Arial" w:eastAsia="Arial" w:hAnsi="Arial"/>
                <w:sz w:val="18"/>
                <w:szCs w:val="18"/>
                <w:color w:val="auto"/>
              </w:rPr>
              <w:t>Other - (NGL Production, Refinery Processing Gain)</w:t>
            </w:r>
          </w:p>
        </w:tc>
        <w:tc>
          <w:tcPr>
            <w:tcW w:w="680" w:type="dxa"/>
            <w:vAlign w:val="bottom"/>
            <w:gridSpan w:val="2"/>
          </w:tcPr>
          <w:p>
            <w:pPr>
              <w:jc w:val="right"/>
              <w:ind w:right="208"/>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Domestic Petroleum Consumption</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Crude Oil Exports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At the end of 2015, the U.S. Congress agreed to lift the 40-year ban on exporting U.S. crude oil, providing domestic oil producers the ability to sell into the international market. The immediate impact will most likely not be felt in 2016 as refineries have increased their processing of U.S. crude oil while domestic production output is expected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25" w:lineRule="exact"/>
        <w:rPr>
          <w:sz w:val="20"/>
          <w:szCs w:val="20"/>
          <w:color w:val="auto"/>
        </w:rPr>
      </w:pPr>
    </w:p>
    <w:p>
      <w:pPr>
        <w:ind w:left="980" w:right="16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Ethane.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65" w:lineRule="exact"/>
        <w:rPr>
          <w:rFonts w:ascii="Arial" w:cs="Arial" w:eastAsia="Arial" w:hAnsi="Arial"/>
          <w:sz w:val="17"/>
          <w:szCs w:val="17"/>
          <w:color w:val="auto"/>
        </w:rPr>
      </w:pPr>
    </w:p>
    <w:p>
      <w:pPr>
        <w:ind w:left="980" w:right="10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Propane. </w:t>
      </w:r>
      <w:r>
        <w:rPr>
          <w:rFonts w:ascii="Arial" w:cs="Arial" w:eastAsia="Arial" w:hAnsi="Arial"/>
          <w:sz w:val="18"/>
          <w:szCs w:val="18"/>
          <w:color w:val="auto"/>
        </w:rPr>
        <w:t>Propane is used as heating fuel, engine fuel and industrial fuel, for agricultural burning and drying and also as petrochemical feedstock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production of ethylene and propylene.</w:t>
      </w:r>
    </w:p>
    <w:p>
      <w:pPr>
        <w:spacing w:after="0" w:line="170" w:lineRule="exact"/>
        <w:rPr>
          <w:rFonts w:ascii="Arial" w:cs="Arial" w:eastAsia="Arial" w:hAnsi="Arial"/>
          <w:sz w:val="18"/>
          <w:szCs w:val="18"/>
          <w:color w:val="auto"/>
        </w:rPr>
      </w:pPr>
    </w:p>
    <w:p>
      <w:pPr>
        <w:ind w:left="980" w:right="12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Normal butane. </w:t>
      </w:r>
      <w:r>
        <w:rPr>
          <w:rFonts w:ascii="Arial" w:cs="Arial" w:eastAsia="Arial" w:hAnsi="Arial"/>
          <w:sz w:val="17"/>
          <w:szCs w:val="17"/>
          <w:color w:val="auto"/>
        </w:rPr>
        <w:t>Normal butane is principally used for motor gasoline blending and as fuel gas, either alone or in a mixture with propane, and</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65" w:lineRule="exact"/>
        <w:rPr>
          <w:rFonts w:ascii="Arial" w:cs="Arial" w:eastAsia="Arial" w:hAnsi="Arial"/>
          <w:sz w:val="17"/>
          <w:szCs w:val="17"/>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25" w:lineRule="exact"/>
        <w:rPr>
          <w:rFonts w:ascii="Arial" w:cs="Arial" w:eastAsia="Arial" w:hAnsi="Arial"/>
          <w:sz w:val="18"/>
          <w:szCs w:val="18"/>
          <w:color w:val="auto"/>
        </w:rPr>
      </w:pPr>
    </w:p>
    <w:p>
      <w:pPr>
        <w:ind w:left="980" w:right="92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 xml:space="preserve">NGL Supply. </w:t>
      </w:r>
      <w:r>
        <w:rPr>
          <w:rFonts w:ascii="Arial" w:cs="Arial" w:eastAsia="Arial" w:hAnsi="Arial"/>
          <w:sz w:val="16"/>
          <w:szCs w:val="16"/>
          <w:color w:val="auto"/>
        </w:rPr>
        <w:t>The bulk (approximately 80%) of the United States NGL supply comes from gas processing plants, which separate a mixture of NGL</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dry gas (primarily methane). The NGL mix (also referred to as “Y Grade”) is then either fractionated at the processing site into the five individual</w:t>
      </w:r>
    </w:p>
    <w:p>
      <w:pPr>
        <w:sectPr>
          <w:pgSz w:w="11900" w:h="16867" w:orient="portrait"/>
          <w:cols w:equalWidth="0" w:num="1">
            <w:col w:w="11460"/>
          </w:cols>
          <w:pgMar w:left="240" w:top="125" w:right="199" w:bottom="0" w:gutter="0" w:footer="0" w:header="0"/>
        </w:sectPr>
      </w:pPr>
    </w:p>
    <w:bookmarkStart w:id="10" w:name="page11"/>
    <w:bookmarkEnd w:id="10"/>
    <w:p>
      <w:pPr>
        <w:ind w:right="640"/>
        <w:spacing w:after="0" w:line="277" w:lineRule="auto"/>
        <w:rPr>
          <w:sz w:val="20"/>
          <w:szCs w:val="20"/>
          <w:color w:val="auto"/>
        </w:rPr>
      </w:pPr>
      <w:r>
        <w:rPr>
          <w:rFonts w:ascii="Arial" w:cs="Arial" w:eastAsia="Arial" w:hAnsi="Arial"/>
          <w:sz w:val="18"/>
          <w:szCs w:val="18"/>
          <w:color w:val="auto"/>
        </w:rPr>
        <w:t>NGL components (known as purity products), which may be transported, stored and sold to end use markets or transported as a Y-Grade to a regional fractionation facility.</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NGL products from refineries represent approximately 17% of the United States supply and are by-products of the refinery conversion processes.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NGL is also imported into certain regions of the United States from Canada and other parts of the world (approximately 3% of total supply). NGL (primarily propane and butane) is also exported from certain regions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the production points and the delivery points, cost-efficiency and the quantity of product being transported. Pipelines are generally the most cost-efficient mode of transportation when large, consistent volumes of product are to be delivered.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NGL must be stored under pressure to maintain a liquid state. The lighter the product (e.g., ethane), the greater the pressure that must</w:t>
      </w:r>
      <w:r>
        <w:rPr>
          <w:rFonts w:ascii="Arial" w:cs="Arial" w:eastAsia="Arial" w:hAnsi="Arial"/>
          <w:sz w:val="17"/>
          <w:szCs w:val="17"/>
          <w:i w:val="1"/>
          <w:iCs w:val="1"/>
          <w:color w:val="auto"/>
        </w:rPr>
        <w:t xml:space="preserve"> </w:t>
      </w:r>
      <w:r>
        <w:rPr>
          <w:rFonts w:ascii="Arial" w:cs="Arial" w:eastAsia="Arial" w:hAnsi="Arial"/>
          <w:sz w:val="17"/>
          <w:szCs w:val="17"/>
          <w:color w:val="auto"/>
        </w:rPr>
        <w:t>be maintained. Large volumes of NGL are stored in underground caverns constructed in salt or granite.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 Storage is especially important for NGL as supply and demand can vary materially on a seasonal basis.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 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growth of production in non-traditional producing regions has shifted regional basis relationships and the creation of new logistics and infrastructure opportunities. Growing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a low price environment may stunt production growth, the fundamentals of an accessible resource base and improved midstream infrastructure should mean producers can continue to develop the most economic new supply and be ready to go back to rapid growth as prices recover. The NGL market is, among other things, expected to be driven by:</w:t>
      </w:r>
    </w:p>
    <w:p>
      <w:pPr>
        <w:spacing w:after="0" w:line="18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petro-chemical demand;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weather related demand;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the “shock absorber” that balances the market, serving as a source of supply to meet the consumption demands in excess of daily production capacity and a warehouse for gas production in excess of daily demand during low demand periods.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Overall market conditions for natural gas storage have been challenging during the last several years, driven by a variety of factors, including</w:t>
      </w:r>
    </w:p>
    <w:p>
      <w:pPr>
        <w:spacing w:after="0" w:line="35" w:lineRule="exact"/>
        <w:rPr>
          <w:sz w:val="20"/>
          <w:szCs w:val="20"/>
          <w:color w:val="auto"/>
        </w:rPr>
      </w:pPr>
    </w:p>
    <w:p>
      <w:pPr>
        <w:ind w:right="360"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natural gas supplies due to production from shale resources, (ii) a shift from Gulf of Mexico production to Northeast production causing less concern over disruptions from tropical weather, (iii) increased availability of storage capacity and (iv) lower basis differentials in certain regions due to expansion and improved connectivity of natural gas transportation infrastructure.</w:t>
      </w:r>
    </w:p>
    <w:p>
      <w:pPr>
        <w:spacing w:after="0" w:line="190"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Longer term, we believe several factors will contribute to meaningful growth in North American natural gas demand that will bolster the market need for and the commercial value of natural gas storage. These fundamental factors include (i) exports of North American volumes of LNG,</w:t>
      </w:r>
    </w:p>
    <w:p>
      <w:pPr>
        <w:ind w:right="260" w:firstLine="8"/>
        <w:spacing w:after="0" w:line="290"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construction of new gas-fired power plants, (iii) sustained fuel switching from coal to natural gas among existing power plants and (iv) growth in base-level industrial demand. As a result, we remain optimistic about the intermediate- to long-term intrinsic value of our natural gas storage assets.</w:t>
      </w:r>
    </w:p>
    <w:p>
      <w:pPr>
        <w:spacing w:after="0" w:line="16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Projected seasonal spreads for the next few years reflect a directionally similar picture to the challenging market conditions we have experienced during most of the past few years. Continuation of these unfavorable market conditions will adversely impact our hub services activities as well as the rates our customers are willing to pay for firm storage services upon expirations of existing storage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business activities are conducted through three segments—Transportation, Facilities and Supply and Logistics. We have an extensive network of pipeline transportation, terminalling, storage and gathering assets in key crude oil and NGL producing basins and transportation corridors and at major market hubs in the United States and Canada. The map below highlights our more significant assets (including certain assets under construction or development) as of December 31, 2015:</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6680835" cy="5763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0835" cy="57632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third-party pipeline capacity agreements and other transportation fees. Our Transportation segment also includes equity earnings from our investments in entities that own the BridgeTex, Eagle Ford, White Cliffs, Frontier and Butte pipeline systems as well as Settoon Towing, in which we own interests ranging from 22% to 50%. Additionally, we own interests in entities that are currently constructing and developing pipeline systems, including Caddo, Diamond and Saddlehorn. We account for these investments under the equity method of accounting.</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2015, we employed a variety of owned or, to a much lesser extent, leased long-term physical assets throughout the United States and Canada in this segment, including approximately:</w:t>
      </w:r>
    </w:p>
    <w:p>
      <w:pPr>
        <w:spacing w:after="0" w:line="170"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18,100 miles of active crude oil and NGL pipelines and gathering systems;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million barrels of active, above-ground tank capacity used primarily to facilitate pipeline throughput;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830 trailers (primarily in Canada);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142 transport and storage barges and 64 transport tugs through our interest in Settoon Towing.</w:t>
      </w:r>
    </w:p>
    <w:p>
      <w:pPr>
        <w:spacing w:after="0" w:line="2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2015, grouped by geographic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Region / Pipeline and Gathering Systems </w:t>
            </w:r>
            <w:r>
              <w:rPr>
                <w:rFonts w:ascii="Arial" w:cs="Arial" w:eastAsia="Arial" w:hAnsi="Arial"/>
                <w:sz w:val="17"/>
                <w:szCs w:val="17"/>
                <w:b w:val="1"/>
                <w:bCs w:val="1"/>
                <w:color w:val="auto"/>
                <w:vertAlign w:val="superscript"/>
              </w:rPr>
              <w:t>(1)</w:t>
            </w:r>
          </w:p>
        </w:tc>
        <w:tc>
          <w:tcPr>
            <w:tcW w:w="300" w:type="dxa"/>
            <w:vAlign w:val="bottom"/>
          </w:tcPr>
          <w:p>
            <w:pPr>
              <w:spacing w:after="0"/>
              <w:rPr>
                <w:sz w:val="14"/>
                <w:szCs w:val="14"/>
                <w:color w:val="auto"/>
              </w:rPr>
            </w:pP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Miles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2015 Average Net</w:t>
            </w:r>
          </w:p>
        </w:tc>
        <w:tc>
          <w:tcPr>
            <w:tcW w:w="0" w:type="dxa"/>
            <w:vAlign w:val="bottom"/>
          </w:tcPr>
          <w:p>
            <w:pPr>
              <w:spacing w:after="0"/>
              <w:rPr>
                <w:sz w:val="1"/>
                <w:szCs w:val="1"/>
                <w:color w:val="auto"/>
              </w:rPr>
            </w:pPr>
          </w:p>
        </w:tc>
      </w:tr>
      <w:tr>
        <w:trPr>
          <w:trHeight w:val="171"/>
        </w:trPr>
        <w:tc>
          <w:tcPr>
            <w:tcW w:w="75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72" w:lineRule="exact"/>
              <w:rPr>
                <w:sz w:val="20"/>
                <w:szCs w:val="20"/>
                <w:color w:val="auto"/>
              </w:rPr>
            </w:pPr>
            <w:r>
              <w:rPr>
                <w:rFonts w:ascii="Arial" w:cs="Arial" w:eastAsia="Arial" w:hAnsi="Arial"/>
                <w:sz w:val="14"/>
                <w:szCs w:val="14"/>
                <w:b w:val="1"/>
                <w:bCs w:val="1"/>
                <w:color w:val="auto"/>
                <w:w w:val="92"/>
              </w:rPr>
              <w:t xml:space="preserve">Barrels per Day </w:t>
            </w:r>
            <w:r>
              <w:rPr>
                <w:rFonts w:ascii="Arial" w:cs="Arial" w:eastAsia="Arial" w:hAnsi="Arial"/>
                <w:sz w:val="17"/>
                <w:szCs w:val="17"/>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6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4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United States Crude Oil Pipelines</w:t>
            </w:r>
          </w:p>
        </w:tc>
        <w:tc>
          <w:tcPr>
            <w:tcW w:w="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Permian Basin</w:t>
            </w:r>
          </w:p>
        </w:tc>
        <w:tc>
          <w:tcPr>
            <w:tcW w:w="49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Basin / Mesa / Sunrise</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696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BridgeTex </w:t>
            </w:r>
            <w:r>
              <w:rPr>
                <w:rFonts w:ascii="Arial" w:cs="Arial" w:eastAsia="Arial" w:hAnsi="Arial"/>
                <w:sz w:val="23"/>
                <w:szCs w:val="23"/>
                <w:color w:val="auto"/>
                <w:vertAlign w:val="superscript"/>
              </w:rPr>
              <w:t>(3) (4)</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Cactus</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298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Permian Basin Area Systems</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2,787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91"/>
        </w:trPr>
        <w:tc>
          <w:tcPr>
            <w:tcW w:w="7540" w:type="dxa"/>
            <w:vAlign w:val="bottom"/>
            <w:gridSpan w:val="3"/>
          </w:tcPr>
          <w:p>
            <w:pPr>
              <w:ind w:left="560"/>
              <w:spacing w:after="0" w:line="191" w:lineRule="exact"/>
              <w:rPr>
                <w:sz w:val="20"/>
                <w:szCs w:val="20"/>
                <w:color w:val="auto"/>
              </w:rPr>
            </w:pPr>
            <w:r>
              <w:rPr>
                <w:rFonts w:ascii="Arial" w:cs="Arial" w:eastAsia="Arial" w:hAnsi="Arial"/>
                <w:sz w:val="18"/>
                <w:szCs w:val="18"/>
                <w:b w:val="1"/>
                <w:bCs w:val="1"/>
                <w:color w:val="auto"/>
              </w:rPr>
              <w:t>Permian Basin Subtotal</w:t>
            </w:r>
          </w:p>
        </w:tc>
        <w:tc>
          <w:tcPr>
            <w:tcW w:w="3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4,189</w:t>
            </w:r>
          </w:p>
        </w:tc>
        <w:tc>
          <w:tcPr>
            <w:tcW w:w="2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1,849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gridSpan w:val="3"/>
          </w:tcPr>
          <w:p>
            <w:pPr>
              <w:ind w:left="200"/>
              <w:spacing w:after="0"/>
              <w:rPr>
                <w:sz w:val="20"/>
                <w:szCs w:val="20"/>
                <w:color w:val="auto"/>
              </w:rPr>
            </w:pPr>
            <w:r>
              <w:rPr>
                <w:rFonts w:ascii="Arial" w:cs="Arial" w:eastAsia="Arial" w:hAnsi="Arial"/>
                <w:sz w:val="18"/>
                <w:szCs w:val="18"/>
                <w:b w:val="1"/>
                <w:bCs w:val="1"/>
                <w:color w:val="auto"/>
              </w:rPr>
              <w:t>South Texas/Eagle Ford</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(4)</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91"/>
        </w:trPr>
        <w:tc>
          <w:tcPr>
            <w:tcW w:w="7540" w:type="dxa"/>
            <w:vAlign w:val="bottom"/>
            <w:gridSpan w:val="3"/>
          </w:tcPr>
          <w:p>
            <w:pPr>
              <w:ind w:left="560"/>
              <w:spacing w:after="0" w:line="191" w:lineRule="exact"/>
              <w:rPr>
                <w:sz w:val="20"/>
                <w:szCs w:val="20"/>
                <w:color w:val="auto"/>
              </w:rPr>
            </w:pPr>
            <w:r>
              <w:rPr>
                <w:rFonts w:ascii="Arial" w:cs="Arial" w:eastAsia="Arial" w:hAnsi="Arial"/>
                <w:sz w:val="18"/>
                <w:szCs w:val="18"/>
                <w:b w:val="1"/>
                <w:bCs w:val="1"/>
                <w:color w:val="auto"/>
              </w:rPr>
              <w:t>South Texas/Eagle Ford Subtotal</w:t>
            </w:r>
          </w:p>
        </w:tc>
        <w:tc>
          <w:tcPr>
            <w:tcW w:w="3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670</w:t>
            </w:r>
          </w:p>
        </w:tc>
        <w:tc>
          <w:tcPr>
            <w:tcW w:w="2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gridSpan w:val="3"/>
          </w:tcPr>
          <w:p>
            <w:pPr>
              <w:ind w:left="200"/>
              <w:spacing w:after="0"/>
              <w:rPr>
                <w:sz w:val="20"/>
                <w:szCs w:val="20"/>
                <w:color w:val="auto"/>
              </w:rPr>
            </w:pPr>
            <w:r>
              <w:rPr>
                <w:rFonts w:ascii="Arial" w:cs="Arial" w:eastAsia="Arial" w:hAnsi="Arial"/>
                <w:sz w:val="18"/>
                <w:szCs w:val="18"/>
                <w:b w:val="1"/>
                <w:bCs w:val="1"/>
                <w:color w:val="auto"/>
              </w:rPr>
              <w:t>Western</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All American </w:t>
            </w:r>
            <w:r>
              <w:rPr>
                <w:rFonts w:ascii="Arial" w:cs="Arial" w:eastAsia="Arial" w:hAnsi="Arial"/>
                <w:sz w:val="23"/>
                <w:szCs w:val="23"/>
                <w:color w:val="auto"/>
                <w:vertAlign w:val="superscript"/>
              </w:rPr>
              <w:t>(5)</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Line 63 / Line 2000</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314</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1"/>
        </w:trPr>
        <w:tc>
          <w:tcPr>
            <w:tcW w:w="7540" w:type="dxa"/>
            <w:vAlign w:val="bottom"/>
            <w:gridSpan w:val="3"/>
          </w:tcPr>
          <w:p>
            <w:pPr>
              <w:ind w:left="560"/>
              <w:spacing w:after="0" w:line="191" w:lineRule="exact"/>
              <w:rPr>
                <w:sz w:val="20"/>
                <w:szCs w:val="20"/>
                <w:color w:val="auto"/>
              </w:rPr>
            </w:pPr>
            <w:r>
              <w:rPr>
                <w:rFonts w:ascii="Arial" w:cs="Arial" w:eastAsia="Arial" w:hAnsi="Arial"/>
                <w:sz w:val="18"/>
                <w:szCs w:val="18"/>
                <w:b w:val="1"/>
                <w:bCs w:val="1"/>
                <w:color w:val="auto"/>
              </w:rPr>
              <w:t>Western Subtotal</w:t>
            </w:r>
          </w:p>
        </w:tc>
        <w:tc>
          <w:tcPr>
            <w:tcW w:w="30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573</w:t>
            </w:r>
          </w:p>
        </w:tc>
        <w:tc>
          <w:tcPr>
            <w:tcW w:w="28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gridSpan w:val="3"/>
          </w:tcPr>
          <w:p>
            <w:pPr>
              <w:ind w:left="200"/>
              <w:spacing w:after="0"/>
              <w:rPr>
                <w:sz w:val="20"/>
                <w:szCs w:val="20"/>
                <w:color w:val="auto"/>
              </w:rPr>
            </w:pPr>
            <w:r>
              <w:rPr>
                <w:rFonts w:ascii="Arial" w:cs="Arial" w:eastAsia="Arial" w:hAnsi="Arial"/>
                <w:sz w:val="18"/>
                <w:szCs w:val="18"/>
                <w:b w:val="1"/>
                <w:bCs w:val="1"/>
                <w:color w:val="auto"/>
              </w:rPr>
              <w:t>Rocky Mountain</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(4)</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(4)</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969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line="216" w:lineRule="exact"/>
              <w:rPr>
                <w:sz w:val="20"/>
                <w:szCs w:val="20"/>
                <w:color w:val="auto"/>
              </w:rPr>
            </w:pPr>
            <w:r>
              <w:rPr>
                <w:rFonts w:ascii="Arial" w:cs="Arial" w:eastAsia="Arial" w:hAnsi="Arial"/>
                <w:sz w:val="18"/>
                <w:szCs w:val="18"/>
                <w:color w:val="auto"/>
              </w:rPr>
              <w:t xml:space="preserve">White Cliffs </w:t>
            </w:r>
            <w:r>
              <w:rPr>
                <w:rFonts w:ascii="Arial" w:cs="Arial" w:eastAsia="Arial" w:hAnsi="Arial"/>
                <w:sz w:val="23"/>
                <w:szCs w:val="23"/>
                <w:color w:val="auto"/>
                <w:vertAlign w:val="superscript"/>
              </w:rPr>
              <w:t>(3) (4)</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1,296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Rocky Mountain Subtotal</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Gulf Coast</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line="216" w:lineRule="exact"/>
              <w:rPr>
                <w:sz w:val="20"/>
                <w:szCs w:val="20"/>
                <w:color w:val="auto"/>
              </w:rPr>
            </w:pPr>
            <w:r>
              <w:rPr>
                <w:rFonts w:ascii="Arial" w:cs="Arial" w:eastAsia="Arial" w:hAnsi="Arial"/>
                <w:sz w:val="18"/>
                <w:szCs w:val="18"/>
                <w:color w:val="auto"/>
              </w:rPr>
              <w:t xml:space="preserve">Capline </w:t>
            </w:r>
            <w:r>
              <w:rPr>
                <w:rFonts w:ascii="Arial" w:cs="Arial" w:eastAsia="Arial" w:hAnsi="Arial"/>
                <w:sz w:val="23"/>
                <w:szCs w:val="23"/>
                <w:color w:val="auto"/>
                <w:vertAlign w:val="superscript"/>
              </w:rPr>
              <w:t>(3)</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631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Pascagoula</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868</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Gulf Coast Subtotal</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Central</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Mid-Continent Area Systems</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2,419</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tcPr>
          <w:p>
            <w:pPr>
              <w:ind w:left="560"/>
              <w:spacing w:after="0"/>
              <w:rPr>
                <w:sz w:val="20"/>
                <w:szCs w:val="20"/>
                <w:color w:val="auto"/>
              </w:rPr>
            </w:pPr>
            <w:r>
              <w:rPr>
                <w:rFonts w:ascii="Arial" w:cs="Arial" w:eastAsia="Arial" w:hAnsi="Arial"/>
                <w:sz w:val="18"/>
                <w:szCs w:val="18"/>
                <w:b w:val="1"/>
                <w:bCs w:val="1"/>
                <w:color w:val="auto"/>
              </w:rPr>
              <w:t>Central Subtotal</w:t>
            </w:r>
          </w:p>
        </w:tc>
        <w:tc>
          <w:tcPr>
            <w:tcW w:w="3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United States Total</w:t>
            </w: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13,864</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5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Canada</w:t>
            </w: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3"/>
          </w:tcPr>
          <w:p>
            <w:pPr>
              <w:ind w:left="200"/>
              <w:spacing w:after="0"/>
              <w:rPr>
                <w:sz w:val="20"/>
                <w:szCs w:val="20"/>
                <w:color w:val="auto"/>
              </w:rPr>
            </w:pPr>
            <w:r>
              <w:rPr>
                <w:rFonts w:ascii="Arial" w:cs="Arial" w:eastAsia="Arial" w:hAnsi="Arial"/>
                <w:sz w:val="18"/>
                <w:szCs w:val="18"/>
                <w:color w:val="auto"/>
              </w:rPr>
              <w:t>Crude Oil Pipelines</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Manito</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Rainbow</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827</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Rangeland</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South Saskatchewan</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346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7540" w:type="dxa"/>
            <w:vAlign w:val="bottom"/>
            <w:gridSpan w:val="3"/>
          </w:tcPr>
          <w:p>
            <w:pPr>
              <w:ind w:left="560"/>
              <w:spacing w:after="0"/>
              <w:rPr>
                <w:sz w:val="20"/>
                <w:szCs w:val="20"/>
                <w:color w:val="auto"/>
              </w:rPr>
            </w:pPr>
            <w:r>
              <w:rPr>
                <w:rFonts w:ascii="Arial" w:cs="Arial" w:eastAsia="Arial" w:hAnsi="Arial"/>
                <w:sz w:val="18"/>
                <w:szCs w:val="18"/>
                <w:b w:val="1"/>
                <w:bCs w:val="1"/>
                <w:color w:val="auto"/>
              </w:rPr>
              <w:t>Crude Oil Pipelines Subtotal</w:t>
            </w:r>
          </w:p>
        </w:tc>
        <w:tc>
          <w:tcPr>
            <w:tcW w:w="30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380"/>
              <w:spacing w:after="0"/>
              <w:rPr>
                <w:sz w:val="20"/>
                <w:szCs w:val="20"/>
                <w:color w:val="auto"/>
              </w:rPr>
            </w:pPr>
            <w:r>
              <w:rPr>
                <w:rFonts w:ascii="Arial" w:cs="Arial" w:eastAsia="Arial" w:hAnsi="Arial"/>
                <w:sz w:val="18"/>
                <w:szCs w:val="18"/>
                <w:color w:val="auto"/>
              </w:rPr>
              <w:t>Co-Ed</w:t>
            </w:r>
          </w:p>
        </w:tc>
        <w:tc>
          <w:tcPr>
            <w:tcW w:w="2180" w:type="dxa"/>
            <w:vAlign w:val="bottom"/>
            <w:gridSpan w:val="3"/>
          </w:tcPr>
          <w:p>
            <w:pPr>
              <w:jc w:val="right"/>
              <w:ind w:right="280"/>
              <w:spacing w:after="0"/>
              <w:rPr>
                <w:sz w:val="20"/>
                <w:szCs w:val="20"/>
                <w:color w:val="auto"/>
              </w:rPr>
            </w:pPr>
            <w:r>
              <w:rPr>
                <w:rFonts w:ascii="Arial" w:cs="Arial" w:eastAsia="Arial" w:hAnsi="Arial"/>
                <w:sz w:val="18"/>
                <w:szCs w:val="18"/>
                <w:color w:val="auto"/>
              </w:rPr>
              <w:t>633</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tcPr>
          <w:p>
            <w:pPr>
              <w:ind w:left="560"/>
              <w:spacing w:after="0"/>
              <w:rPr>
                <w:sz w:val="20"/>
                <w:szCs w:val="20"/>
                <w:color w:val="auto"/>
              </w:rPr>
            </w:pPr>
            <w:r>
              <w:rPr>
                <w:rFonts w:ascii="Arial" w:cs="Arial" w:eastAsia="Arial" w:hAnsi="Arial"/>
                <w:sz w:val="18"/>
                <w:szCs w:val="18"/>
                <w:b w:val="1"/>
                <w:bCs w:val="1"/>
                <w:color w:val="auto"/>
              </w:rPr>
              <w:t>NGL Pipelines Subtotal</w:t>
            </w:r>
          </w:p>
        </w:tc>
        <w:tc>
          <w:tcPr>
            <w:tcW w:w="30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28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Canada Total</w:t>
            </w: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4,280</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Grand Total</w:t>
            </w: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18,144</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Ownership percentage varies on each pipeline and gathering system ranging from approximately 20% to 100%.</w:t>
      </w:r>
    </w:p>
    <w:p>
      <w:pPr>
        <w:spacing w:after="0" w:line="225" w:lineRule="exact"/>
        <w:rPr>
          <w:sz w:val="20"/>
          <w:szCs w:val="20"/>
          <w:color w:val="auto"/>
        </w:rPr>
      </w:pPr>
    </w:p>
    <w:p>
      <w:pPr>
        <w:ind w:left="20" w:right="380" w:hanging="11"/>
        <w:spacing w:after="0" w:line="264"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might be included multiple times as volumes move through our integrated system.</w:t>
      </w:r>
    </w:p>
    <w:p>
      <w:pPr>
        <w:spacing w:after="0" w:line="181"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Pipelines operated by a third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Includes total mileage and volumes (attributable to our interest) from pipelines owned by unconsolidated entities.</w:t>
      </w:r>
    </w:p>
    <w:p>
      <w:pPr>
        <w:spacing w:after="0" w:line="225"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Except for the segment of the All American Pipeline between Pentland and Emidio, the pipeline has been shut down since May 19, 2015, following the Line 901 incident.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States Pipelines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Permian Basin</w:t>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type w:val="continuous"/>
        </w:sectPr>
      </w:pPr>
    </w:p>
    <w:p>
      <w:pPr>
        <w:spacing w:after="0" w:line="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Basin Pipeline. </w:t>
      </w:r>
      <w:r>
        <w:rPr>
          <w:rFonts w:ascii="Arial" w:cs="Arial" w:eastAsia="Arial" w:hAnsi="Arial"/>
          <w:sz w:val="18"/>
          <w:szCs w:val="18"/>
          <w:color w:val="auto"/>
        </w:rPr>
        <w:t>We own an 87% undivided joint interest in and are the operator of Basin Pipeline. Basin Pipeline is a primary route for transporting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from the Permian Basin (in west Texas and southern New Mexico) to Cushing, Oklahoma, for further delivery to Mid-Continent and Midwest refining centers. Basin Pipeline also serves as the initial movement for transporting crude oil from the Permian Basin to the Gulf Coast through connections to other carriers at Colorado City, Texas and Wichita Falls, Texas.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Basin Pipeline is an approximate 530-mile mainline, telescoping crude oil pipeline with a capacity ranging from approximately 240,000 barrels per day to 450,000 barrels per day (approximately 208,800 barrels per day to 392,000 barrels per day attributable to our interest), depending on the segment. The pipeline also includes approximately 6 million barrels of storage tankage.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2015, we placed into service a 24-inch pipeline loop of Basin Pipeline from Wink to Midland. In addition, we placed into service Phase I of the new Wink South terminal which will handle crude oil from the Delaware Basin and New Mexico, and expect that Phase II of the project will be in service in the second half of 2016. The completion of these projects along with reactivation of a 20-inch pipeline from Wink to Midland during the first half of 2016 will provide 550,000 barrels per day of capacity from Wink to Midland.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to a refinery at</w:t>
      </w:r>
      <w:r>
        <w:rPr>
          <w:rFonts w:ascii="Arial" w:cs="Arial" w:eastAsia="Arial" w:hAnsi="Arial"/>
          <w:sz w:val="18"/>
          <w:szCs w:val="18"/>
          <w:i w:val="1"/>
          <w:iCs w:val="1"/>
          <w:color w:val="auto"/>
        </w:rPr>
        <w:t xml:space="preserve"> </w:t>
      </w:r>
      <w:r>
        <w:rPr>
          <w:rFonts w:ascii="Arial" w:cs="Arial" w:eastAsia="Arial" w:hAnsi="Arial"/>
          <w:sz w:val="18"/>
          <w:szCs w:val="18"/>
          <w:color w:val="auto"/>
        </w:rPr>
        <w:t>Big Spring, Texas and to connecting carriers at Colorado City. Mesa Pipeline is an 80-mile mainline with capacity of up to 400,000 barrels per day (approximately 252,000 barrels per day attributable to our interest).</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We own and operate the Sunrise Pipeline, which extends from Midland to connecting carriers at Colorado City. The 84-mile</w:t>
      </w:r>
      <w:r>
        <w:rPr>
          <w:rFonts w:ascii="Arial" w:cs="Arial" w:eastAsia="Arial" w:hAnsi="Arial"/>
          <w:sz w:val="18"/>
          <w:szCs w:val="18"/>
          <w:i w:val="1"/>
          <w:iCs w:val="1"/>
          <w:color w:val="auto"/>
        </w:rPr>
        <w:t xml:space="preserve"> </w:t>
      </w:r>
      <w:r>
        <w:rPr>
          <w:rFonts w:ascii="Arial" w:cs="Arial" w:eastAsia="Arial" w:hAnsi="Arial"/>
          <w:sz w:val="18"/>
          <w:szCs w:val="18"/>
          <w:color w:val="auto"/>
        </w:rPr>
        <w:t>Sunrise Pipeline was placed in service in December 2014, with a capacity of 250,000 barrels per day.</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BridgeTex Pipeline</w:t>
      </w:r>
      <w:r>
        <w:rPr>
          <w:rFonts w:ascii="Arial" w:cs="Arial" w:eastAsia="Arial" w:hAnsi="Arial"/>
          <w:sz w:val="18"/>
          <w:szCs w:val="18"/>
          <w:color w:val="auto"/>
        </w:rPr>
        <w:t>. We own a 50% interest in BridgeTex, which is the entity that owns the BridgeTex Pipeline, a 20-inch crude oil pipeline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300,000 barrels per day that extends from Colorado City to East Houston. At Colorado City, the BridgeTex Pipeline is connected to our Basin and Sunrise pipelines. Magellan Midstream Partners, L.P. (“MMP”) owns the remaining 50% interest and serves as the operator of the BridgeTex Pipeline. BridgeTex has entered into a long-term capacity lease agreement with MMP whereby its shippers will have access to capacity on MMP’s pipeline from Houston to Texas City.</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Cactus Pipeline. </w:t>
      </w:r>
      <w:r>
        <w:rPr>
          <w:rFonts w:ascii="Arial" w:cs="Arial" w:eastAsia="Arial" w:hAnsi="Arial"/>
          <w:sz w:val="18"/>
          <w:szCs w:val="18"/>
          <w:color w:val="auto"/>
        </w:rPr>
        <w:t>We own and operate the Cactus Pipeline, a 298-mile crude oil pipeline extending from McCamey to Gardendale, Texas. The Cactus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provides 250,000 barrels per day of takeaway capacity from the Permian Basin, and will be expanded to approximately 330,000 barrels per day when additional pumping equipment is added in 2016.</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Permian Basin Area Systems. </w:t>
      </w:r>
      <w:r>
        <w:rPr>
          <w:rFonts w:ascii="Arial" w:cs="Arial" w:eastAsia="Arial" w:hAnsi="Arial"/>
          <w:sz w:val="17"/>
          <w:szCs w:val="17"/>
          <w:color w:val="auto"/>
        </w:rPr>
        <w:t>We operate wholly owned systems of 2,787 miles that aggregate receipts from wellhead gathering lines and bulk truck</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locations into a combination of 4- to 16-inch diameter trunk lines for transportation and delivery into the Basin Pipeline at Jal, Wink and Midland as well as our terminal facilities in Midland. During 2015, we completed construction of several projects, including the Triple Crown gathering system, the Avalon, Texas 12-inch extension to the Triple Crown gathering system, the 20-inch loop of our pipeline from Blacktip to Wink, the 16-inch Wolfbone Ranch pipeline from south Reeves County, Texas to Wink and several gathering projects in Texas’s Upton and Reagan counties.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Eagle Ford Area Systems. </w:t>
      </w:r>
      <w:r>
        <w:rPr>
          <w:rFonts w:ascii="Arial" w:cs="Arial" w:eastAsia="Arial" w:hAnsi="Arial"/>
          <w:sz w:val="18"/>
          <w:szCs w:val="18"/>
          <w:color w:val="auto"/>
        </w:rPr>
        <w:t>We own a 100% interest in and are the operator of several gathering systems that feed into our Gardendale Station, and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own a 50% interest in Eagle Ford Pipeline, which is the entity that owns the Eagle Ford joint venture pipeline. We serve as operator of the Eagle Ford joint venture pipeline, and our joint venture partner is a subsidiary of Enterprise Products Partners, L.P. (“Enterprise”). Combined, these Eagle Ford Area Systems consist of 670 miles of pipeline that service production in the Eagle Ford shale play of South Texas and include approximately 5 million barrels of operational storage capacity across the system (including the capacity added in 2015, as discussed below). The systems serve the Three Rivers and Corpus Christi, Texas refineries and other markets via marine terminal facilities at Corpus Christi, as well as the Houston market via Enterprise’s connection at Lyssy in Wilson County, Texas.</w:t>
      </w:r>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line="6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2015, several projects to expand and extend the Eagle Ford joint venture pipeline were completed. Such projects included (i) completion of a connection to our Cactus Pipeline, (ii) completion of a 20-inch pipeline loop of the entire pipeline, as well as expanded pumping capabilities at Three Rivers and (iii) construction of an additional 3 million barrels of operational storage capacity across the system. Combined, these projects increased capacity of the Eagle Ford joint venture pipeline to approximately 600,000 barrels per day. In addition, Eagle Ford Pipeline completed construction of a new condensate gathering system with a capacity of up to 100,000 barrels per day that extends from our station at Three Rivers into Karnes County and Live Oak County.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i w:val="1"/>
          <w:iCs w:val="1"/>
          <w:color w:val="auto"/>
        </w:rPr>
        <w:t xml:space="preserve">All American Pipeline. </w:t>
      </w:r>
      <w:r>
        <w:rPr>
          <w:rFonts w:ascii="Arial" w:cs="Arial" w:eastAsia="Arial" w:hAnsi="Arial"/>
          <w:sz w:val="17"/>
          <w:szCs w:val="17"/>
          <w:color w:val="auto"/>
        </w:rPr>
        <w:t>We own and operate the All American Pipeline, which receives crude oil from offshore oil producers at Las Flores,</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and at Gaviota, California. The pipeline terminates at our Emidio Station. Between Gaviota and our Emidio Station, the All American Pipeline interconnects with our San Joaquin Valley Gathering System, Line 2000 and Line 63, as well as other third party intrastate pipelines.</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May 2015, we experienced a crude oil release from our Las Flores to Gaviota Pipeline (Line 901) in Santa Barbara County, California. The segment of the pipeline upstream of our Pentland station has been shut down since this incident. See Note 16 to our Consolidated Financial Statements for additional information regarding this incident.</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Line 63. </w:t>
      </w:r>
      <w:r>
        <w:rPr>
          <w:rFonts w:ascii="Arial" w:cs="Arial" w:eastAsia="Arial" w:hAnsi="Arial"/>
          <w:sz w:val="18"/>
          <w:szCs w:val="18"/>
          <w:color w:val="auto"/>
        </w:rPr>
        <w:t>We own and operate the Line 63 pipeline that transports crude oil produced in the San Joaquin Valley and California OCS to refineries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 facilities in the Los Angeles Basin and in Bakersfield, California. The pipeline is also connected to our crude oil rail terminal at Bakersfield. The Line 63 pipeline consists of a 107-mile trunk pipeline, originating at our Kelley Pump Station in Kern County, California and terminating at our West Hynes Station in Long Beach, California. The trunk pipeline has a capacity of approximately 60,000 barrels per day. The pipeline includes 33 miles of distribution pipelines in the Los Angeles Basin, with a throughput capacity of approximately 20,000 barrels per day, and approximately 117 miles of gathering pipelines in the San Joaquin Valley, with an average throughput capacity of approximately 35,000 barrels per day. We also have approximately 1 million barrels of storage capacity on this pipeline.</w:t>
      </w:r>
    </w:p>
    <w:p>
      <w:pPr>
        <w:spacing w:after="0" w:line="189"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We have commenced a project to place this idle segment in service, which we expect to complete in 2016.</w:t>
      </w:r>
    </w:p>
    <w:p>
      <w:pPr>
        <w:spacing w:after="0" w:line="17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Line 2000. </w:t>
      </w:r>
      <w:r>
        <w:rPr>
          <w:rFonts w:ascii="Arial" w:cs="Arial" w:eastAsia="Arial" w:hAnsi="Arial"/>
          <w:sz w:val="17"/>
          <w:szCs w:val="17"/>
          <w:color w:val="auto"/>
        </w:rPr>
        <w:t>We own and operate the Line 2000 crude oil pipeline that originates at our Emidio Pump Station (part of the All American Pipeline)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transports crude oil produced in the San Joaquin Valley and California OCS to refineries and terminal facilities in the Los Angeles Basin. Line 2000 is an approximately 130-mile, 20-inch trunk pipeline with a throughput capacity of approximately 130,000 barrels per day.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Bakken Area Systems. </w:t>
      </w:r>
      <w:r>
        <w:rPr>
          <w:rFonts w:ascii="Arial" w:cs="Arial" w:eastAsia="Arial" w:hAnsi="Arial"/>
          <w:sz w:val="18"/>
          <w:szCs w:val="18"/>
          <w:color w:val="auto"/>
        </w:rPr>
        <w:t>We own and operate several gathering systems and pipelines that service crude oil production in Eastern Montana and Western</w:t>
      </w:r>
      <w:r>
        <w:rPr>
          <w:rFonts w:ascii="Arial" w:cs="Arial" w:eastAsia="Arial" w:hAnsi="Arial"/>
          <w:sz w:val="18"/>
          <w:szCs w:val="18"/>
          <w:i w:val="1"/>
          <w:iCs w:val="1"/>
          <w:color w:val="auto"/>
        </w:rPr>
        <w:t xml:space="preserve"> </w:t>
      </w:r>
      <w:r>
        <w:rPr>
          <w:rFonts w:ascii="Arial" w:cs="Arial" w:eastAsia="Arial" w:hAnsi="Arial"/>
          <w:sz w:val="18"/>
          <w:szCs w:val="18"/>
          <w:color w:val="auto"/>
        </w:rPr>
        <w:t>North Dakota, and we also own a 22% interest in Butte, which is the entity that owns the Butte Pipeline, a 16-inch crude oil pipeline system extending from Baker, Montana to Guernsey, Wyoming.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Salt Lake City Area Systems. </w:t>
      </w:r>
      <w:r>
        <w:rPr>
          <w:rFonts w:ascii="Arial" w:cs="Arial" w:eastAsia="Arial" w:hAnsi="Arial"/>
          <w:sz w:val="18"/>
          <w:szCs w:val="18"/>
          <w:color w:val="auto"/>
        </w:rPr>
        <w:t>We operate the Salt Lake City and Wahsatch pipelines, in which we own interests ranging between 75% and 100%, and</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own a 50% interest in Frontier, which is the entity that owns the Frontier Pipeline. These pipelines transport crude oil produced in the U.S. Rocky Mountain region and Canada to refiners in Salt Lake City, Utah and to other pipelines at Ft. Laramie, Wyoming.</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pipelines include approximately 970 miles and approximately one million barrels of storage capacity. These pipelines have a maximum throughput capacity of (i) approximately 20,500 barrels per day from Wamsutter, Wyoming to Ft. Laramie, (ii) approximately 47,000 barrels per day from Wamsutter to Wahsatch, Utah, (iii) approximately 95,000 barrels per day from Wahsatch to Salt Lake City and (iv) approximately 75,000 barrels per day from Casper to Ranch Station, Utah.</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White Cliffs, the entity that owns the White Cliffs Pipeline, which consists of two</w:t>
      </w:r>
      <w:r>
        <w:rPr>
          <w:rFonts w:ascii="Arial" w:cs="Arial" w:eastAsia="Arial" w:hAnsi="Arial"/>
          <w:sz w:val="18"/>
          <w:szCs w:val="18"/>
          <w:i w:val="1"/>
          <w:iCs w:val="1"/>
          <w:color w:val="auto"/>
        </w:rPr>
        <w:t xml:space="preserve"> </w:t>
      </w:r>
      <w:r>
        <w:rPr>
          <w:rFonts w:ascii="Arial" w:cs="Arial" w:eastAsia="Arial" w:hAnsi="Arial"/>
          <w:sz w:val="18"/>
          <w:szCs w:val="18"/>
          <w:color w:val="auto"/>
        </w:rPr>
        <w:t>527-mile, 12-inch, crude oil pipelines that move crude out of the DJ Basin to the Cushing, Oklahoma market. Rose Rock Midstream, L.P. serves as the operator of the pipeline, which originates in Platteville, Colorado and terminates in Cushing. In late 2015, the addition of two pump stations increased capacity on the pipeline to approximately 215,000 barrels per day.</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Cowboy Pipeline</w:t>
      </w:r>
      <w:r>
        <w:rPr>
          <w:rFonts w:ascii="Arial" w:cs="Arial" w:eastAsia="Arial" w:hAnsi="Arial"/>
          <w:sz w:val="18"/>
          <w:szCs w:val="18"/>
          <w:color w:val="auto"/>
        </w:rPr>
        <w:t>. We recently constructed the Cowboy Pipeline, a 12-inch, 27-mile pipeline that provides 75,000 barrels per day of light sweet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capacity from Cheyenne, Wyoming to our rail loading facility near Carr, Colorado and will be connected to the Saddlehorn Pipeline when it is placed in service. The Cowboy Pipeline includes a new terminal at Cheyenne with approximately 600,000 barrels of storage tank capacity. The Cowboy Pipeline will enable us to source crude oil from our and third party pipeline systems that feed the Guernsey market, through connection to our Cheyenne Pipeline, and deliver to Cushing through connection to the Saddlehorn Pipeline.</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Saddlehorn Pipeline</w:t>
      </w:r>
      <w:r>
        <w:rPr>
          <w:rFonts w:ascii="Arial" w:cs="Arial" w:eastAsia="Arial" w:hAnsi="Arial"/>
          <w:sz w:val="18"/>
          <w:szCs w:val="18"/>
          <w:color w:val="auto"/>
        </w:rPr>
        <w:t>. We own a 40% interest in Saddlehorn, which is currently developing the Saddlehorn Pipeline, a 20-inch pipeline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extend from various receipt points in the Niobrara and DJ Basin to Cushing. The Saddlehorn Pipeline is a joint venture in which Saddlehorn owns an undivided 62.5% interest in the pipeline; Grand Mesa Pipeline, LLC owns the remaining 37.5% interest. Saddlehorn will own 190,000 barrels per day of the capacity in Saddlehorn Pipeline and will have one million barrels of storage capacity at both Platteville and Cushing. The Platteville-to-Cushing segment of the pipeline is expected to be operational in mid-2016 and the Platteville-to-Carr segment is anticipated to be operational by the end of 2016. Saddlehorn has the option to expand the capacity of the pipeline at its sole discretion and cost and would own all of the incremental capacity from any expansion. MMP serves as construction manager and operator of the pipeline.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Gulf Coast</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 xml:space="preserve">Capline Pipeline. </w:t>
      </w:r>
      <w:r>
        <w:rPr>
          <w:rFonts w:ascii="Arial" w:cs="Arial" w:eastAsia="Arial" w:hAnsi="Arial"/>
          <w:sz w:val="16"/>
          <w:szCs w:val="16"/>
          <w:color w:val="auto"/>
        </w:rPr>
        <w:t>Capline Pipeline, in which we own an aggregate undivided joint interest of approximately 54%, is a 631-mile, 40-inch mainline</w:t>
      </w:r>
      <w:r>
        <w:rPr>
          <w:rFonts w:ascii="Arial" w:cs="Arial" w:eastAsia="Arial" w:hAnsi="Arial"/>
          <w:sz w:val="16"/>
          <w:szCs w:val="16"/>
          <w:i w:val="1"/>
          <w:iCs w:val="1"/>
          <w:color w:val="auto"/>
        </w:rPr>
        <w:t xml:space="preserve"> </w:t>
      </w:r>
      <w:r>
        <w:rPr>
          <w:rFonts w:ascii="Arial" w:cs="Arial" w:eastAsia="Arial" w:hAnsi="Arial"/>
          <w:sz w:val="16"/>
          <w:szCs w:val="16"/>
          <w:color w:val="auto"/>
        </w:rPr>
        <w:t>crude oil pipeline originating in St. James, Louisiana, and terminating in Patoka, Illinois. Marathon Pipeline LLC serves as the operator of the pipeline.</w:t>
      </w:r>
    </w:p>
    <w:p>
      <w:pPr>
        <w:sectPr>
          <w:pgSz w:w="11900" w:h="16908" w:orient="portrait"/>
          <w:cols w:equalWidth="0" w:num="1">
            <w:col w:w="11420"/>
          </w:cols>
          <w:pgMar w:left="240" w:top="125" w:right="239" w:bottom="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t>Capline has direct connections to a significant amount of crude oil production in the Gulf of Mexico. In addition, it has two active docks capable of handling approximately 600,000-barrel tankers and is connected to the Louisiana Offshore Oil Port and our St. James terminal and transports various grades of crude oil to PADD II. Total designed operating capacity is approximately 1.1 million barrels per day of crude oil, of which our attributable interest is approximately 600,000 barrels per day.</w:t>
      </w:r>
    </w:p>
    <w:p>
      <w:pPr>
        <w:spacing w:after="0" w:line="187" w:lineRule="exact"/>
        <w:rPr>
          <w:sz w:val="20"/>
          <w:szCs w:val="20"/>
          <w:color w:val="auto"/>
        </w:rPr>
      </w:pPr>
    </w:p>
    <w:p>
      <w:pPr>
        <w:jc w:val="both"/>
        <w:ind w:right="160" w:firstLine="702"/>
        <w:spacing w:after="0" w:line="264" w:lineRule="auto"/>
        <w:rPr>
          <w:sz w:val="20"/>
          <w:szCs w:val="20"/>
          <w:color w:val="auto"/>
        </w:rPr>
      </w:pPr>
      <w:r>
        <w:rPr>
          <w:rFonts w:ascii="Arial" w:cs="Arial" w:eastAsia="Arial" w:hAnsi="Arial"/>
          <w:sz w:val="18"/>
          <w:szCs w:val="18"/>
          <w:i w:val="1"/>
          <w:iCs w:val="1"/>
          <w:color w:val="auto"/>
        </w:rPr>
        <w:t>Pascagoula Pipeline</w:t>
      </w:r>
      <w:r>
        <w:rPr>
          <w:rFonts w:ascii="Arial" w:cs="Arial" w:eastAsia="Arial" w:hAnsi="Arial"/>
          <w:sz w:val="18"/>
          <w:szCs w:val="18"/>
          <w:color w:val="auto"/>
        </w:rPr>
        <w:t>. We own and operate the Pascagoula Pipeline, a 41-mile crude oil pipeline that originates at our Ten Mile facility in Alabama</w:t>
      </w:r>
      <w:r>
        <w:rPr>
          <w:rFonts w:ascii="Arial" w:cs="Arial" w:eastAsia="Arial" w:hAnsi="Arial"/>
          <w:sz w:val="18"/>
          <w:szCs w:val="18"/>
          <w:i w:val="1"/>
          <w:iCs w:val="1"/>
          <w:color w:val="auto"/>
        </w:rPr>
        <w:t xml:space="preserve"> </w:t>
      </w:r>
      <w:r>
        <w:rPr>
          <w:rFonts w:ascii="Arial" w:cs="Arial" w:eastAsia="Arial" w:hAnsi="Arial"/>
          <w:sz w:val="18"/>
          <w:szCs w:val="18"/>
          <w:color w:val="auto"/>
        </w:rPr>
        <w:t>and extends to a refinery on the Gulf Coast. Additionally, we have approximately 2 million barrels of storage capacity at our Ten Mile facility that supports the operational needs of the pipeline.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Mid-Continent Area Systems. </w:t>
      </w:r>
      <w:r>
        <w:rPr>
          <w:rFonts w:ascii="Arial" w:cs="Arial" w:eastAsia="Arial" w:hAnsi="Arial"/>
          <w:sz w:val="18"/>
          <w:szCs w:val="18"/>
          <w:color w:val="auto"/>
        </w:rPr>
        <w:t>We own and operate pipeline systems that source crude oil from Western and Central Oklahoma, Southwest Kansas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Eastern Texas Panhandle. These systems consist of approximately 2,420 miles of pipeline with transportation and delivery into and out of our terminal facilities at Cushing, Oklahoma. In addition, in early 2015 we completed construction of a new receipt facility on the Basin Pipeline in southern Oklahoma to aggregate South Central Oklahoma Oil Province (SCOOP) production.</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Diamond Pipeline</w:t>
      </w:r>
      <w:r>
        <w:rPr>
          <w:rFonts w:ascii="Arial" w:cs="Arial" w:eastAsia="Arial" w:hAnsi="Arial"/>
          <w:sz w:val="18"/>
          <w:szCs w:val="18"/>
          <w:color w:val="auto"/>
        </w:rPr>
        <w:t>. We own a 50% interest in Diamond, which is currently developing the Diamond Pipeline, a 20-inch, 440-mile pipeline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200,000 barrels per day of capacity from our Cushing terminal to Valero’s refinery in Memphis, Tennessee. The Diamond Pipeline project is underpinned by a long-term shipper agreement with Valero and a related contract for storage and terminalling services at our Cushing terminal. In December 2015, Valero exercised its option to become a partner in Diamond and owns the remaining 50% interest. We will serve as operator of the Diamond Pipeline, which is expected to be completed in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Red River Pipeline (Cushing to Longview)</w:t>
      </w:r>
      <w:r>
        <w:rPr>
          <w:rFonts w:ascii="Arial" w:cs="Arial" w:eastAsia="Arial" w:hAnsi="Arial"/>
          <w:sz w:val="18"/>
          <w:szCs w:val="18"/>
          <w:color w:val="auto"/>
        </w:rPr>
        <w:t>. We are currently developing and constructing the Red River Pipeline, which will be a 16-inch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with an initial takeaway capacity of 150,000 barrels per day extending from Cushing to Longview. The Red River Pipeline is supported by long-term shipper commitments and is expected to be completed in late 2016.</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i w:val="1"/>
          <w:iCs w:val="1"/>
          <w:color w:val="auto"/>
        </w:rPr>
        <w:t>Caddo Pipeline</w:t>
      </w:r>
      <w:r>
        <w:rPr>
          <w:rFonts w:ascii="Arial" w:cs="Arial" w:eastAsia="Arial" w:hAnsi="Arial"/>
          <w:sz w:val="17"/>
          <w:szCs w:val="17"/>
          <w:color w:val="auto"/>
        </w:rPr>
        <w:t>. We own a 50% interest in Caddo, which is constructing the Caddo Pipeline. The Caddo Pipeline is an 80-mile, 12-inch crude oil</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with the capacity to move up to 80,000 barrels per day from our terminal in Longview, Texas to supply refineries in the Shreveport, Louisiana area, as well as to an El Dorado, Arkansas refinery through a connection to Delek Logistics Partners, LP’s (“Delek”) pipeline. Delek owns the remaining 50% interest in Caddo. We will serve as operator of the Caddo Pipeline, which is expected to be completed in late 2016.</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 Pipelines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Manito Pipeline. </w:t>
      </w:r>
      <w:r>
        <w:rPr>
          <w:rFonts w:ascii="Arial" w:cs="Arial" w:eastAsia="Arial" w:hAnsi="Arial"/>
          <w:sz w:val="17"/>
          <w:szCs w:val="17"/>
          <w:color w:val="auto"/>
        </w:rPr>
        <w:t>We own a 100% interest in the Manito heavy oil system. This 556-mile system is comprised of the Manito Pipeline, the North</w:t>
      </w:r>
      <w:r>
        <w:rPr>
          <w:rFonts w:ascii="Arial" w:cs="Arial" w:eastAsia="Arial" w:hAnsi="Arial"/>
          <w:sz w:val="17"/>
          <w:szCs w:val="17"/>
          <w:i w:val="1"/>
          <w:iCs w:val="1"/>
          <w:color w:val="auto"/>
        </w:rPr>
        <w:t xml:space="preserve"> </w:t>
      </w:r>
      <w:r>
        <w:rPr>
          <w:rFonts w:ascii="Arial" w:cs="Arial" w:eastAsia="Arial" w:hAnsi="Arial"/>
          <w:sz w:val="17"/>
          <w:szCs w:val="17"/>
          <w:color w:val="auto"/>
        </w:rPr>
        <w:t>Saskatchewan (“North Sask”) pipeline and the Bodo/Cactus Lake pipeline. Each system consists of a blended crude oil line and a parallel diluent line that delivers condensate to upstream blending locations. The North Sask pipeline is 84 miles in length and originates near Turtleford, Saskatchewan and terminates in Dulwich, Saskatchewan. The Manito Pipeline includes 339 miles of 10-inch blend pipeline. The mainline segment originates at Dulwich and terminates at Kerrobert, Saskatchewan. The Bodo/Cactus Lake pipeline is a 133 mile long, 10-inch blend pipeline that originates in Bodo, Alberta and also terminates at our Kerrobert storage facility. The Kerrobert storage and terminalling facility is connected to the Enbridge pipeline system and can both receive and deliver heavy crude oil from and to the Enbridge pipeline system.</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Rainbow System. </w:t>
      </w:r>
      <w:r>
        <w:rPr>
          <w:rFonts w:ascii="Arial" w:cs="Arial" w:eastAsia="Arial" w:hAnsi="Arial"/>
          <w:sz w:val="18"/>
          <w:szCs w:val="18"/>
          <w:color w:val="auto"/>
        </w:rPr>
        <w:t>We own a 100% interest in the Rainbow system. The Rainbow system is comprised of (i) a 480-mile, 20-inch to 24-inch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pipeline, with capacity of approximately 185,000 barrels per day of batched light sweet and heavy sour oil capacity, that extends from the Norman Wells Pipeline connection in Zama, Alberta to Edmonton, Alberta and has 159 miles of associated gathering pipelines and (ii) a 188-mile, 10-inch pipeline to transport diluent north from Edmonton to our Nipisi truck terminal in Northern Alberta.</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late 2015, our Indigo pipeline project, which would have connected to our Rainbow system, was canceled as a result of the committed shipper’s decision to cancel development of its thermal in situ project located in Alberta, Canada. We have been reimbursed for our costs incurred on this project.</w:t>
      </w:r>
    </w:p>
    <w:p>
      <w:pPr>
        <w:spacing w:after="0" w:line="124"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i w:val="1"/>
          <w:iCs w:val="1"/>
          <w:color w:val="auto"/>
        </w:rPr>
        <w:t xml:space="preserve">Rangeland System. </w:t>
      </w:r>
      <w:r>
        <w:rPr>
          <w:rFonts w:ascii="Arial" w:cs="Arial" w:eastAsia="Arial" w:hAnsi="Arial"/>
          <w:sz w:val="18"/>
          <w:szCs w:val="18"/>
          <w:color w:val="auto"/>
        </w:rPr>
        <w:t>We own a 100% interest in the Rangeland system. The Rangeland system consists of a 670 mile, 8-inch to 16-inch mainline</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and approximately 500 miles of 3-inch to 8-inch gathering pipelines. The Rangeland system transports NGL mix, butane, condensate, light sweet crude oil and light sour crude oil either north to Edmonton or south to the U.S./Canadian border near Cutbank, Montana, where it connects to our Western Corridor system.</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South Saskatchewan System</w:t>
      </w:r>
      <w:r>
        <w:rPr>
          <w:rFonts w:ascii="Arial" w:cs="Arial" w:eastAsia="Arial" w:hAnsi="Arial"/>
          <w:sz w:val="18"/>
          <w:szCs w:val="18"/>
          <w:color w:val="auto"/>
        </w:rPr>
        <w:t>. We own a 100% interest in the South Saskatchewan system. This system consists of a 160 mile, 16-inch mainline from</w:t>
      </w:r>
      <w:r>
        <w:rPr>
          <w:rFonts w:ascii="Arial" w:cs="Arial" w:eastAsia="Arial" w:hAnsi="Arial"/>
          <w:sz w:val="18"/>
          <w:szCs w:val="18"/>
          <w:i w:val="1"/>
          <w:iCs w:val="1"/>
          <w:color w:val="auto"/>
        </w:rPr>
        <w:t xml:space="preserve"> </w:t>
      </w:r>
      <w:r>
        <w:rPr>
          <w:rFonts w:ascii="Arial" w:cs="Arial" w:eastAsia="Arial" w:hAnsi="Arial"/>
          <w:sz w:val="18"/>
          <w:szCs w:val="18"/>
          <w:color w:val="auto"/>
        </w:rPr>
        <w:t>Cantuar to Regina, Saskatchewan and 186 miles of 4-inch to 12-inch gathering pipelines from the Rapdan area to Cantuar. The South Saskatchewan system has capacity to transport approximately 68,000 barrels per day of heavy crude oil from gathering areas in southern Saskatchewan to Enbridge’s mainline at Regina.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Pipelines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Co-Ed NGL Pipeline System. </w:t>
      </w:r>
      <w:r>
        <w:rPr>
          <w:rFonts w:ascii="Arial" w:cs="Arial" w:eastAsia="Arial" w:hAnsi="Arial"/>
          <w:sz w:val="18"/>
          <w:szCs w:val="18"/>
          <w:color w:val="auto"/>
        </w:rPr>
        <w:t>We own and operate the Co-Ed NGL Pipeline system, which consists of approximately 630 miles of 3-inch to 10-inch</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This pipeline system gathers NGL from approximately 35 field gas processing plants located in Alberta, including all of the NGL produced at the Cochrane Straddle Plant. The Co-Ed NGL Pipeline system has throughput capacity of approximately 72,000 barrels per day to our NGL facilities at Fort Saskatchewan.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ectPr>
          <w:pgSz w:w="11900" w:h="16838" w:orient="portrait"/>
          <w:cols w:equalWidth="0" w:num="1">
            <w:col w:w="11420"/>
          </w:cols>
          <w:pgMar w:left="240" w:top="125" w:right="239" w:bottom="100" w:gutter="0" w:footer="0" w:header="0"/>
        </w:sectPr>
      </w:pPr>
    </w:p>
    <w:bookmarkStart w:id="16" w:name="page17"/>
    <w:bookmarkEnd w:id="16"/>
    <w:p>
      <w:pPr>
        <w:jc w:val="both"/>
        <w:ind w:right="4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We generate revenue through a combination of month-to-month and multi-year agreements and processing arrangements.</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generated in this segment primarily include (i) fees that are generated from storage capacity agreements, (ii) terminal throughput fees that are generated when we receive crude oil, refined products or NGL from one connecting source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2015, we owned, operated or employed a variety of long-term physical assets throughout the United States and Canada in this segment, including:</w:t>
      </w:r>
    </w:p>
    <w:p>
      <w:pPr>
        <w:spacing w:after="0" w:line="170"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approximately 80 million barrels of crude oil and refined products storage capacity primarily at our terminalling and storage locations;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25 million barrels of NGL storage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97 Bcf of natural gas storage working capacity;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31 Bcf of owned base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natural gas processing plants located throughout Canada and the Gulf Coast area of the United States;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seven fractionation plants located throughout Canada and the United States with an aggregate net processing capacity of approximately 166,300 barrels per day, and an isomerization and fractionation facility in California with an aggregate processing capacity of approximately 15,000 barrels per day;</w:t>
      </w:r>
    </w:p>
    <w:p>
      <w:pPr>
        <w:spacing w:after="0" w:line="181"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28 crude oil and NGL rail terminals located throughout the United States and Canada. See “Rail Facilities” below for an overview of various terminals and “Supply and Logistics” regarding our use of railcars;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six major marine facilities in the United States with an aggregate load capacity of 107,000 barrels per hour, including vapor recovery rates, and an aggregate unload capacity of 182,000 barrels per hour;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1,100 miles of active pipelines that support our facilities assets, consisting primarily of NGL and natural gas pipelines.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tabular presentation of our active Facilities segment storage and service assets in the United States and Canada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grouped by product and service type, with capacity and volume as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Crude Oil and Refined Products Storage Facilities</w:t>
            </w: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Cushing</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LA Basin</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Martinez and Richmond</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Mobile and Ten Mile</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Patoka</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St. James</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i w:val="1"/>
                <w:iCs w:val="1"/>
                <w:color w:val="auto"/>
              </w:rPr>
              <w:t xml:space="preserve">Yorktown </w:t>
            </w:r>
            <w:r>
              <w:rPr>
                <w:rFonts w:ascii="Arial" w:cs="Arial" w:eastAsia="Arial" w:hAnsi="Arial"/>
                <w:sz w:val="23"/>
                <w:szCs w:val="23"/>
                <w:i w:val="1"/>
                <w:iCs w:val="1"/>
                <w:color w:val="auto"/>
                <w:vertAlign w:val="superscript"/>
              </w:rPr>
              <w:t>(1)</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NGL Storage Facilities</w:t>
            </w: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(MMBbls)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Bumstead</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Fort Saskatchewan</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Sarnia Area</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Tirzah</w:t>
            </w:r>
          </w:p>
        </w:tc>
        <w:tc>
          <w:tcPr>
            <w:tcW w:w="706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w:t>
            </w:r>
          </w:p>
        </w:tc>
        <w:tc>
          <w:tcPr>
            <w:tcW w:w="7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580" w:type="dxa"/>
            <w:vAlign w:val="bottom"/>
            <w:gridSpan w:val="2"/>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300" w:type="dxa"/>
            <w:vAlign w:val="bottom"/>
            <w:vMerge w:val="restart"/>
          </w:tcPr>
          <w:p>
            <w:pPr>
              <w:jc w:val="right"/>
              <w:ind w:right="377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Natural Gas Storage Facilities</w:t>
            </w: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(Bcf)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Salt-caverns and Depleted Reservoir</w:t>
            </w:r>
          </w:p>
        </w:tc>
        <w:tc>
          <w:tcPr>
            <w:tcW w:w="5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-859155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-859155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17"/>
                <w:szCs w:val="17"/>
                <w:b w:val="1"/>
                <w:bCs w:val="1"/>
                <w:color w:val="auto"/>
                <w:vertAlign w:val="superscript"/>
              </w:rPr>
              <w:t>(3)</w:t>
            </w: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Gas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Gas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 xml:space="preserve">Inlet Volume </w:t>
            </w:r>
            <w:r>
              <w:rPr>
                <w:rFonts w:ascii="Arial" w:cs="Arial" w:eastAsia="Arial" w:hAnsi="Arial"/>
                <w:sz w:val="17"/>
                <w:szCs w:val="17"/>
                <w:b w:val="1"/>
                <w:bCs w:val="1"/>
                <w:color w:val="auto"/>
                <w:w w:val="91"/>
                <w:vertAlign w:val="superscript"/>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Processing</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(Bcf/d)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17"/>
                <w:szCs w:val="17"/>
                <w:b w:val="1"/>
                <w:bCs w:val="1"/>
                <w:color w:val="auto"/>
                <w:w w:val="91"/>
                <w:vertAlign w:val="superscript"/>
              </w:rPr>
              <w:t>(5)</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(Bcf/d)</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United States Gulf Coast Area</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Canada</w:t>
            </w:r>
          </w:p>
        </w:tc>
        <w:tc>
          <w:tcPr>
            <w:tcW w:w="1600" w:type="dxa"/>
            <w:vAlign w:val="bottom"/>
          </w:tcPr>
          <w:p>
            <w:pPr>
              <w:jc w:val="right"/>
              <w:spacing w:after="0"/>
              <w:rPr>
                <w:sz w:val="20"/>
                <w:szCs w:val="20"/>
                <w:color w:val="auto"/>
              </w:rPr>
            </w:pPr>
            <w:r>
              <w:rPr>
                <w:rFonts w:ascii="Arial" w:cs="Arial" w:eastAsia="Arial" w:hAnsi="Arial"/>
                <w:sz w:val="18"/>
                <w:szCs w:val="18"/>
                <w:color w:val="auto"/>
              </w:rPr>
              <w:t>36-100%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Condensate Stabilization Facility</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Capacity</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10"/>
        </w:trPr>
        <w:tc>
          <w:tcPr>
            <w:tcW w:w="6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Gardendale</w:t>
            </w: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 xml:space="preserve">Spec Product </w:t>
            </w:r>
            <w:r>
              <w:rPr>
                <w:rFonts w:ascii="Arial" w:cs="Arial" w:eastAsia="Arial" w:hAnsi="Arial"/>
                <w:sz w:val="17"/>
                <w:szCs w:val="17"/>
                <w:b w:val="1"/>
                <w:bCs w:val="1"/>
                <w:color w:val="auto"/>
                <w:w w:val="88"/>
                <w:vertAlign w:val="superscript"/>
              </w:rPr>
              <w:t>(4)</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Capacity</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(Bbls/d)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Fort Saskatchewan</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Sarnia</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62-84%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60,345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Shafter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1600" w:type="dxa"/>
            <w:vAlign w:val="bottom"/>
          </w:tcPr>
          <w:p>
            <w:pPr>
              <w:jc w:val="right"/>
              <w:spacing w:after="0"/>
              <w:rPr>
                <w:sz w:val="20"/>
                <w:szCs w:val="20"/>
                <w:color w:val="auto"/>
              </w:rPr>
            </w:pPr>
            <w:r>
              <w:rPr>
                <w:rFonts w:ascii="Arial" w:cs="Arial" w:eastAsia="Arial" w:hAnsi="Arial"/>
                <w:sz w:val="18"/>
                <w:szCs w:val="18"/>
                <w:color w:val="auto"/>
              </w:rPr>
              <w:t>82-100%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Loading</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Unloading</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Rail Facilities</w:t>
            </w: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 xml:space="preserve">Capacity </w:t>
            </w:r>
            <w:r>
              <w:rPr>
                <w:rFonts w:ascii="Arial" w:cs="Arial" w:eastAsia="Arial" w:hAnsi="Arial"/>
                <w:sz w:val="17"/>
                <w:szCs w:val="17"/>
                <w:b w:val="1"/>
                <w:bCs w:val="1"/>
                <w:color w:val="auto"/>
                <w:w w:val="89"/>
                <w:vertAlign w:val="superscript"/>
              </w:rPr>
              <w:t>(5)</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 xml:space="preserve">Capacity </w:t>
            </w:r>
            <w:r>
              <w:rPr>
                <w:rFonts w:ascii="Arial" w:cs="Arial" w:eastAsia="Arial" w:hAnsi="Arial"/>
                <w:sz w:val="17"/>
                <w:szCs w:val="17"/>
                <w:b w:val="1"/>
                <w:bCs w:val="1"/>
                <w:color w:val="auto"/>
                <w:w w:val="91"/>
                <w:vertAlign w:val="superscript"/>
              </w:rPr>
              <w:t>(5)</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(Bbls/d)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(Bbls/d)</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Crude Oil Rail Facilities</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Rack Spots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Storage Spots</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b w:val="1"/>
                <w:bCs w:val="1"/>
                <w:color w:val="auto"/>
                <w:vertAlign w:val="superscript"/>
              </w:rPr>
              <w:t>(6)</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7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1 million barrels of capacity for which we hold lease options (all of which have been exercised).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inlet volumes and capacity amounts are presented, they currently are not a significant driver of our segment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Capacity transported will vary according to specification of product moved.</w:t>
      </w:r>
    </w:p>
    <w:p>
      <w:pPr>
        <w:spacing w:after="0" w:line="225" w:lineRule="exact"/>
        <w:rPr>
          <w:sz w:val="20"/>
          <w:szCs w:val="20"/>
          <w:color w:val="auto"/>
        </w:rPr>
      </w:pPr>
    </w:p>
    <w:p>
      <w:pPr>
        <w:ind w:left="20" w:right="40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and Refined Products Facilities</w:t>
      </w:r>
    </w:p>
    <w:p>
      <w:pPr>
        <w:spacing w:after="0" w:line="200" w:lineRule="exact"/>
        <w:rPr>
          <w:sz w:val="20"/>
          <w:szCs w:val="20"/>
          <w:color w:val="auto"/>
        </w:rPr>
      </w:pPr>
    </w:p>
    <w:p>
      <w:pPr>
        <w:sectPr>
          <w:pgSz w:w="11900" w:h="16838" w:orient="portrait"/>
          <w:cols w:equalWidth="0" w:num="2">
            <w:col w:w="140" w:space="500"/>
            <w:col w:w="10780"/>
          </w:cols>
          <w:pgMar w:left="240" w:top="70" w:right="239" w:bottom="0" w:gutter="0" w:footer="0" w:header="0"/>
          <w:type w:val="continuous"/>
        </w:sectPr>
      </w:pPr>
    </w:p>
    <w:p>
      <w:pPr>
        <w:spacing w:after="0" w:line="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Cushing Terminal. </w:t>
      </w:r>
      <w:r>
        <w:rPr>
          <w:rFonts w:ascii="Arial" w:cs="Arial" w:eastAsia="Arial" w:hAnsi="Arial"/>
          <w:sz w:val="18"/>
          <w:szCs w:val="18"/>
          <w:color w:val="auto"/>
        </w:rPr>
        <w:t>Our Cushing, Oklahoma Terminal (the “Cushing Terminal”) is located at the Cushing Interchange, one of the largest wet-barrel</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hubs in the United States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a source of refinery feedstock for Midwest and Gulf Coast refiners and plays an integral role in establishing and maintaining markets for many varieties of foreign and domestic crude oil. The Cushing Terminal has access to all major inbound and outbound pipelines in Cushing and is designed to handle multiple grades of crude oil while minimizing the interface and enabling deliveries to connecting carriers at their maximum rate.</w:t>
      </w:r>
    </w:p>
    <w:p>
      <w:pPr>
        <w:spacing w:after="0" w:line="166"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Since 1999, we have completed multiple expansions that have increased the capacity of the Cushing Terminal to a total of 21 million barrels. In 2015, we added approximately 1.4 million barrels of storage and we expect to add approximately 1.6 million barrels of storage capacity during 2016.</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L.A. Basin. </w:t>
      </w:r>
      <w:r>
        <w:rPr>
          <w:rFonts w:ascii="Arial" w:cs="Arial" w:eastAsia="Arial" w:hAnsi="Arial"/>
          <w:sz w:val="18"/>
          <w:szCs w:val="18"/>
          <w:color w:val="auto"/>
        </w:rPr>
        <w:t>We own four crude oil and black oil storage facilities in the Los Angeles area with a total of 8 million barrels of storage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service and a distribution pipeline system of approximately 50 miles of pipeline in the Los Angeles Basin. We use the Los Angeles area storage and distribution system to service the storage and distribution needs of the refining, pipeline and marine terminal industries in the Los Angeles Basin. Our Los Angeles area system’s pipeline distribution assets connect our storage assets with major refineries and third-party pipelines and marine terminals in the Los Angeles Basin.</w:t>
      </w:r>
    </w:p>
    <w:p>
      <w:pPr>
        <w:spacing w:after="0" w:line="188"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i w:val="1"/>
          <w:iCs w:val="1"/>
          <w:color w:val="auto"/>
        </w:rPr>
        <w:t xml:space="preserve">Martinez and Richmond Terminals. </w:t>
      </w:r>
      <w:r>
        <w:rPr>
          <w:rFonts w:ascii="Arial" w:cs="Arial" w:eastAsia="Arial" w:hAnsi="Arial"/>
          <w:sz w:val="16"/>
          <w:szCs w:val="16"/>
          <w:color w:val="auto"/>
        </w:rPr>
        <w:t>We own two terminals in the San Francisco, California area: a terminal at Martinez (which provides refined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crude oil service) and a terminal at Richmond (which provides refined product and black oil service). Our San Francisco area terminals have</w:t>
      </w:r>
    </w:p>
    <w:p>
      <w:pPr>
        <w:ind w:right="160"/>
        <w:spacing w:after="0" w:line="323" w:lineRule="auto"/>
        <w:rPr>
          <w:sz w:val="20"/>
          <w:szCs w:val="20"/>
          <w:color w:val="auto"/>
        </w:rPr>
      </w:pPr>
      <w:r>
        <w:rPr>
          <w:rFonts w:ascii="Arial" w:cs="Arial" w:eastAsia="Arial" w:hAnsi="Arial"/>
          <w:sz w:val="16"/>
          <w:szCs w:val="16"/>
          <w:color w:val="auto"/>
        </w:rPr>
        <w:t>5 million barrels of combined storage capacity and are connected to area refineries through a network of owned and third-party pipelines that carry crude oil and refined products to and from area refineries. These terminals have dock facilities and our Richmond terminal is also able to receive product by rail.</w:t>
      </w:r>
    </w:p>
    <w:p>
      <w:pPr>
        <w:spacing w:after="0" w:line="13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have a marine terminal in Mobile, Alabama (the “Mobile Terminal”) that has current useable capacity of</w:t>
      </w:r>
      <w:r>
        <w:rPr>
          <w:rFonts w:ascii="Arial" w:cs="Arial" w:eastAsia="Arial" w:hAnsi="Arial"/>
          <w:sz w:val="16"/>
          <w:szCs w:val="16"/>
          <w:i w:val="1"/>
          <w:iCs w:val="1"/>
          <w:color w:val="auto"/>
        </w:rPr>
        <w:t xml:space="preserve"> </w:t>
      </w:r>
      <w:r>
        <w:rPr>
          <w:rFonts w:ascii="Arial" w:cs="Arial" w:eastAsia="Arial" w:hAnsi="Arial"/>
          <w:sz w:val="16"/>
          <w:szCs w:val="16"/>
          <w:color w:val="auto"/>
        </w:rPr>
        <w:t>2 million barrels. Approximately 4 million barrels of additional storage capacity is available at our nearby Ten Mile Facility, which is connected to our</w:t>
      </w:r>
    </w:p>
    <w:p>
      <w:pPr>
        <w:sectPr>
          <w:pgSz w:w="11900" w:h="16838" w:orient="portrait"/>
          <w:cols w:equalWidth="0" w:num="1">
            <w:col w:w="11420"/>
          </w:cols>
          <w:pgMar w:left="240" w:top="70" w:right="239" w:bottom="0" w:gutter="0" w:footer="0" w:header="0"/>
          <w:type w:val="continuous"/>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Mobile Terminal via a 36-inch pipeline. Of this capacity, approximately 3 million barrels supports our Facilities segment operations, with the remaining storage supporting our Transportation segment assets.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Mobile Terminal is equipped with a ship/tanker dock, barge dock, truck unloading facilities and various third-party connections for crude oil movements to area refiners. Additionally, the Mobile Terminal serves as a source for imports of foreign crude oil to PADD II refiners through our Mississippi/Alabama pipeline system, which connects to the Capline Pipeline at our station in Liberty, Mississippi. Our Ten Mile Facility is connected to our Pascagoula Pipeline.</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Patoka Terminal. </w:t>
      </w:r>
      <w:r>
        <w:rPr>
          <w:rFonts w:ascii="Arial" w:cs="Arial" w:eastAsia="Arial" w:hAnsi="Arial"/>
          <w:sz w:val="16"/>
          <w:szCs w:val="16"/>
          <w:color w:val="auto"/>
        </w:rPr>
        <w:t>Our Patoka Terminal has 6 million barrels of storage capacity and includes an associated manifold and header system at the Patoka</w:t>
      </w:r>
      <w:r>
        <w:rPr>
          <w:rFonts w:ascii="Arial" w:cs="Arial" w:eastAsia="Arial" w:hAnsi="Arial"/>
          <w:sz w:val="16"/>
          <w:szCs w:val="16"/>
          <w:i w:val="1"/>
          <w:iCs w:val="1"/>
          <w:color w:val="auto"/>
        </w:rPr>
        <w:t xml:space="preserve"> </w:t>
      </w:r>
      <w:r>
        <w:rPr>
          <w:rFonts w:ascii="Arial" w:cs="Arial" w:eastAsia="Arial" w:hAnsi="Arial"/>
          <w:sz w:val="16"/>
          <w:szCs w:val="16"/>
          <w:color w:val="auto"/>
        </w:rPr>
        <w:t>Interchange located in southern Illinois. Our terminal has access to all major pipelines and terminals at the Patoka Interchange. Patoka is a growing regional hub with access to domestic and foreign crude oil for certain volumes moving north on the Capline Pipeline as well as Canadian barrels moving south.</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We have 11 million barrels of crude oil storage capacity at the St. James crude oil interchange in Louisiana, which is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most liquid crude oil interchanges in the United States. The 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load, tankers and barges and is also connected to our rail unloading facility. See “Rail Facilities” below for further discussion. In 2015, we added approximately 1 million barrels of storage capacity to the St. James terminal, and we expect to add approximately 1.5 million barrels of capacity in 2016.</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Yorktown Terminal. </w:t>
      </w:r>
      <w:r>
        <w:rPr>
          <w:rFonts w:ascii="Arial" w:cs="Arial" w:eastAsia="Arial" w:hAnsi="Arial"/>
          <w:sz w:val="18"/>
          <w:szCs w:val="18"/>
          <w:color w:val="auto"/>
        </w:rPr>
        <w:t>We have 5 million barrels of storage for crude oil and refined products at our Yorktown facility located in Virginia,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 million barrels of capacity for which we hold lease options (all of which have been exercised). The Yorktown facility has its own deep-water port on the York River with the capacity to service the receipt and delivery of product from ships and barges. This facility also has an active truck rack and rail capacity. See “Rail Facilities” below for further discussion.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18"/>
          <w:szCs w:val="18"/>
          <w:color w:val="auto"/>
        </w:rPr>
        <w:t>We own a 50% interest in Eagle Ford Terminals, which is currently developing a terminal in Corpus Christi, Texas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loading ocean going vessels at a rate of 20,000 barrels per hour. Initial storage capacity of the terminal will be 1.2 million barrels. The facility will have access to production from both the Eagle Ford and the Permian Basin through the Eagle Ford joint venture pipeline and is expected to be placed in service in 2018. Enterprise owns the remaining 50% interest in Eagle Ford Terminals.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Bumstead. </w:t>
      </w:r>
      <w:r>
        <w:rPr>
          <w:rFonts w:ascii="Arial" w:cs="Arial" w:eastAsia="Arial" w:hAnsi="Arial"/>
          <w:sz w:val="18"/>
          <w:szCs w:val="18"/>
          <w:color w:val="auto"/>
        </w:rPr>
        <w:t>The Bumstead facility is located at a major rail transit point near Phoenix, Arizona. With 4 million barrels of useable capacity,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facility’s primary assets include three salt-dome storage caverns, a 30-car rail track and six truck racks.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The Fort Saskatchewan facility is located approximately 16 miles northeast of Edmonton, Alberta in one of the key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NGL hubs. The facility is a receipt, storage, fractionation and delivery facility for NGL and is connected to other major NGL plants and pipeline systems in the area. The facility’s primary assets include 22 storage caverns with approximately 5 million barrels in useable storage capacity. The facility includes assets operated by us and assets operated by a third-party. Our ownership in the various facility assets ranges from approximately 21% to 100%. See the section entitled “—NGL Fractionation and Isomerization Facilities” below for additional discussion of this facility.</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2013, we began upgrading our Fort Saskatchewan storage capacity as part of a multi-phase expansion. The first phase of the expansion will add two new NGL storage caverns each with a capacity of 350,000 barrels and will convert approximately 2.4 million barrels of existing NGL mix storage capacity to propane and condensate storage supported by the addition of approximately 2.4 million barrels of new brine pond capacity. Additionally, as part of the first phase of the project, we expanded our propane truck loading capabilities and added new butane truck loading, which came in service in early 2015. The second phase of the project will see the development of two new ethane caverns totaling 1.6 million barrels of capacity which are supported by long-term commitments from third parties.</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facility consists of (i) our Sarnia facility, (ii) our Windsor storage terminal and (iii) our St. Clair terminal. The Sarnia</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a large NGL fractionation, storage and shipping facility located on a 380–acre plant site in the Sarnia Chemical Valley. There are 36 multi-product railcar loading spots, 4 multi-product truck loading racks and a network of 14 pipelines providing product delivery capabilities to our Windsor, St. Clair and Green Springs terminal facilities, in addition to refineries, chemical plants and other pipeline systems in the area. The facility has approximately 4 million barrels of useable storage capacity. In 2012, we initiated a brine disposal program that will facilitate the removal of excess brine via truck from our Sarnia facility. The project increased useable NGL storage capacity at the facility by 1 million barrels in 2015, and is expected to increase capacity by as much as 3 million barrels when completed.</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Windsor storage terminal in Windsor, Canada, is a pipeline hub and underground storage facility. The facility is served by three of our receipt/dispatch pipelines and rail and truck offloading. There are eight storage caverns on site with a useable capacity of approximately 3 million barrels. The terminal assets include 16 multi-product rail tank car loading spots and a propane truck loading rack. In 2014, we initiated a brine disposal program that will facilitate the removal of excess brine via pipeline from our Windsor storage terminal. The project is expected to increase useable NGL storage capacity at the facility by approximately 1 million barrels.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St. Clair terminal is a propane, isobutane and butane storage and distribution facility located in St. Clair, Michigan and is connected to the Sarnia facility via one of our pipelines. On site are five storage caverns with useable capacity of approximately 2 million barrels and 28 multi-product rail tank car loading spots.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Tirzah. </w:t>
      </w:r>
      <w:r>
        <w:rPr>
          <w:rFonts w:ascii="Arial" w:cs="Arial" w:eastAsia="Arial" w:hAnsi="Arial"/>
          <w:sz w:val="17"/>
          <w:szCs w:val="17"/>
          <w:color w:val="auto"/>
        </w:rPr>
        <w:t>The Tirzah facility is located in South Carolina and consists of an underground granite storage cavern with approximately 1 million barrels</w:t>
      </w:r>
      <w:r>
        <w:rPr>
          <w:rFonts w:ascii="Arial" w:cs="Arial" w:eastAsia="Arial" w:hAnsi="Arial"/>
          <w:sz w:val="17"/>
          <w:szCs w:val="17"/>
          <w:i w:val="1"/>
          <w:iCs w:val="1"/>
          <w:color w:val="auto"/>
        </w:rPr>
        <w:t xml:space="preserve"> </w:t>
      </w:r>
      <w:r>
        <w:rPr>
          <w:rFonts w:ascii="Arial" w:cs="Arial" w:eastAsia="Arial" w:hAnsi="Arial"/>
          <w:sz w:val="17"/>
          <w:szCs w:val="17"/>
          <w:color w:val="auto"/>
        </w:rPr>
        <w:t>of useable capacity. The Tirzah facility is connected to the Dixie Pipeline System (a third-party system) via our 63-mile pipeline.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ectPr>
          <w:pgSz w:w="11900" w:h="16838" w:orient="portrait"/>
          <w:cols w:equalWidth="0" w:num="1">
            <w:col w:w="11420"/>
          </w:cols>
          <w:pgMar w:left="240" w:top="125" w:right="239" w:bottom="104" w:gutter="0" w:footer="0" w:header="0"/>
        </w:sectPr>
      </w:pPr>
    </w:p>
    <w:bookmarkStart w:id="19" w:name="page20"/>
    <w:bookmarkEnd w:id="19"/>
    <w:p>
      <w:pPr>
        <w:spacing w:after="0" w:line="11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own three FERC regulated natural gas storage facilities located in the Gulf Coast and Midwest that are permitted for 149 Bcf of working gas capacity, and as of December 31, 2015, we had an aggregate working gas capacity of approximately 97 Bcf in service. Our facilities have aggregate peak daily injection and withdrawal rates of 4.1 Bcf and 6.4 Bcf, respectively.</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natural gas storage facilities are strategically located and have a diverse group of customers, including utilities, pipelines, producers, power generators, marketers and liquefied natural gas (“LNG”) exporters, whose storage needs vary from traditional seasonal storage services to hourly balancing. We are located near several major market hubs, including the Henry Hub (the delivery point for NYMEX natural gas futures contracts), the Carthage Hub (located in East Texas), the Perryville Hub (located in North Louisiana), and the major market hubs of Chicago, Illinois and Dawn, Ontario. Our facilities have 22 direct interconnects with third party interstate pipelines, industrial facilities and gas fired power plants, serving markets in the Gulf Coast, Midwest, Mid-Atlantic, Northeast, and Southeast regions of the United States and the Southeastern portion of Canada.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and/or operate four straddle plants and two field gas processing plants located in Western Canada with an aggregate net natural gas processing capacity of approximately 5.4 Bcf per day and long-term liquid supply contracts relating to a third-party owned straddle plant with gross processing capacity of approximately 2.5 Bcf per day. We also own and operate four natural gas processing plants located in Louisiana and Alabama with an aggregate natural gas processing capacity of approximately 0.6 Bcf per day.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Our Fort Saskatchewan facility has a fractionation capacity of approximately 45,000 barrels per day and produces both spec</w:t>
      </w:r>
      <w:r>
        <w:rPr>
          <w:rFonts w:ascii="Arial" w:cs="Arial" w:eastAsia="Arial" w:hAnsi="Arial"/>
          <w:sz w:val="18"/>
          <w:szCs w:val="18"/>
          <w:i w:val="1"/>
          <w:iCs w:val="1"/>
          <w:color w:val="auto"/>
        </w:rPr>
        <w:t xml:space="preserve"> </w:t>
      </w:r>
      <w:r>
        <w:rPr>
          <w:rFonts w:ascii="Arial" w:cs="Arial" w:eastAsia="Arial" w:hAnsi="Arial"/>
          <w:sz w:val="18"/>
          <w:szCs w:val="18"/>
          <w:color w:val="auto"/>
        </w:rPr>
        <w:t>NGL products and NGL mix for delivery to the Sarnia facility via the Enbridge pipeline.</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fractionation feedstock is supplied via the Fort Saskatchewan Pipeline System which connects to the Co-Ed NGL Pipeline System. Through ownership in the Keyera Fort Saskatchewan fractionation plant, we have additional fractionation capacity, net to our share of 6,300 barrels per day.</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recently approved a project to expand our fractionation capacity to provide producers with additional fractionation infrastructure necessary to develop the significant liquids-rich natural gas reserves in western Canada. Upon our target completion date in mid-2017, this expansion will increase capacity to produce a combination of spec NGL products and NGL mix by 20,000 barrels per day. This project is supported by long-term commitments from third parties.</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has a net useable capacity of 90,000 barrels per day and produces specification propane, isobutane, normal butane and natural gasoline. Our ownership in the various processing units at the Sarnia Fractionator ranges from 62% to 84%.</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2015, we commissioned an approximate 40-mile NGL pipeline system capable of delivering up to 10,000 barrels per day from California Resources Corporation’s Elk Hills Gas plant to our Shafter facility, increased our storage capacity by 30,000 barrels and added 10,000 barrels per day of rail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and is adjacent to our Gardendale terminal and rail facility. We completed an expansion of the facility in the second half of 2015, bringing the total processing capacity of the facility to 120,000 barrels per day. The facility has useable storage capacity of 160,000 barrels. In 2015, we also placed in service a ten mile pipeline that connects to a third party pipeline delivering NGL to Mont Belvieu. Throughput at the Gardendale processing facility is supplied by long-term commitments from producers.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own seven active crude oil and condensate rail loading terminals, six of which service production in the Niobrara, Eagle Ford, Permian Basin and Bakken shale formations and have a combined loading capacity of approximately 322,000 barrels per day. These facilities are located in Carr, Colorado; Tampa, Colorado; Gardendale, Texas; McCamey, Texas; Manitou, North Dakota; and Van Hook, North Dakota. Our rail terminal in Western Canada near Kerrobert, Saskatchewan was placed in service in the fourth quarter of 2015, with an initial capacity of approximately 60,000 barrels per day.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own three active crude oil rail unloading terminals that have a combined unloading capacity of approximately 350,000 barrels per day. Our terminal at St. James, Louisiana is connected to our rail unloading facility that has an unload capacity of 140,000 barrels of sweet crude oil per day. In late 2015, we commissioned a project to enhance our St. James rail facility with capability to receive heavy crude oil. Our Yorktown, Virginia rail facility receives</w:t>
      </w:r>
    </w:p>
    <w:p>
      <w:pPr>
        <w:sectPr>
          <w:pgSz w:w="11900" w:h="16952" w:orient="portrait"/>
          <w:cols w:equalWidth="0" w:num="1">
            <w:col w:w="11420"/>
          </w:cols>
          <w:pgMar w:left="240" w:top="125" w:right="239" w:bottom="0"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unit trains and has an unload capacity of approximately 140,000 barrels per day, and our Bakersfield, California rail facility receives unit trains and has permitted capacity to unload 70,000 barrels per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own 21 operational NGL rail facilities strategically located near NGL storage, pipelines, gas production or propane distribution centers throughout the United States and Canada. Our NGL rail facilities currently have 258 railcar rack spots and 1,128 railcar storage spots and we have the ability to switch our own railcars at six of these terminals.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approved a number of expansion projects at our Fort Saskatchewan facility, including a 60 car per day propane rail loading facility, which we plan to place in service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25" w:lineRule="exact"/>
        <w:rPr>
          <w:sz w:val="20"/>
          <w:szCs w:val="20"/>
          <w:color w:val="auto"/>
        </w:rPr>
      </w:pPr>
    </w:p>
    <w:p>
      <w:pPr>
        <w:ind w:left="980" w:right="5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characterize a substantial portion of our baseline segment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general and administrative expenses. The level of profit associated with a portion of the other activities we conduct in the Supply and Logistics segment is influenced by overall market structure and the degree of market volatility, as well as variable operating expenses. The majority of activities that are carried out within our Supply and Logistics segment are designed to produce stable baseline results in a variety of market conditions, while at the same time providing upside potential associated with opportunities inherent in volatile market conditions (including opportunities to benefit from fluctuating differentials). These activities utilize storage facilities at major interchange and terminalling locations and various hedging strategies. The tankage that is used to support our arbitrage activities positions us to capture margins in various market conditions. See “— Impact of Commodity Price Volatility and Dynamic Market Conditions on Our Business Model” below for further discussion.</w:t>
      </w:r>
    </w:p>
    <w:p>
      <w:pPr>
        <w:spacing w:after="0" w:line="16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2015, our Supply and Logistics segment also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 million barrels of crude oil and NGL linefill in pipelines owned by us;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 million barrels of crude oil and NGL linefill in pipelines owned by third parties and other long-term inventory;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990 trucks and 1,100 trailers;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10,100 crude oil and NGL railcars.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connection with its operations, our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 generally under longer term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Volumes</w:t>
            </w:r>
          </w:p>
        </w:tc>
      </w:tr>
      <w:tr>
        <w:trPr>
          <w:trHeight w:val="171"/>
        </w:trPr>
        <w:tc>
          <w:tcPr>
            <w:tcW w:w="994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(MBbls/d)</w:t>
            </w:r>
          </w:p>
        </w:tc>
      </w:tr>
      <w:tr>
        <w:trPr>
          <w:trHeight w:val="210"/>
        </w:trPr>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NGL sales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0"/>
        </w:trPr>
        <w:tc>
          <w:tcPr>
            <w:tcW w:w="9940" w:type="dxa"/>
            <w:vAlign w:val="bottom"/>
          </w:tcPr>
          <w:p>
            <w:pPr>
              <w:ind w:left="180"/>
              <w:spacing w:after="0"/>
              <w:rPr>
                <w:sz w:val="20"/>
                <w:szCs w:val="20"/>
                <w:color w:val="auto"/>
              </w:rPr>
            </w:pPr>
            <w:r>
              <w:rPr>
                <w:rFonts w:ascii="Arial" w:cs="Arial" w:eastAsia="Arial" w:hAnsi="Arial"/>
                <w:sz w:val="18"/>
                <w:szCs w:val="18"/>
                <w:color w:val="auto"/>
              </w:rPr>
              <w:t>Supply and Logistics activities 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 xml:space="preserve">Crude Oil and NGL Purchases. </w:t>
      </w:r>
      <w:r>
        <w:rPr>
          <w:rFonts w:ascii="Arial" w:cs="Arial" w:eastAsia="Arial" w:hAnsi="Arial"/>
          <w:sz w:val="16"/>
          <w:szCs w:val="16"/>
          <w:color w:val="auto"/>
        </w:rPr>
        <w:t>We purchase crude oil and NGL from multiple producers under contracts and believe that we have established long-term, broad-based relationships with the crude oil and NGL producers in our areas of operations. Our crude oil contracts generally range in term from thirty-day evergreen to five years, with the majority ranging from thirty days to one year and a limited number of contracts with remaining terms extending up to ten</w:t>
      </w:r>
    </w:p>
    <w:p>
      <w:pPr>
        <w:sectPr>
          <w:pgSz w:w="11900" w:h="16838" w:orient="portrait"/>
          <w:cols w:equalWidth="0" w:num="1">
            <w:col w:w="11420"/>
          </w:cols>
          <w:pgMar w:left="240" w:top="125" w:right="239" w:bottom="0" w:gutter="0" w:footer="0" w:header="0"/>
        </w:sectPr>
      </w:pPr>
    </w:p>
    <w:bookmarkStart w:id="21" w:name="page22"/>
    <w:bookmarkEnd w:id="21"/>
    <w:p>
      <w:pPr>
        <w:ind w:right="20"/>
        <w:spacing w:after="0" w:line="302" w:lineRule="auto"/>
        <w:rPr>
          <w:sz w:val="20"/>
          <w:szCs w:val="20"/>
          <w:color w:val="auto"/>
        </w:rPr>
      </w:pPr>
      <w:r>
        <w:rPr>
          <w:rFonts w:ascii="Arial" w:cs="Arial" w:eastAsia="Arial" w:hAnsi="Arial"/>
          <w:sz w:val="16"/>
          <w:szCs w:val="16"/>
          <w:color w:val="auto"/>
        </w:rPr>
        <w:t>years. We utilize our truck fleet, railcars and pipelines as well as leased railcars, third-party pipelines, trucks and barges to transport the crude oil to market. In addition, from time to time, we purchase foreign crude oil. Under these contracts we may purchase crude oil upon delivery in the United States or we may purchase crude oil in foreign locations and transport it on third-party tankers. From time to time, we enter into various types of purchase and exchange transactions including fixed price purchase contracts, collars, financial swaps and crude oil and NGL-related futures contracts as hedging devices.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firm up capacity utilization and base-load expansion projects. We utilize our trucking fleet and pipeline network, as well as leased railcars, third-party tank trucks and third-party pipelines to transport NGL.</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to purchasing crude oil from producers, we purchase both domestic and foreign crude oil in bulk at major pipeline terminal locations, rail facilities and barge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Crude Oil and NGL Sales. </w:t>
      </w:r>
      <w:r>
        <w:rPr>
          <w:rFonts w:ascii="Arial" w:cs="Arial" w:eastAsia="Arial" w:hAnsi="Arial"/>
          <w:sz w:val="17"/>
          <w:szCs w:val="17"/>
          <w:color w:val="auto"/>
        </w:rPr>
        <w:t>The activities involved in the supply, logistics and distribution of crude oil and NGL are complex and require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knowledge of crude oil and NGL sources and end markets, as well as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NGL to the appropriate customer.</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sell our crude oil to major integrated oil companies, independent refiners and other resellers in various types of sale and exchange transactions. Our crude oil sales contracts generally range in term from thirty-day evergreen to five years, with the majority ranging from thirty days to one year and a limited number of contracts extending up to seven years. We sell NGL primarily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propane and refined product retailers, petrochemical companies and refiners, and limited volumes to other marketers. A majority of our NGL contracts generally range in term from a thirty-day evergreen to one year. With the move to longer term (greater than one year) NGL supply contracts, longer term NGL sale contracts are also becoming more commonplace, usually with flexible pricing mechanisms to ensure the sale remains market-based for both the buyer and seller.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 price delivery contracts, collars, financial swaps and crude oil and NGL-related futures contracts as hedging devices.</w:t>
      </w:r>
    </w:p>
    <w:p>
      <w:pPr>
        <w:spacing w:after="0" w:line="19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Natural Gas Purchase and Sales Activities. </w:t>
      </w:r>
      <w:r>
        <w:rPr>
          <w:rFonts w:ascii="Arial" w:cs="Arial" w:eastAsia="Arial" w:hAnsi="Arial"/>
          <w:sz w:val="18"/>
          <w:szCs w:val="18"/>
          <w:color w:val="auto"/>
        </w:rPr>
        <w:t>We also generate net revenue through the merchant storage activities of our natural gas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group, which captures short term market opportunities by utilizing a portion of our natural gas storage capacity and engaging in related commercial marketing activities. Our natural gas merchant storage activities generate revenue through the hedged purchase and sale of natural gas net of any storage-related costs incurred. We utilize physical natural gas storage at our facilities and derivatives to hedge expected margin from these activities. Through these transactions, we seek to maintain a position that is substantially balanced between purchases of natural gas on the one hand and sales or future delivery obligations on the other hand.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natural gas merchant storage activities, we incur certain storage-related costs. These costs consist of fees incurred to secure third-party pipeline capacity and natural gas storage and transaction costs associated with managing injection and deliverability capacity at our facilities. Costs associated with our third-party pipeline capacity are subject to variation as the terms of these agreements typically contain certain fees which fluctuate based on actual volumes shipped in addition to monthly reservation fees.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NGL and natural gas for resale and require significant extensions of credit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In 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When we sell crude oil, NGL and natural gas, we must determine the amount, if any, of the line of credit to be extended to any given customer. We manage our exposure to credit risk through credit analysis, credit approvals, credit limits, prepayment, letters of credit and monitoring procedures.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and natural gas, the risk of nonpayment and nonperformance by customers is a major consideration in our business. We believe our sales are made to creditworthy entities or entities with adequate credit support. Generally, sales of crude oil and natural gas are settled within 30 days of the month of delivery, and pipeline, transportation and terminalling services settle within 30 days from the date we issue an invoice for the provision of services.</w:t>
      </w:r>
    </w:p>
    <w:p>
      <w:pPr>
        <w:sectPr>
          <w:pgSz w:w="11900" w:h="16838" w:orient="portrait"/>
          <w:cols w:equalWidth="0" w:num="1">
            <w:col w:w="11420"/>
          </w:cols>
          <w:pgMar w:left="240" w:top="125" w:right="239" w:bottom="61" w:gutter="0" w:footer="0" w:header="0"/>
        </w:sectPr>
      </w:pPr>
    </w:p>
    <w:bookmarkStart w:id="22" w:name="page23"/>
    <w:bookmarkEnd w:id="22"/>
    <w:p>
      <w:pPr>
        <w:spacing w:after="0" w:line="1"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Certain activities in our Supply and Logistics segment are affected by seasonal aspects, primarily with respect to NGL and natural gas supply and logistics activities.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2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Crude oil, NGL, natural gas and refined products commodity prices have historically been very volatile. For example, since the mid-1980s, NYMEX West Texas Intermediate (“WTI”) crude oil benchmark prices have ranged from a low of approximately $10 per barrel during 1986 to a high of over $147 per barrel during 2008. During 2015, West Texas Intermediate crude oil prices traded within a range of approximately $35 to $61 per barrel. There is also volatility within the propane and butane markets as seen through the North American benchmark price located at Mont Belvieu, Texas. Specifically, propane prices have ranged from a low of approximately 39% of the WTI benchmark price for crude oil in 2015 to a high of approximately 81% of the WTI benchmark price for crude oil in 2000. Butane has seen a price range from a low of approximately 52% of the WTI benchmark price for crude oil in 2015 to a high of approximately 93% of the WTI benchmark price for crude oil in 2000.</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gross profit from these activities have little correlation to absolute commodity prices. Relative contribution levels will vary from quarter-to-quarter due to seasonal and other similar factors, but our fee-based Transportation and Facilities segments should comprise approximately 70% to 80% of our aggregate base level segment profit.</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Base level segment profit from our supply and logistics activities is dependent on our ability to sell crude oil and NGL at prices in excess of our aggregate cost.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Our objective is to position the Partnership such that our overall annual base level of cash flow is not materially adversely affected by the absolute level of energy prices, shifts between demand-driven markets and supply-driven markets or other similar dynamics. In recent periods, however, the market has experienced impacts from aggressive competition and overbuilt infrastructure in certain regions, which has caused supply and demand imbalances and price volatility. In some of the areas where we operate, there has been significantly increased competition for marginal or incremental volumes from shippers on third party pipelines who have committed to ship more production than they have and are purchasing barrels in the market for shipment on the applicable third party pipeline in satisfaction of their transportation commitments, often doing so at a loss because the loss on sale of the purchased crude oil will be less than the amount of the take-or-pay obligation on the pipeline. This type of activity has put downward pressure on volumes and margins across our three business segments. While recent market conditions have been challenging, we believe the complementary, balanced nature of our business activities and diversification of our asset base among varying regions and demand-driven and supply-driven markets provides us with the opportunity to generate a base level of cash flow in a variety of market scenarios.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providing the opportunity to generate a base level of cash flow, this approach is also intended to provide opportunities to realize incremental margin during volatile market conditions. For example, if crude oil prices are high relative to historical levels, we may hedge some of our expected pipeline loss allowance barrels, and if crude oil prices are low relative to historical prices, we may hedge a portion of our anticipated diesel purchases needed to operate our trucks and barges. Also, during periods when supply exceeds the demand for crude oil, NGL or natural gas in the near term, the market for such product is often in contango, meaning that the price for future deliveries is higher than current prices. In a contango market, entities that have access to storage at major trading locations can purchase crude oil, NGL or natural gas at current prices for storage and simultaneously sell forward such products for future delivery at higher prices.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combination of fee-based cash flow from our Transportation and Facilities segments, complemented by a number of diverse, flexible and counter-balanced sources of cash flow within our Supply and Logistics segment is intended to provide us with the opportunity to generate a base level of cash flow and provide upside opportunities. In executing this business model, we employ a variety of financial risk management tools and techniques, predominantly in our Supply and Logistics segment.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During certain transitional periods, such as this extended period of lower crude oil prices, the ability to generate above base line performance is challenging, and taking into account the over-capacity of midstream assets that currently exists in most crude oil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producing regions, generating even baseline level performance will be challenging. See “Global Petroleum Market Overview” above for additional discussion regarding market conditions.</w:t>
      </w:r>
    </w:p>
    <w:p>
      <w:pPr>
        <w:sectPr>
          <w:pgSz w:w="11900" w:h="16839"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Management</w:t>
      </w:r>
    </w:p>
    <w:p>
      <w:pPr>
        <w:sectPr>
          <w:pgSz w:w="11900" w:h="16839" w:orient="portrait"/>
          <w:cols w:equalWidth="0" w:num="1">
            <w:col w:w="11420"/>
          </w:cols>
          <w:pgMar w:left="240" w:top="125" w:right="239" w:bottom="0" w:gutter="0" w:footer="0" w:header="0"/>
          <w:type w:val="continuous"/>
        </w:sectPr>
      </w:pPr>
    </w:p>
    <w:bookmarkStart w:id="23" w:name="page24"/>
    <w:bookmarkEnd w:id="23"/>
    <w:p>
      <w:pPr>
        <w:spacing w:after="0" w:line="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 level risks and trading-related risks. Enterprise level risks are those that underlie our core businesses and may be managed based on management’s assessment of the cost or benefit in doing so. Conversely, trading-related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commodity risk management policies and procedures are designed to monitor NYMEX, ICE and over the 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Marathon Petroleum Corporation and its subsidiaries accounted for approximately 17%, 17% and 15% of our revenues for the years ended December 31, 2015, 2014 and 2013, respectively. ExxonMobil Corporation and its subsidiaries accounted for approximately 13%, 15% and 13% of our revenues for the years ended December 31, 2015, 2014 and 2013, respectively. Phillips 66 and its subsidiaries accounted for approximately 11% of our revenues for the year ended December 31, 2013. No other customers accounted for 10% or more of our revenues during any of the three years ended December 31, 2015, 2014 and 2013.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13 to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We believe that high capital requirements, environmental considerations and the difficulty in acquiring rights-of-way and related permits, together with the fact that many of the producing basins in the United States and Canada currently have excess take-away capacity (whether by pipeline or rail), make it unlikely that new competing pipeline systems comparable in size and scope to our pipeline systems (and excluding those already publicly announced to be under development or construction) will be built in the foreseeable future. However, to the extent there are already third-party owned pipelines or owners with joint venture pipelines with excess capacity in the vicinity of our operations, we are exposed to significant competition based on the relatively low cost of moving an incremental barrel of crude oil or NGL. In the current environment, such competition for marginal or incremental volumes has been exacerbated in some areas by shippers on third party pipelines who have committed to ship more production than they have and are purchasing barrels in the market and shipping them on the applicable third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party pipeline in satisfaction of their commitment. This type of activity reduces the pool of incremental barrels that would otherwise be available for transport on our pipelines. In addition, in areas where additional infrastructure is necessary to accommodate new or increased production or changing product flows, we face competition in providing the required infrastructure solutions as well as the risk of building capacity in excess of sustained demand. Depending upon the specific movement, pipelines, which generally offer the lowest cost of transportation, may also face competition from other forms of transportation, such as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companies, other NGL processing and fractionation companies, the major integrated oil companies, their marketing affiliates and independent gatherers, banks that have established a trading platform, brokers and marketers of widely varying sizes, financial resources and experience. Some of these competitors have capital resources greater than ours.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existing storage facilities connected to their systems that compete with some of our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w:t>
      </w:r>
    </w:p>
    <w:p>
      <w:pPr>
        <w:sectPr>
          <w:pgSz w:w="11900" w:h="16908" w:orient="portrait"/>
          <w:cols w:equalWidth="0" w:num="1">
            <w:col w:w="11420"/>
          </w:cols>
          <w:pgMar w:left="240" w:top="341" w:right="239" w:bottom="0" w:gutter="0" w:footer="0" w:header="0"/>
        </w:sectPr>
      </w:pPr>
    </w:p>
    <w:bookmarkStart w:id="24" w:name="page25"/>
    <w:bookmarkEnd w:id="24"/>
    <w:p>
      <w:pPr>
        <w:spacing w:after="0" w:line="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related businesses and individual participants. The failure to comply with such legal requirements and regulations can result in substantial fines and penalties, expose us to civil and criminal claims, and cause us to incur significant costs and expenses. In all material respects, we believe that we are in substantial compliance with the various laws, rules and regulations that apply to our assets, operations and business activities; however, we can provide no assurances in that regard. See “Risk Factors—Risks Relating to Our Business—Our operations are also subject to laws and regulations relating to protection of the environment and wildlife, operational safety, climate change and related matters that may expose us to significant costs and liabilities.”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In 2010 we settled by means of separate Consent Decrees, two Department of Justice (“DOJ”)/Environmental Protection Agency (“EPA”) proceedings regarding certain releases of crude oil. One Consent Decree applied to our crude oil pipelines in general and was terminated in November 2013. The remaining Consent Decree applies to a specific system. Although we believe that all material aspects of the injunctive elements of the remaining Consent Decree (costs and operational effects) have been incorporated into our budgeting and planning process, future proceedings could result in additional injunctive remedies, the effect of which would subject us to operational requirements and constraints.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certain, but not all, of the laws and regulations affecting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 Integrity Management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Pipeline and Hazardous Materials Safety Administration (“PHMSA”) pursuant to the Hazardous Liquids Pipeline Safety Act of 1979, as amended (the “HLPSA”). The HLPSA imposes safety requirements on the design, installation, testing, construction,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HLPSA was amended by the Pipeline Safety Improvement Act of 2002 and the Pipeline Inspection, Protection, Enforcement and Safety Act of 2006. These amendments have resulted in the adoption of rules by the Department of Transportation (“DOT”) that require transportation pipeline operators to implement integrity management programs, including frequent inspections, correction of identified anomalies and other measures, to ensure pipeline safety in “high consequence areas” such as high population areas, areas unusually sensitive to environmental damage, and commercially navigable waterways. In the United States, our costs associated with the inspection, testing and correction of identified anomalies were approximately $107 million in 2015, $107 million in 2014 and $57 million in 2013. Based on currently available information, our preliminary estimate for 2016 is that we will incur approximately $65 million in capital expenditures and approximately $37 million in operational expenditures associated with our required pipeline integrity management program.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for such activities were approximately $33 million in 2015, $21 million in 2014 and $22 million in 2013, and our preliminary estimate for 2016 is that we will incur approximately $30 million of such costs.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2012, the “Pipeline Safety, Regulatory Certainty, and Job Creation Act of 2011” (the “2011 Act”) became effective. Under the 2011 Act, maximum civil penalties for certain violations have been increased from $100,000 to $200,000 per violation per day, and from a total cap of $1 million to $2 million. In addition, the 2011 Act reauthorized the federal pipeline safety programs of PHMSA through September 30, 2015, and directs the Secretary of Transportation to undertake a number of reviews, studies and reports, some of which may result in additional natural gas and hazardous liquids pipeline safety rulemaking. A number of the provisions of the 2011 Act have the potential to cause owners and operators of pipeline facilities to incur significant capital expenditures and/or operating costs.</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Senate Committee on Commerce, Science &amp; Transportation passed the “Securing America’s Future Energy: Protecting Infrastructure of Pipelines and Enhancing Safety Act” (“SAFE PIPES Act”) on December 9, 2015. This bill would (i) reauthorize PHMSA through fiscal year 2019, (ii) require reports to Congress on the status of rulemaking efforts in the areas of integrity management, leak detection and accident and incident notification, (iii) require PHMSA to initiate new rulemaking for underground natural gas storage facilities and (iv) require PHMSA to define the Great Lakes as an ecological resource under 49 CFR 195.6 (b). The committee has sent the bill to the Senate for further consideration.</w:t>
      </w:r>
    </w:p>
    <w:p>
      <w:pPr>
        <w:sectPr>
          <w:pgSz w:w="11900" w:h="16859" w:orient="portrait"/>
          <w:cols w:equalWidth="0" w:num="1">
            <w:col w:w="11400"/>
          </w:cols>
          <w:pgMar w:left="240" w:top="125" w:right="259" w:bottom="0" w:gutter="0" w:footer="0" w:header="0"/>
        </w:sectPr>
      </w:pPr>
    </w:p>
    <w:bookmarkStart w:id="25" w:name="page26"/>
    <w:bookmarkEnd w:id="25"/>
    <w:p>
      <w:pPr>
        <w:spacing w:after="0" w:line="7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 October 2015, PHMSA published a Notice of Proposed Rulemaking (“NPRM”) in the Federal Register proposing to make changes to the hazardous liquid pipeline safety regulations. PHMSA is proposing to make the following changes to the regulations:</w:t>
      </w:r>
    </w:p>
    <w:p>
      <w:pPr>
        <w:spacing w:after="0" w:line="170" w:lineRule="exact"/>
        <w:rPr>
          <w:sz w:val="20"/>
          <w:szCs w:val="20"/>
          <w:color w:val="auto"/>
        </w:rPr>
      </w:pPr>
    </w:p>
    <w:p>
      <w:pPr>
        <w:ind w:left="1300" w:hanging="27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 reporting requirements to all hazardous liquid gravity and gathering lines;</w:t>
      </w:r>
    </w:p>
    <w:p>
      <w:pPr>
        <w:spacing w:after="0" w:line="23" w:lineRule="exact"/>
        <w:rPr>
          <w:rFonts w:ascii="Arial" w:cs="Arial" w:eastAsia="Arial" w:hAnsi="Arial"/>
          <w:sz w:val="18"/>
          <w:szCs w:val="18"/>
          <w:color w:val="auto"/>
        </w:rPr>
      </w:pPr>
    </w:p>
    <w:p>
      <w:pPr>
        <w:ind w:left="1300" w:hanging="27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inspections of pipelines in areas affected by extreme weather, natural disasters, and other similar events;</w:t>
      </w:r>
    </w:p>
    <w:p>
      <w:pPr>
        <w:spacing w:after="0" w:line="9" w:lineRule="exact"/>
        <w:rPr>
          <w:rFonts w:ascii="Arial" w:cs="Arial" w:eastAsia="Arial" w:hAnsi="Arial"/>
          <w:sz w:val="18"/>
          <w:szCs w:val="18"/>
          <w:color w:val="auto"/>
        </w:rPr>
      </w:pPr>
    </w:p>
    <w:p>
      <w:pPr>
        <w:ind w:left="1300" w:hanging="27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leak detection systems on hazardous liquid pipelines in all locations;</w:t>
      </w:r>
    </w:p>
    <w:p>
      <w:pPr>
        <w:spacing w:after="0" w:line="9" w:lineRule="exact"/>
        <w:rPr>
          <w:rFonts w:ascii="Arial" w:cs="Arial" w:eastAsia="Arial" w:hAnsi="Arial"/>
          <w:sz w:val="18"/>
          <w:szCs w:val="18"/>
          <w:color w:val="auto"/>
        </w:rPr>
      </w:pPr>
    </w:p>
    <w:p>
      <w:pPr>
        <w:ind w:left="1300" w:hanging="27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Modify the provisions for making pipeline repairs;</w:t>
      </w:r>
    </w:p>
    <w:p>
      <w:pPr>
        <w:spacing w:after="0" w:line="9" w:lineRule="exact"/>
        <w:rPr>
          <w:rFonts w:ascii="Arial" w:cs="Arial" w:eastAsia="Arial" w:hAnsi="Arial"/>
          <w:sz w:val="18"/>
          <w:szCs w:val="18"/>
          <w:color w:val="auto"/>
        </w:rPr>
      </w:pPr>
    </w:p>
    <w:p>
      <w:pPr>
        <w:ind w:left="1340" w:right="80" w:hanging="318"/>
        <w:spacing w:after="0" w:line="250"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all pipelines subject to the Integrity Management requirements be capable of accommodating inline inspection tools within 20 years; and,</w:t>
      </w:r>
    </w:p>
    <w:p>
      <w:pPr>
        <w:ind w:left="1300" w:hanging="27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Clarifications to improve certainty and compliance to certain existing regulations.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number of the provisions of this NPRM have the potential to cause owners and operators of pipeline facilities to incur significant capital expenditures and/or operating costs. It is not known when, or in what form, this proposed rulemaking will become final. More recently, in February 2016, PHMSA issued an advisory bulletin for natural gas storage facility operators in response to the leak at a third-party gas storage facility in Southern California. PHMSA indicated when it issued the advisory bulletin that additional regulations related to safety standards for natural gas storage facilities are likely forthcoming. At this time, we cannot predict the impact of any future regulatory actions in this area.</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approved by PHMSA, states may assume responsibility for enforcing federal interstate pipeline regulations as agents for PHMSA and conduct inspections of interstate pipelines. In practice, states vary in their authority and capacity to address pipeline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California Governor approved the following three bills on October 8, 2015 related to pipeline safety:</w:t>
      </w:r>
    </w:p>
    <w:p>
      <w:pPr>
        <w:spacing w:after="0" w:line="225" w:lineRule="exact"/>
        <w:rPr>
          <w:sz w:val="20"/>
          <w:szCs w:val="20"/>
          <w:color w:val="auto"/>
        </w:rPr>
      </w:pPr>
    </w:p>
    <w:p>
      <w:pPr>
        <w:ind w:left="1300" w:right="100" w:hanging="320"/>
        <w:spacing w:after="0" w:line="258"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Oil Spill Response Bill allows volunteer cleanup crews to be paid as contractors, requires oil skimmers to be placed along the coastline at all times, and prohibits the use of dispersants until EPA issues rules on dispersant safety.</w:t>
      </w:r>
    </w:p>
    <w:p>
      <w:pPr>
        <w:spacing w:after="0" w:line="1" w:lineRule="exact"/>
        <w:rPr>
          <w:rFonts w:ascii="Arial" w:cs="Arial" w:eastAsia="Arial" w:hAnsi="Arial"/>
          <w:sz w:val="18"/>
          <w:szCs w:val="18"/>
          <w:color w:val="auto"/>
        </w:rPr>
      </w:pPr>
    </w:p>
    <w:p>
      <w:pPr>
        <w:jc w:val="both"/>
        <w:ind w:left="1300" w:right="540" w:hanging="320"/>
        <w:spacing w:after="0" w:line="250"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Pipeline Safety: Inspections Bill mandates annual pipeline inspections commencing January 1, 2017, with the State Fire Marshal responsible for annually inspecting all intrastate pipelines and operators of intrastate pipelines under the jurisdiction of the State Fire Marshal.</w:t>
      </w:r>
    </w:p>
    <w:p>
      <w:pPr>
        <w:spacing w:after="0" w:line="1" w:lineRule="exact"/>
        <w:rPr>
          <w:rFonts w:ascii="Arial" w:cs="Arial" w:eastAsia="Arial" w:hAnsi="Arial"/>
          <w:sz w:val="18"/>
          <w:szCs w:val="18"/>
          <w:color w:val="auto"/>
        </w:rPr>
      </w:pPr>
    </w:p>
    <w:p>
      <w:pPr>
        <w:ind w:left="1300" w:right="660" w:hanging="320"/>
        <w:spacing w:after="0" w:line="261"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Oil Spill Response: Environmentally and Ecologically Sensitive Areas Bill requires automatic shut-offs for pipelines located in environmentally sensitive areas.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Efforts are now underway to draft regulations in order to adopt the provisions of the bills by early 2017. We cannot currently predict the impact and costs of these new laws, and any associated regulations, on our operations.</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DOT has adopted American Petroleum Institute Standard 653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$33 million, $32 million and $26 million in 2015, 2014 and 2013, respectively. For 2016, we have budgeted approximately $34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Canada, the NEB and provincial agencies such as the Alberta Energy Regulator (“AER”) and the Saskatchewan Ministry of Economy regulate the safety and integrity management of pipelines and storage tanks used for hydrocarbon transmission. We have incurred and will continue to incur costs related to such regulatory requirements.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June 2015, the Pipeline Safety Act, SC 2015, c. 21 received royal assent. Upon coming into force in June 2016, it will amend the National Energy Board Act and the Canada Oil and Gas Operations Act in order to strengthen the safety and security of pipelines regulated under those acts. It reinforces the “polluter pays” principle, such that operators of pipelines are liable for costs and damages for all unintended or uncontrolled releases of oil, gas, or other substances. Canada will be the first country to introduce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absolute liability, irrespective of fault, for all costs and damages resulting from an uncontrolled release of oil, gas or other commodity from a major pipeline (i.e. with transport capacity over 250,000 barrels per day), or otherwise as prescribed by regulation for pipelines with lower capacity, up to $1 billion. In instances involving fault or negligence, liability will continue to be unlimited. Additionally, operators will be required to maintain the financial resources necessary to meet the applicable absolute liability obligations imposed under the Act. Finally, the Act imposes more stringent requirements with respect to abandoned pipelines, including an obligation to maintain adequate funds to pay for abandonment costs.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required activities, our Canadian integrity management program includes several voluntary, multi-year programs designed to prevent incidents, such as upgrades to our operating and maintenance programs and systems and upgrades to our pipeline watercourse crossing integrity program. Between such required and elective activities, we spent approximately $66 million, $66 million and $90 million in 2015, 2014 and 2013, respectively. Our preliminary estimate for 2016 is approximately $66 million.</w:t>
      </w:r>
    </w:p>
    <w:p>
      <w:pPr>
        <w:sectPr>
          <w:pgSz w:w="11900" w:h="16912" w:orient="portrait"/>
          <w:cols w:equalWidth="0" w:num="1">
            <w:col w:w="11400"/>
          </w:cols>
          <w:pgMar w:left="240" w:top="341" w:right="259" w:bottom="0" w:gutter="0" w:footer="0" w:header="0"/>
        </w:sectPr>
      </w:pPr>
    </w:p>
    <w:bookmarkStart w:id="26" w:name="page27"/>
    <w:bookmarkEnd w:id="26"/>
    <w:p>
      <w:pPr>
        <w:spacing w:after="0" w:line="6"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124" w:lineRule="exact"/>
        <w:rPr>
          <w:sz w:val="20"/>
          <w:szCs w:val="20"/>
          <w:color w:val="auto"/>
        </w:rPr>
      </w:pPr>
    </w:p>
    <w:p>
      <w:pPr>
        <w:jc w:val="center"/>
        <w:ind w:right="900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will be subject to more rigorous and costly disposal requirements, resulting in additional capital expenditures or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is not uncommon for neighboring landowners and other third parties to file claims for personal injury and property damage allegedly caused by hazardous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substances or other pollutants released into the environment. In the course of our ordinary operations, we may generate waste that falls within CERCLA’s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definition of a “hazardous substance.” Canadian federal and provincial laws also impose liabilities for releases of certain substances into the environment.</w:t>
      </w:r>
    </w:p>
    <w:p>
      <w:pPr>
        <w:spacing w:after="0" w:line="23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subject to the EPA’s Risk Management Plan regulations at certain facilities. These regulations are intended to work with OSHA’s PSM regulations (see “—Occupational Safety and Health” above)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We may also discover environmental impacts from past releases that were previously unidentified.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United States operations are subject to the United States Clean Air Act (“Clean Air Act”), comparable state laws and associated state and federal regulations. In October 2015, the U.S. EPA promulgated a revised ambient standard for ozone. While full implementation of the standard may take a number of years, the revised standard could make air permit for sources of volatile organic compounds (such as crude oil tank farms) more difficult to obtain in some areas.</w:t>
      </w:r>
    </w:p>
    <w:p>
      <w:pPr>
        <w:sectPr>
          <w:pgSz w:w="11900" w:h="16845" w:orient="portrait"/>
          <w:cols w:equalWidth="0" w:num="1">
            <w:col w:w="11400"/>
          </w:cols>
          <w:pgMar w:left="240" w:top="341" w:right="259" w:bottom="0" w:gutter="0" w:footer="0" w:header="0"/>
        </w:sectPr>
      </w:pPr>
    </w:p>
    <w:bookmarkStart w:id="27" w:name="page28"/>
    <w:bookmarkEnd w:id="27"/>
    <w:p>
      <w:pPr>
        <w:spacing w:after="0" w:line="1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Canadian operations are subject to federal and provincial air emission regulations. New Canadian standards for air quality and industrial air emissions were implemented in May 2013. The new standards provide more stringent objectives for outdoor air quality, including a long term (annual) target for fine particulate matter. Under these laws, permits may be required before construction can commence on a new or modified source of potentially significant air emissions, and operating permits may be required for sources already constructed.</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As a result of the changing requirements in both Canada and the United States such as those mentioned above,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compliance obligations will not have a material adverse effect on our financial condition or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EPA has adopted rules for the reporting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We also continue to monitor GHG emissions for our facilities and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EPA has also promulgated regulations establishing Title V and Prevention of Significant Deterioration permitting requirements for certain large sources of GHGs. Fewer than ten of our existing facilities are potential major sources of GHG subject to these permitting requirements. We may be required to install “best available control technology” or (“BACT”) to limit emissions of GHGs from any new or significantly modified facilities that we may seek to construct in the future if they emit quantities of GHGs that trigger the requirements of these regulations. For facilities such as ours, BACT will normally take the form of enhanced energy efficiency measures rather than post-combustion GHG capture requirements. We do not anticipate that the imposition of enhanced energy efficiency requirements will have a material adverse effect on the cost of our operations.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2015, the EPA proposed regulations that, if adopted in 2016 as proposed, would require significant reductions in fugitive methane emissions from certain upstream and midstream oil and gas facilities. We do not expect the cost of complying with these rules to have a material effect on the cost of our operations.</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California has implemented a GHG cap-and-trade program, authorized under Assembly Bill 32 (“AB32”). Through 2014, California’s cap-and-trade program has only applied to large industrial facilities. The California Air Resources Board has published a list of facilities that are subject to this program. At this time, the list only includes one of our facilities, the Lone Star Gas Liquids facility in Shafter, California because it is a significant combustion source. As a result, compliance instruments for GHG emissions were purchased in 2015.</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January 1, 2015, the AB32 regulations for the first time cover finished fuel providers and importers. California finished fuels providers (refiners and importers) will be required to purchase GHG emission credits for finished fuel sold in or imported into California. The rules implementing the AB32 program were finalized in December 2011. The compliance requirements of the GHG cap-and-trade program through 2020 are being phased in. The California Air Resources Board is currently developing a scoping plan for AB32 compliance obligations after the year 2020. We will be reporting associated GHG emissions for finished fuels imported and exported across California borders and will be subject to the cap and trade program in 2016.</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Executive Order B-30-15 was signed by California’s Governor in mid-year 2015. This Executive Order will require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 This may increase the number of PAA facilities subject to this program.</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refinery and producer customers could also be negatively impacted by current GHG legislation or new regulations resulting in increased operating or compliance costs. Some of the proposed federal and state “cap-and-trade” legislation would require businesses that emit GHGs to buy emission credits from government, other businesses, or through an auction process. In addition, refiners could be required to purchase emission credits for GHG emissions resulting from their refining operations as well as the fuels they sell. While it is not possible at this time to predict the final form of “cap-and-trade” legislation, any new federal or state restrictions on GHG emissions could result in material increased compliance costs, additional operating restrictions and an increase in the cost of feedstock and products produced by our refinery customers.</w:t>
      </w:r>
    </w:p>
    <w:p>
      <w:pPr>
        <w:spacing w:after="0" w:line="17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In December 2015, the Paris Agreement was signed at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annual Conference of Parties to the United Nations Framework Convention on Climate Change (“UNFCCC”). The Paris Agreement, upon ratification, will require signatory parties to develop and implement carbon emission reduction policies with a goal of limiting the rise in average global temperatures to 2°C or less. This Agreement is likely to become a significant driver for future potential GHG reduction programs in the United States and Canada.</w:t>
      </w:r>
    </w:p>
    <w:p>
      <w:pPr>
        <w:spacing w:after="0" w:line="202" w:lineRule="exact"/>
        <w:rPr>
          <w:sz w:val="20"/>
          <w:szCs w:val="20"/>
          <w:color w:val="auto"/>
        </w:rPr>
      </w:pPr>
    </w:p>
    <w:p>
      <w:pPr>
        <w:jc w:val="both"/>
        <w:ind w:right="240" w:firstLine="648"/>
        <w:spacing w:after="0" w:line="271"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 xml:space="preserve">Federal Regulation. </w:t>
      </w:r>
      <w:r>
        <w:rPr>
          <w:rFonts w:ascii="Arial" w:cs="Arial" w:eastAsia="Arial" w:hAnsi="Arial"/>
          <w:sz w:val="16"/>
          <w:szCs w:val="16"/>
          <w:color w:val="auto"/>
        </w:rPr>
        <w:t>Along with 194 other countries, Canada is a signatory to the UNFCCC, and the previously ratified “Kyoto Protocol”,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many nations, including Canada, agreed to limit emissions of GHGs. In December 2011, Canada formally withdrew from the Kyoto Protocol and</w:t>
      </w:r>
    </w:p>
    <w:p>
      <w:pPr>
        <w:sectPr>
          <w:pgSz w:w="11900" w:h="16975" w:orient="portrait"/>
          <w:cols w:equalWidth="0" w:num="1">
            <w:col w:w="11420"/>
          </w:cols>
          <w:pgMar w:left="240" w:top="341" w:right="239" w:bottom="0" w:gutter="0" w:footer="0" w:header="0"/>
        </w:sectPr>
      </w:pPr>
    </w:p>
    <w:bookmarkStart w:id="28" w:name="page29"/>
    <w:bookmarkEnd w:id="28"/>
    <w:p>
      <w:pPr>
        <w:spacing w:after="0" w:line="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replaced it with the “Durban Platform” committing it to develop a legally binding agreement to reduce GHG emissions, the terms of which are yet to be defined, but are to become effective in 2020.</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Since 2004, companies emitting more than 100 thousand tons per year (“kt/y”) of CO</w:t>
      </w:r>
      <w:r>
        <w:rPr>
          <w:rFonts w:ascii="Arial" w:cs="Arial" w:eastAsia="Arial" w:hAnsi="Arial"/>
          <w:sz w:val="11"/>
          <w:szCs w:val="11"/>
          <w:color w:val="auto"/>
        </w:rPr>
        <w:t>2</w:t>
      </w:r>
      <w:r>
        <w:rPr>
          <w:rFonts w:ascii="Arial" w:cs="Arial" w:eastAsia="Arial" w:hAnsi="Arial"/>
          <w:sz w:val="18"/>
          <w:szCs w:val="18"/>
          <w:color w:val="auto"/>
        </w:rPr>
        <w:t xml:space="preserve"> equivalent (“CO</w:t>
      </w:r>
      <w:r>
        <w:rPr>
          <w:rFonts w:ascii="Arial" w:cs="Arial" w:eastAsia="Arial" w:hAnsi="Arial"/>
          <w:sz w:val="11"/>
          <w:szCs w:val="11"/>
          <w:color w:val="auto"/>
        </w:rPr>
        <w:t>2</w:t>
      </w:r>
      <w:r>
        <w:rPr>
          <w:rFonts w:ascii="Arial" w:cs="Arial" w:eastAsia="Arial" w:hAnsi="Arial"/>
          <w:sz w:val="18"/>
          <w:szCs w:val="18"/>
          <w:color w:val="auto"/>
        </w:rPr>
        <w:t>e”) were required to report their GHG emissions under the Greenhouse Gas Emissions Reporting Program. In 2010, this reporting threshold was reduced to 50 kt/y. Two PMC facilities meet this reporting threshold. In May 2015, the federal government announced plans to reduce its GHG emissions by 30% below 2005 levels by 2030, and formally submitted the plan to the UNFCCC.</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Provincial Regulation. </w:t>
      </w:r>
      <w:r>
        <w:rPr>
          <w:rFonts w:ascii="Arial" w:cs="Arial" w:eastAsia="Arial" w:hAnsi="Arial"/>
          <w:sz w:val="17"/>
          <w:szCs w:val="17"/>
          <w:color w:val="auto"/>
        </w:rPr>
        <w:t>In 2014, Alberta introduced the Climate Change and Emissions Management Act, which provides a framework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GHG emissions by reducing specified gas emissions, relative to gross domestic product, to an amount that is equal to or less than 50% of 1990 levels by December 31, 2020. The accompanying regulations include the Specified Gas Emitters Regulation (the “SGER”), which imposes GHG emissions limits, the Specified Gas Reporting Regulation (the “SGRR”), which imposes GHG emissions reporting requirements, and the Administrative Penalty Regulation which sets out the penalty for non-compliance with the Climate Change and Emissions Management Act.</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SGER expires on December 31, 2017, to ensure it is reviewed for ongoing relevancy and necessity. The regulation applies to facilities in Alberta that have produced 100,000 or more tonnes of GHG emissions per year, and requires reductions in GHG emissions intensity (</w:t>
      </w:r>
      <w:r>
        <w:rPr>
          <w:rFonts w:ascii="Arial" w:cs="Arial" w:eastAsia="Arial" w:hAnsi="Arial"/>
          <w:sz w:val="16"/>
          <w:szCs w:val="16"/>
          <w:i w:val="1"/>
          <w:iCs w:val="1"/>
          <w:color w:val="auto"/>
        </w:rPr>
        <w:t>i.e.</w:t>
      </w:r>
      <w:r>
        <w:rPr>
          <w:rFonts w:ascii="Arial" w:cs="Arial" w:eastAsia="Arial" w:hAnsi="Arial"/>
          <w:sz w:val="16"/>
          <w:szCs w:val="16"/>
          <w:color w:val="auto"/>
        </w:rPr>
        <w:t>, the quantity of GHG emissions per unit of production) from emissions intensity baselines. The SGER establishes these emissions intensity baselines. Since the regulation came into effect, PMC has one facility (Fort Saskatchewan Storage and Fractionation Facility) which currently does not meet the reduction obligation. As such, PMC has been required to submit compliance credits which have been completed by submitting payment to the Climate Change Emissions Management Fund (the “CCEMC”). On June 25, 2015, the Alberta Government announced an amendment to the SGER, which stipulates that the maximum emissions intensity reduction requirement for all facilities will be increased to 15% after January 1, 2016, and then to 20% after January 1, 2017.</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the SGER, regulated facilities have four ways to comply with the annual emissions intensity reduction requirements: (1) improve emissions intensity at their facilities; (2) purchase Alberta-based offset credits; (3) purchase or use Emission Performance Credits (credits generated by other facilities that have reduced emissions below SGER specifications); or (4) purchase technology offset credits by contributing to Government of Alberta administered CCEMC. Payments into the CCEMC will increase to $20 per tonne of CO</w:t>
      </w:r>
      <w:r>
        <w:rPr>
          <w:rFonts w:ascii="Arial" w:cs="Arial" w:eastAsia="Arial" w:hAnsi="Arial"/>
          <w:sz w:val="11"/>
          <w:szCs w:val="11"/>
          <w:color w:val="auto"/>
        </w:rPr>
        <w:t>2</w:t>
      </w:r>
      <w:r>
        <w:rPr>
          <w:rFonts w:ascii="Arial" w:cs="Arial" w:eastAsia="Arial" w:hAnsi="Arial"/>
          <w:sz w:val="17"/>
          <w:szCs w:val="17"/>
          <w:color w:val="auto"/>
        </w:rPr>
        <w:t xml:space="preserve"> over a facility’s budget in 2016 and $30 per tonne in 2017, which will increase our operating costs in respect of the Fort Saskatchewan Storage and Fractionation Facility.</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In 2015, Alberta’s newly elected Government announced the </w:t>
      </w:r>
      <w:r>
        <w:rPr>
          <w:rFonts w:ascii="Arial" w:cs="Arial" w:eastAsia="Arial" w:hAnsi="Arial"/>
          <w:sz w:val="18"/>
          <w:szCs w:val="18"/>
          <w:i w:val="1"/>
          <w:iCs w:val="1"/>
          <w:color w:val="auto"/>
        </w:rPr>
        <w:t>Specified Gas Emitters Amendment Regulation</w:t>
      </w:r>
      <w:r>
        <w:rPr>
          <w:rFonts w:ascii="Arial" w:cs="Arial" w:eastAsia="Arial" w:hAnsi="Arial"/>
          <w:sz w:val="18"/>
          <w:szCs w:val="18"/>
          <w:color w:val="auto"/>
        </w:rPr>
        <w:t xml:space="preserve">, which introduced a fifth way for regulated facilities to meet their net emissions intensity limit—the cogeneration compliance adjustment (“CCA”) for the year—which is to be defined in the as of yet unpublished </w:t>
      </w:r>
      <w:r>
        <w:rPr>
          <w:rFonts w:ascii="Arial" w:cs="Arial" w:eastAsia="Arial" w:hAnsi="Arial"/>
          <w:sz w:val="18"/>
          <w:szCs w:val="18"/>
          <w:i w:val="1"/>
          <w:iCs w:val="1"/>
          <w:color w:val="auto"/>
        </w:rPr>
        <w:t>Standard for Completing Greenhouse Gas Compliance Reports</w:t>
      </w:r>
      <w:r>
        <w:rPr>
          <w:rFonts w:ascii="Arial" w:cs="Arial" w:eastAsia="Arial" w:hAnsi="Arial"/>
          <w:sz w:val="18"/>
          <w:szCs w:val="18"/>
          <w:color w:val="auto"/>
        </w:rPr>
        <w:t>.</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Following the SGER amendments, the Government of Alberta appointed the Climate Change Advisory Panel to review current climate change policies and consult with public, industry, environmental and First Nations groups on climate change strategies. On November 26, 2015, the Government of Alberta released both the panel’s Climate Leadership Report to Minister (the “Report”) and its Climate Leadership Plan (the “Plan”). The Plan highlights four key strategies to address climate change: (1) completing the phase out of coal-fired sources of electricity by 2030, with cleaner, renewable energy sources in coal’s place; (2) replacing the current emissions intensity carbon pricing program with an emissions performance standard; (3) capping oil sands emissions to 100 megatonnes per year with a carbon price for oil sands facilities; and (4) reducing methane emissions by 45% by 2025.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Government of Alberta is still developing the details of how the Plan will be implemented, but the Report states that carbon pricing will be central to the new strategy. The Report proposes a Carbon Competitiveness Regulation (“CCR”) to replace the SGER, under which the carbon price would reach $30 per tonne by 2018. The CCR would also include elements of cap-and-trade and carbon tax regimes with distinctions between large industrial emissions (facilities emitting greater than 100,000 tonnes of GHG annually) and end-use emissions (those from transportation and heating fuels). The Report also states that the 100 megatonne limit on oil sands facilities will be subject to exceptions for cogeneration and new upgrading capacity.</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SGRR introduces the Specified Gas Reporting Standard (the “Standard”), a document published by Alberta Environment and Parks, which sets out the minimum emission levels before facility reporting requirements begin. Under the current version of the Standard, the threshold level for submission of a specified gas report is the release of 50,000 tonnes of GHG in a calendar year. Regulated facilities must also report emissions of industrial air pollutants and comply with obligations imposed under permits. Alberta’s 2008 climate change plan set a goal of 14% absolute reduction in GHG emissions below 2005 levels in the province by 2050. Whether or not the impending climate change plan from the new Government of Alberta will align with this goal remains to be seen.</w:t>
      </w:r>
    </w:p>
    <w:p>
      <w:pPr>
        <w:spacing w:after="0" w:line="19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Saskatchewan, The Management and Reduction of Greenhouse Gases Act (“MRGGA”) received royal assent on May 20, 2010; however, currently, there does not appear to be political will to progress the MRGGA.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above and Note 16 to our Consolidated Financial Statements. Federal, state and provincial regulatory agencies can impose administrative, civil and/or criminal penalties for non-compliance with discharge permits or other requirements of the CWA.</w:t>
      </w:r>
    </w:p>
    <w:p>
      <w:pPr>
        <w:spacing w:after="0" w:line="18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 affected by releases when they occur.</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With respect to our new pipeline construction activities and maintenance on our existing pipelines, Section 404 of the CWA authorizes the Army Corps of Engineers (“Corps”) to permit the discharge of dredged or fill materials into “navigable waters,” which are defined as “the waters of the United States.” Section 404 (e) authorizes the Corps to issue permits on a nationwide basis for categories of discharges that have no more than minimal individual or</w:t>
      </w:r>
    </w:p>
    <w:p>
      <w:pPr>
        <w:sectPr>
          <w:pgSz w:w="11900" w:h="16885" w:orient="portrait"/>
          <w:cols w:equalWidth="0" w:num="1">
            <w:col w:w="11400"/>
          </w:cols>
          <w:pgMar w:left="240" w:top="125" w:right="259" w:bottom="0" w:gutter="0" w:footer="0" w:header="0"/>
        </w:sectPr>
      </w:pPr>
    </w:p>
    <w:bookmarkStart w:id="29" w:name="page30"/>
    <w:bookmarkEnd w:id="29"/>
    <w:p>
      <w:pPr>
        <w:spacing w:after="0" w:line="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cumulative environmental effects. For the past 35 years, the Corps has authorized construction, maintenance and repair of pipelines under a streamlined nationwide permit program known as Nationwide Permit 12 (“NWP”). The NWP is supported by strong statutory and regulatory history and was originally approved by Congress in 1977. From time to time, environmental groups have challenged the NWP; however, to date, federal courts have upheld the validity of the NWP under the CWA. We cannot predict whether future lawsuits will be filed to contest the validity of the NWP; however, in the event that a court wholly or partially strikes down the NWP, which we believe to be unlikely, we could face significant delays and financial costs when seeking project approvals from the Corps. In addition, the EPA published a final rule in May 2015 that attempted to clarify federal jurisdiction under the CWA over waters of the United States, but a number of legal challenges to this rule are pending, and implementation of the rule has been stayed nationwide. To the extent the rule expands the scope of the CWA’s jurisdiction, we could face increased costs and delays with respect to obtaining permits for dredge and fill activities in wetland areas.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could materially and negatively affect the viability of such projects.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24"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liquids pipeline operations are subject to rate regulation by the FERC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Commerce Act (“ICA”). The ICA requires that tariff rates for liquids pipelines, which include both crude oil pipelines and refined products pipelines, be just and reasonable and non-discriminatory.</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liquids pipeline transportation activities are subject to various state laws and regulations, as well as orders of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bodies, including the Railroad Commission of Texas (“TRRC”) and the California Public Utility Commission (“CPUC”). The CPUC prohibits certain of our subsidiaries from acting as guarantors of our senior notes and credit facilities.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Regulation of OCS Pipelines. </w:t>
      </w:r>
      <w:r>
        <w:rPr>
          <w:rFonts w:ascii="Arial" w:cs="Arial" w:eastAsia="Arial" w:hAnsi="Arial"/>
          <w:sz w:val="18"/>
          <w:szCs w:val="18"/>
          <w:color w:val="auto"/>
        </w:rPr>
        <w:t>The Outer Continental Shelf Lands Act requires that all pipelines operating on or across the OCS provide open access,</w:t>
      </w:r>
      <w:r>
        <w:rPr>
          <w:rFonts w:ascii="Arial" w:cs="Arial" w:eastAsia="Arial" w:hAnsi="Arial"/>
          <w:sz w:val="18"/>
          <w:szCs w:val="18"/>
          <w:i w:val="1"/>
          <w:iCs w:val="1"/>
          <w:color w:val="auto"/>
        </w:rPr>
        <w:t xml:space="preserve"> </w:t>
      </w:r>
      <w:r>
        <w:rPr>
          <w:rFonts w:ascii="Arial" w:cs="Arial" w:eastAsia="Arial" w:hAnsi="Arial"/>
          <w:sz w:val="18"/>
          <w:szCs w:val="18"/>
          <w:color w:val="auto"/>
        </w:rPr>
        <w:t>non-discriminatory transportation service. In June 2008, the Minerals Management Service (now replaced by the Bureau of Ocean Energy Management, Regulation and Enforcement) issued a final rule establishing formal and informal complaint procedures for shippers that believe they have been denied open and nondiscriminatory access to transportation on the OCS.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i w:val="1"/>
          <w:iCs w:val="1"/>
          <w:color w:val="auto"/>
        </w:rPr>
        <w:t xml:space="preserve">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2011, the annual index adjustment for the five year period ending June 30, 2016 will equal the producer price index for finished goods for the applicable year plus an adjustment factor of 2.65%. In December 2015, the FERC established an index level of the producer price index for finished goods plus 1.23% for the five-year period commencing July 1, 2016. Pipelines may raise their rates to the rate ceiling level generated by application of the annual index adjustment factor each year; however, a shipper may challenge such increase if the increase in the pipeline’s rates was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unless doing so would reduce a rate “grandfathered” by the EPAct (see below) to below the grandfathered level. A pipeline must, as a general rule, use the indexing methodology to change its rates. The FERC, however, retained cost-of-service ratemaking, market-based rates and settlement rates as alternatives to the indexing approach that may be used in certain specified circumstances. Because the indexing methodology for the next five-year period is tied to an inflation index and is not based on pipeline-specific costs, the indexing methodology could hamper our ability to recover cost increases.</w:t>
      </w:r>
    </w:p>
    <w:p>
      <w:pPr>
        <w:spacing w:after="0" w:line="17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Canadian Regulation. </w:t>
      </w:r>
      <w:r>
        <w:rPr>
          <w:rFonts w:ascii="Arial" w:cs="Arial" w:eastAsia="Arial" w:hAnsi="Arial"/>
          <w:sz w:val="18"/>
          <w:szCs w:val="18"/>
          <w:color w:val="auto"/>
        </w:rPr>
        <w:t>Our Canadian pipeline assets are subject to regulation by the NEB and by provincial authorities, such as the AER.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of liquids pipelines on its own initiative when those rates have not been the subject of</w:t>
      </w:r>
      <w:r>
        <w:rPr>
          <w:rFonts w:ascii="Arial" w:cs="Arial" w:eastAsia="Arial" w:hAnsi="Arial"/>
          <w:sz w:val="18"/>
          <w:szCs w:val="18"/>
          <w:i w:val="1"/>
          <w:iCs w:val="1"/>
          <w:color w:val="auto"/>
        </w:rPr>
        <w:t xml:space="preserve"> </w:t>
      </w:r>
      <w:r>
        <w:rPr>
          <w:rFonts w:ascii="Arial" w:cs="Arial" w:eastAsia="Arial" w:hAnsi="Arial"/>
          <w:sz w:val="18"/>
          <w:szCs w:val="18"/>
          <w:color w:val="auto"/>
        </w:rPr>
        <w:t>a protest or complaint by a shipper. The majority of our Transportation segment profit in the United States is produced by rates that are either grandfathered or set by agreement with one or more shippers.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0" w:name="page31"/>
    <w:bookmarkEnd w:id="30"/>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(vi) operation and equipment safety and (vii) many other aspects of truck operations. We are also subject to OSHA with respect to our trucking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trucking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Occupational Safety and Health Administration, as well as other federal and state regulatory agencies and Canadian regulatory agencies for operations in Canada.</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May 2015, PHMSA adopted a final rule that, among other things, imposes a new tank car design standard, a phase out by as early as January 2018 for older DOT-111 tank cars that are not retrofitted, and a classification and testing program for unrefined petroleum based products, including crude oil. The rule also includes new operational requirements such as speed restrictions. On December 3, 2015, Congress passed the Fixing America’s Transportation (“FAST”) Act which was subsequently signed by the President on December 7, 2015. This legislation clarified the parameters around the timeline and requirements for railcars hauling crude oil in the United States.</w:t>
      </w:r>
    </w:p>
    <w:p>
      <w:pPr>
        <w:spacing w:after="0" w:line="16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 is our responsibility to notify the State of North Dakota upon discovering that Bakken crude oil received at our rail facility exceeds certain vapor pressure limits.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a result of our cross border activities, including importation of crude oil, NGL and natural gas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In addition, the importation and exportation of natural gas from and to the United States and Canada is subject to regulation by U.S. Customs and Border Protection, U.S. Department of Energy and the NEB.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$1 million per violation per day.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$1 million or triple the monetary gain to the person for each violation.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w:t>
      </w:r>
    </w:p>
    <w:p>
      <w:pPr>
        <w:sectPr>
          <w:pgSz w:w="11900" w:h="16908" w:orient="portrait"/>
          <w:cols w:equalWidth="0" w:num="1">
            <w:col w:w="11380"/>
          </w:cols>
          <w:pgMar w:left="240" w:top="341" w:right="27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participants. The failure to comply with such laws and regulations can result in substantial penalties and fines.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17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more than a de minimis volume of natural gas report annual numbers and volumes of relevant transactions to the FERC. Our natural gas storage facilities and related marketing entities are subject to these annual reporting requirements.</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$1 million per day for each violation. FERC also has the authority to order disgorgement of profits from transactions deemed to violate the NGA and the EPAct 2005.</w:t>
      </w:r>
    </w:p>
    <w:p>
      <w:pPr>
        <w:spacing w:after="0" w:line="15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35 times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93" w:lineRule="exact"/>
        <w:rPr>
          <w:sz w:val="20"/>
          <w:szCs w:val="20"/>
          <w:color w:val="auto"/>
        </w:rPr>
      </w:pPr>
    </w:p>
    <w:p>
      <w:pPr>
        <w:ind w:right="280" w:firstLine="648"/>
        <w:spacing w:after="0" w:line="327" w:lineRule="auto"/>
        <w:rPr>
          <w:sz w:val="20"/>
          <w:szCs w:val="20"/>
          <w:color w:val="auto"/>
        </w:rPr>
      </w:pPr>
      <w:r>
        <w:rPr>
          <w:rFonts w:ascii="Arial" w:cs="Arial" w:eastAsia="Arial" w:hAnsi="Arial"/>
          <w:sz w:val="15"/>
          <w:szCs w:val="15"/>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real property holdings are generally comprised of: (i) parcels of land that we own in fee, (ii) surface leases, underground storage leases and</w:t>
      </w:r>
    </w:p>
    <w:p>
      <w:pPr>
        <w:spacing w:after="0" w:line="46" w:lineRule="exact"/>
        <w:rPr>
          <w:sz w:val="20"/>
          <w:szCs w:val="20"/>
          <w:color w:val="auto"/>
        </w:rPr>
      </w:pPr>
    </w:p>
    <w:p>
      <w:pPr>
        <w:ind w:right="60" w:firstLine="8"/>
        <w:spacing w:after="0" w:line="290"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easements, rights-of-way, permits, crossing agreements or licenses from landowners or governmental authorities permitting the use of certain lands for our operations. We believe we have satisfactory title or the right to use the sites upon which our significant facilities are located, subject to customary liens, restrictions or encumbrances. Except for challenges that we do not regard as material relative to our overall operations, we have no knowledge of any challenge to the underlying fee title of any material fee, lease, easement, right-of-way, permit or license held by us or to our rights pursuant to any material deed, lease, easement, right-of-way, permit or license, and we believe that we have satisfactory rights pursuant to all of our material leases, easements, rights-of-way, permits and licenses. Some of our real property rights (mainly for pipelines) may be subject to termination under agreements</w:t>
      </w:r>
    </w:p>
    <w:p>
      <w:pPr>
        <w:sectPr>
          <w:pgSz w:w="11900" w:h="16838" w:orient="portrait"/>
          <w:cols w:equalWidth="0" w:num="1">
            <w:col w:w="11420"/>
          </w:cols>
          <w:pgMar w:left="240" w:top="125" w:right="239" w:bottom="0" w:gutter="0" w:footer="0" w:header="0"/>
        </w:sectPr>
      </w:pPr>
    </w:p>
    <w:bookmarkStart w:id="32" w:name="page33"/>
    <w:bookmarkEnd w:id="32"/>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that provide for one or more of: periodic payments, term periods, renewal rights, revocation by the licensor or grantor and possible relocation obligations.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 carry out our operations, our general partner or its affiliates (including PMC) employed approximately 5,400 employees at December 31, 2015. None of these employees were subject to a collective bargaining agreement, except for nine employees covered by an agreement scheduled for renegotiation in September 2016 and another nine employees covered by a separate agreement scheduled for renegotiation in September 2018. Also, a first collective agreement is being negotiated for 66 employees who recently unionized in Canada. Our general partner and its affiliates consider employee relations to be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The following is a brief summary of material tax considerations of owning and disposing of common units, however, the tax consequences of ownership of common units depends in part on the owner’s individual tax circumstances. It is the responsibility of each unitholder, either individually or through a tax advisor, to investigate the legal and tax consequences, under the laws of pertinent U.S. federal, states and localities, as well as Canada and the Canadian provinces, of the unitholder’s investment in us. Further, it is the responsibility of each unitholder to file all U.S. federal, Canadian, state, provincial and local tax returns that may be required of the unitholder. Also see Item 1A. “Risk Factors—Tax Risks to Common Unitholders.”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treated for federal income tax purposes as a partnership based upon our meeting the “Qualifying Income Exception” imposed by Section 7704 of the Internal Revenue Code (the “Code”), which we must meet each year. The owners of our common units are considered partners in the Partnership so long as they do not loan their common units to others to cover short sales or otherwise dispose of those units. Accordingly, we are not liable for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income tax expenses as a result of our restructuring of how we hold our Canadian investment on January 1, 2011. Unitholders may be eligible for foreign tax credits with respect to allocable Canadian withholding and income taxes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to the basis and at-risk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w:t>
      </w:r>
    </w:p>
    <w:p>
      <w:pPr>
        <w:sectPr>
          <w:pgSz w:w="11900" w:h="16934" w:orient="portrait"/>
          <w:cols w:equalWidth="0" w:num="1">
            <w:col w:w="11400"/>
          </w:cols>
          <w:pgMar w:left="240" w:top="125" w:right="259" w:bottom="0" w:gutter="0" w:footer="0" w:header="0"/>
        </w:sectPr>
      </w:pPr>
    </w:p>
    <w:bookmarkStart w:id="33" w:name="page34"/>
    <w:bookmarkEnd w:id="33"/>
    <w:p>
      <w:pPr>
        <w:spacing w:after="0" w:line="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taxable transaction with an unrelated party. The passive activity loss rules are generally applied after other applicable limitations on deductions, including the at risk and basis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to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nonresident alien, non-U.S. corporation or other non-U.S. person is regarded as being engaged in a trade or business in the United States as a result of ownership of a common unit and, thus, is required to file federal income tax returns and to pay tax on the unitholder’s share of our taxable income. Finally, distributions to non-U.S. unitholders are subject to federal income tax withholding at the highest applicable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 xml:space="preserve">We make available, free of charge on our Internet website at </w:t>
      </w:r>
      <w:r>
        <w:rPr>
          <w:rFonts w:ascii="Arial" w:cs="Arial" w:eastAsia="Arial" w:hAnsi="Arial"/>
          <w:sz w:val="16"/>
          <w:szCs w:val="16"/>
          <w:i w:val="1"/>
          <w:iCs w:val="1"/>
          <w:color w:val="auto"/>
        </w:rPr>
        <w:t>http://www.plainsallamerican.com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implement or capitalize upon planned growth projects.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our control, including the following:</w:t>
      </w:r>
    </w:p>
    <w:p>
      <w:pPr>
        <w:spacing w:after="0" w:line="181" w:lineRule="exact"/>
        <w:rPr>
          <w:sz w:val="20"/>
          <w:szCs w:val="20"/>
          <w:color w:val="auto"/>
        </w:rPr>
      </w:pPr>
    </w:p>
    <w:p>
      <w:pPr>
        <w:ind w:left="980" w:right="60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these projects are undertaken, required approvals, permits and licenses may not be obtained, may be delayed or may be obtained with conditions that materially alter the expected return associated with the underlying projects;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opposition to our planned growth projects from environmental groups, landowners, local groups and other advocates, including lawsuits or other actions designed to disrupt or delay our planned projects;</w:t>
      </w:r>
    </w:p>
    <w:p>
      <w:pPr>
        <w:spacing w:after="0" w:line="170" w:lineRule="exact"/>
        <w:rPr>
          <w:rFonts w:ascii="Arial" w:cs="Arial" w:eastAsia="Arial" w:hAnsi="Arial"/>
          <w:sz w:val="18"/>
          <w:szCs w:val="18"/>
          <w:color w:val="auto"/>
        </w:rPr>
      </w:pPr>
    </w:p>
    <w:p>
      <w:pPr>
        <w:ind w:left="980" w:right="40" w:hanging="324"/>
        <w:spacing w:after="0" w:line="34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not be able to secure,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123" w:lineRule="exact"/>
        <w:rPr>
          <w:rFonts w:ascii="Arial" w:cs="Arial" w:eastAsia="Arial" w:hAnsi="Arial"/>
          <w:sz w:val="16"/>
          <w:szCs w:val="16"/>
          <w:color w:val="auto"/>
        </w:rPr>
      </w:pPr>
    </w:p>
    <w:p>
      <w:pPr>
        <w:ind w:left="980" w:hanging="324"/>
        <w:spacing w:after="0" w:line="34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Despite the fact that we will expend significant amounts of capital during the construction phase of these projects, revenues associated with these organic growth projects will not materialize until the projects have been completed and placed into commercial service, and the amount of</w:t>
      </w:r>
    </w:p>
    <w:p>
      <w:pPr>
        <w:sectPr>
          <w:pgSz w:w="11900" w:h="16908" w:orient="portrait"/>
          <w:cols w:equalWidth="0" w:num="1">
            <w:col w:w="11400"/>
          </w:cols>
          <w:pgMar w:left="240" w:top="125" w:right="259" w:bottom="0" w:gutter="0" w:footer="0" w:header="0"/>
        </w:sectPr>
      </w:pPr>
    </w:p>
    <w:bookmarkStart w:id="34" w:name="page35"/>
    <w:bookmarkEnd w:id="34"/>
    <w:p>
      <w:pPr>
        <w:spacing w:after="0" w:line="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revenue generated from these projects could be significantly lower than anticipated for a variety of reasons;</w:t>
      </w:r>
    </w:p>
    <w:p>
      <w:pPr>
        <w:spacing w:after="0" w:line="225"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construct pipelines, facilities or other assets in anticipation of market demand that dissipates or market growth that never materializes;</w:t>
      </w:r>
    </w:p>
    <w:p>
      <w:pPr>
        <w:spacing w:after="0" w:line="248" w:lineRule="exact"/>
        <w:rPr>
          <w:rFonts w:ascii="Arial" w:cs="Arial" w:eastAsia="Arial" w:hAnsi="Arial"/>
          <w:sz w:val="16"/>
          <w:szCs w:val="16"/>
          <w:color w:val="auto"/>
        </w:rPr>
      </w:pPr>
    </w:p>
    <w:p>
      <w:pPr>
        <w:ind w:left="980" w:right="260" w:hanging="324"/>
        <w:spacing w:after="0" w:line="264"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completion or success of our projects may depend on the completion or success of third-party facilities over which we have no control.</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our capital projects may not be achieved or could be delayed. In turn, this could negatively impact our cash flow and our ability to make or increase cash distributions to our partners.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volume of crude oil, refined product, natural gas and NGL shipped, processed, purchased, stored, fractionated and/or gathered at or through the use of our facilities, which can be negatively impacted by a variety of factors outside of our control.</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profitability could be materially impacted by a decline in the volume of crude oil, natural gas, refined product and NGL transported, gathered, stored or processed at our facilities. A material decrease in crude oil or natural gas production or crude oil refining, as a result of depressed commodity prices, natural decline rates attributable to crude oil and natural gas reservoirs, a decrease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exploration and development activities, supply disruptions, economic conditions or otherwise, could result in a decline in the volume of crude oil, natural gas, refined product or NGL handled by our facilities and other energy logistics assets.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During the latter half of 2014 and continuing throughout 2015, benchmark crude oil prices declined significantly; as a result, many of the companies that produce oil and gas reduced capital expenditures for 2015 and announced further reductions for 2016. Such reduced expenditure levels, coupled with high decline rates for many horizontal wells in the shale resource plays is beginning to lead to production declines in the Lower 48 United States (excluding Gulf of Mexico production). Other factors that could adversely impact production include reduced capital market access, increased capital raising costs for producers or adverse governmental or regulatory action. In turn, such developments could lead to reduced throughput on our pipelines and at our other facilities, which, depending on the level of production declines, could have a material adverse effect on our business.</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our ability to secure additional supplies of crude oil.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our control, can negatively affect our operating results.</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Supply and demand for crude oil and other hydrocarbon products we handle is dependent upon a variety of factors, including price, the impact of future economic conditions, fuel conservation measures, alternative fuel requirements,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Demand also depends on the ability and willingness of shippers having access to our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17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Also, increased supply of NGL products could reduce the value of NGL we handle and reduce the margins realized by us.</w:t>
      </w:r>
    </w:p>
    <w:p>
      <w:pPr>
        <w:spacing w:after="0" w:line="18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are influenced by the overall forward market for crude oil, and certain market structures or the absence of pricing volatility may adversely impact our results.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Results from our Supply and Logistics segment are influenced by the overall forward market for crude oil. A contango market is favorable to commercial strategies that are associated with storage capacity as it allows a party to simultaneously purchase crude oil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can have a positive impact on lease gathering</w:t>
      </w:r>
    </w:p>
    <w:p>
      <w:pPr>
        <w:sectPr>
          <w:pgSz w:w="11900" w:h="16877" w:orient="portrait"/>
          <w:cols w:equalWidth="0" w:num="1">
            <w:col w:w="11420"/>
          </w:cols>
          <w:pgMar w:left="240" w:top="125" w:right="239" w:bottom="0" w:gutter="0" w:footer="0" w:header="0"/>
        </w:sectPr>
      </w:pPr>
    </w:p>
    <w:bookmarkStart w:id="35" w:name="page36"/>
    <w:bookmarkEnd w:id="35"/>
    <w:p>
      <w:pPr>
        <w:ind w:right="260"/>
        <w:spacing w:after="0" w:line="342" w:lineRule="auto"/>
        <w:rPr>
          <w:sz w:val="20"/>
          <w:szCs w:val="20"/>
          <w:color w:val="auto"/>
        </w:rPr>
      </w:pPr>
      <w:r>
        <w:rPr>
          <w:rFonts w:ascii="Arial" w:cs="Arial" w:eastAsia="Arial" w:hAnsi="Arial"/>
          <w:sz w:val="16"/>
          <w:szCs w:val="16"/>
          <w:color w:val="auto"/>
        </w:rPr>
        <w:t>margins because in certain circumstances crude oil gatherers can capture a premium for prompt deliveries; however, in this environment there is little incentive to store crude oil as current prices are above future delivery prices. In either case, margins can be improved when prices are volatile. The periods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A natural disaster, catastrophe, terrorist attack, process safety failure or other event, including pipeline or facility accidents and attacks on our electronic and computer systems, could interrupt our operations and/or result in severe personal injury, property damage and environmental damage, which could have a material adverse effect on our financial position, results of operations and cash flows.</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Some of our operations involve risks of personal injury, property damage and environmental damage, which could curtail our operations and otherwise materially adversely affect our cash flow. Virtually all of our operations are exposed to potential natural disasters, including hurricanes, tornadoes, storms, floods and/or earthquakes.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our physical facilities and hackers may attack our electronic and computer systems.</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one or more of our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w:t>
      </w:r>
    </w:p>
    <w:p>
      <w:pPr>
        <w:spacing w:after="0" w:line="1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We may not be able to compete effectively in our transportation, facilities and supply and logistics activities, and our business is subject to various risks associated with the general capacity overbuild of midstream energy infrastructure in some of the areas where we operate.</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expansion capital projects, acquisitions and joint venture activities. Some of our competitors have capital resources many times greater than ours and control greater supplies of crude oil, natural gas or NGL.</w:t>
      </w:r>
    </w:p>
    <w:p>
      <w:pPr>
        <w:spacing w:after="0" w:line="187" w:lineRule="exact"/>
        <w:rPr>
          <w:sz w:val="20"/>
          <w:szCs w:val="20"/>
          <w:color w:val="auto"/>
        </w:rPr>
      </w:pPr>
    </w:p>
    <w:p>
      <w:pPr>
        <w:ind w:right="8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w:t>
      </w:r>
    </w:p>
    <w:p>
      <w:pPr>
        <w:ind w:firstLine="8"/>
        <w:spacing w:after="0" w:line="268"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these areas have become overbuilt, resulting in an excess of midstream energy infrastructure capacity. In addition, as an established participant in some markets, we also face competition from aggressive new entrants to the market that are willing to provide services at a discount in order to establish relationships and gain a foothold in the market. Current expectations for oil and gas development in many of the areas where we operate are not as robust as they were during the last few years. This adversely impacts both our existing assets and growth projects in such areas. We also face competition for incremental volumes from shippers on third party pipelines who overcommitted relative to their actual production and are now purchasing barrels on the open market and shipping them on such third party pipelines in order to satisfy their minimum commitment levels. This puts downward pressure on our throughput and margins and, together with other adverse competitive effects,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could have a significant adverse impact on our financial position, cash flows and ability to pay or increase distributions to our unitholders.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With respect to our crude oil activities, our competitors include other crude oil pipelines, the major integrated oil companies, their marketing affiliates, refiners, industrial companies,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187" w:lineRule="exact"/>
        <w:rPr>
          <w:sz w:val="20"/>
          <w:szCs w:val="20"/>
          <w:color w:val="auto"/>
        </w:rPr>
      </w:pPr>
    </w:p>
    <w:p>
      <w:pPr>
        <w:ind w:right="80" w:firstLine="594"/>
        <w:spacing w:after="0" w:line="286" w:lineRule="auto"/>
        <w:rPr>
          <w:sz w:val="20"/>
          <w:szCs w:val="20"/>
          <w:color w:val="auto"/>
        </w:rPr>
      </w:pPr>
      <w:r>
        <w:rPr>
          <w:rFonts w:ascii="Arial" w:cs="Arial" w:eastAsia="Arial" w:hAnsi="Arial"/>
          <w:sz w:val="17"/>
          <w:szCs w:val="17"/>
          <w:color w:val="auto"/>
        </w:rPr>
        <w:t>With respect to our natural gas storage operations, the principal elements of competition are rates, terms of service, supply and market access and flexibility of service. Our natural gas storage facilities compete with several other storage providers, including regional storage facilities and utilities. Certain pipeline companies have existing storage facilities connected to their systems that compete with some of our facilities.</w:t>
      </w:r>
    </w:p>
    <w:p>
      <w:pPr>
        <w:sectPr>
          <w:pgSz w:w="11900" w:h="16838" w:orient="portrait"/>
          <w:cols w:equalWidth="0" w:num="1">
            <w:col w:w="11400"/>
          </w:cols>
          <w:pgMar w:left="240" w:top="125" w:right="259" w:bottom="0" w:gutter="0" w:footer="0" w:header="0"/>
        </w:sectPr>
      </w:pPr>
    </w:p>
    <w:bookmarkStart w:id="36" w:name="page37"/>
    <w:bookmarkEnd w:id="36"/>
    <w:p>
      <w:pPr>
        <w:ind w:right="180" w:firstLine="648"/>
        <w:spacing w:after="0" w:line="259" w:lineRule="auto"/>
        <w:rPr>
          <w:sz w:val="20"/>
          <w:szCs w:val="20"/>
          <w:color w:val="auto"/>
        </w:rPr>
      </w:pPr>
      <w:r>
        <w:rPr>
          <w:rFonts w:ascii="Arial" w:cs="Arial" w:eastAsia="Arial" w:hAnsi="Arial"/>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 user markets.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growth strategy requires access to new capital. Tightened capital markets or other factors that increase our cost of capital could impair our ability to grow.</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continuously consider potential acquisitions and opportunities for expansion capital projects. Acquisition transactions can be effected quickly, may occur at any time and may be significant in size relative to our existing assets and operations. Our ability to fund our capital projects and make acquisitions depends on whether we can access the necessary financing to fund these activities.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In the latter half of 2015, the depth and availability of conventional public equity and debt markets contracted while the costs of accessing such markets rose significantly.</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acquisitions and construction projects, take advantage of business opportunities or respond to competitive pressures, any of which could have a material adverse effect on our revenues and results of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Loss of our investment grade credit rating or the ability to receive open credit could negatively affect our ability to purchase crude oil, NGL and natural gas supplies or to capitalize on market opportunities.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NGL and natural gas markets. The extent to which we are able to capture that benefit, however, is subject to numerous risks and uncertainties, including whether we will be able to maintain an attractive credit rating and continue to receive open credit from our suppliers and trade counterparties. Our senior unsecured debt is currently rated as “investment grade” by Standard &amp; Poor’s and Moody’s Investors Service. A downgrade below our current ratings levels by either of such rating agencies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business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Risks of nonpayment and nonperformance by customers are a significant consideration in our business and are of increased concern in the current low commodity price environment.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creditworthiness or unexpected instances of nonpayment or nonperformance, all of which could have an adverse impact on our cash flow and our ability to pay or increase our cash distributions to our partners.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number of minimum volume commitment contracts that support pipelines in our Transportation segment.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our profitability and earnings.</w:t>
      </w:r>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make acquisitions or if we make acquisitions that fail to perform as anticipated, our future growth may be limited.</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grow as quickly as we have historically.</w:t>
      </w:r>
    </w:p>
    <w:p>
      <w:pPr>
        <w:sectPr>
          <w:pgSz w:w="11900" w:h="16838" w:orient="portrait"/>
          <w:cols w:equalWidth="0" w:num="1">
            <w:col w:w="11420"/>
          </w:cols>
          <w:pgMar w:left="240" w:top="125" w:right="239" w:bottom="61" w:gutter="0" w:footer="0" w:header="0"/>
        </w:sectPr>
      </w:pPr>
    </w:p>
    <w:bookmarkStart w:id="37" w:name="page38"/>
    <w:bookmarkEnd w:id="37"/>
    <w:p>
      <w:pPr>
        <w:spacing w:after="0" w:line="3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to timely and effectively integrate the underlying assets and such assets perform at or near the levels anticipated in our acquisition projections.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may adversely affect 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225"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we used in evaluating the acquisition;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225" w:lineRule="exact"/>
        <w:rPr>
          <w:rFonts w:ascii="Arial" w:cs="Arial" w:eastAsia="Arial" w:hAnsi="Arial"/>
          <w:sz w:val="18"/>
          <w:szCs w:val="18"/>
          <w:color w:val="auto"/>
        </w:rPr>
      </w:pPr>
    </w:p>
    <w:p>
      <w:pPr>
        <w:ind w:left="980" w:right="420" w:hanging="324"/>
        <w:spacing w:after="0" w:line="264"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we are either not indemnified, or the indemnity is not from a credit-worthy party, including liabilities arising from the operation of the acquired businesses or assets prior to our acquisition;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to our partners or meet our debt service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policies cannot eliminate all risks. In addition, any non-compliance with our risk policies could result in significant financial losses.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Generally, it is our policy to establish a margin for crude oil or other products we purchase by selling such products for physical delivery to third-party users,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and sold against a different index. Moreover, we are exposed to some risks that are not hedged, including risks on certain of our inventory, such as linefill, which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must be maintained in order to transport crude oil on our pipelines. In an effort to maintain a balanced position, specifically authorized personnel can purchase or sell crude oil, refined products and NGL, up to predefined limits and authorizations. Although this activity is monitored independently by our risk management function, it exposes us to commodity price risks within these limits.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addition, our operations involve the risk of non-compliance with our risk policies. We have taken steps within our organization to implement processes and procedures designed to detect unauthorized trading; however, we can provide no assurance that these steps will detect and prevent all violations of our risk policies and procedures, particularly if deception, collusion or other intentional misconduct is involved.</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operations are also subject to laws and regulations relating to protection of the environment and wildlife, operational safety, climate change and related matters that may expose us to significant costs and liabilities.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NGL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and wildlife, operational safety, climate change and related matters. Compliance with all of these laws and regulations increases our overall cost of doing business, including our capital costs to construct, maintain and upgrade equipment and facilities. For example, the adoption of legislation or regulatory programs to reduce emissions of greenhouse gases, including cap and trade programs, could require us to incur increased operating costs, such as costs to purchase and operate emissions control systems, to acquire emissions allowances or comply with new regulatory or reporting requirements. In addition, with respect to our railcar operations, the adoption of new regulations designed to enhance the overall safety of crude oil and natural gas liquids transportation by rail, including new regulations requiring that existing railcars be retrofitted or upgraded to improve integrity, could result in increased operating costs and potentially involve substantial capital expenditures. Also, the failure to comply with any such laws and regulations could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Any such change or interpretation adverse to us could have a material adverse effect on our operations, revenues, expenses and profitability.</w:t>
      </w:r>
    </w:p>
    <w:p>
      <w:pPr>
        <w:spacing w:after="0" w:line="18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have a history of incremental additions to the miles of pipelines we own, both through acquisitions and expansion capital projects. We have also increased our terminal and storage capacity and operate several facilities on or near navigable waters and domestic water supplies. Although we have implemented programs intended to maintain the integrity of our assets (discussed below), as we acquire additional assets we historically have observed an increase in the number of releases of liquid hydrocarbons into the environment. These releases expose us to potentially substantial expense, including clean-</w:t>
      </w:r>
    </w:p>
    <w:p>
      <w:pPr>
        <w:sectPr>
          <w:pgSz w:w="11900" w:h="16877" w:orient="portrait"/>
          <w:cols w:equalWidth="0" w:num="1">
            <w:col w:w="11420"/>
          </w:cols>
          <w:pgMar w:left="240" w:top="125" w:right="239" w:bottom="0" w:gutter="0" w:footer="0" w:header="0"/>
        </w:sectPr>
      </w:pPr>
    </w:p>
    <w:bookmarkStart w:id="38" w:name="page39"/>
    <w:bookmarkEnd w:id="38"/>
    <w:p>
      <w:pPr>
        <w:ind w:right="40"/>
        <w:spacing w:after="0" w:line="255" w:lineRule="auto"/>
        <w:rPr>
          <w:sz w:val="20"/>
          <w:szCs w:val="20"/>
          <w:color w:val="auto"/>
        </w:rPr>
      </w:pPr>
      <w:r>
        <w:rPr>
          <w:rFonts w:ascii="Arial" w:cs="Arial" w:eastAsia="Arial" w:hAnsi="Arial"/>
          <w:sz w:val="18"/>
          <w:szCs w:val="18"/>
          <w:color w:val="auto"/>
        </w:rPr>
        <w:t>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Our refined products terminal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currently devote substantial resources to comply with DOT-mandated pipeline integrity rules. The 2006 Pipeline Safety Act requires the DOT to issue regulations for certain pipelines that were not previously subject to regulation. The DOT regulations include requirements for the establishment of pipeline integrity management programs and for protection of “high consequence areas” where a pipeline leak or rupture could produce significant adverse consequences. We have also developed and implemented certain pipeline integrity measures that we believe go beyond regulatory mandates. See Items 1 and 2 “Business and Properties—Regulation.”</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2016 and beyond, we will continue to focus on pipeline integrity management as a primary operational emphasis. In that regard, we have implemented programs intended to maintain the integrity of our assets, with a focus on risk reduction through testing, enhanced corrosion control, leak detection, and damage prevention. We have an internal review process pursuant to which we examine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Item 3 “Legal Proceedings—Environmental—General.”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7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U.S. interstate common carrier liquids pipelines are subject to regulation by the FERC under the ICA. The ICA requires that tariff rates for liquids pipelines be just and reasonable and non-discriminatory. We are also subject to the Pipeline Safety Regulations of the DOT. Our intrastate pipeline transportation activities are subject to various state laws and regulations as well as orders of regulatory bodies.</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our U.S. interstate common carrier liquids pipelines subject to FERC regulation under the ICA, shippers may protest our pipeline tariff filings, file complaints against our existing rates,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the NEB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operations cross the U.S./Canada border and are subject to cross-border regulation.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cross border activities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sales of crude oil, natural gas, NGL and other energy commodities, and related transportation and hedging activities, expose us to potential regulatory risks.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sales of oil, natural gas, NGL or other energy commodities, and any related transportation and/or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ectPr>
          <w:pgSz w:w="11900" w:h="16838" w:orient="portrait"/>
          <w:cols w:equalWidth="0" w:num="1">
            <w:col w:w="11420"/>
          </w:cols>
          <w:pgMar w:left="240" w:top="125" w:right="239" w:bottom="123"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39" w:name="page40"/>
    <w:bookmarkEnd w:id="39"/>
    <w:p>
      <w:pPr>
        <w:spacing w:after="0" w:line="3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our ability to use derivative instruments to reduce the effect of commodity price, interest rate and other risks associated with our business and increase the working capital requirement to conduct these hedging activities.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 Frank Act”), enacted on July 21, 2010, established federal oversight and regulation of derivative markets and entities, such as us, that participate in those markets. The Dodd Frank Act requires the CFTC and the SEC to promulgate rules and regulations implementing the Dodd Frank Act. Although the CFTC has finalized certain regulations, others remain to be finalized or implemented and it is not possible at this time to predict when this will be accomplished.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October 2011, the CFTC issued regulations to set position limits for certain futures and option contracts in the major energy markets. The initial position limits rule was vacated by the United States District Court for the District of Columbia in September 2012. However, in November 2013,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us is uncertain at this time.</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a requirement to post additional cash margin or collateral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 Frank Act and related rules. The costs of such compliance may be passed on to customers such as ourselves, thus decreasing the benefits to us of hedging transactions or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Finally, the Dodd Frank Act was intended, in part, to reduce the volatility of oil and gas prices, which some legislators attributed to speculative trading in derivatives and commodity instruments related to oil and gas. Our financial results could be adversely affected if a consequence of the Dodd Frank Act and implementing regulations is lower commodity prices.</w:t>
      </w:r>
    </w:p>
    <w:p>
      <w:pPr>
        <w:spacing w:after="0" w:line="18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full impact of the Dodd Frank Act and related regulatory requirements upon our business will not be known until the regulations are implemented and the market for derivatives contracts has adjusted. The Dodd Frank Act and any new regulations could significantly increase the cost of derivative contracts, materially alter the terms of derivative contracts, reduce the availability of derivatives to protect against risks we encounter, reduce our ability to monetize or restructure our existing derivative contracts. If we reduce our use of derivatives as a result of the Dodd Frank Act and regulations implementing the Dodd Frank Act, our results of operations may become more volatile and our cash flows may be less predictable. Any of these consequences could have a material adverse effect on us, our financial condition and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and regulatory initiatives relating to hydraulic fracturing could reduce domestic production of crude oil and natural gas.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We do not perform hydraulic fracturing, but many of the producers using our pipelines do. Hydraulic fracturing has been subject to increased scrutiny due to public concerns that it could result in contamination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drinking water supplies, and there have been a variety of legislative and regulatory proposals to prohibit, restrict, or more closely regulate various forms of hydraulic fracturing. Any legislation or regulatory initiatives that curtail hydraulic fracturing could reduce the production of crude oil and natural gas in the United States or Canada, and could thereby reduce demand for our transportation, terminalling and storage services as well as our supply and logistics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encounter increased costs related to, and lack of availability of, insurance.</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Over the last several years, as the scale and scope of our business activities has expanded, the breadth and depth of available insurance markets has contracted. As a result of these factors and other market conditions, as well as the fact that we have experienced several incidents over the last 3 to 5 years,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events that might occur and will not cover all risks associated with our</w:t>
      </w:r>
    </w:p>
    <w:p>
      <w:pPr>
        <w:sectPr>
          <w:pgSz w:w="11900" w:h="16874" w:orient="portrait"/>
          <w:cols w:equalWidth="0" w:num="1">
            <w:col w:w="11400"/>
          </w:cols>
          <w:pgMar w:left="240" w:top="125" w:right="259" w:bottom="0" w:gutter="0" w:footer="0" w:header="0"/>
        </w:sectPr>
      </w:pPr>
    </w:p>
    <w:bookmarkStart w:id="40" w:name="page41"/>
    <w:bookmarkEnd w:id="40"/>
    <w:p>
      <w:pPr>
        <w:spacing w:after="0" w:line="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our financial position, results of operations and cash flows.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 In addition, our future debt level may limit our future financial and operating flexibility.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December 31, 2015, the principal amount of our consolidated debt outstanding was approximately $11.5 billion, consisting of approximately $10.5 billion principal amount of long-term debt (including senior notes and long-term commercial paper borrowings) and approximately $1.0 billion of short-term borrowings. As of December 31, 2015, we had approximately $2.3 billion of liquidity available, including cash and cash equivalents and available borrowing capacity under our senior unsecured revolving credit facility, our senior secured hedged inventory facility and our senior unsecured 364-day credit facility, subject to continued covenant compliance. Lower adjusted EBITDA could increase our leverage ratios and effectively reduce our ability to incur additional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our current or future indebtedness could have significant effects on our operations, including, among other things:</w:t>
      </w:r>
    </w:p>
    <w:p>
      <w:pPr>
        <w:spacing w:after="0" w:line="225" w:lineRule="exact"/>
        <w:rPr>
          <w:sz w:val="20"/>
          <w:szCs w:val="20"/>
          <w:color w:val="auto"/>
        </w:rPr>
      </w:pPr>
    </w:p>
    <w:p>
      <w:pPr>
        <w:ind w:left="980" w:right="8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credit rating agencies may view our debt level negatively;</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covenants contained in our existing debt arrangements will require us to continue to meet financial tests that may adversely affect our flexibility in planning for and reacting to changes in our business;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obtain additional financing for working capital, capital expenditures, acquisitions and general partnership purposes may be limited;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Moreover, if the rating agencies were to downgrade our credit ratings, then we could experience an increase in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or sell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 and the trading price of our units.</w:t>
      </w:r>
    </w:p>
    <w:p>
      <w:pPr>
        <w:spacing w:after="0" w:line="225"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As of December 31, 2015, we had approximately $11.5 billion in principal amount of consolidated debt, of which approximately $9.8 billion was at fixed interest rates and approximately $1.7 billion was at variable interest rates. We are exposed to market risk due to the short-term nature of our commercial paper borrowings and the floating interest rates on our credit facilities.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NGL inventory. Further, the trading price of our common units may be sensitive to changes in interest rates and any rise in interest rates could adversely impact such trading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as the U.S. dollar appreciates against the Canadian dollar, the U.S. dollar value of our Canadian dollar denominated earnings is reduced for U.S. reporting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our earnings.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At December 31, 2015, we had approximately $13.5 billion of net property and equipment, $2.4 billion of goodwill, $2.0 billion of investments accounted for under the equity method of accounting and $0.3 billion of net intangible assets capitalized on our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we</w:t>
      </w:r>
    </w:p>
    <w:p>
      <w:pPr>
        <w:sectPr>
          <w:pgSz w:w="11900" w:h="16877" w:orient="portrait"/>
          <w:cols w:equalWidth="0" w:num="1">
            <w:col w:w="11420"/>
          </w:cols>
          <w:pgMar w:left="240" w:top="125" w:right="239" w:bottom="0" w:gutter="0" w:footer="0" w:header="0"/>
        </w:sectPr>
      </w:pPr>
    </w:p>
    <w:bookmarkStart w:id="41" w:name="page42"/>
    <w:bookmarkEnd w:id="41"/>
    <w:p>
      <w:pPr>
        <w:jc w:val="both"/>
        <w:ind w:right="60"/>
        <w:spacing w:after="0" w:line="264" w:lineRule="auto"/>
        <w:rPr>
          <w:sz w:val="20"/>
          <w:szCs w:val="20"/>
          <w:color w:val="auto"/>
        </w:rPr>
      </w:pPr>
      <w:r>
        <w:rPr>
          <w:rFonts w:ascii="Arial" w:cs="Arial" w:eastAsia="Arial" w:hAnsi="Arial"/>
          <w:sz w:val="18"/>
          <w:szCs w:val="18"/>
          <w:color w:val="auto"/>
        </w:rPr>
        <w:t>were to determine that any of our property and equipment, goodwill,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use of third-party assets for certain of our operations.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Certain of our business activities require the use of third-party assets over which we may have little or no control. For example, a portion of our storage and distribution business conducted in the Los Angeles basin receives waterborne crude oil through dock facilities operated by a third party in the Port of Long Beach. If at any time our access to this dock was denied, and if access to an alternative dock could not be arranged, the volume of crude oil that we presently receive from our customers in the Los Angeles basin may be reduced, which could result in a reduction of Facilities segment revenue and cash flow.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Non-utilization of certain assets, such as our leased railcars, could significantly reduce our profitability due to fixed costs incurred to obtain the right to use such assets.</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From time to time in connection with our business, we may lease or otherwise secure the right to use certain third party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For example, in connection with our rail operations, we lease substantially all of our railcars, typically pursuant to multi-year leases that obligate us to pay the applicable lease rate without regard to utilization. If business conditions are such that a portion of our rail fleet is not utilized for any period of time due to reduced demand for the services they provide, we will still be obligated to pay the applicable fixed lease rate for such railcars. In addition, during the period of time that we are not utilizing such railcars, we will incur incremental costs associated with the cost of storing such railcars and will continue to incur costs for maintenance and upkeep. Non-utilization of our leased railcars and other similar assets in connection with our business could have a significant negative impact on our profitability and cash flows.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we may not be able to perform all of our obligations under our contracts, which could lead to increased costs and negatively impact our financial results.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our part to satisfy our contractual commitments and obligations. For example, in connection with our provision of firm storage services and hub services to our natural gas storage customers, we enter into contracts that obligate us to honor our customers’ requests to inject gas into our storage facilities, withdraw gas from our facilities and wheel gas through our facilities, in each case subject to volume, timing and other limitations set forth in such contracts. The following factors could adversely impact our ability to perform our obligations under these contracts:</w:t>
      </w:r>
    </w:p>
    <w:p>
      <w:pPr>
        <w:spacing w:after="0" w:line="188" w:lineRule="exact"/>
        <w:rPr>
          <w:sz w:val="20"/>
          <w:szCs w:val="20"/>
          <w:color w:val="auto"/>
        </w:rPr>
      </w:pPr>
    </w:p>
    <w:p>
      <w:pPr>
        <w:ind w:left="1240" w:right="600" w:hanging="584"/>
        <w:spacing w:after="0" w:line="277" w:lineRule="auto"/>
        <w:tabs>
          <w:tab w:leader="none" w:pos="12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on the part of our storage facilities to perform as we expect them to, whether due to malfunction of equipment or facilities or realization of other operational risks;</w:t>
      </w:r>
    </w:p>
    <w:p>
      <w:pPr>
        <w:spacing w:after="0" w:line="170" w:lineRule="exact"/>
        <w:rPr>
          <w:rFonts w:ascii="Arial" w:cs="Arial" w:eastAsia="Arial" w:hAnsi="Arial"/>
          <w:sz w:val="18"/>
          <w:szCs w:val="18"/>
          <w:color w:val="auto"/>
        </w:rPr>
      </w:pPr>
    </w:p>
    <w:p>
      <w:pPr>
        <w:ind w:left="1240" w:right="560" w:hanging="584"/>
        <w:spacing w:after="0" w:line="277" w:lineRule="auto"/>
        <w:tabs>
          <w:tab w:leader="none" w:pos="12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operating pressure of our storage facilities (affected in varying degree, depending on the type of storage cavern, by total volume of working and base gas, and temperature);</w:t>
      </w:r>
    </w:p>
    <w:p>
      <w:pPr>
        <w:spacing w:after="0" w:line="170" w:lineRule="exact"/>
        <w:rPr>
          <w:rFonts w:ascii="Arial" w:cs="Arial" w:eastAsia="Arial" w:hAnsi="Arial"/>
          <w:sz w:val="18"/>
          <w:szCs w:val="18"/>
          <w:color w:val="auto"/>
        </w:rPr>
      </w:pPr>
    </w:p>
    <w:p>
      <w:pPr>
        <w:ind w:left="1240" w:right="20" w:hanging="584"/>
        <w:spacing w:after="0" w:line="288" w:lineRule="auto"/>
        <w:tabs>
          <w:tab w:leader="none" w:pos="1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variety of commercial decisions we make from time to time in connection with the management and operation of our storage facilities. Examples include, without limitation, decisions with respect to matters such as (i) the aggregate amount of commitments we are willing to make with respect to wheeling, injection, and withdrawal services, which could exceed our capabilities at any given time for various reasons,</w:t>
      </w:r>
    </w:p>
    <w:p>
      <w:pPr>
        <w:jc w:val="both"/>
        <w:ind w:left="1240" w:right="100"/>
        <w:spacing w:after="0" w:line="281" w:lineRule="auto"/>
        <w:tabs>
          <w:tab w:leader="none" w:pos="150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timing of scheduled and unplanned maintenance or repairs, which can impact equipment availability and capacity, (iii) the schedule for and rate at which we conduct opportunistic leaching activities at our facilities in connection with the expansion of existing salt caverns, which can impact the amount of storage capacity we have available to satisfy our customers’ requests, (iv) the timing and aggregate volume of any base gas park and/or loan transactions we consummate, which can directly affect the operating pressure of our storage facilities and</w:t>
      </w:r>
    </w:p>
    <w:p>
      <w:pPr>
        <w:spacing w:after="0" w:line="2" w:lineRule="exact"/>
        <w:rPr>
          <w:rFonts w:ascii="Arial" w:cs="Arial" w:eastAsia="Arial" w:hAnsi="Arial"/>
          <w:sz w:val="16"/>
          <w:szCs w:val="16"/>
          <w:color w:val="auto"/>
        </w:rPr>
      </w:pPr>
    </w:p>
    <w:p>
      <w:pPr>
        <w:ind w:left="1240" w:right="180"/>
        <w:spacing w:after="0" w:line="261" w:lineRule="auto"/>
        <w:tabs>
          <w:tab w:leader="none" w:pos="14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amount of compression capacity and other gas handling equipment that we install at our facilities to support gas wheeling, injection and withdrawal activities; and</w:t>
      </w:r>
    </w:p>
    <w:p>
      <w:pPr>
        <w:spacing w:after="0" w:line="183" w:lineRule="exact"/>
        <w:rPr>
          <w:rFonts w:ascii="Arial" w:cs="Arial" w:eastAsia="Arial" w:hAnsi="Arial"/>
          <w:sz w:val="18"/>
          <w:szCs w:val="18"/>
          <w:color w:val="auto"/>
        </w:rPr>
      </w:pPr>
    </w:p>
    <w:p>
      <w:pPr>
        <w:ind w:left="1240" w:right="320" w:hanging="584"/>
        <w:spacing w:after="0" w:line="277" w:lineRule="auto"/>
        <w:tabs>
          <w:tab w:leader="none" w:pos="12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Although we manage and monitor all of these various factors in connection with the ongoing operation of our natural gas storage facilities with the goal of performing all of our contractual commitments and obligations and optimizing our revenue, one or more of the above factors may adversely impact our ability to satisfy our injection, withdrawal or wheeling obligations under our storage contracts. In such event, we may be liable to our customers for losses or damages they suffer and/or we may need to incur costs or expenses in order to permit us to satisfy our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reimbursements due to our general partner may be substantial and will reduce our cash available for distribution to unitholders.</w:t>
      </w:r>
    </w:p>
    <w:p>
      <w:pPr>
        <w:sectPr>
          <w:pgSz w:w="11900" w:h="16838" w:orient="portrait"/>
          <w:cols w:equalWidth="0" w:num="1">
            <w:col w:w="11420"/>
          </w:cols>
          <w:pgMar w:left="240" w:top="125" w:right="239" w:bottom="0" w:gutter="0" w:footer="0" w:header="0"/>
          <w:type w:val="continuous"/>
        </w:sectPr>
      </w:pPr>
    </w:p>
    <w:bookmarkStart w:id="42" w:name="page43"/>
    <w:bookmarkEnd w:id="42"/>
    <w:p>
      <w:pPr>
        <w:jc w:val="both"/>
        <w:ind w:right="40" w:firstLine="648"/>
        <w:spacing w:after="0" w:line="302" w:lineRule="auto"/>
        <w:rPr>
          <w:sz w:val="20"/>
          <w:szCs w:val="20"/>
          <w:color w:val="auto"/>
        </w:rPr>
      </w:pPr>
      <w:r>
        <w:rPr>
          <w:rFonts w:ascii="Arial" w:cs="Arial" w:eastAsia="Arial" w:hAnsi="Arial"/>
          <w:sz w:val="16"/>
          <w:szCs w:val="16"/>
          <w:color w:val="auto"/>
        </w:rPr>
        <w:t>Prior to making any distribution on our common units, we will reimburse our general partner and its affiliates, including officers and directors of the general partner, for all expenses incurred on our behalf (other than expenses related to the AAP Management Units).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preferred units have rights, preferences and privileges that are not held by, and are preferential to the rights of, holders of our common units.</w:t>
      </w:r>
    </w:p>
    <w:p>
      <w:pPr>
        <w:spacing w:after="0" w:line="2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Series A Preferred Units (our “preferred units”), issued in January 2016,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distributions on the preferred units accrue and are cumulative, at the rate of 8% per annum on the original issue price and are convertible into common units by the holders of such units or by us in certain circumstances. Our obligation to pay distributions on our preferred units, or on the common units issued following the conversion of such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spacing w:after="0" w:line="18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0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170" w:lineRule="exact"/>
        <w:rPr>
          <w:sz w:val="20"/>
          <w:szCs w:val="20"/>
          <w:color w:val="auto"/>
        </w:rPr>
      </w:pPr>
    </w:p>
    <w:p>
      <w:pPr>
        <w:ind w:left="980" w:right="2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a result of these provisions, the price at which our common units will trade may be lower because of the absence or reduction of a takeover premium in the trading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common units without unitholder approval, which would dilute a unitholder’s existing ownership interests.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may have the following effects:</w:t>
      </w:r>
    </w:p>
    <w:p>
      <w:pPr>
        <w:spacing w:after="0" w:line="147" w:lineRule="exact"/>
        <w:rPr>
          <w:sz w:val="20"/>
          <w:szCs w:val="20"/>
          <w:color w:val="auto"/>
        </w:rPr>
      </w:pPr>
    </w:p>
    <w:p>
      <w:pPr>
        <w:ind w:left="5620" w:right="4000" w:hanging="4964"/>
        <w:spacing w:after="0" w:line="528" w:lineRule="auto"/>
        <w:tabs>
          <w:tab w:leader="none" w:pos="9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the Partnership will decrease;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ectPr>
          <w:pgSz w:w="11900" w:h="16838" w:orient="portrait"/>
          <w:cols w:equalWidth="0" w:num="1">
            <w:col w:w="11400"/>
          </w:cols>
          <w:pgMar w:left="240" w:top="341" w:right="259" w:bottom="0" w:gutter="0" w:footer="0" w:header="0"/>
        </w:sectPr>
      </w:pPr>
    </w:p>
    <w:bookmarkStart w:id="43" w:name="page44"/>
    <w:bookmarkEnd w:id="43"/>
    <w:p>
      <w:pPr>
        <w:ind w:firstLine="648"/>
        <w:spacing w:after="0" w:line="263" w:lineRule="auto"/>
        <w:rPr>
          <w:sz w:val="20"/>
          <w:szCs w:val="20"/>
          <w:color w:val="auto"/>
        </w:rPr>
      </w:pPr>
      <w:r>
        <w:rPr>
          <w:rFonts w:ascii="Arial" w:cs="Arial" w:eastAsia="Arial" w:hAnsi="Arial"/>
          <w:sz w:val="18"/>
          <w:szCs w:val="18"/>
          <w:color w:val="auto"/>
        </w:rPr>
        <w:t xml:space="preserve">In addition, our preferred units are convertible into common units at any time after January 28, 2018 by the holders of such units, or under certain circumstances, at our option. If </w:t>
      </w:r>
      <w:r>
        <w:rPr>
          <w:rFonts w:ascii="Arial" w:cs="Arial" w:eastAsia="Arial" w:hAnsi="Arial"/>
          <w:sz w:val="17"/>
          <w:szCs w:val="17"/>
          <w:color w:val="auto"/>
        </w:rPr>
        <w:t>a substantial portion of the preferred units were converted into common units, common unitholders could experience significant</w:t>
      </w:r>
      <w:r>
        <w:rPr>
          <w:rFonts w:ascii="Arial" w:cs="Arial" w:eastAsia="Arial" w:hAnsi="Arial"/>
          <w:sz w:val="18"/>
          <w:szCs w:val="18"/>
          <w:color w:val="auto"/>
        </w:rPr>
        <w:t xml:space="preserve"> </w:t>
      </w:r>
      <w:r>
        <w:rPr>
          <w:rFonts w:ascii="Arial" w:cs="Arial" w:eastAsia="Arial" w:hAnsi="Arial"/>
          <w:sz w:val="17"/>
          <w:szCs w:val="17"/>
          <w:color w:val="auto"/>
        </w:rPr>
        <w:t>dilution. In addition, if holders of such converted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conflicts may include the following:</w:t>
      </w:r>
    </w:p>
    <w:p>
      <w:pPr>
        <w:spacing w:after="0" w:line="225"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amount of cash expenditures, borrowings and reserves in any quarter may affect available cash to pay quarterly distributions to unitholders;</w:t>
      </w:r>
    </w:p>
    <w:p>
      <w:pPr>
        <w:spacing w:after="0" w:line="248" w:lineRule="exact"/>
        <w:rPr>
          <w:rFonts w:ascii="Arial" w:cs="Arial" w:eastAsia="Arial" w:hAnsi="Arial"/>
          <w:sz w:val="16"/>
          <w:szCs w:val="16"/>
          <w:color w:val="auto"/>
        </w:rPr>
      </w:pPr>
    </w:p>
    <w:p>
      <w:pPr>
        <w:ind w:left="980" w:right="120" w:hanging="324"/>
        <w:spacing w:after="0" w:line="257"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with any of its affiliates on behalf of us. Agreements or contracts between us and our general partner (and its affiliates) are not necessarily the result of arms length negotiations; and</w:t>
      </w:r>
    </w:p>
    <w:p>
      <w:pPr>
        <w:spacing w:after="0" w:line="170" w:lineRule="exact"/>
        <w:rPr>
          <w:sz w:val="20"/>
          <w:szCs w:val="20"/>
          <w:color w:val="auto"/>
        </w:rPr>
      </w:pPr>
    </w:p>
    <w:p>
      <w:pPr>
        <w:ind w:left="980" w:right="500" w:hanging="324"/>
        <w:spacing w:after="0" w:line="277"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ectPr>
          <w:pgSz w:w="11900" w:h="16838" w:orient="portrait"/>
          <w:cols w:equalWidth="0" w:num="1">
            <w:col w:w="11360"/>
          </w:cols>
          <w:pgMar w:left="240" w:top="125" w:right="299" w:bottom="56" w:gutter="0" w:footer="0" w:header="0"/>
        </w:sectPr>
      </w:pPr>
    </w:p>
    <w:bookmarkStart w:id="44" w:name="page45"/>
    <w:bookmarkEnd w:id="44"/>
    <w:p>
      <w:pPr>
        <w:ind w:right="100" w:firstLine="648"/>
        <w:spacing w:after="0" w:line="257" w:lineRule="auto"/>
        <w:rPr>
          <w:sz w:val="20"/>
          <w:szCs w:val="20"/>
          <w:color w:val="auto"/>
        </w:rPr>
      </w:pPr>
      <w:r>
        <w:rPr>
          <w:rFonts w:ascii="Arial" w:cs="Arial" w:eastAsia="Arial" w:hAnsi="Arial"/>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leverage is significant in relation to our partners’ capital. At December 31, 2015, the principal amount of our total outstanding long-term debt was approximately $10.5 billion, and the principal amount of our total outstanding short-term debt was approximately $1.0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an organized trading market.</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71" w:lineRule="exact"/>
        <w:rPr>
          <w:sz w:val="20"/>
          <w:szCs w:val="20"/>
          <w:color w:val="auto"/>
        </w:rPr>
      </w:pPr>
    </w:p>
    <w:p>
      <w:pPr>
        <w:ind w:left="980" w:right="760" w:hanging="32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provide funds for distributions to our unitholders and the general partner for any one or more of the next four calendar quarters; or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ectPr>
          <w:pgSz w:w="11900" w:h="16838" w:orient="portrait"/>
          <w:cols w:equalWidth="0" w:num="1">
            <w:col w:w="11400"/>
          </w:cols>
          <w:pgMar w:left="240" w:top="125" w:right="259" w:bottom="104" w:gutter="0" w:footer="0" w:header="0"/>
        </w:sectPr>
      </w:pPr>
    </w:p>
    <w:bookmarkStart w:id="45" w:name="page46"/>
    <w:bookmarkEnd w:id="45"/>
    <w:p>
      <w:pPr>
        <w:spacing w:after="0" w:line="1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as well as our not being subject to a material amount of additional entity-level taxation by individual states. If the Internal Revenue Service (“IRS”) were to treat us as a corporation for federal income tax purposes or if we become subject to additional amounts of entity-level taxation for state or foreign tax purposes, it would reduce the amount of cash available to pay distributions and our debt obligations.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A publicly traded partnership such as us may be treated as a corporation for federal income tax purposes unless it satisfies a “qualifying income” requirement, as defined in Section 7704 of the Internal Revenue Code of 1986, as amended. The IRS issued proposed regulations on which activities give rise to qualifying income within the meaning of Section 7704 on May 5, 2015, but are not yet final. However, finalized regulations could modify the amount of our gross income that we are able to treat as qualifying income for the purposes of the qualifying income requirement. Based on our current operations we believe that we are treated as a partnership rather than a corporation for such purposes; however, a change in our business could cause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 to be treated as a corporation for federal income tax purposes. We have not requested, and do not plan to request, a ruling from the IRS on this or any other tax matter affecting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Current law may change, causing us to be treated as a corporation for federal income tax purposes or otherwise subject us to additional entity-level taxation. 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on us in additional states will reduce the cash available for distribution to our unitholders. 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common units.</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income tax purposes, our minimum quarterly distribution and target distribution amounts will be adjusted downward by a percentage that is based on the applicable entity-level tax rate, including both federal and state tax burdens. Although it is impossible to make an accurate assessment of the impact on us without the specific details of any such new law or modification, in such event, it is likely the overall amount of cash available for distribution by the partnership will decline and, due to the structure of our incentive distribution rights and the distribution provisions of our partnership agreement, our common unitholders will likely bear a disproportionately larger percentage of such reduction as compared to the holder of our incentive distribution rights.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and differing interpretations, possibly on a retroactive basis.</w:t>
      </w:r>
    </w:p>
    <w:p>
      <w:pPr>
        <w:spacing w:after="0" w:line="170" w:lineRule="exact"/>
        <w:rPr>
          <w:sz w:val="20"/>
          <w:szCs w:val="20"/>
          <w:color w:val="auto"/>
        </w:rPr>
      </w:pPr>
    </w:p>
    <w:p>
      <w:pPr>
        <w:ind w:right="40" w:firstLine="729"/>
        <w:spacing w:after="0" w:line="293"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we rely for our treatment as a partnership for U.S. federal income tax purposes.</w:t>
      </w:r>
    </w:p>
    <w:p>
      <w:pPr>
        <w:spacing w:after="0" w:line="165" w:lineRule="exact"/>
        <w:rPr>
          <w:sz w:val="20"/>
          <w:szCs w:val="20"/>
          <w:color w:val="auto"/>
        </w:rPr>
      </w:pPr>
    </w:p>
    <w:p>
      <w:pPr>
        <w:ind w:right="40" w:firstLine="729"/>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Legislative changes to the IRS audit rules, starting with partnership tax years beginning after 2017, will allow the IRS to assess and collect tax on audit adjustments at the partnership level as opposed to the partner level unless the partnership makes an election or exercises certain alternatives. Changes were also made to limit partner representation in the event of an audit.</w:t>
      </w:r>
    </w:p>
    <w:p>
      <w:pPr>
        <w:spacing w:after="0" w:line="181" w:lineRule="exact"/>
        <w:rPr>
          <w:sz w:val="20"/>
          <w:szCs w:val="20"/>
          <w:color w:val="auto"/>
        </w:rPr>
      </w:pPr>
    </w:p>
    <w:p>
      <w:pPr>
        <w:ind w:right="20" w:firstLine="500"/>
        <w:spacing w:after="0" w:line="269" w:lineRule="auto"/>
        <w:rPr>
          <w:sz w:val="20"/>
          <w:szCs w:val="20"/>
          <w:color w:val="auto"/>
        </w:rPr>
      </w:pPr>
      <w:r>
        <w:rPr>
          <w:rFonts w:ascii="Arial" w:cs="Arial" w:eastAsia="Arial" w:hAnsi="Arial"/>
          <w:sz w:val="17"/>
          <w:szCs w:val="17"/>
          <w:color w:val="auto"/>
        </w:rPr>
        <w:t>The Bipartisan Budget Act of 2015 (H.R. 1315) (“Act”), effective for partnership tax years beginning after December 31, 2017, repeals the partnership audit rules of the Tax Equity and Fiscal Responsibility Act of 1982 (“TEFRA”) and replaces the TEFRA provisions with new provisions that allow for the IRS to assess and collect taxes associated with audit adjustments, referred to as an “imputed underpayment”, at the partnership entity level rather than the partner level in the year the partnership adjustment is made, the “adjustment year”, as opposed to the year the adjustment relates, the “reviewed year”. The imputed underpayment is calculated using the highest tax rate in effect for the reviewed year. The implications of an imputed underpayment are that current partners could be liable for a liability of former partners. If an audit adjustment did result in a material imputed underpayment the partnership would need to determine whether to pay the imputed underpayment or to avail itself of one of three alternative provisions under the Act that can shift the partnership level tax liability back onto the prior tax year partners. The first alternative, an opt-out election, is not available to us as a publicly traded partnership because we do not meet the criteria of 100 or fewer partners. The second alternative would require the partnership to submit audit adjustment information to the affected partners and to the IRS as well as ensure amended return compliance by our partners within 270 days after receipt of the proposed audit adjustment. From an administrative standpoint, considering the number of our partners, as a publicly traded partnership, the second alternative is not a viable option to us. The third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alternative is an election by us that would require the partnership, not later than 45 days after the date of the notice of final partnership adjustment, to furnish to each affected partner and to the IRS a statement of each partner’s share of any adjustment to income, gain, loss, deduction, or credit. Under this alternative,</w:t>
      </w:r>
    </w:p>
    <w:p>
      <w:pPr>
        <w:sectPr>
          <w:pgSz w:w="11900" w:h="16975" w:orient="portrait"/>
          <w:cols w:equalWidth="0" w:num="1">
            <w:col w:w="11420"/>
          </w:cols>
          <w:pgMar w:left="240" w:top="125" w:right="239" w:bottom="0" w:gutter="0" w:footer="0" w:header="0"/>
        </w:sectPr>
      </w:pPr>
    </w:p>
    <w:bookmarkStart w:id="46" w:name="page47"/>
    <w:bookmarkEnd w:id="46"/>
    <w:p>
      <w:pPr>
        <w:ind w:right="200"/>
        <w:spacing w:after="0" w:line="276" w:lineRule="auto"/>
        <w:rPr>
          <w:sz w:val="20"/>
          <w:szCs w:val="20"/>
          <w:color w:val="auto"/>
        </w:rPr>
      </w:pPr>
      <w:r>
        <w:rPr>
          <w:rFonts w:ascii="Arial" w:cs="Arial" w:eastAsia="Arial" w:hAnsi="Arial"/>
          <w:sz w:val="17"/>
          <w:szCs w:val="17"/>
          <w:color w:val="auto"/>
        </w:rPr>
        <w:t>reviewed year partners calculate their share of additional tax due and pay the additional amount with their respective current year individual tax returns. An election under this provision, however, because the reviewed year is older increases the applicable imputed underpayment interest rate by two percentage points. If we are required to pay taxes, penalties and interest as the result of audit adjustments, cash available for distribution to our unitholders may be substantially reduced. In addition, because payment would be due for the taxable year in which the audit is completed, unitholders during that taxable year would bear the expense of the adjustment even if they were not unitholders during the audited taxable year.</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Also for partnership tax years beginning after 2017, the Act eliminated rights that certain individual partners might previously have had in the audit process by now restricting it to a single “partnership representative”.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capital and profits interests during any twelve-month period will result in our termination as a partnership for federal income tax purposes.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will be considered to have constructively terminated as a partnership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 The IRS has recently announced a relief procedure whereby if a publicly traded partnership that has technically terminated requests and the IRS grants special relief, among other things, the partnership may be permitted to provide only a single Schedule K-1 to unitholders for the tax years in which the termination occurs.</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the IRS or Canada Revenue Agency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IRS has made no determination as to our status as a partnership for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unitholders may be required to pay taxes on their share of our income even if they do not receive any cash distributions from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disposition of our common units could be more or less than expected.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nonrecourse liabilities, if a unitholder sells units, the unitholder may incur a tax liability in excess of the amount of cash received from the sale.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Tax-exempt entities and non-U.S. persons face unique tax issues from owning our common units that may result in adverse tax consequences to them.</w:t>
      </w:r>
    </w:p>
    <w:p>
      <w:pPr>
        <w:spacing w:after="0" w:line="2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Investment in common units by tax-exempt entities, such as employee benefit plans and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Non-U.S. persons will also potentially have tax filing and payment obligations in additional jurisdictions. Tax-exempt entities and non-U.S. persons should consult their tax advisor before investing in our common units.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actual units purchased. The IRS may challenge this treatment, which could adversely affect the value of our common units.</w:t>
      </w:r>
    </w:p>
    <w:p>
      <w:pPr>
        <w:spacing w:after="0" w:line="170"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ectPr>
          <w:pgSz w:w="11900" w:h="16838" w:orient="portrait"/>
          <w:cols w:equalWidth="0" w:num="1">
            <w:col w:w="11400"/>
          </w:cols>
          <w:pgMar w:left="240" w:top="125" w:right="259" w:bottom="46" w:gutter="0" w:footer="0" w:header="0"/>
        </w:sectPr>
      </w:pPr>
    </w:p>
    <w:bookmarkStart w:id="47" w:name="page48"/>
    <w:bookmarkEnd w:id="47"/>
    <w:p>
      <w:pPr>
        <w:spacing w:after="0" w:line="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U.S. federal income taxes, our unitholders will likely be subject to other taxes, including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most of which impose a personal income tax on individuals and an income tax on corporations and other entities. It is our unitholders’ responsibility to file all U.S. federal, state, local and non-U.S. tax returns, as applicable.</w:t>
      </w:r>
    </w:p>
    <w:p>
      <w:pPr>
        <w:spacing w:after="0" w:line="1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147" w:lineRule="exact"/>
        <w:rPr>
          <w:sz w:val="20"/>
          <w:szCs w:val="20"/>
          <w:color w:val="auto"/>
        </w:rPr>
      </w:pPr>
    </w:p>
    <w:p>
      <w:pPr>
        <w:ind w:right="100" w:firstLine="729"/>
        <w:spacing w:after="0" w:line="279" w:lineRule="auto"/>
        <w:rPr>
          <w:sz w:val="20"/>
          <w:szCs w:val="20"/>
          <w:color w:val="auto"/>
        </w:rPr>
      </w:pPr>
      <w:r>
        <w:rPr>
          <w:rFonts w:ascii="Arial" w:cs="Arial" w:eastAsia="Arial" w:hAnsi="Arial"/>
          <w:sz w:val="17"/>
          <w:szCs w:val="17"/>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16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A unitholder whose common units are the subject of a securities loan (e.g., a loan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Because there are no specific rules governing the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existing unitholders and unitholders who purchase our units based upon the ownership of our units on the first day of each month, instead of on the basis of the date a particular unit is transferred. The use of this proration method may not be permitted under existing Treasury Regulations. Recently, the U.S. Treasury Department issued proposed Treasury Regulations that provide a safe harbor pursuant to which publicly traded partnerships may use a similar monthly simplifying convention to allocate tax items. Nonetheless, the proposed regulations do not specifically authorize the use of the proration method we have adopted. If the IRS were to challenge our proration method or new Treasury Regulations were issued, we may be required to change the allocation of items of income, gain, loss and deduction among our unitholders.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ectPr>
          <w:pgSz w:w="11900" w:h="16866" w:orient="portrait"/>
          <w:cols w:equalWidth="0" w:num="1">
            <w:col w:w="11400"/>
          </w:cols>
          <w:pgMar w:left="240" w:top="125" w:right="259" w:bottom="0" w:gutter="0" w:footer="0" w:header="0"/>
        </w:sectPr>
      </w:pPr>
    </w:p>
    <w:bookmarkStart w:id="48" w:name="page49"/>
    <w:bookmarkEnd w:id="48"/>
    <w:p>
      <w:pPr>
        <w:spacing w:after="0" w:line="3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2015, our estimated undiscounted reserve for environmental liabilities (including liabilities related to the Line 901 incident, as discussed further below) totaled $185 million, of which $81 million was classified as short-term and $104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Consolidated Balance Sheets. At December 31, 2015 and 2014, we had recorded receivables totaling $161 million and $8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49" w:name="page50"/>
    <w:bookmarkEnd w:id="49"/>
    <w:p>
      <w:pPr>
        <w:spacing w:after="0" w:line="5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 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addition, three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w:t>
      </w:r>
      <w:r>
        <w:rPr>
          <w:rFonts w:ascii="Arial" w:cs="Arial" w:eastAsia="Arial" w:hAnsi="Arial"/>
          <w:sz w:val="17"/>
          <w:szCs w:val="17"/>
          <w:color w:val="auto"/>
        </w:rPr>
        <w:t>Consistent with and subject to the terms of our governing organizational</w:t>
      </w:r>
      <w:r>
        <w:rPr>
          <w:rFonts w:ascii="Arial" w:cs="Arial" w:eastAsia="Arial" w:hAnsi="Arial"/>
          <w:sz w:val="18"/>
          <w:szCs w:val="18"/>
          <w:color w:val="auto"/>
        </w:rPr>
        <w:t xml:space="preserve"> </w:t>
      </w:r>
      <w:r>
        <w:rPr>
          <w:rFonts w:ascii="Arial" w:cs="Arial" w:eastAsia="Arial" w:hAnsi="Arial"/>
          <w:sz w:val="17"/>
          <w:szCs w:val="17"/>
          <w:color w:val="auto"/>
        </w:rPr>
        <w:t>documents (and to the extent applicable, insurance policies), we are indemnifying and funding the defense costs of our officers and directors in connection with these lawsuits.</w:t>
      </w:r>
    </w:p>
    <w:p>
      <w:pPr>
        <w:spacing w:after="0" w:line="1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Taking the foregoing into account, as of December 31, 2015,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 our environmental and other specialists, as well as currently available facts and presently enacted laws and regulations. We have made assumptions for</w:t>
      </w:r>
    </w:p>
    <w:p>
      <w:pPr>
        <w:spacing w:after="0" w:line="46" w:lineRule="exact"/>
        <w:rPr>
          <w:sz w:val="20"/>
          <w:szCs w:val="20"/>
          <w:color w:val="auto"/>
        </w:rPr>
      </w:pPr>
    </w:p>
    <w:p>
      <w:pPr>
        <w:ind w:right="40" w:firstLine="8"/>
        <w:spacing w:after="0" w:line="323" w:lineRule="auto"/>
        <w:tabs>
          <w:tab w:leader="none" w:pos="2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w:t>
      </w:r>
    </w:p>
    <w:p>
      <w:pPr>
        <w:sectPr>
          <w:pgSz w:w="11900" w:h="16893" w:orient="portrait"/>
          <w:cols w:equalWidth="0" w:num="1">
            <w:col w:w="11420"/>
          </w:cols>
          <w:pgMar w:left="240" w:top="341" w:right="239" w:bottom="0" w:gutter="0" w:footer="0" w:header="0"/>
        </w:sectPr>
      </w:pPr>
    </w:p>
    <w:bookmarkStart w:id="50" w:name="page51"/>
    <w:bookmarkEnd w:id="50"/>
    <w:p>
      <w:pPr>
        <w:spacing w:after="0" w:line="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Consolidated Statement of Operations. As of December 31, 2015, we had a remaining undiscounted gross liability of $116 million related to this event, the majority of which is presented as a current liability in “Accounts payable and accrued liabilities” on our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2015, we had collected, subject to customary reservations, $31 million out of the approximate $186 million of release costs that we believe are probable of recovery from insurance carriers, net of deductibles. We recovered an additional $69 million of proceeds from insurance carriers in January 2016. As of December 31, 2015, we have recognized a receivable of approximately $155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Consolidated Balance Sheets with the offset reducing “Field operating costs” on our Consolidated Statement of Operations.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7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associated with this release will be less than $10 million.</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 of Probable Violation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w:t>
      </w:r>
    </w:p>
    <w:p>
      <w:pPr>
        <w:sectPr>
          <w:pgSz w:w="11900" w:h="16908" w:orient="portrait"/>
          <w:cols w:equalWidth="0" w:num="1">
            <w:col w:w="11400"/>
          </w:cols>
          <w:pgMar w:left="240" w:top="125" w:right="259" w:bottom="0" w:gutter="0" w:footer="0" w:header="0"/>
        </w:sectPr>
      </w:pPr>
    </w:p>
    <w:bookmarkStart w:id="51" w:name="page52"/>
    <w:bookmarkEnd w:id="51"/>
    <w:p>
      <w:pPr>
        <w:spacing w:after="0" w:line="13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NEB’s Onshore Pipeline Regulations, which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5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In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December 31, 2015, we spent $9 million in connection with clean-up and remediation activities.</w:t>
      </w:r>
    </w:p>
    <w:p>
      <w:pPr>
        <w:spacing w:after="0" w:line="17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In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pipeline and storage operations. We also may discover environmental impacts from past releases that were previously unidentified.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Units, Related Unitholder Matters and Issuer Purchases of Equity Securities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common units are listed and traded on the New York Stock Exchange (“NYSE”) under the symbol “PAA.” As of February 12, 2016, the closing market price for our common units was $17.32 per unit and there were approximately 185,000 record holders and beneficial owners (held in street name). As</w:t>
      </w:r>
    </w:p>
    <w:p>
      <w:pPr>
        <w:sectPr>
          <w:pgSz w:w="11900" w:h="16975" w:orient="portrait"/>
          <w:cols w:equalWidth="0" w:num="1">
            <w:col w:w="11400"/>
          </w:cols>
          <w:pgMar w:left="240" w:top="125" w:right="259" w:bottom="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of February 12, 2016, there were 397,730,991 common units outstanding.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two-for-one split of our common units was completed on October 1, 2012. The effect of the two-for one split has been retroactively applied to all unit and per-unit amounts presented in this Form 10-K. In addition, our partnership agreement was amended to modify certain definitions related to target distribution amounts and minimum distribution amounts to reflect the unit split.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Common Unit</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Price Range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 xml:space="preserve">Distributions </w:t>
            </w:r>
            <w:r>
              <w:rPr>
                <w:rFonts w:ascii="Arial" w:cs="Arial" w:eastAsia="Arial" w:hAnsi="Arial"/>
                <w:sz w:val="16"/>
                <w:szCs w:val="16"/>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34.98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51.71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4th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59.75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2nd Quarter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60.05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54.54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652"/>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Cash distributions associated with the quarter presented. These distributions were declared and paid in the following calendar quarter. See the “Cash Distribution Policy” section below for a discussion of our policy regarding distribution payments.</w:t>
      </w:r>
    </w:p>
    <w:p>
      <w:pPr>
        <w:spacing w:after="0" w:line="20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common units are also used as a form of compensation to our employees and directors. Additional information regarding our equity-indexed compensation plans is included in Part III of this report under Item 13. “Certain Relationships and Related Transactions, and Director Independence.”</w:t>
      </w:r>
    </w:p>
    <w:p>
      <w:pPr>
        <w:spacing w:after="0" w:line="1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for information regarding securities authorized for issuance under equity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On January 28, 2016, we completed the private placement of 61,030,127 Series A Convertible Preferred Units representing limited partner interests in us (the “preferred units”) for a cash purchase price of $26.25 per preferred unit (the “Issue Price”), resulting in total net proceeds to us, after deducting offering expenses and the 2% transaction fee due to the purchasers and including our 2% general partner’s proportionate contribution, of approximately $1.6 billion. The purchasers of such preferred units included affiliates of </w:t>
      </w:r>
      <w:r>
        <w:rPr>
          <w:rFonts w:ascii="Arial" w:cs="Arial" w:eastAsia="Arial" w:hAnsi="Arial"/>
          <w:sz w:val="17"/>
          <w:szCs w:val="17"/>
          <w:color w:val="auto"/>
        </w:rPr>
        <w:t>EnCap Investments, L.P., EnCap Flatrock Midstream, The Energy Minerals Group, Kayne</w:t>
      </w:r>
      <w:r>
        <w:rPr>
          <w:rFonts w:ascii="Arial" w:cs="Arial" w:eastAsia="Arial" w:hAnsi="Arial"/>
          <w:sz w:val="18"/>
          <w:szCs w:val="18"/>
          <w:color w:val="auto"/>
        </w:rPr>
        <w:t xml:space="preserve"> </w:t>
      </w:r>
      <w:r>
        <w:rPr>
          <w:rFonts w:ascii="Arial" w:cs="Arial" w:eastAsia="Arial" w:hAnsi="Arial"/>
          <w:sz w:val="17"/>
          <w:szCs w:val="17"/>
          <w:color w:val="auto"/>
        </w:rPr>
        <w:t>Anderson Capital Advisors, L.P., First Reserve Advisors, L.L.C. and Stonepeak Partners LP, in addition to Massachusetts Mutual Life Insurance Company and Kaiser Foundation Hospitals (collectively, the “Purchasers”).</w:t>
      </w:r>
    </w:p>
    <w:p>
      <w:pPr>
        <w:spacing w:after="0" w:line="19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7"/>
          <w:szCs w:val="17"/>
          <w:color w:val="auto"/>
        </w:rPr>
        <w:t xml:space="preserve">The preferred units are a new class of equity security that ranks senior to all classes or series of equity securities in us with respect to distribution rights and rights upon liquidation. </w:t>
      </w:r>
      <w:r>
        <w:rPr>
          <w:rFonts w:ascii="Arial" w:cs="Arial" w:eastAsia="Arial" w:hAnsi="Arial"/>
          <w:sz w:val="16"/>
          <w:szCs w:val="16"/>
          <w:color w:val="auto"/>
        </w:rPr>
        <w:t>The holders of the preferred units will receive quarterly distributions, subject to customary anti-dilution adjustments, equal to</w:t>
      </w:r>
      <w:r>
        <w:rPr>
          <w:rFonts w:ascii="Arial" w:cs="Arial" w:eastAsia="Arial" w:hAnsi="Arial"/>
          <w:sz w:val="17"/>
          <w:szCs w:val="17"/>
          <w:color w:val="auto"/>
        </w:rPr>
        <w:t xml:space="preserve"> </w:t>
      </w:r>
      <w:r>
        <w:rPr>
          <w:rFonts w:ascii="Arial" w:cs="Arial" w:eastAsia="Arial" w:hAnsi="Arial"/>
          <w:sz w:val="16"/>
          <w:szCs w:val="16"/>
          <w:color w:val="auto"/>
        </w:rPr>
        <w:t>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 (a) 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Purchasers may convert their preferred units, generally on a one-for-one basis and subject to customary anti-dilution adjustments, at any time after the second anniversary of the issuance date (or prior to a liquidation),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addition, upon certain events involving a change of control, each holder of preferred units may elect to (a) convert its preferred units to common units at the then applicable conversion rate, (b) if we are not the surviving entity (or if we are the surviving entity, but our common units will cease to be listed), require us to use commercially reasonable efforts to cause the surviving entity in any such transaction to issue a substantially equivalent security (or convert into common units based on a specified formula, if we are unable to cause such substantially equivalent securities to be issued), (c) if we are the</w:t>
      </w:r>
    </w:p>
    <w:p>
      <w:pPr>
        <w:sectPr>
          <w:pgSz w:w="11900" w:h="16838" w:orient="portrait"/>
          <w:cols w:equalWidth="0" w:num="1">
            <w:col w:w="11420"/>
          </w:cols>
          <w:pgMar w:left="240" w:top="125" w:right="239" w:bottom="0" w:gutter="0" w:footer="0" w:header="0"/>
        </w:sectPr>
      </w:pPr>
    </w:p>
    <w:bookmarkStart w:id="53" w:name="page54"/>
    <w:bookmarkEnd w:id="53"/>
    <w:p>
      <w:pPr>
        <w:spacing w:after="0" w:line="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surviving entity, continue to hold the preferred units or (d) require us to redeem the preferred units at a price per preferred unit equal to 101% of the Issue Price, plus accrued and unpaid distributions.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private placement of the preferred units was undertaken in reliance upon an exemption from the registration requirements of the Securities Act of 1933, as amended, pursuant to Section 4(a)(2)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accordance with our partnership agreement, we will distribute all of our available cash to our unitholders within 45 days following the end of each quarter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166"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adjustments discussed below, to 15% of amounts we distribute in excess of $0.2250 per unit, 25% of the amounts we distribute in excess of $0.2475 per unit and 50% of amounts we distribute in excess of $0.3375 per unit.</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Although not required to do so, in response to past requests by our management in connection with our acquisition activities, our general partner has, from time to time, agreed to reduce the amounts due to it as incentive distributions. Such modifications were implemented with a view toward enhancing our competitiveness for such acquisitions and managing the overall cost of equity capital while achieving an appropriate balance between short-term and long-term accretion to our limited partners and the holders of our general partner interest and IDRs. During 2015, 2014 and 2013, our general partner’s incentive distributions were reduced by approximately $22 million, $23 million and $15 million, respectively. These reductions were agreed to in connection with our BP NGL Acquisition and the PNG Merger. In addition, our general partner has agreed to reduce the amount of its incentive distribution by $5.0 million per quarter in 2016 and $3.75 million per quarter thereafter. See Note 10 to our Consolidated Financial Statements for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 discussion of the PNG Merger. In connection with our January 2016 private placement of preferred units, our general partner agreed to further modify its IDRs such that when the preferred units convert into common units, the IDRs associated with the resulting common units will only participate in distribution growth above an annualized distribution level of $2.80 per converted common unit. See Note 10 to our Consolidated Financial Statements for further discussion of the preferred unit issuance.</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During 2015, we paid $590 million to our general partner, net of IDR reductions. Additionally, on February 12, 2016, we paid a quarterly distribution of $0.70 per common unit applicable to the fourth quarter of 2015, and in connection therewith, approximately $155 million was paid to our general partner, net of IDR reductions. See Item 13. “Certain Relationships and Related Transactions, and Director Independence—Our General Partner.”</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16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Under the terms of our partnership agreement, our preferred units rank senior to all classes or series of equity securities in us with respect to distribution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did not repurchase any of our common units during the fourth quarter of 2015, and we do not have any announced or existing plans to repurchase any of our common units other than potential repurchases consistent with past practice in providing units for relatively small vestings of phantom units under our long-term incentive plans (“LTIP”).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historical financial information below was derived from our audited consolidated financial statements as of December 31, 2015, 2014, 2013, 2012 and 2011 and for the years then ended. The selected financial data should be read in conjunction with the Consolidated Financial Statements, including the notes thereto, and Item 7. “Management’s Discussion and Analysis of Financial Condition and Results of Operations.”</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Amounts for 2011 through 2014 have been retroactively restated to reflect the impact of our adoption of revised debt issuance costs guidance issued by the Financial Accounting Standards Board (“FASB”). See Note 2 to our Consolidated Financial Statements for additional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14"/>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60" w:type="dxa"/>
            <w:vAlign w:val="bottom"/>
            <w:gridSpan w:val="4"/>
          </w:tcPr>
          <w:p>
            <w:pPr>
              <w:jc w:val="center"/>
              <w:ind w:left="496"/>
              <w:spacing w:after="0" w:line="142" w:lineRule="exact"/>
              <w:rPr>
                <w:sz w:val="20"/>
                <w:szCs w:val="20"/>
                <w:color w:val="auto"/>
              </w:rPr>
            </w:pPr>
            <w:r>
              <w:rPr>
                <w:rFonts w:ascii="Arial" w:cs="Arial" w:eastAsia="Arial" w:hAnsi="Arial"/>
                <w:sz w:val="14"/>
                <w:szCs w:val="14"/>
                <w:b w:val="1"/>
                <w:bCs w:val="1"/>
                <w:color w:val="auto"/>
                <w:w w:val="93"/>
              </w:rPr>
              <w:t>(in millions, except per unit data)</w:t>
            </w: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revenues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23,152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43,464</w:t>
            </w: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42,249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37,797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34,275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1,262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1,738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1,434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906</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1,391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1,127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1,361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3" w:orient="portrait"/>
          <w:cols w:equalWidth="0" w:num="1">
            <w:col w:w="11420"/>
          </w:cols>
          <w:pgMar w:left="240" w:top="125" w:right="23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Basic net income per common unit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2.39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2.82</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Declared distributions per common unit </w:t>
            </w:r>
            <w:r>
              <w:rPr>
                <w:rFonts w:ascii="Arial" w:cs="Arial" w:eastAsia="Arial" w:hAnsi="Arial"/>
                <w:sz w:val="23"/>
                <w:szCs w:val="23"/>
                <w:color w:val="auto"/>
                <w:vertAlign w:val="superscript"/>
              </w:rPr>
              <w:t>(1)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2.55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12,272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10,819</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22,288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22,198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20,320</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19,196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8,704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11,374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9,991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7,788</w:t>
            </w:r>
          </w:p>
        </w:tc>
        <w:tc>
          <w:tcPr>
            <w:tcW w:w="2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7,367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8,191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2,004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24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1"/>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7"/>
          </w:tcPr>
          <w:p>
            <w:pPr>
              <w:jc w:val="center"/>
              <w:ind w:left="492"/>
              <w:spacing w:after="0" w:line="142" w:lineRule="exact"/>
              <w:rPr>
                <w:sz w:val="20"/>
                <w:szCs w:val="20"/>
                <w:color w:val="auto"/>
              </w:rPr>
            </w:pPr>
            <w:r>
              <w:rPr>
                <w:rFonts w:ascii="Arial" w:cs="Arial" w:eastAsia="Arial" w:hAnsi="Arial"/>
                <w:sz w:val="14"/>
                <w:szCs w:val="14"/>
                <w:b w:val="1"/>
                <w:bCs w:val="1"/>
                <w:color w:val="auto"/>
                <w:w w:val="93"/>
              </w:rPr>
              <w:t>(in millions, except per unit data)</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(1,653)</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Net cash provided by/(used in) financing activities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1,657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2,151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Acquisition capital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1,099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2,286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Expansion capital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Maintenance capital</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1"/>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Volumes </w:t>
            </w:r>
            <w:r>
              <w:rPr>
                <w:rFonts w:ascii="Arial" w:cs="Arial" w:eastAsia="Arial" w:hAnsi="Arial"/>
                <w:sz w:val="22"/>
                <w:szCs w:val="22"/>
                <w:b w:val="1"/>
                <w:bCs w:val="1"/>
                <w:color w:val="auto"/>
                <w:vertAlign w:val="superscript"/>
              </w:rPr>
              <w:t>(2) (3)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rPr>
              <w:t>Transportation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3,952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Trucking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Transportation segment total volumes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segment: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Crude oil, refined products and NGL terminalling and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360"/>
              <w:spacing w:after="0"/>
              <w:rPr>
                <w:sz w:val="20"/>
                <w:szCs w:val="20"/>
                <w:color w:val="auto"/>
              </w:rPr>
            </w:pPr>
            <w:r>
              <w:rPr>
                <w:rFonts w:ascii="Arial" w:cs="Arial" w:eastAsia="Arial" w:hAnsi="Arial"/>
                <w:sz w:val="18"/>
                <w:szCs w:val="18"/>
                <w:color w:val="auto"/>
              </w:rPr>
              <w:t>storage (average monthly capacity in millions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8"/>
                <w:szCs w:val="18"/>
                <w:color w:val="auto"/>
              </w:rPr>
              <w:t>Rail load / unload volumes (average volumes in</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thousands of 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80"/>
              <w:spacing w:after="0" w:line="195" w:lineRule="exact"/>
              <w:rPr>
                <w:sz w:val="20"/>
                <w:szCs w:val="20"/>
                <w:color w:val="auto"/>
              </w:rPr>
            </w:pPr>
            <w:r>
              <w:rPr>
                <w:rFonts w:ascii="Arial" w:cs="Arial" w:eastAsia="Arial" w:hAnsi="Arial"/>
                <w:sz w:val="18"/>
                <w:szCs w:val="18"/>
                <w:color w:val="auto"/>
                <w:w w:val="93"/>
              </w:rPr>
              <w:t>Natural gas storage (average monthly working capacity</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in billions of cubic feet)</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shd w:val="clear" w:color="auto" w:fill="CCEEFF"/>
          </w:tcPr>
          <w:p>
            <w:pPr>
              <w:ind w:left="180"/>
              <w:spacing w:after="0" w:line="156" w:lineRule="exact"/>
              <w:rPr>
                <w:sz w:val="20"/>
                <w:szCs w:val="20"/>
                <w:color w:val="auto"/>
              </w:rPr>
            </w:pPr>
            <w:r>
              <w:rPr>
                <w:rFonts w:ascii="Arial" w:cs="Arial" w:eastAsia="Arial" w:hAnsi="Arial"/>
                <w:sz w:val="18"/>
                <w:szCs w:val="18"/>
                <w:color w:val="auto"/>
                <w:w w:val="98"/>
              </w:rPr>
              <w:t>NGL fractionation (average volumes in thousands of</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08"/>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barrels per day)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360"/>
              <w:spacing w:after="0" w:line="195" w:lineRule="exact"/>
              <w:rPr>
                <w:sz w:val="20"/>
                <w:szCs w:val="20"/>
                <w:color w:val="auto"/>
              </w:rPr>
            </w:pPr>
            <w:r>
              <w:rPr>
                <w:rFonts w:ascii="Arial" w:cs="Arial" w:eastAsia="Arial" w:hAnsi="Arial"/>
                <w:sz w:val="18"/>
                <w:szCs w:val="18"/>
                <w:color w:val="auto"/>
              </w:rPr>
              <w:t>Facilities segment total volumes (average</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3"/>
                <w:szCs w:val="1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tcPr>
          <w:p>
            <w:pPr>
              <w:ind w:left="540"/>
              <w:spacing w:after="0"/>
              <w:rPr>
                <w:sz w:val="20"/>
                <w:szCs w:val="20"/>
                <w:color w:val="auto"/>
              </w:rPr>
            </w:pPr>
            <w:r>
              <w:rPr>
                <w:rFonts w:ascii="Arial" w:cs="Arial" w:eastAsia="Arial" w:hAnsi="Arial"/>
                <w:sz w:val="18"/>
                <w:szCs w:val="18"/>
                <w:color w:val="auto"/>
              </w:rPr>
              <w:t>monthly volumes in millions of barrels)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gridSpan w:val="2"/>
          </w:tcPr>
          <w:p>
            <w:pPr>
              <w:spacing w:after="0" w:line="201" w:lineRule="exact"/>
              <w:rPr>
                <w:sz w:val="20"/>
                <w:szCs w:val="20"/>
                <w:color w:val="auto"/>
              </w:rPr>
            </w:pPr>
            <w:r>
              <w:rPr>
                <w:rFonts w:ascii="Arial" w:cs="Arial" w:eastAsia="Arial" w:hAnsi="Arial"/>
                <w:sz w:val="18"/>
                <w:szCs w:val="18"/>
                <w:color w:val="auto"/>
                <w:w w:val="95"/>
              </w:rPr>
              <w:t>Supply and Logistics segment (average daily volumes in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thousands of barrels per day):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Crude oil lease gathering purchases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NGL sales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160" w:type="dxa"/>
            <w:vAlign w:val="bottom"/>
            <w:gridSpan w:val="2"/>
          </w:tcPr>
          <w:p>
            <w:pPr>
              <w:jc w:val="right"/>
              <w:ind w:right="208"/>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Waterborne cargos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ind w:left="360"/>
              <w:spacing w:after="0"/>
              <w:rPr>
                <w:sz w:val="20"/>
                <w:szCs w:val="20"/>
                <w:color w:val="auto"/>
              </w:rPr>
            </w:pPr>
            <w:r>
              <w:rPr>
                <w:rFonts w:ascii="Arial" w:cs="Arial" w:eastAsia="Arial" w:hAnsi="Arial"/>
                <w:sz w:val="18"/>
                <w:szCs w:val="18"/>
                <w:color w:val="auto"/>
              </w:rPr>
              <w:t>Supply and Logistics segment total volumes</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-5635625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-5635625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40" w:hanging="11"/>
        <w:spacing w:after="0" w:line="312" w:lineRule="auto"/>
        <w:rPr>
          <w:sz w:val="20"/>
          <w:szCs w:val="20"/>
          <w:color w:val="auto"/>
        </w:rPr>
      </w:pPr>
      <w:r>
        <w:rPr>
          <w:rFonts w:ascii="Arial" w:cs="Arial" w:eastAsia="Arial" w:hAnsi="Arial"/>
          <w:sz w:val="16"/>
          <w:szCs w:val="16"/>
          <w:color w:val="auto"/>
        </w:rPr>
        <w:t>Represents cash distributions declared and paid during the year presented. Our general partner is entitled, directly or indirectly, to receive 2% proportional distributions, as well as incentive distributions if the amount we distribute with respect to any quarter exceeds levels specified in our partnership agreement. See Note 10 to our Consolidated Financial Statements for further discussion regarding our distributions.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248" w:lineRule="exact"/>
        <w:rPr>
          <w:sz w:val="20"/>
          <w:szCs w:val="20"/>
          <w:color w:val="auto"/>
        </w:rPr>
      </w:pPr>
    </w:p>
    <w:p>
      <w:pPr>
        <w:ind w:left="20" w:right="40" w:hanging="7"/>
        <w:spacing w:after="0" w:line="257" w:lineRule="auto"/>
        <w:rPr>
          <w:sz w:val="20"/>
          <w:szCs w:val="20"/>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 year; (iii) natural gas storage working capacity divided by 6 to account for the 6:1 thousand cubic feet (“mcf”) of natural gas to crude British thermal unit (“Btu”) equivalent ratio and further divided by 1,000 to convert to monthly volumes in millions; and (iv) NGL fractionation volumes multiplied by the number of days in the year and divided by the number of months in the year.</w:t>
      </w:r>
    </w:p>
    <w:p>
      <w:pPr>
        <w:spacing w:after="0" w:line="188"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820"/>
          </w:cols>
          <w:pgMar w:left="240" w:top="125" w:right="19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55" w:name="page56"/>
    <w:bookmarkEnd w:id="55"/>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40" w:firstLine="612"/>
        <w:spacing w:after="0" w:line="272" w:lineRule="auto"/>
        <w:rPr>
          <w:sz w:val="20"/>
          <w:szCs w:val="20"/>
          <w:color w:val="auto"/>
        </w:rPr>
      </w:pPr>
      <w:r>
        <w:rPr>
          <w:rFonts w:ascii="Arial" w:cs="Arial" w:eastAsia="Arial" w:hAnsi="Arial"/>
          <w:sz w:val="17"/>
          <w:szCs w:val="17"/>
          <w:color w:val="auto"/>
        </w:rPr>
        <w:t xml:space="preserve">Primarily as a result of advances in drilling and completion techniques and their application to a number of large-scale shale and resource plays, which occurred contemporaneously with attractive petroleum prices, during the approximately three year period through the end of 2014, U.S. crude oil and liquids production in the lower 48 states increased rapidly.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2014 (albeit to a lesser degree than previous years), these market conditions had a positive impact on our profitability as our business strategy and asset base positioned us to capitalize on opportunities created by the volatile environment. </w:t>
      </w:r>
      <w:r>
        <w:rPr>
          <w:rFonts w:ascii="Arial" w:cs="Arial" w:eastAsia="Arial" w:hAnsi="Arial"/>
          <w:sz w:val="16"/>
          <w:szCs w:val="16"/>
          <w:color w:val="auto"/>
        </w:rPr>
        <w:t>However, the combination during such period of surging North American liquids production, relatively flat liquids production for the rest of the</w:t>
      </w:r>
      <w:r>
        <w:rPr>
          <w:rFonts w:ascii="Arial" w:cs="Arial" w:eastAsia="Arial" w:hAnsi="Arial"/>
          <w:sz w:val="17"/>
          <w:szCs w:val="17"/>
          <w:color w:val="auto"/>
        </w:rPr>
        <w:t xml:space="preserve"> </w:t>
      </w:r>
      <w:r>
        <w:rPr>
          <w:rFonts w:ascii="Arial" w:cs="Arial" w:eastAsia="Arial" w:hAnsi="Arial"/>
          <w:sz w:val="16"/>
          <w:szCs w:val="16"/>
          <w:color w:val="auto"/>
        </w:rPr>
        <w:t>world and relatively modest growth in global liquids demand led to a supply imbalance, which in turn led to a significant and rapid reduction in petroleum prices during the second half of 2014 and throughout 2015.</w:t>
      </w:r>
    </w:p>
    <w:p>
      <w:pPr>
        <w:spacing w:after="0" w:line="180" w:lineRule="exact"/>
        <w:rPr>
          <w:sz w:val="20"/>
          <w:szCs w:val="20"/>
          <w:color w:val="auto"/>
        </w:rPr>
      </w:pPr>
    </w:p>
    <w:p>
      <w:pPr>
        <w:ind w:left="40" w:firstLine="612"/>
        <w:spacing w:after="0" w:line="253" w:lineRule="auto"/>
        <w:rPr>
          <w:sz w:val="20"/>
          <w:szCs w:val="20"/>
          <w:color w:val="auto"/>
        </w:rPr>
      </w:pPr>
      <w:r>
        <w:rPr>
          <w:rFonts w:ascii="Arial" w:cs="Arial" w:eastAsia="Arial" w:hAnsi="Arial"/>
          <w:sz w:val="18"/>
          <w:szCs w:val="18"/>
          <w:color w:val="auto"/>
        </w:rPr>
        <w:t>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the rate of growth of North American crude oil production slowed significantly and began to decrease in some areas as producers have taken rigs out of service and deferred completions at an increased rate. The slowdown in North American production coupled with increases in infrastructure led to a compression of basis differentials in a number of locations. This transitioning crude oil market created a challenging environment for our business model and asset base in 2015. We recognized net income attributable to PAA of $903 million in 2015 as compared to net income attributable to PAA of $1.384 billion recognized in 2014. The year-over-year decrease was driven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324"/>
        <w:spacing w:after="0" w:line="264"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operating results, primarily from our Supply and Logistics segment, as increased competition and compressed differentials from the market conditions discussed above drove lower unit margins in this part of our business. See further discussion of our segment operating results in the “—Results of Operations—Analysis of Operating Segments” section below;</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and lost revenue associated with the Line 901 incident; and</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associated with our growing asset base and related financing activities; partially offset by</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income tax expense resulting from the deferred income tax impact associated with fluctuations in the derivative mark-to-market valuation in our Canadian operations.</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executed a $2.2 billion capital program during 2015. We expect the majority of the capital invested will contribute to growth in our fee-based Transportation and Facilities segments in future years. We completed multiple financings that enabled us to fund our 2015 capital expansion activities, including raising an aggregate of approximately $2.1 billion of long-term debt and equity capital. In addition, we paid approximately $1.7 billion of cash distributions to our common unitholders and general partner during 2015.</w:t>
      </w:r>
    </w:p>
    <w:p>
      <w:pPr>
        <w:sectPr>
          <w:pgSz w:w="11900" w:h="16845" w:orient="portrait"/>
          <w:cols w:equalWidth="0" w:num="1">
            <w:col w:w="11420"/>
          </w:cols>
          <w:pgMar w:left="240" w:top="121" w:right="239" w:bottom="0" w:gutter="0" w:footer="0" w:header="0"/>
        </w:sectPr>
      </w:pPr>
    </w:p>
    <w:bookmarkStart w:id="56" w:name="page57"/>
    <w:bookmarkEnd w:id="5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completed a number of acquisitions and capital projects in 2015, 2014 and 2013 that have impacted our results of operations. The following table summarizes our expenditures for acquisition capital, expansion capital and maintenance capital for the periods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(3)</w:t>
            </w:r>
          </w:p>
        </w:tc>
        <w:tc>
          <w:tcPr>
            <w:tcW w:w="9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598"/>
        <w:spacing w:after="0" w:line="234"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ectPr>
          <w:pgSz w:w="11900" w:h="16900" w:orient="portrait"/>
          <w:cols w:equalWidth="0" w:num="1">
            <w:col w:w="11420"/>
          </w:cols>
          <w:pgMar w:left="240" w:top="337"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10 to our Consolidated Financial Statements for further discussion of the PNG Merger.</w:t>
      </w:r>
    </w:p>
    <w:p>
      <w:pPr>
        <w:spacing w:after="0" w:line="111" w:lineRule="exact"/>
        <w:rPr>
          <w:sz w:val="20"/>
          <w:szCs w:val="20"/>
          <w:color w:val="auto"/>
        </w:rPr>
      </w:pPr>
    </w:p>
    <w:p>
      <w:pPr>
        <w:ind w:right="28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900" w:orient="portrait"/>
          <w:cols w:equalWidth="0" w:num="2">
            <w:col w:w="140" w:space="520"/>
            <w:col w:w="10760"/>
          </w:cols>
          <w:pgMar w:left="240" w:top="337" w:right="239" w:bottom="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Acquisitions are financed using a combination of equity and debt, including borrowings under our commercial paper program or credit facilities and the issuance of senior notes. Businesses acquired impact our results of operations commencing on the closing date of each acquisition. Our acquisition and capital expansion activities are discussed further in “—Liquidity and Capital Resources.” Information regarding acquisitions completed in 2015, 2014 and</w:t>
      </w:r>
    </w:p>
    <w:p>
      <w:pPr>
        <w:spacing w:after="0"/>
        <w:rPr>
          <w:sz w:val="20"/>
          <w:szCs w:val="20"/>
          <w:color w:val="auto"/>
        </w:rPr>
      </w:pPr>
      <w:r>
        <w:rPr>
          <w:rFonts w:ascii="Arial" w:cs="Arial" w:eastAsia="Arial" w:hAnsi="Arial"/>
          <w:sz w:val="18"/>
          <w:szCs w:val="18"/>
          <w:color w:val="auto"/>
        </w:rPr>
        <w:t>2013 is set forth in the table below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Effective</w:t>
            </w: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Acquisition</w:t>
            </w:r>
          </w:p>
        </w:tc>
        <w:tc>
          <w:tcPr>
            <w:tcW w:w="29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Operating Segment</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2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and Facilities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BridgeTex Acquisition (50% interest)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11/14/2014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Various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96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2013 Total </w:t>
            </w:r>
            <w:r>
              <w:rPr>
                <w:rFonts w:ascii="Arial" w:cs="Arial" w:eastAsia="Arial" w:hAnsi="Arial"/>
                <w:sz w:val="23"/>
                <w:szCs w:val="23"/>
                <w:color w:val="auto"/>
                <w:vertAlign w:val="superscript"/>
              </w:rPr>
              <w:t>(2)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09/01/2013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80" w:hanging="11"/>
        <w:spacing w:after="0" w:line="277" w:lineRule="auto"/>
        <w:rPr>
          <w:sz w:val="20"/>
          <w:szCs w:val="20"/>
          <w:color w:val="auto"/>
        </w:rPr>
      </w:pPr>
      <w:r>
        <w:rPr>
          <w:rFonts w:ascii="Arial" w:cs="Arial" w:eastAsia="Arial" w:hAnsi="Arial"/>
          <w:sz w:val="18"/>
          <w:szCs w:val="18"/>
          <w:color w:val="auto"/>
        </w:rPr>
        <w:t>We account for our 50% interest in BridgeTex under the equity method of accounting. See Note 7 to our Consolidated Financial Statements for further discussion of our equity method investments.</w:t>
      </w:r>
    </w:p>
    <w:p>
      <w:pPr>
        <w:spacing w:after="0" w:line="170" w:lineRule="exact"/>
        <w:rPr>
          <w:sz w:val="20"/>
          <w:szCs w:val="20"/>
          <w:color w:val="auto"/>
        </w:rPr>
      </w:pPr>
    </w:p>
    <w:p>
      <w:pPr>
        <w:ind w:right="80" w:hanging="11"/>
        <w:spacing w:after="0" w:line="286" w:lineRule="auto"/>
        <w:rPr>
          <w:sz w:val="20"/>
          <w:szCs w:val="20"/>
          <w:color w:val="auto"/>
        </w:rPr>
      </w:pPr>
      <w:r>
        <w:rPr>
          <w:rFonts w:ascii="Arial" w:cs="Arial" w:eastAsia="Arial" w:hAnsi="Arial"/>
          <w:sz w:val="17"/>
          <w:szCs w:val="17"/>
          <w:color w:val="auto"/>
        </w:rPr>
        <w:t>Excludes the PNG Merger completed on December 31, 2013, as we historically consolidated PNG into our financial statements for financial reporting purposes in accordance with GAAP. As consideration for the PNG Merger, we issued approximately 14.7 million PAA common units with a value of approximately $760 million. See Note 10 to our Consolidated Financial Statements for further discussion of the PNG Merger.</w:t>
      </w:r>
    </w:p>
    <w:p>
      <w:pPr>
        <w:spacing w:after="0" w:line="166" w:lineRule="exact"/>
        <w:rPr>
          <w:sz w:val="20"/>
          <w:szCs w:val="20"/>
          <w:color w:val="auto"/>
        </w:rPr>
      </w:pPr>
    </w:p>
    <w:p>
      <w:pPr>
        <w:sectPr>
          <w:pgSz w:w="11900" w:h="16900" w:orient="portrait"/>
          <w:cols w:equalWidth="0" w:num="2">
            <w:col w:w="140" w:space="520"/>
            <w:col w:w="10760"/>
          </w:cols>
          <w:pgMar w:left="240" w:top="337"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2015 projects primarily included the construction and expansion of pipeline systems and storage and terminal facilities. The following table summarizes our 2015, 2014 and 2013 projects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3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Permian Basin Area Projects </w:t>
            </w:r>
            <w:r>
              <w:rPr>
                <w:rFonts w:ascii="Arial" w:cs="Arial" w:eastAsia="Arial" w:hAnsi="Arial"/>
                <w:sz w:val="23"/>
                <w:szCs w:val="23"/>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Fort Saskatchewan Facility Projects / NGL 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Red River Pipeline (Cushing to Longview)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Cactus Pipeline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Saddlehorn Pipeline </w:t>
            </w:r>
            <w:r>
              <w:rPr>
                <w:rFonts w:ascii="Arial" w:cs="Arial" w:eastAsia="Arial" w:hAnsi="Arial"/>
                <w:sz w:val="23"/>
                <w:szCs w:val="23"/>
                <w:color w:val="auto"/>
                <w:vertAlign w:val="superscript"/>
              </w:rPr>
              <w:t>(1) (3)</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JV Project </w:t>
            </w:r>
            <w:r>
              <w:rPr>
                <w:rFonts w:ascii="Arial" w:cs="Arial" w:eastAsia="Arial" w:hAnsi="Arial"/>
                <w:sz w:val="23"/>
                <w:szCs w:val="23"/>
                <w:color w:val="auto"/>
                <w:vertAlign w:val="superscript"/>
              </w:rPr>
              <w:t>(1) (4)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Cowboy Pipeline (Cheyenne to Carr)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Eagle Ford Area Projects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St. James Terminal Expansions </w:t>
            </w:r>
            <w:r>
              <w:rPr>
                <w:rFonts w:ascii="Arial" w:cs="Arial" w:eastAsia="Arial" w:hAnsi="Arial"/>
                <w:sz w:val="23"/>
                <w:szCs w:val="23"/>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6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Cushing Terminal Expansions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Diamond Pipeline </w:t>
            </w:r>
            <w:r>
              <w:rPr>
                <w:rFonts w:ascii="Arial" w:cs="Arial" w:eastAsia="Arial" w:hAnsi="Arial"/>
                <w:sz w:val="23"/>
                <w:szCs w:val="23"/>
                <w:color w:val="auto"/>
                <w:vertAlign w:val="superscript"/>
              </w:rPr>
              <w:t>(1) (4)</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Mississippian Lime Pipeline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Pascagoula Pipeline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138"/>
        </w:trPr>
        <w:tc>
          <w:tcPr>
            <w:tcW w:w="6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337" w:right="239" w:bottom="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r>
      <w:tr>
        <w:trPr>
          <w:trHeight w:val="210"/>
        </w:trPr>
        <w:tc>
          <w:tcPr>
            <w:tcW w:w="6640" w:type="dxa"/>
            <w:vAlign w:val="bottom"/>
          </w:tcPr>
          <w:p>
            <w:pPr>
              <w:ind w:left="20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These projects will continue into 2016. See “—Liquidity and Capital Resources—Acquisitions, Capital Expenditures and Distributions Paid to Our Unitholders, General Partner and Noncontrolling Interests—2016 Capital Projects.”</w:t>
      </w:r>
    </w:p>
    <w:p>
      <w:pPr>
        <w:spacing w:after="0" w:line="170" w:lineRule="exact"/>
        <w:rPr>
          <w:sz w:val="20"/>
          <w:szCs w:val="20"/>
          <w:color w:val="auto"/>
        </w:rPr>
      </w:pPr>
    </w:p>
    <w:p>
      <w:pPr>
        <w:ind w:left="20" w:right="600" w:hanging="11"/>
        <w:spacing w:after="0" w:line="277" w:lineRule="auto"/>
        <w:rPr>
          <w:sz w:val="20"/>
          <w:szCs w:val="20"/>
          <w:color w:val="auto"/>
        </w:rPr>
      </w:pPr>
      <w:r>
        <w:rPr>
          <w:rFonts w:ascii="Arial" w:cs="Arial" w:eastAsia="Arial" w:hAnsi="Arial"/>
          <w:sz w:val="18"/>
          <w:szCs w:val="18"/>
          <w:color w:val="auto"/>
        </w:rPr>
        <w:t>Includes railcar purchases, as well as rail projects near St. James, LA; Tampa, CO; Bakersfield, CA; Carr, CO; Manitou, ND; Van Hook, ND; Yorktown, VA; and Kerrobert, Canada rail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40% investment interest in Saddlehorn.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Represents contributions related to our 50% investment interest.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4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pipeline, tankage and condensate stabilization.</w:t>
      </w:r>
    </w:p>
    <w:p>
      <w:pPr>
        <w:spacing w:after="0" w:line="20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overall increase in our expansion capital expenditures over the periods presented was primarily driven by our investment in midstream infrastructure projects to address the need for additional takeaway capacity in regions impacted by the increase in crude oil and liquids-rich gas production growth in North America, as well as the long-term needs of both the upstream and downstream sectors of the crude oil space. A majority of the expansion capital spent in the years presented was invested in our fee-based Transportation and Facilities segments.</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currently expect to spend approximately $1.5 billion for expansion capital in 2016. See “—Liquidity and Capital Resources—Acquisitions, Capital Expenditures and Distributions Paid to Our Unitholders, General Partner and Noncontrolling Interests—2016 Capital Projects” and “—Outlook”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adopted various accounting policies to prepare our consolidated financial statements in accordance with GAAP. These critical accounting policies are discussed in Note 2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believe that the assumptions, judgments and estimates involved in the accounting for our (i) purchase and sales accruals, (ii) estimated fair value of assets and liabilities acquired and identification of associated goodwill and intangible assets, (iii) fair value of derivatives, (iv) accruals and contingent liabilities, (v) equity-indexed compensation plan accruals, (vi) property and equipment, depreciation expense and asset retirement obligations,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so we consider these to be our critical accounting estimates. Such critical accounting estimates are discussed further as follows:</w:t>
      </w:r>
    </w:p>
    <w:p>
      <w:pPr>
        <w:spacing w:after="0" w:line="17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Purchase and Sales Accruals. </w:t>
      </w:r>
      <w:r>
        <w:rPr>
          <w:rFonts w:ascii="Arial" w:cs="Arial" w:eastAsia="Arial" w:hAnsi="Arial"/>
          <w:sz w:val="17"/>
          <w:szCs w:val="17"/>
          <w:color w:val="auto"/>
        </w:rPr>
        <w:t>We routinely make accruals based on estimates for certain components of our revenues and purchases and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due to the timing of compiling billing information, receiving third-party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2015, we estimate that approximately 2% of annual revenues and purchases and related costs were recorded using sales and purchase estimates. Accordingly, a hypothetical variance of 10% from both of these estimates, either up or down in tandem, would impact annual revenues, purchases and related costs, operating income and net income attributable to PAA by less than 1%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8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Fair Value of Assets and Liabilities Acquired and Identification of Associated Goodwill and Intangible Assets. </w:t>
      </w:r>
      <w:r>
        <w:rPr>
          <w:rFonts w:ascii="Arial" w:cs="Arial" w:eastAsia="Arial" w:hAnsi="Arial"/>
          <w:sz w:val="16"/>
          <w:szCs w:val="16"/>
          <w:color w:val="auto"/>
        </w:rPr>
        <w:t>In accordance with FASB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Any subsequent adjustments to this estimate, if material, will be recognized retroactive to the date of acquisition. With exception to acquisitions of equity method investments, we also expense the transaction costs as incurred in connection with each acquisition.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58" w:name="page59"/>
    <w:bookmarkEnd w:id="58"/>
    <w:p>
      <w:pPr>
        <w:ind w:right="20"/>
        <w:spacing w:after="0" w:line="342" w:lineRule="auto"/>
        <w:rPr>
          <w:sz w:val="20"/>
          <w:szCs w:val="20"/>
          <w:color w:val="auto"/>
        </w:rPr>
      </w:pPr>
      <w:r>
        <w:rPr>
          <w:rFonts w:ascii="Arial" w:cs="Arial" w:eastAsia="Arial" w:hAnsi="Arial"/>
          <w:sz w:val="16"/>
          <w:szCs w:val="16"/>
          <w:color w:val="auto"/>
        </w:rPr>
        <w:t>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Impairment testing entails estimating future net cash flows relating to the business, based on management’s estimate of future revenues, future cash flows and market conditions including pricing, demand, competition, operating costs and other factors, such as weighted average cost of capital.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Further, significant negative variances in the assumptions and estimates utilized in our forecasts, such as a continued decline in petroleum commodity prices or a sustained multi-year low petroleum commodity price environment that results in lower volumes and cash flows or further increases in our weighted average cost of capital assumption, could result in reporting unit carrying values in excess of fair values. See Note 6 to our Consolidated Financial Statements for a further discussion of goodwill.</w:t>
      </w:r>
    </w:p>
    <w:p>
      <w:pPr>
        <w:spacing w:after="0" w:line="17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 See Note 11 to our Consolidated Financial Statements for a discussion regarding our derivatives and risk management activities.</w:t>
      </w:r>
    </w:p>
    <w:p>
      <w:pPr>
        <w:spacing w:after="0" w:line="18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Equity-Indexed Compensation Plan Accruals. </w:t>
      </w:r>
      <w:r>
        <w:rPr>
          <w:rFonts w:ascii="Arial" w:cs="Arial" w:eastAsia="Arial" w:hAnsi="Arial"/>
          <w:sz w:val="17"/>
          <w:szCs w:val="17"/>
          <w:color w:val="auto"/>
        </w:rPr>
        <w:t>We accrue compensation expense (referred to herein as equity-indexed compensation expense) for</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the actual unit price at time of vesting, whether or not a performance condition will be attained and the continued employment of personnel with outstanding equity-indexed compensation awards. We cannot provide assurance that the actual fair value of our equity-indexed compensation awards will not vary significantly from estimated amounts.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recognized equity-indexed compensation expense of $27 million, $98 million and $116 million in 2015, 2014 and 2013, respectively, related to awards granted under our various equity-indexed compensation plans. A hypothetical variance of 5% in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aggregate estimate for the equity-indexed compensation expense would have an impact on net income attributable to PAA of less than 1%. See Note 15 to our Consolidated Financial Statements for a discussion regarding our equity-indexed compensation plans.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Property and Equipment, Depreciation Expense and Asset Retirement Obligations. </w:t>
      </w:r>
      <w:r>
        <w:rPr>
          <w:rFonts w:ascii="Arial" w:cs="Arial" w:eastAsia="Arial" w:hAnsi="Arial"/>
          <w:sz w:val="18"/>
          <w:szCs w:val="18"/>
          <w:color w:val="auto"/>
        </w:rPr>
        <w:t>We compute depreciation using the straight-line method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187" w:lineRule="exact"/>
        <w:rPr>
          <w:sz w:val="20"/>
          <w:szCs w:val="20"/>
          <w:color w:val="auto"/>
        </w:rPr>
      </w:pPr>
    </w:p>
    <w:p>
      <w:pPr>
        <w:ind w:left="940" w:hanging="284"/>
        <w:spacing w:after="0"/>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ectPr>
          <w:pgSz w:w="11900" w:h="16838" w:orient="portrait"/>
          <w:cols w:equalWidth="0" w:num="1">
            <w:col w:w="11420"/>
          </w:cols>
          <w:pgMar w:left="240" w:top="341" w:right="239" w:bottom="0" w:gutter="0" w:footer="0" w:header="0"/>
        </w:sectPr>
      </w:pPr>
    </w:p>
    <w:bookmarkStart w:id="59" w:name="page60"/>
    <w:bookmarkEnd w:id="59"/>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did not recognize any material impairment of long-lived assets during the three years ending December 31, 2015. See Note 5 to our Consolidated Financial Statements for further discussion regarding impairments.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2015, 2014 and 2013) and generally limited to specific customer circumstances; however, credit risks can change suddenly and without notice. See Note 2 to our Consolidated Financial Statements for additional discussion.</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NGL and natural gas and is valued at the lower of</w:t>
      </w:r>
      <w:r>
        <w:rPr>
          <w:rFonts w:ascii="Arial" w:cs="Arial" w:eastAsia="Arial" w:hAnsi="Arial"/>
          <w:sz w:val="18"/>
          <w:szCs w:val="18"/>
          <w:i w:val="1"/>
          <w:iCs w:val="1"/>
          <w:color w:val="auto"/>
        </w:rPr>
        <w:t xml:space="preserve"> </w:t>
      </w:r>
      <w:r>
        <w:rPr>
          <w:rFonts w:ascii="Arial" w:cs="Arial" w:eastAsia="Arial" w:hAnsi="Arial"/>
          <w:sz w:val="18"/>
          <w:szCs w:val="18"/>
          <w:color w:val="auto"/>
        </w:rPr>
        <w:t>cost or market,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2015, 2014 and 2013, we recorded charges of $117 million, $289 million and $7 million, respectively, related to the valuation adjustment of our crude oil, NGL and natural gas inventory due to declines in prices. See Note 4 to our Consolidated Financial Statements for further discussion regarding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See Note 2 to our Consolidated Financial Statements for information regarding the effect of recent accounting pronouncements on our consolidated financial statements, including the impact of our adoption of revised debt issuance costs guidance on prior period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8"/>
            <w:vMerge w:val="restart"/>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8"/>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2015-2014</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Supply and Logistics segment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(401)</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ind w:left="180"/>
              <w:spacing w:after="0"/>
              <w:rPr>
                <w:sz w:val="20"/>
                <w:szCs w:val="20"/>
                <w:color w:val="auto"/>
              </w:rPr>
            </w:pPr>
            <w:r>
              <w:rPr>
                <w:rFonts w:ascii="Arial" w:cs="Arial" w:eastAsia="Arial" w:hAnsi="Arial"/>
                <w:sz w:val="18"/>
                <w:szCs w:val="18"/>
                <w:color w:val="auto"/>
              </w:rPr>
              <w:t>Total segment profit</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w:t>
            </w:r>
          </w:p>
        </w:tc>
        <w:tc>
          <w:tcPr>
            <w:tcW w:w="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net income per common unit</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(67)%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Diluted net income per common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unit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2.80</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0"/>
                <w:szCs w:val="20"/>
                <w:color w:val="auto"/>
              </w:rPr>
            </w:pPr>
          </w:p>
        </w:tc>
        <w:tc>
          <w:tcPr>
            <w:tcW w:w="1160" w:type="dxa"/>
            <w:vAlign w:val="bottom"/>
            <w:gridSpan w:val="3"/>
          </w:tcPr>
          <w:p>
            <w:pPr>
              <w:jc w:val="right"/>
              <w:ind w:right="85"/>
              <w:spacing w:after="0"/>
              <w:rPr>
                <w:sz w:val="20"/>
                <w:szCs w:val="20"/>
                <w:color w:val="auto"/>
              </w:rPr>
            </w:pPr>
            <w:r>
              <w:rPr>
                <w:rFonts w:ascii="Arial" w:cs="Arial" w:eastAsia="Arial" w:hAnsi="Arial"/>
                <w:sz w:val="18"/>
                <w:szCs w:val="18"/>
                <w:color w:val="auto"/>
              </w:rPr>
              <w:t>(68)% $</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common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outstanding</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5"/>
              </w:rPr>
              <w:t>Diluted weighted average common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units outstanding</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w:t>
      </w:r>
    </w:p>
    <w:p>
      <w:pPr>
        <w:sectPr>
          <w:pgSz w:w="11900" w:h="16838" w:orient="portrait"/>
          <w:cols w:equalWidth="0" w:num="1">
            <w:col w:w="11420"/>
          </w:cols>
          <w:pgMar w:left="240" w:top="341" w:right="239" w:bottom="0" w:gutter="0" w:footer="0" w:header="0"/>
        </w:sectPr>
      </w:pPr>
    </w:p>
    <w:bookmarkStart w:id="60" w:name="page61"/>
    <w:bookmarkEnd w:id="60"/>
    <w:p>
      <w:pPr>
        <w:ind w:right="20"/>
        <w:spacing w:after="0" w:line="270" w:lineRule="auto"/>
        <w:rPr>
          <w:sz w:val="20"/>
          <w:szCs w:val="20"/>
          <w:color w:val="auto"/>
        </w:rPr>
      </w:pPr>
      <w:r>
        <w:rPr>
          <w:rFonts w:ascii="Arial" w:cs="Arial" w:eastAsia="Arial" w:hAnsi="Arial"/>
          <w:sz w:val="17"/>
          <w:szCs w:val="17"/>
          <w:color w:val="auto"/>
        </w:rPr>
        <w:t>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 activities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Consolidated Financial Statements and footnotes.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8"/>
            <w:vMerge w:val="restart"/>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8"/>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2015-2014</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1,870</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2,289</w:t>
            </w:r>
          </w:p>
        </w:tc>
        <w:tc>
          <w:tcPr>
            <w:tcW w:w="1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2,168</w:t>
            </w:r>
          </w:p>
        </w:tc>
        <w:tc>
          <w:tcPr>
            <w:tcW w:w="240" w:type="dxa"/>
            <w:vAlign w:val="bottom"/>
            <w:tcBorders>
              <w:right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vMerge w:val="continue"/>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rPr>
              <w:t>Selected Items Impacting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Comparability of EBITDA</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Gains/(losses) from derivative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 net of inventory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(145)% $</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Long-term inventory costing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Net gain/(loss) on foreign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currency revaluation </w:t>
            </w:r>
            <w:r>
              <w:rPr>
                <w:rFonts w:ascii="Arial" w:cs="Arial" w:eastAsia="Arial" w:hAnsi="Arial"/>
                <w:sz w:val="23"/>
                <w:szCs w:val="23"/>
                <w:color w:val="auto"/>
                <w:vertAlign w:val="superscript"/>
              </w:rPr>
              <w:t>(4)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5"/>
              <w:spacing w:after="0"/>
              <w:rPr>
                <w:sz w:val="20"/>
                <w:szCs w:val="20"/>
                <w:color w:val="auto"/>
              </w:rPr>
            </w:pPr>
            <w:r>
              <w:rPr>
                <w:rFonts w:ascii="Arial" w:cs="Arial" w:eastAsia="Arial" w:hAnsi="Arial"/>
                <w:sz w:val="18"/>
                <w:szCs w:val="18"/>
                <w:color w:val="auto"/>
              </w:rPr>
              <w:t>N/A</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45"/>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w:t>
            </w: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32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46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5"/>
                <w:szCs w:val="15"/>
                <w:color w:val="auto"/>
              </w:rPr>
            </w:pPr>
          </w:p>
        </w:tc>
        <w:tc>
          <w:tcPr>
            <w:tcW w:w="1160" w:type="dxa"/>
            <w:vAlign w:val="bottom"/>
            <w:gridSpan w:val="3"/>
            <w:vMerge w:val="restart"/>
            <w:shd w:val="clear" w:color="auto" w:fill="CCEEFF"/>
          </w:tcPr>
          <w:p>
            <w:pPr>
              <w:jc w:val="right"/>
              <w:ind w:right="85"/>
              <w:spacing w:after="0"/>
              <w:rPr>
                <w:sz w:val="20"/>
                <w:szCs w:val="20"/>
                <w:color w:val="auto"/>
              </w:rPr>
            </w:pPr>
            <w:r>
              <w:rPr>
                <w:rFonts w:ascii="Arial" w:cs="Arial" w:eastAsia="Arial" w:hAnsi="Arial"/>
                <w:sz w:val="18"/>
                <w:szCs w:val="18"/>
                <w:color w:val="auto"/>
              </w:rPr>
              <w:t>(435)% $</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Comparability of EBITDA</w:t>
            </w:r>
          </w:p>
        </w:tc>
        <w:tc>
          <w:tcPr>
            <w:tcW w:w="1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40" w:type="dxa"/>
            <w:vAlign w:val="bottom"/>
            <w:tcBorders>
              <w:right w:val="single" w:sz="8" w:color="auto"/>
            </w:tcBorders>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(18)% $</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Comparability of EBITDA</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2,292</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 earnings in</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unconsolidated entities, net of</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1,133%</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Distributions to noncontrolling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interests </w:t>
            </w:r>
            <w:r>
              <w:rPr>
                <w:rFonts w:ascii="Arial" w:cs="Arial" w:eastAsia="Arial" w:hAnsi="Arial"/>
                <w:sz w:val="23"/>
                <w:szCs w:val="23"/>
                <w:color w:val="auto"/>
                <w:vertAlign w:val="superscript"/>
              </w:rPr>
              <w:t>(9)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shd w:val="clear" w:color="auto" w:fill="CCEEFF"/>
          </w:tcPr>
          <w:p>
            <w:pPr>
              <w:spacing w:after="0" w:line="23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(10)</w:t>
            </w: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paid </w:t>
            </w:r>
            <w:r>
              <w:rPr>
                <w:rFonts w:ascii="Arial" w:cs="Arial" w:eastAsia="Arial" w:hAnsi="Arial"/>
                <w:sz w:val="23"/>
                <w:szCs w:val="23"/>
                <w:color w:val="auto"/>
                <w:vertAlign w:val="superscript"/>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3"/>
                <w:szCs w:val="23"/>
                <w:color w:val="auto"/>
                <w:vertAlign w:val="superscript"/>
              </w:rPr>
              <w:t>(11)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0" w:hanging="11"/>
        <w:spacing w:after="0" w:line="255"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corresponding inventory valuation adjustments, as applicable. See Note 11 to our Consolidated Financial Statements for a comprehensive discussion regarding our derivatives and risk management activities.</w:t>
      </w:r>
    </w:p>
    <w:p>
      <w:pPr>
        <w:spacing w:after="0" w:line="189" w:lineRule="exact"/>
        <w:rPr>
          <w:sz w:val="20"/>
          <w:szCs w:val="20"/>
          <w:color w:val="auto"/>
        </w:rPr>
      </w:pPr>
    </w:p>
    <w:p>
      <w:pPr>
        <w:ind w:right="260" w:hanging="11"/>
        <w:spacing w:after="0" w:line="264" w:lineRule="auto"/>
        <w:rPr>
          <w:sz w:val="20"/>
          <w:szCs w:val="20"/>
          <w:color w:val="auto"/>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w:t>
      </w:r>
    </w:p>
    <w:p>
      <w:pPr>
        <w:spacing w:after="0" w:line="181"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61" w:name="page62"/>
    <w:bookmarkEnd w:id="61"/>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as a selected item impacting comparability. During 2015 and 2014, crude oil and NGL prices decreased significantly resulting in inventory valuation adjustments. See Note 4 to our Consolidated Financial Statements for additional inventory disclosures.</w:t>
      </w:r>
    </w:p>
    <w:p>
      <w:pPr>
        <w:spacing w:after="0" w:line="187" w:lineRule="exact"/>
        <w:rPr>
          <w:sz w:val="20"/>
          <w:szCs w:val="20"/>
          <w:color w:val="auto"/>
        </w:rPr>
      </w:pPr>
    </w:p>
    <w:p>
      <w:pPr>
        <w:ind w:left="660" w:right="20" w:hanging="652"/>
        <w:spacing w:after="0" w:line="243"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is not considered a selected item impacting comparability. See Note 15 to our Consolidated Financial Statements for a comprehensive discussion regarding our equity-indexed compensation plans.</w:t>
      </w:r>
    </w:p>
    <w:p>
      <w:pPr>
        <w:spacing w:after="0" w:line="203" w:lineRule="exact"/>
        <w:rPr>
          <w:rFonts w:ascii="Arial" w:cs="Arial" w:eastAsia="Arial" w:hAnsi="Arial"/>
          <w:sz w:val="23"/>
          <w:szCs w:val="23"/>
          <w:color w:val="auto"/>
          <w:vertAlign w:val="superscript"/>
        </w:rPr>
      </w:pPr>
    </w:p>
    <w:p>
      <w:pPr>
        <w:jc w:val="both"/>
        <w:ind w:left="660" w:right="120" w:hanging="652"/>
        <w:spacing w:after="0" w:line="269" w:lineRule="auto"/>
        <w:tabs>
          <w:tab w:leader="none" w:pos="648"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During 2015, 2014 and 2013, there were fluctuations in the value of the Canadian dollar (“CAD”) to the U.S. dollar (“USD”), resulting in gains and losses that were not related to our core operating results for the period and were thus classified as selected items impacting comparability. See Note 11 to our Consolidated Financial Statements for further discussion regarding our currency exchange rate risk hedging activities.</w:t>
      </w:r>
    </w:p>
    <w:p>
      <w:pPr>
        <w:sectPr>
          <w:pgSz w:w="11900" w:h="16900" w:orient="portrait"/>
          <w:cols w:equalWidth="0" w:num="1">
            <w:col w:w="11420"/>
          </w:cols>
          <w:pgMar w:left="240" w:top="368" w:right="23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costs related to the Line 901 incident that occurred in May 2015, net of amounts we believe are probable of recovery from insurance. See Note 16 to our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other immaterial selected items impacting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37" w:lineRule="exact"/>
        <w:rPr>
          <w:sz w:val="20"/>
          <w:szCs w:val="20"/>
          <w:color w:val="auto"/>
        </w:rPr>
      </w:pPr>
    </w:p>
    <w:p>
      <w:pPr>
        <w:ind w:left="20" w:right="160" w:hanging="11"/>
        <w:spacing w:after="0" w:line="277" w:lineRule="auto"/>
        <w:rPr>
          <w:sz w:val="20"/>
          <w:szCs w:val="20"/>
          <w:color w:val="auto"/>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distributions that pertain to the current period’s net income and are paid in the subsequent period.</w:t>
      </w:r>
    </w:p>
    <w:p>
      <w:pPr>
        <w:spacing w:after="0" w:line="200" w:lineRule="exact"/>
        <w:rPr>
          <w:sz w:val="20"/>
          <w:szCs w:val="20"/>
          <w:color w:val="auto"/>
        </w:rPr>
      </w:pPr>
    </w:p>
    <w:p>
      <w:pPr>
        <w:sectPr>
          <w:pgSz w:w="11900" w:h="16900" w:orient="portrait"/>
          <w:cols w:equalWidth="0" w:num="2">
            <w:col w:w="160" w:space="480"/>
            <w:col w:w="10780"/>
          </w:cols>
          <w:pgMar w:left="240" w:top="368" w:right="239" w:bottom="0" w:gutter="0" w:footer="0" w:header="0"/>
          <w:type w:val="continuous"/>
        </w:sectPr>
      </w:pPr>
    </w:p>
    <w:p>
      <w:pPr>
        <w:spacing w:after="0" w:line="25" w:lineRule="exact"/>
        <w:rPr>
          <w:sz w:val="20"/>
          <w:szCs w:val="20"/>
          <w:color w:val="auto"/>
        </w:rPr>
      </w:pPr>
    </w:p>
    <w:p>
      <w:pPr>
        <w:ind w:left="660" w:right="60" w:hanging="634"/>
        <w:spacing w:after="0" w:line="267" w:lineRule="auto"/>
        <w:tabs>
          <w:tab w:leader="none" w:pos="643" w:val="left"/>
        </w:tabs>
        <w:numPr>
          <w:ilvl w:val="1"/>
          <w:numId w:val="45"/>
        </w:numPr>
        <w:rPr>
          <w:rFonts w:ascii="Arial" w:cs="Arial" w:eastAsia="Arial" w:hAnsi="Arial"/>
          <w:sz w:val="21"/>
          <w:szCs w:val="21"/>
          <w:color w:val="auto"/>
          <w:vertAlign w:val="superscript"/>
        </w:rPr>
      </w:pPr>
      <w:r>
        <w:rPr>
          <w:rFonts w:ascii="Arial" w:cs="Arial" w:eastAsia="Arial" w:hAnsi="Arial"/>
          <w:sz w:val="16"/>
          <w:szCs w:val="16"/>
          <w:color w:val="auto"/>
        </w:rPr>
        <w:t>Including costs of $83 million related to the Line 901 incident that occurred in May 2015, Implied DCF would have been $1,391 million for the year ended December 31, 2015. See Note 16 to our Consolidated Financial Statements for additional information regarding the Line 901 incident.</w:t>
      </w:r>
    </w:p>
    <w:p>
      <w:pPr>
        <w:spacing w:after="0" w:line="174" w:lineRule="exact"/>
        <w:rPr>
          <w:rFonts w:ascii="Arial" w:cs="Arial" w:eastAsia="Arial" w:hAnsi="Arial"/>
          <w:sz w:val="21"/>
          <w:szCs w:val="21"/>
          <w:color w:val="auto"/>
          <w:vertAlign w:val="superscript"/>
        </w:rPr>
      </w:pPr>
    </w:p>
    <w:p>
      <w:pPr>
        <w:ind w:left="660" w:right="340" w:hanging="652"/>
        <w:spacing w:after="0" w:line="238" w:lineRule="auto"/>
        <w:tabs>
          <w:tab w:leader="none" w:pos="634"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DCF shortages are funded from previously established reserves, cash on hand or from borrowings under our credit facilities or commercial paper program. Excess DCF is retained to establish reserves for future distributions, capital expenditures and other partnership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for a definition of segment profit (including an explanation of why this is a performance measure) and a reconciliation of segment profit to net income attributable to PAA.</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each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720" w:type="dxa"/>
            <w:vAlign w:val="bottom"/>
          </w:tcPr>
          <w:p>
            <w:pPr>
              <w:spacing w:after="0"/>
              <w:rPr>
                <w:sz w:val="14"/>
                <w:szCs w:val="14"/>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Favorable/(Unfavorable) Variance</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628"/>
              <w:spacing w:after="0" w:line="142" w:lineRule="exact"/>
              <w:rPr>
                <w:sz w:val="20"/>
                <w:szCs w:val="20"/>
                <w:color w:val="auto"/>
              </w:rPr>
            </w:pPr>
            <w:r>
              <w:rPr>
                <w:rFonts w:ascii="Arial" w:cs="Arial" w:eastAsia="Arial" w:hAnsi="Arial"/>
                <w:sz w:val="14"/>
                <w:szCs w:val="14"/>
                <w:b w:val="1"/>
                <w:bCs w:val="1"/>
                <w:color w:val="auto"/>
              </w:rPr>
              <w:t>2015-2014</w:t>
            </w:r>
          </w:p>
        </w:tc>
        <w:tc>
          <w:tcPr>
            <w:tcW w:w="28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2014-2013</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368" w:right="239" w:bottom="0" w:gutter="0" w:footer="0" w:header="0"/>
          <w:type w:val="continuous"/>
        </w:sectPr>
      </w:pPr>
    </w:p>
    <w:bookmarkStart w:id="62" w:name="page63"/>
    <w:bookmarkEnd w:id="6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1,655</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1,498</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 - operations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expense - general 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220" w:type="dxa"/>
            <w:vAlign w:val="bottom"/>
            <w:vMerge w:val="continue"/>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13%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2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240" w:type="dxa"/>
            <w:vAlign w:val="bottom"/>
            <w:tcBorders>
              <w:right w:val="single" w:sz="8" w:color="auto"/>
            </w:tcBorders>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00" w:type="dxa"/>
            <w:vAlign w:val="bottom"/>
          </w:tcPr>
          <w:p>
            <w:pPr>
              <w:spacing w:after="0"/>
              <w:rPr>
                <w:sz w:val="24"/>
                <w:szCs w:val="24"/>
                <w:color w:val="auto"/>
              </w:rPr>
            </w:pPr>
          </w:p>
        </w:tc>
        <w:tc>
          <w:tcPr>
            <w:tcW w:w="22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7"/>
              </w:rPr>
              <w:t>Favorable/(Unfavorable) Variance</w:t>
            </w:r>
          </w:p>
        </w:tc>
        <w:tc>
          <w:tcPr>
            <w:tcW w:w="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2014-2013</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6"/>
                <w:szCs w:val="16"/>
                <w:b w:val="1"/>
                <w:bCs w:val="1"/>
                <w:color w:val="auto"/>
                <w:vertAlign w:val="superscript"/>
              </w:rPr>
              <w:t>(4)</w:t>
            </w:r>
          </w:p>
        </w:tc>
        <w:tc>
          <w:tcPr>
            <w:tcW w:w="200" w:type="dxa"/>
            <w:vAlign w:val="bottom"/>
          </w:tcPr>
          <w:p>
            <w:pPr>
              <w:spacing w:after="0"/>
              <w:rPr>
                <w:sz w:val="12"/>
                <w:szCs w:val="12"/>
                <w:color w:val="auto"/>
              </w:rPr>
            </w:pPr>
          </w:p>
        </w:tc>
        <w:tc>
          <w:tcPr>
            <w:tcW w:w="7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Volumes</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Volumes</w:t>
            </w:r>
          </w:p>
        </w:tc>
        <w:tc>
          <w:tcPr>
            <w:tcW w:w="60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 volumes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360"/>
              <w:spacing w:after="0"/>
              <w:rPr>
                <w:sz w:val="20"/>
                <w:szCs w:val="20"/>
                <w:color w:val="auto"/>
              </w:rPr>
            </w:pPr>
            <w:r>
              <w:rPr>
                <w:rFonts w:ascii="Arial" w:cs="Arial" w:eastAsia="Arial" w:hAnsi="Arial"/>
                <w:sz w:val="18"/>
                <w:szCs w:val="18"/>
                <w:color w:val="auto"/>
              </w:rPr>
              <w:t>Central</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8"/>
                <w:szCs w:val="18"/>
                <w:color w:val="auto"/>
              </w:rPr>
              <w:t>Crude oil pipelines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3,766</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3,277</w:t>
            </w:r>
          </w:p>
        </w:tc>
        <w:tc>
          <w:tcPr>
            <w:tcW w:w="24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Refined products pipelines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3"/>
          </w:tcPr>
          <w:p>
            <w:pPr>
              <w:jc w:val="right"/>
              <w:ind w:right="33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Trucking volumes</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71"/>
              <w:spacing w:after="0"/>
              <w:rPr>
                <w:sz w:val="20"/>
                <w:szCs w:val="20"/>
                <w:color w:val="auto"/>
              </w:rPr>
            </w:pPr>
            <w:r>
              <w:rPr>
                <w:rFonts w:ascii="Arial" w:cs="Arial" w:eastAsia="Arial" w:hAnsi="Arial"/>
                <w:sz w:val="18"/>
                <w:szCs w:val="18"/>
                <w:color w:val="auto"/>
                <w:w w:val="99"/>
              </w:rPr>
              <w:t>84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100" w:hanging="25"/>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Average daily volumes are calculated as the total volumes (attributable to our interest) for the year divided by the number of days in the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Area systems include volumes (attributable to our interest) from pipelines owned by unconsolidated entities.</w:t>
      </w:r>
    </w:p>
    <w:p>
      <w:pPr>
        <w:spacing w:after="0" w:line="200" w:lineRule="exact"/>
        <w:rPr>
          <w:sz w:val="20"/>
          <w:szCs w:val="20"/>
          <w:color w:val="auto"/>
        </w:rPr>
      </w:pPr>
    </w:p>
    <w:p>
      <w:pPr>
        <w:sectPr>
          <w:pgSz w:w="11900" w:h="16900" w:orient="portrait"/>
          <w:cols w:equalWidth="0" w:num="2">
            <w:col w:w="140" w:space="500"/>
            <w:col w:w="10820"/>
          </w:cols>
          <w:pgMar w:left="240" w:top="140" w:right="199" w:bottom="0" w:gutter="0" w:footer="0" w:header="0"/>
          <w:type w:val="continuous"/>
        </w:sectPr>
      </w:pPr>
    </w:p>
    <w:p>
      <w:pPr>
        <w:spacing w:after="0" w:line="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Net Operating Revenues, Equity Earnings and Volumes. </w:t>
      </w:r>
      <w:r>
        <w:rPr>
          <w:rFonts w:ascii="Arial" w:cs="Arial" w:eastAsia="Arial" w:hAnsi="Arial"/>
          <w:sz w:val="18"/>
          <w:szCs w:val="18"/>
          <w:color w:val="auto"/>
        </w:rPr>
        <w:t>As noted in the table above, our total Transportation segment revenues, net of trucking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year ended December 31, 2015 compared to the year ended December 31, 2014, but increased for the year ended December 31, 2014 compared to the year ended December 31, 2013. Equity earnings in unconsolidated entities and average daily volumes increased year-over-year for each of the comparative periods presented. The following table presents the net revenue and equity earnings variances by type of revenue, product and region for the comparative periods presented:</w:t>
      </w:r>
    </w:p>
    <w:p>
      <w:pPr>
        <w:sectPr>
          <w:pgSz w:w="11900" w:h="16900" w:orient="portrait"/>
          <w:cols w:equalWidth="0" w:num="1">
            <w:col w:w="11460"/>
          </w:cols>
          <w:pgMar w:left="240" w:top="140" w:right="199" w:bottom="0" w:gutter="0" w:footer="0" w:header="0"/>
          <w:type w:val="continuous"/>
        </w:sectPr>
      </w:pP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Favorable/(Unfavorable) Variance</w:t>
            </w:r>
          </w:p>
        </w:tc>
        <w:tc>
          <w:tcPr>
            <w:tcW w:w="180" w:type="dxa"/>
            <w:vAlign w:val="bottom"/>
          </w:tcPr>
          <w:p>
            <w:pPr>
              <w:spacing w:after="0"/>
              <w:rPr>
                <w:sz w:val="14"/>
                <w:szCs w:val="14"/>
                <w:color w:val="auto"/>
              </w:rPr>
            </w:pPr>
          </w:p>
        </w:tc>
        <w:tc>
          <w:tcPr>
            <w:tcW w:w="3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w w:val="96"/>
              </w:rPr>
              <w:t>2015 - 2014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w w:val="93"/>
              </w:rPr>
              <w:t>2014 - 2013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140" w:type="dxa"/>
            <w:vAlign w:val="bottom"/>
          </w:tcPr>
          <w:p>
            <w:pPr>
              <w:ind w:left="260"/>
              <w:spacing w:after="0" w:line="142" w:lineRule="exact"/>
              <w:rPr>
                <w:sz w:val="20"/>
                <w:szCs w:val="20"/>
                <w:color w:val="auto"/>
              </w:rPr>
            </w:pPr>
            <w:r>
              <w:rPr>
                <w:rFonts w:ascii="Arial" w:cs="Arial" w:eastAsia="Arial" w:hAnsi="Arial"/>
                <w:sz w:val="14"/>
                <w:szCs w:val="14"/>
                <w:b w:val="1"/>
                <w:bCs w:val="1"/>
                <w:color w:val="auto"/>
                <w:w w:val="92"/>
              </w:rPr>
              <w:t>Net Revenues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Equity 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260"/>
              <w:spacing w:after="0" w:line="142" w:lineRule="exact"/>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Equity Earnings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60"/>
          </w:cols>
          <w:pgMar w:left="240" w:top="140" w:right="199" w:bottom="0" w:gutter="0" w:footer="0" w:header="0"/>
          <w:type w:val="continuous"/>
        </w:sectPr>
      </w:pPr>
    </w:p>
    <w:bookmarkStart w:id="63" w:name="page64"/>
    <w:bookmarkEnd w:id="63"/>
    <w:tbl>
      <w:tblPr>
        <w:tblLayout w:type="fixed"/>
        <w:tblInd w:w="66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Permian Basin region</w:t>
            </w:r>
          </w:p>
        </w:tc>
        <w:tc>
          <w:tcPr>
            <w:tcW w:w="9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7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Texas / Eagle Ford region</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Western region</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pipelines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tcPr>
          <w:p>
            <w:pPr>
              <w:ind w:left="180"/>
              <w:spacing w:after="0" w:line="201" w:lineRule="exact"/>
              <w:rPr>
                <w:sz w:val="20"/>
                <w:szCs w:val="20"/>
                <w:color w:val="auto"/>
              </w:rPr>
            </w:pPr>
            <w:r>
              <w:rPr>
                <w:rFonts w:ascii="Arial" w:cs="Arial" w:eastAsia="Arial" w:hAnsi="Arial"/>
                <w:sz w:val="18"/>
                <w:szCs w:val="18"/>
                <w:color w:val="auto"/>
              </w:rPr>
              <w:t>Other (including pipeline loss allowance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4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Tariff activities total</w:t>
            </w:r>
          </w:p>
        </w:tc>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Trucking</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268"/>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Tariff activities —</w:t>
      </w:r>
    </w:p>
    <w:p>
      <w:pPr>
        <w:spacing w:after="0" w:line="225" w:lineRule="exact"/>
        <w:rPr>
          <w:rFonts w:ascii="Arial" w:cs="Arial" w:eastAsia="Arial" w:hAnsi="Arial"/>
          <w:sz w:val="18"/>
          <w:szCs w:val="18"/>
          <w:color w:val="auto"/>
        </w:rPr>
      </w:pPr>
    </w:p>
    <w:p>
      <w:pPr>
        <w:ind w:left="1300" w:right="20" w:hanging="320"/>
        <w:spacing w:after="0" w:line="264" w:lineRule="auto"/>
        <w:tabs>
          <w:tab w:leader="none" w:pos="125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for 2015 over 2014 was primarily driven by results from (i) our Cactus pipeline,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placed in service in April 2015, and (ii) higher volumes related to increased production, primarily associated with the expansion of our pipeline system in the Delaware Basin.</w:t>
      </w:r>
    </w:p>
    <w:p>
      <w:pPr>
        <w:spacing w:after="0" w:line="181"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Revenues increased for 2014 over 2013 primarily due to (i) higher volumes related to increased production and new pipeline connections and (ii) higher pumpover movements at our Basin pipeline terminal.</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increase in equity earnings for each of the comparative periods presented was driven by earnings from our interest in BridgeTex, which we acquired in November 2014.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560" w:hanging="320"/>
        <w:spacing w:after="0" w:line="277" w:lineRule="auto"/>
        <w:tabs>
          <w:tab w:leader="none" w:pos="125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increased for each of the comparative periods due to higher volumes driven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and the extension of our gathering system.</w:t>
      </w:r>
    </w:p>
    <w:p>
      <w:pPr>
        <w:spacing w:after="0" w:line="170"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Equity earnings increased for each of the comparative periods presented due to higher earnings from our interest in Eagle Ford Pipeline LLC, primarily driven by higher throughput on the Eagle Ford pipeline system. The higher throughput in 2015 compared to 2014 was due to a combination of (i) the connection to our Cactus pipeline in April 2015, (ii) the completion of an expansion of the pipeline system in August 2015 and (iii) increased crude oil production in the Eagle Ford region. The higher throughput for 2014 compared to 2013 was primarily due to increased crude oil production in the Eagle Ford region.</w:t>
      </w:r>
    </w:p>
    <w:p>
      <w:pPr>
        <w:spacing w:after="0" w:line="188" w:lineRule="exact"/>
        <w:rPr>
          <w:sz w:val="20"/>
          <w:szCs w:val="20"/>
          <w:color w:val="auto"/>
        </w:rPr>
      </w:pPr>
    </w:p>
    <w:p>
      <w:pPr>
        <w:ind w:left="1300" w:right="180" w:hanging="320"/>
        <w:spacing w:after="0" w:line="264" w:lineRule="auto"/>
        <w:tabs>
          <w:tab w:leader="none" w:pos="125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Revenues and volumes decreased for 2015 as compared to 2014 primarily due to pipeline downtime on our All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associated with the Line 901 incident that occurred in the second quarter of 2015. See Note 16 to our Consolidated Financial Statements for additional information regarding this incident.</w:t>
      </w:r>
    </w:p>
    <w:p>
      <w:pPr>
        <w:spacing w:after="0" w:line="181" w:lineRule="exact"/>
        <w:rPr>
          <w:rFonts w:ascii="Arial" w:cs="Arial" w:eastAsia="Arial" w:hAnsi="Arial"/>
          <w:sz w:val="18"/>
          <w:szCs w:val="18"/>
          <w:color w:val="auto"/>
        </w:rPr>
      </w:pPr>
    </w:p>
    <w:p>
      <w:pPr>
        <w:ind w:left="1300" w:right="120" w:hanging="320"/>
        <w:spacing w:after="0" w:line="277" w:lineRule="auto"/>
        <w:tabs>
          <w:tab w:leader="none" w:pos="125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Canada. </w:t>
      </w:r>
      <w:r>
        <w:rPr>
          <w:rFonts w:ascii="Arial" w:cs="Arial" w:eastAsia="Arial" w:hAnsi="Arial"/>
          <w:sz w:val="18"/>
          <w:szCs w:val="18"/>
          <w:color w:val="auto"/>
        </w:rPr>
        <w:t>Revenues decreased for 2015 as compared to 2014 due to unfavorable foreign exchange impacts of $38 million, which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offset revenue increases from higher tariff rates on certain of our pipelines and related system assets.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Revenues increased for 2014 over 2013 primarily due to (i) rate increases on certain of our pipelines and related system assets,</w:t>
      </w:r>
    </w:p>
    <w:p>
      <w:pPr>
        <w:spacing w:after="0" w:line="35" w:lineRule="exact"/>
        <w:rPr>
          <w:sz w:val="20"/>
          <w:szCs w:val="20"/>
          <w:color w:val="auto"/>
        </w:rPr>
      </w:pPr>
    </w:p>
    <w:p>
      <w:pPr>
        <w:ind w:left="1300" w:right="20"/>
        <w:spacing w:after="0" w:line="271" w:lineRule="auto"/>
        <w:rPr>
          <w:sz w:val="20"/>
          <w:szCs w:val="20"/>
          <w:color w:val="auto"/>
        </w:rPr>
      </w:pPr>
      <w:r>
        <w:rPr>
          <w:rFonts w:ascii="Arial" w:cs="Arial" w:eastAsia="Arial" w:hAnsi="Arial"/>
          <w:sz w:val="17"/>
          <w:szCs w:val="17"/>
          <w:color w:val="auto"/>
        </w:rPr>
        <w:t>(ii) additional revenues from a reclassification of certain storage facilities from our Facilities segment to our Transportation segment during the second quarter of 2014, (iii) higher revenues from our Rangeland and South Saskatchewan pipelines, as they were shut down in the second and third quarters of 2013 due to high river flow rates and flooding in the surrounding area and (iv) incremental volumes and revenues from our Wascana pipeline, which was reactivated during the second quarter of 2014 and was connected to our Bakken North pipeline system. Such increases were partially offset by unfavorable foreign exchange impacts of $16 million.</w:t>
      </w:r>
    </w:p>
    <w:p>
      <w:pPr>
        <w:spacing w:after="0" w:line="178" w:lineRule="exact"/>
        <w:rPr>
          <w:sz w:val="20"/>
          <w:szCs w:val="20"/>
          <w:color w:val="auto"/>
        </w:rPr>
      </w:pPr>
    </w:p>
    <w:p>
      <w:pPr>
        <w:ind w:left="1300" w:right="280" w:hanging="320"/>
        <w:spacing w:after="0" w:line="277" w:lineRule="auto"/>
        <w:tabs>
          <w:tab w:leader="none" w:pos="125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NGL pipelines. </w:t>
      </w:r>
      <w:r>
        <w:rPr>
          <w:rFonts w:ascii="Arial" w:cs="Arial" w:eastAsia="Arial" w:hAnsi="Arial"/>
          <w:sz w:val="18"/>
          <w:szCs w:val="18"/>
          <w:color w:val="auto"/>
        </w:rPr>
        <w:t>Revenues and volumes from our NGL pipelines were relatively consistent for 2015 compared to 2014, as higher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tariff rate increases was substantially offset by unfavorable foreign exchange impacts of $12 million.</w:t>
      </w:r>
    </w:p>
    <w:p>
      <w:pPr>
        <w:spacing w:after="0" w:line="170" w:lineRule="exact"/>
        <w:rPr>
          <w:sz w:val="20"/>
          <w:szCs w:val="20"/>
          <w:color w:val="auto"/>
        </w:rPr>
      </w:pPr>
    </w:p>
    <w:p>
      <w:pPr>
        <w:ind w:left="1300" w:right="20"/>
        <w:spacing w:after="0" w:line="276" w:lineRule="auto"/>
        <w:rPr>
          <w:sz w:val="20"/>
          <w:szCs w:val="20"/>
          <w:color w:val="auto"/>
        </w:rPr>
      </w:pPr>
      <w:r>
        <w:rPr>
          <w:rFonts w:ascii="Arial" w:cs="Arial" w:eastAsia="Arial" w:hAnsi="Arial"/>
          <w:sz w:val="17"/>
          <w:szCs w:val="17"/>
          <w:color w:val="auto"/>
        </w:rPr>
        <w:t>Revenues and volumes from our NGL pipelines decreased for 2014 as compared to 2013 primarily due to (i) the discontinuation of a capacity lease arrangement in the fourth quarter of 2013, (ii) the impact of netting joint venture related volumes to our share on a pipeline during 2014, which did not affect revenues and (iii) estimated unfavorable foreign exchange impacts of $7 million. Such unfavorable impacts were partially offset by higher revenues from our Co-Ed pipeline due to tariff rate increases and the shutdown of the pipeline in the second and third quarters of 2013 due to high river flow rates and flooding in the surrounding area.</w:t>
      </w:r>
    </w:p>
    <w:p>
      <w:pPr>
        <w:spacing w:after="0" w:line="173" w:lineRule="exact"/>
        <w:rPr>
          <w:sz w:val="20"/>
          <w:szCs w:val="20"/>
          <w:color w:val="auto"/>
        </w:rPr>
      </w:pPr>
    </w:p>
    <w:p>
      <w:pPr>
        <w:ind w:left="1260" w:hanging="280"/>
        <w:spacing w:after="0"/>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Refined products pipelines. </w:t>
      </w:r>
      <w:r>
        <w:rPr>
          <w:rFonts w:ascii="Arial" w:cs="Arial" w:eastAsia="Arial" w:hAnsi="Arial"/>
          <w:sz w:val="18"/>
          <w:szCs w:val="18"/>
          <w:color w:val="auto"/>
        </w:rPr>
        <w:t>We sold our refined products pipeline systems and related assets in 2013.</w:t>
      </w:r>
    </w:p>
    <w:p>
      <w:pPr>
        <w:spacing w:after="0" w:line="225" w:lineRule="exact"/>
        <w:rPr>
          <w:rFonts w:ascii="Arial" w:cs="Arial" w:eastAsia="Arial" w:hAnsi="Arial"/>
          <w:sz w:val="18"/>
          <w:szCs w:val="18"/>
          <w:color w:val="auto"/>
        </w:rPr>
      </w:pPr>
    </w:p>
    <w:p>
      <w:pPr>
        <w:ind w:left="1300" w:right="100" w:hanging="320"/>
        <w:spacing w:after="0" w:line="312" w:lineRule="auto"/>
        <w:tabs>
          <w:tab w:leader="none" w:pos="125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variances for the comparative periods presented were primarily related to pipeline loss allowance revenue. Loss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decreased by $62 million for 2015 compared to 2014 primarily due to a lower average realized price per barrel, partially offset by higher volumes. Loss allowance revenue increased by $46 million for 2014 over 2013 and was primarily driven by higher volumes.</w:t>
      </w:r>
    </w:p>
    <w:p>
      <w:pPr>
        <w:spacing w:after="0" w:line="146" w:lineRule="exact"/>
        <w:rPr>
          <w:rFonts w:ascii="Arial" w:cs="Arial" w:eastAsia="Arial" w:hAnsi="Arial"/>
          <w:sz w:val="16"/>
          <w:szCs w:val="16"/>
          <w:color w:val="auto"/>
        </w:rPr>
      </w:pPr>
    </w:p>
    <w:p>
      <w:pPr>
        <w:ind w:left="660" w:right="100" w:hanging="328"/>
        <w:spacing w:after="0" w:line="277" w:lineRule="auto"/>
        <w:tabs>
          <w:tab w:leader="none" w:pos="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Trucking — Net revenues from our trucking operations decreased for 2015 as compared to 2014 due to unfavorable foreign exchange impacts of $8 million and lower producer volumes.</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The increase in field operating costs (excluding equity-indexed compensation expense)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2015 compared to the year ended December 31, 2014 was primarily due to estimated costs of $83 million recognized during 2015 associated with the Line 901 incident, net of amounts we believe are probable of recovery from insurance. See Note 16 to our Consolidated Financial Statements for additional information regarding this incident. The increase in field operating costs was also driven by (i) higher salary and related expenses and property tax expense</w:t>
      </w:r>
    </w:p>
    <w:p>
      <w:pPr>
        <w:sectPr>
          <w:pgSz w:w="11900" w:h="16838" w:orient="portrait"/>
          <w:cols w:equalWidth="0" w:num="1">
            <w:col w:w="11360"/>
          </w:cols>
          <w:pgMar w:left="240" w:top="140" w:right="299" w:bottom="0" w:gutter="0" w:footer="0" w:header="0"/>
        </w:sectPr>
      </w:pPr>
    </w:p>
    <w:bookmarkStart w:id="64" w:name="page65"/>
    <w:bookmarkEnd w:id="64"/>
    <w:p>
      <w:pPr>
        <w:spacing w:after="0" w:line="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primarily associated with new assets placed in service in 2015 and (ii) higher maintenance and repairs cost, partially offset by favorable foreign exchange impacts of $22 million.</w:t>
      </w:r>
    </w:p>
    <w:p>
      <w:pPr>
        <w:spacing w:after="0" w:line="17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Field operating costs (excluding equity-indexed compensation expense) increased during the year ended December 31, 2014 compared to the year ended December 31, 2013 primarily due to (i) a change in classification of $14 million of certain costs from general and administrative expenses,</w:t>
      </w:r>
    </w:p>
    <w:p>
      <w:pPr>
        <w:ind w:left="5620" w:right="4520" w:hanging="5612"/>
        <w:spacing w:after="0" w:line="511" w:lineRule="auto"/>
        <w:tabs>
          <w:tab w:leader="none" w:pos="2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asset integrity spending, (iii) higher property tax expense due to capital expansion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and (iv) higher utility costs associated with increased throughput volumes. Such increases were partially offset by a reduction in environmental remediation costs and an $11 million favorable foreign exchange impact.</w:t>
      </w:r>
    </w:p>
    <w:p>
      <w:pPr>
        <w:spacing w:after="0" w:line="170"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The increase in general and administrative expenses (excluding equity-indexed compensation expenses)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2015 over the year ended December 31, 2014 was primarily due to increased salaries, benefits and other costs associated with the growth in the segment, partially offset by a $4 million favorable foreign exchange impact.</w:t>
      </w:r>
    </w:p>
    <w:p>
      <w:pPr>
        <w:spacing w:after="0" w:line="166"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General and administrative expenses (excluding equity-indexed compensation expenses) decreased during the year ended December 31, 2014 compared to the year ended December 31, 2013 due to a change in classification of $14 million of certain costs to field operating costs and a $5 million favorable impact of foreign exchange.</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Equity-Indexed Compensation Expense. </w:t>
      </w:r>
      <w:r>
        <w:rPr>
          <w:rFonts w:ascii="Arial" w:cs="Arial" w:eastAsia="Arial" w:hAnsi="Arial"/>
          <w:sz w:val="16"/>
          <w:szCs w:val="16"/>
          <w:color w:val="auto"/>
        </w:rPr>
        <w:t>A majority of our equity-indexed compensation awards (including the AAP Management Units)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conditions contingent upon achieving certain distribution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our probability assessment changes. This is necessary to bring the accrued liability associated with these awards up to the level it would have been if we had been accruing for these awards since the grant date. At December 31, 2015, a distribution level of $2.90 per common unit was deemed probable of occurring in the reasonably foreseeable future (and was initially determined to be probable in the fourth quarter of 2014). Furthermore, a change in unit price impacts the fair value of our liability-classified awards. See Note 15 to our Consolidated Financial Statements for additional information regarding our equity-indexed compensation plans.</w:t>
      </w:r>
    </w:p>
    <w:p>
      <w:pPr>
        <w:spacing w:after="0" w:line="16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a consolidated basis, equity-indexed compensation expense decreased by $71 million for the year ended December 31, 2015 compared to the year ended December 31, 2014, primarily due to the impact of the decrease in unit price during the year ended December 31, 2015 compared to the impact of the decrease in unit price during the year ended December 31, 2014. On a consolidated basis, equity-indexed compensation expense decreased by $18 million for the year ended December 31, 2014 compared to the year ended December 31, 2013 primarily due to the impact of the decrease in unit price during the year ended December 31, 2014 compared to the impact of the increase in unit price during the year ended December 31, 2013.</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 maintenance capital in 2015 compared to 2014 was primarily due to a reclassification of certain maintenance capital costs from our Facilities segment during the 2014 period. In addition, the decrease in maintenance capital was impacted by the depreciation of CAD relative to USD.</w:t>
      </w:r>
    </w:p>
    <w:p>
      <w:pPr>
        <w:spacing w:after="0" w:line="18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increase in maintenance capital in 2014 compared to 2013 was primarily due to pipeline replacement projects and increased investments in pipeline integrity and a reclassification of certain maintenance capital costs from our Facilities segment during the 2014 period.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200" w:type="dxa"/>
            <w:vAlign w:val="bottom"/>
          </w:tcPr>
          <w:p>
            <w:pPr>
              <w:spacing w:after="0"/>
              <w:rPr>
                <w:sz w:val="14"/>
                <w:szCs w:val="14"/>
                <w:color w:val="auto"/>
              </w:rPr>
            </w:pPr>
          </w:p>
        </w:tc>
        <w:tc>
          <w:tcPr>
            <w:tcW w:w="2340" w:type="dxa"/>
            <w:vAlign w:val="bottom"/>
            <w:gridSpan w:val="7"/>
            <w:vMerge w:val="restart"/>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65"/>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related storage costs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Natural gas sales costs </w:t>
            </w:r>
            <w:r>
              <w:rPr>
                <w:rFonts w:ascii="Arial" w:cs="Arial" w:eastAsia="Arial" w:hAnsi="Arial"/>
                <w:sz w:val="23"/>
                <w:szCs w:val="23"/>
                <w:color w:val="auto"/>
                <w:vertAlign w:val="superscript"/>
              </w:rPr>
              <w:t>(2)</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65"/>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 operations</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44"/>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0"/>
                <w:szCs w:val="20"/>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(3) (4)</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 general and administrative</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Borders>
              <w:right w:val="single" w:sz="8" w:color="auto"/>
            </w:tcBorders>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gridSpan w:val="2"/>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220" w:type="dxa"/>
            <w:vAlign w:val="bottom"/>
            <w:vMerge w:val="continue"/>
          </w:tcPr>
          <w:p>
            <w:pPr>
              <w:spacing w:after="0"/>
              <w:rPr>
                <w:sz w:val="20"/>
                <w:szCs w:val="20"/>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tcBorders>
              <w:right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0"/>
                <w:szCs w:val="20"/>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(0.02</w:t>
            </w:r>
          </w:p>
        </w:tc>
        <w:tc>
          <w:tcPr>
            <w:tcW w:w="22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0"/>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5"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vMerge w:val="restart"/>
          </w:tcPr>
          <w:p>
            <w:pPr>
              <w:ind w:left="820"/>
              <w:spacing w:after="0"/>
              <w:rPr>
                <w:sz w:val="20"/>
                <w:szCs w:val="20"/>
                <w:color w:val="auto"/>
              </w:rPr>
            </w:pPr>
            <w:r>
              <w:rPr>
                <w:rFonts w:ascii="Arial" w:cs="Arial" w:eastAsia="Arial" w:hAnsi="Arial"/>
                <w:sz w:val="14"/>
                <w:szCs w:val="14"/>
                <w:b w:val="1"/>
                <w:bCs w:val="1"/>
                <w:color w:val="auto"/>
                <w:w w:val="96"/>
              </w:rPr>
              <w:t>Year Ended December 31,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w w:val="97"/>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7"/>
                <w:szCs w:val="17"/>
                <w:b w:val="1"/>
                <w:bCs w:val="1"/>
                <w:color w:val="auto"/>
                <w:vertAlign w:val="superscript"/>
              </w:rPr>
              <w:t>(5)</w:t>
            </w:r>
          </w:p>
        </w:tc>
        <w:tc>
          <w:tcPr>
            <w:tcW w:w="2500" w:type="dxa"/>
            <w:vAlign w:val="bottom"/>
            <w:tcBorders>
              <w:bottom w:val="single" w:sz="8" w:color="auto"/>
            </w:tcBorders>
            <w:gridSpan w:val="5"/>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Borders>
              <w:bottom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2015-2014</w:t>
            </w: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Volumes</w:t>
            </w: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Volumes</w:t>
            </w:r>
          </w:p>
        </w:tc>
        <w:tc>
          <w:tcPr>
            <w:tcW w:w="6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Crude oil, refined products and NGL</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terminalling and storage (average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capacity in millions of</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barrels)</w:t>
            </w:r>
          </w:p>
        </w:tc>
        <w:tc>
          <w:tcPr>
            <w:tcW w:w="11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Rail load / unload volumes (average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volumes in thousands of barrels per</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210</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9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day)</w:t>
            </w:r>
          </w:p>
        </w:tc>
        <w:tc>
          <w:tcPr>
            <w:tcW w:w="114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Borders>
              <w:right w:val="single" w:sz="8" w:color="auto"/>
            </w:tcBorders>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Natural gas storage (average</w:t>
            </w: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right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monthly working capacity in</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11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gridSpan w:val="2"/>
            <w:vMerge w:val="continue"/>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103</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3"/>
                <w:szCs w:val="13"/>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140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in thousands of barrels per day)</w:t>
            </w:r>
          </w:p>
        </w:tc>
        <w:tc>
          <w:tcPr>
            <w:tcW w:w="11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Borders>
              <w:right w:val="single" w:sz="8" w:color="auto"/>
            </w:tcBorders>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volumes</w:t>
            </w: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right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monthly volumes in</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31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(6)</w:t>
            </w:r>
          </w:p>
        </w:tc>
        <w:tc>
          <w:tcPr>
            <w:tcW w:w="114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33" w:right="239" w:bottom="183"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right="320" w:hanging="12"/>
        <w:spacing w:after="0" w:line="277" w:lineRule="auto"/>
        <w:rPr>
          <w:sz w:val="20"/>
          <w:szCs w:val="20"/>
          <w:color w:val="auto"/>
        </w:rPr>
      </w:pPr>
      <w:r>
        <w:rPr>
          <w:rFonts w:ascii="Arial" w:cs="Arial" w:eastAsia="Arial" w:hAnsi="Arial"/>
          <w:sz w:val="18"/>
          <w:szCs w:val="18"/>
          <w:color w:val="auto"/>
        </w:rPr>
        <w:t>Effective January 1, 2014, our natural gas sales and costs, primarily attributable to the activities performed by our natural gas storage commercial optimization group, are reported in our Supply and Logistics segment.</w:t>
      </w:r>
    </w:p>
    <w:p>
      <w:pPr>
        <w:spacing w:after="0" w:line="170" w:lineRule="exact"/>
        <w:rPr>
          <w:sz w:val="20"/>
          <w:szCs w:val="20"/>
          <w:color w:val="auto"/>
        </w:rPr>
      </w:pPr>
    </w:p>
    <w:p>
      <w:pPr>
        <w:ind w:right="60" w:hanging="12"/>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225" w:lineRule="exact"/>
        <w:rPr>
          <w:sz w:val="20"/>
          <w:szCs w:val="20"/>
          <w:color w:val="auto"/>
        </w:rPr>
      </w:pPr>
    </w:p>
    <w:p>
      <w:pPr>
        <w:ind w:right="20" w:hanging="12"/>
        <w:spacing w:after="0" w:line="277" w:lineRule="auto"/>
        <w:rPr>
          <w:sz w:val="20"/>
          <w:szCs w:val="20"/>
          <w:color w:val="auto"/>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year and divided by the number of months in the</w:t>
      </w:r>
    </w:p>
    <w:p>
      <w:pPr>
        <w:spacing w:after="0" w:line="170"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33" w:right="239" w:bottom="183"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year; (iii) natural gas storage working capacity divided by 6 to account for the 6:1 mcf of natural gas to crude Btu equivalent ratio and further divided by 1,000 to convert to monthly volumes in millions; and (iv) NGL fractionation volumes multiplied by the number of days in the year and divided by the number of months in the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net of related costs, decreased by $46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2015 compared to the year ended December 31, 2014, but increased by $7 million for the year ended December 31, 2014 over the comparable 2013 period. Total volumes increased for each of the comparative periods presented. Variances in net revenues and average monthly volumes between the comparative periods are discussed below:</w:t>
      </w:r>
    </w:p>
    <w:p>
      <w:pPr>
        <w:spacing w:after="0" w:line="187" w:lineRule="exact"/>
        <w:rPr>
          <w:sz w:val="20"/>
          <w:szCs w:val="20"/>
          <w:color w:val="auto"/>
        </w:rPr>
      </w:pPr>
    </w:p>
    <w:p>
      <w:pPr>
        <w:jc w:val="both"/>
        <w:ind w:left="660" w:right="80" w:hanging="328"/>
        <w:spacing w:after="0" w:line="264" w:lineRule="auto"/>
        <w:tabs>
          <w:tab w:leader="none" w:pos="6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Rail Terminals — For the year ended December 31, 2015, revenues decreased by $26 million compared to the year ended December 31, 2014 due to lower volumes and lower rail fees related to the movement of certain volumes of Bakken crude oil, partially offset by revenues from our Bakersfield rail terminal that came online in the fourth quarter of 2014.</w:t>
      </w:r>
    </w:p>
    <w:p>
      <w:pPr>
        <w:spacing w:after="0" w:line="181"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For the year ended December 31, 2014, revenues increased by $3 million over the year ended December 31, 2013 due to new rail terminals that came on line in the fourth quarter of 2013 and in 2014, substantially offset by the unfavorable impact of rail delays and lower volumes at certain of our existing rail terminals during 2014 and weather-related issues at certain of our terminals during the first quarter of 2014.</w:t>
      </w:r>
    </w:p>
    <w:p>
      <w:pPr>
        <w:spacing w:after="0" w:line="166" w:lineRule="exact"/>
        <w:rPr>
          <w:sz w:val="20"/>
          <w:szCs w:val="20"/>
          <w:color w:val="auto"/>
        </w:rPr>
      </w:pPr>
    </w:p>
    <w:p>
      <w:pPr>
        <w:ind w:left="660" w:right="440" w:hanging="328"/>
        <w:spacing w:after="0" w:line="291" w:lineRule="auto"/>
        <w:tabs>
          <w:tab w:leader="none" w:pos="6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Natural Gas Storage Operations — Net revenues decreased by $12 million for the year ended December 31, 2015 compared to the year ended December 31, 2014 and by $43 million for the year ended December 31, 2014 compared to the year ended December 31, 2013 primarily due to</w:t>
      </w:r>
    </w:p>
    <w:p>
      <w:pPr>
        <w:ind w:left="660" w:right="200"/>
        <w:spacing w:after="0" w:line="255" w:lineRule="auto"/>
        <w:rPr>
          <w:rFonts w:ascii="Arial" w:cs="Arial" w:eastAsia="Arial" w:hAnsi="Arial"/>
          <w:sz w:val="16"/>
          <w:szCs w:val="16"/>
          <w:color w:val="auto"/>
        </w:rPr>
      </w:pPr>
      <w:r>
        <w:rPr>
          <w:rFonts w:ascii="Arial" w:cs="Arial" w:eastAsia="Arial" w:hAnsi="Arial"/>
          <w:sz w:val="18"/>
          <w:szCs w:val="18"/>
          <w:color w:val="auto"/>
        </w:rPr>
        <w:t>(i) declines in market rates for natural gas storage, which resulted in lower rates on new contracts replacing expiring contracts and (ii) reduced hub services opportunities. The 2014 period was further unfavorably impacted by costs incurred to manage deliverability requirements in conjunction with the extended period of severe cold weather experienced during the first quarter of 2014.</w:t>
      </w:r>
    </w:p>
    <w:p>
      <w:pPr>
        <w:spacing w:after="0" w:line="190" w:lineRule="exact"/>
        <w:rPr>
          <w:rFonts w:ascii="Arial" w:cs="Arial" w:eastAsia="Arial" w:hAnsi="Arial"/>
          <w:sz w:val="16"/>
          <w:szCs w:val="16"/>
          <w:color w:val="auto"/>
        </w:rPr>
      </w:pPr>
    </w:p>
    <w:p>
      <w:pPr>
        <w:ind w:left="660" w:right="240" w:hanging="328"/>
        <w:spacing w:after="0" w:line="277" w:lineRule="auto"/>
        <w:tabs>
          <w:tab w:leader="none" w:pos="6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Gulf Coast Gas Processing — Revenues decreased by $13 million for the year ended December 31, 2015 compared to 2014 primarily due to lower volumes and decreased margins driven by lower commodity prices.</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NGL Storage, NGL Fractionation and Canadian Gas Processing — Revenues decreased by $7 million for the year ended December 31, 2015 compared to the year ended December 31, 2014. This decrease was primarily due to estimated unfavorable foreign exchange impacts of $41 million, which offset revenue increases from higher facility fees for the 2015 period. These impacts were largely offset in our Supply and Logistics segment results.</w:t>
      </w:r>
    </w:p>
    <w:p>
      <w:pPr>
        <w:sectPr>
          <w:pgSz w:w="11900" w:h="16838" w:orient="portrait"/>
          <w:cols w:equalWidth="0" w:num="1">
            <w:col w:w="11420"/>
          </w:cols>
          <w:pgMar w:left="240" w:top="333" w:right="239" w:bottom="183" w:gutter="0" w:footer="0" w:header="0"/>
          <w:type w:val="continuous"/>
        </w:sectPr>
      </w:pPr>
    </w:p>
    <w:bookmarkStart w:id="66" w:name="page67"/>
    <w:bookmarkEnd w:id="66"/>
    <w:p>
      <w:pPr>
        <w:spacing w:after="0" w:line="62"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Revenues from our NGL storage, NGL fractionation and Canadian gas processing activities increased by $31 million for the year ended December 31, 2014 over the year ended December 31, 2013 largely driven by higher facility fee revenues due to rate increases at certain of our storage and fractionation facilities, partially offset by lower physical processing gains. Such increases were partially offset by estimated unfavorable foreign exchange impacts of $18 million. These impacts were largely offset in our Supply and Logistics segment results.</w:t>
      </w:r>
    </w:p>
    <w:p>
      <w:pPr>
        <w:spacing w:after="0" w:line="171" w:lineRule="exact"/>
        <w:rPr>
          <w:sz w:val="20"/>
          <w:szCs w:val="20"/>
          <w:color w:val="auto"/>
        </w:rPr>
      </w:pPr>
    </w:p>
    <w:p>
      <w:pPr>
        <w:ind w:left="660" w:right="20" w:hanging="328"/>
        <w:spacing w:after="0" w:line="308" w:lineRule="auto"/>
        <w:tabs>
          <w:tab w:leader="none" w:pos="61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Crude Oil Storage — For the year ended December 31, 2015, revenues increased by $9 million over the year ended December 31, 2014 primarily due to capacity expansions of approximately 1 million barrels and higher marine access activity at our St. James terminal.</w:t>
      </w:r>
    </w:p>
    <w:p>
      <w:pPr>
        <w:spacing w:after="0" w:line="14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For the year ended December 31, 2014, crude oil storage revenues increased by $8 million over the year ended December 31, 2013 primarily due to increased throughput at our Cushing, Yorktown and Mobile/Ten Mile terminals and a 1.2 million barrel capacity expansion at our St. James terminal, partially offset by lower revenues from certain storage facilities in California and the East Coast due to underutilization resulting from decreased demand, as well decreased revenues of $12 million due to the reclassification of certain of our Canadian storage facilities to our Transportation segment during the second quarter of 2014.</w:t>
      </w:r>
    </w:p>
    <w:p>
      <w:pPr>
        <w:spacing w:after="0" w:line="188" w:lineRule="exact"/>
        <w:rPr>
          <w:sz w:val="20"/>
          <w:szCs w:val="20"/>
          <w:color w:val="auto"/>
        </w:rPr>
      </w:pPr>
    </w:p>
    <w:p>
      <w:pPr>
        <w:ind w:left="660" w:right="320" w:hanging="328"/>
        <w:spacing w:after="0" w:line="264" w:lineRule="auto"/>
        <w:tabs>
          <w:tab w:leader="none" w:pos="6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Condensate Processing — Revenues increased by $8 million for the year ended December 31, 2014 compared to 2013 due to the benefit from the start-up and subsequent expansion of our Gardendale condensate processing facility. Revenues were relatively consistent for the year ended December 31, 2015 compared to the year ended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(excluding equity-indexed compensation expenses)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compared to the year ended December 31, 2014 was primarily due to (i) decreased maintenance and repairs cost, (ii) lower gas and power costs largely associated with our NGL fractionation and Canadian gas processing activities and (iii) favorable foreign exchange impacts of $19 million. Such decreases were partially offset by an increase in expenses associated with new assets placed in service.</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Field operating costs (excluding equity-indexed compensation expenses) increased during the year ended December 31, 2014 compared to the year ended December 31, 2013 due to (i) an increase in costs for rail activities, primarily due to new rail terminals that came online in the fourth quarter of 2013 and in 2014 as discussed above, (ii) a change in classification of $8 million of certain costs from general and administrative expenses, (iii) an increase in brine disposal costs associated with our NGL storage caverns, (iv) higher gas and power costs and (v) increased costs associated with the cancellation of certain capital projects. The effect of these increases was reduced by a $9 million favorable impact of foreign exchange.</w:t>
      </w:r>
    </w:p>
    <w:p>
      <w:pPr>
        <w:spacing w:after="0" w:line="17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(excluding equity-indexed compensation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compared to the year ended December 31, 2014 was primarily due to increased salaries and benefits, partially offset by a $3 million favorable foreign exchange impact.</w:t>
      </w:r>
    </w:p>
    <w:p>
      <w:pPr>
        <w:spacing w:after="0" w:line="18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General and administrative expenses (excluding equity-indexed compensation expenses) decreased during the year ended December 31, 2014 compared to the year ended December 31, 2013. These results reflect the net impact of a decrease due to a change in classification of $8 million of certain costs to field operating costs during the 2014 period, partially offset by increased expenses resulting from overall growth in the segment.</w:t>
      </w:r>
    </w:p>
    <w:p>
      <w:pPr>
        <w:spacing w:after="0" w:line="14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increase in maintenance capital in 2015 over 2014 was primarily due to various tank and facility projects and timing of</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replacements, as well as the impact from a change in classification of certain maintenance capital costs to our Transportation segment in the 2014 period. The increase in maintenance capital in 2014 from 2013 is primarily due to the timing of maintenance projects for tanks and other facility assets, partially offset by a change in classification of certain maintenance capital costs to our Transportation segment in the 2014 period.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 (2)</w:t>
            </w:r>
          </w:p>
        </w:tc>
        <w:tc>
          <w:tcPr>
            <w:tcW w:w="220" w:type="dxa"/>
            <w:vAlign w:val="bottom"/>
          </w:tcPr>
          <w:p>
            <w:pPr>
              <w:spacing w:after="0"/>
              <w:rPr>
                <w:sz w:val="14"/>
                <w:szCs w:val="14"/>
                <w:color w:val="auto"/>
              </w:rPr>
            </w:pPr>
          </w:p>
        </w:tc>
        <w:tc>
          <w:tcPr>
            <w:tcW w:w="2320" w:type="dxa"/>
            <w:vAlign w:val="bottom"/>
            <w:gridSpan w:val="6"/>
            <w:vMerge w:val="restart"/>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7"/>
              </w:rPr>
              <w:t>Favorable/(Unfavorable) Variance</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2015-2014</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(20,205)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(3)</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(21,018)</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(40,752)</w:t>
            </w: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(39,315)</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19,734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(1,437)</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(4) (5)</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w w:val="99"/>
              </w:rPr>
              <w:t>Equity-indexed compensation expense -</w:t>
            </w:r>
          </w:p>
        </w:tc>
        <w:tc>
          <w:tcPr>
            <w:tcW w:w="2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gridSpan w:val="2"/>
            <w:vMerge w:val="continue"/>
          </w:tcPr>
          <w:p>
            <w:pPr>
              <w:spacing w:after="0"/>
              <w:rPr>
                <w:sz w:val="18"/>
                <w:szCs w:val="18"/>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auto"/>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1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20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20" w:type="dxa"/>
            <w:vAlign w:val="bottom"/>
          </w:tcPr>
          <w:p>
            <w:pPr>
              <w:spacing w:after="0"/>
              <w:rPr>
                <w:sz w:val="24"/>
                <w:szCs w:val="24"/>
                <w:color w:val="auto"/>
              </w:rPr>
            </w:pPr>
          </w:p>
        </w:tc>
        <w:tc>
          <w:tcPr>
            <w:tcW w:w="2320" w:type="dxa"/>
            <w:vAlign w:val="bottom"/>
            <w:gridSpan w:val="8"/>
            <w:vMerge w:val="restart"/>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7"/>
              </w:rPr>
              <w:t>Favorable (Unfavorable) Variance</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8"/>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rPr>
              <w:t>2015-2014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2014-2013</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8"/>
              </w:rPr>
              <w:t>Volume</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Volume</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200"/>
              <w:spacing w:after="0" w:line="201" w:lineRule="exact"/>
              <w:rPr>
                <w:sz w:val="20"/>
                <w:szCs w:val="20"/>
                <w:color w:val="auto"/>
              </w:rPr>
            </w:pPr>
            <w:r>
              <w:rPr>
                <w:rFonts w:ascii="Arial" w:cs="Arial" w:eastAsia="Arial" w:hAnsi="Arial"/>
                <w:sz w:val="18"/>
                <w:szCs w:val="18"/>
                <w:color w:val="auto"/>
              </w:rPr>
              <w:t>Supply and Logistics segment 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1,078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3200" w:type="dxa"/>
            <w:vAlign w:val="bottom"/>
            <w:gridSpan w:val="2"/>
          </w:tcPr>
          <w:p>
            <w:pPr>
              <w:ind w:left="380"/>
              <w:spacing w:after="0"/>
              <w:rPr>
                <w:sz w:val="20"/>
                <w:szCs w:val="20"/>
                <w:color w:val="auto"/>
              </w:rPr>
            </w:pPr>
            <w:r>
              <w:rPr>
                <w:rFonts w:ascii="Arial" w:cs="Arial" w:eastAsia="Arial" w:hAnsi="Arial"/>
                <w:sz w:val="18"/>
                <w:szCs w:val="18"/>
                <w:color w:val="auto"/>
              </w:rPr>
              <w:t>volumes</w:t>
            </w: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2"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Prior to January 1, 2014, natural gas sales and costs attributable to the activities performed by our natural gas storage commercial optimization group were reported in our Facilities segment.</w:t>
      </w:r>
    </w:p>
    <w:p>
      <w:pPr>
        <w:spacing w:after="0" w:line="170"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$6 million, $12 million and $30 million for the years ended December 31, 2015, 2014 and 2013, respectively.</w:t>
      </w:r>
    </w:p>
    <w:p>
      <w:pPr>
        <w:spacing w:after="0" w:line="170"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presents the range of the NYMEX West Texas Intermediate benchmark price of crude oil during the periods indicated:</w:t>
      </w:r>
    </w:p>
    <w:p>
      <w:pPr>
        <w:spacing w:after="0" w:line="200" w:lineRule="exact"/>
        <w:rPr>
          <w:sz w:val="20"/>
          <w:szCs w:val="20"/>
          <w:color w:val="auto"/>
        </w:rPr>
      </w:pPr>
    </w:p>
    <w:p>
      <w:pPr>
        <w:sectPr>
          <w:pgSz w:w="11900" w:h="16838" w:orient="portrait"/>
          <w:cols w:equalWidth="0" w:num="2">
            <w:col w:w="160" w:space="480"/>
            <w:col w:w="10780"/>
          </w:cols>
          <w:pgMar w:left="240" w:top="140" w:right="239" w:bottom="2"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NYMEX WTI</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auto"/>
              </w:rPr>
              <w:t>During the Year Ended December 31,</w:t>
            </w: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Crude Oil Price</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2014</w:t>
            </w:r>
          </w:p>
        </w:tc>
        <w:tc>
          <w:tcPr>
            <w:tcW w:w="10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40" w:type="dxa"/>
            <w:vAlign w:val="bottom"/>
            <w:gridSpan w:val="2"/>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year ended December 31, 2015 compared to the year ended December 31, 2014 due to lower crude oil and NGL prices during the 2015 period. The increase of the absolute amount of our revenues and purchases for the year ended December 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2014 over the year ended December 31, 2013 primarily resulted from higher crude oil volumes in the 2014 period, partially offset by lower crude oil prices relative to 2013, particularly in the fourth quarter.</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by $471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as compared to the 2014 period, of which $389 million related to the mark-to-market impact of certain derivatives (see discussion and table below) and long-term inventory costing adjustments (see discussion below). For the 2014 period, segment revenues, net of purchases and related costs, increased by $17 million over the comparable 2013 period. The following summarizes the more significant items impacting the comparative periods:</w:t>
      </w:r>
    </w:p>
    <w:p>
      <w:pPr>
        <w:spacing w:after="0" w:line="188" w:lineRule="exact"/>
        <w:rPr>
          <w:sz w:val="20"/>
          <w:szCs w:val="20"/>
          <w:color w:val="auto"/>
        </w:rPr>
      </w:pPr>
    </w:p>
    <w:p>
      <w:pPr>
        <w:ind w:left="660" w:hanging="328"/>
        <w:spacing w:after="0" w:line="297" w:lineRule="auto"/>
        <w:tabs>
          <w:tab w:leader="none" w:pos="6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Crude Oil Operations — Net revenues from our crude oil supply and logistics activities decreased for the year ended December 31, 2015 as compared to the year ended December 31, 2014 primarily due to (i) the compression of certain differentials during the 2015 period, which resulted in fewer opportunities to capture above-baseline margins as compared to 2014 and (ii) increased competition, largely due to overbuilt infrastructure in certain areas that has negatively impacted our lease gathering unit margins and volumes, most notably during the second half of 2015. However, such unfavorable results were partially offset by revenues from opportunities created by the contango market structure during 2015.</w:t>
      </w:r>
    </w:p>
    <w:p>
      <w:pPr>
        <w:spacing w:after="0" w:line="158"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Net revenues from our crude oil supply and logistics activities increased slightly for 2014 as compared to 2013 primarily due to favorable impacts from the widening of certain differentials, most notably in the second and third quarters of 2014, that allowed for more opportunities to capture above-baseline margins as compared to 2013.</w:t>
      </w:r>
    </w:p>
    <w:p>
      <w:pPr>
        <w:sectPr>
          <w:pgSz w:w="11900" w:h="16838" w:orient="portrait"/>
          <w:cols w:equalWidth="0" w:num="1">
            <w:col w:w="11420"/>
          </w:cols>
          <w:pgMar w:left="240" w:top="140" w:right="239" w:bottom="2" w:gutter="0" w:footer="0" w:header="0"/>
          <w:type w:val="continuous"/>
        </w:sectPr>
      </w:pPr>
    </w:p>
    <w:bookmarkStart w:id="68" w:name="page69"/>
    <w:bookmarkEnd w:id="68"/>
    <w:p>
      <w:pPr>
        <w:ind w:left="660" w:right="300" w:hanging="328"/>
        <w:spacing w:after="0" w:line="264"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increased for the year ended December 31, 2015 compared to the year ended December 31, 2014. The increase was primarily driven by higher margins due to the lower cost of inventory carried over from 2014 year end and higher sales volumes.</w:t>
      </w:r>
    </w:p>
    <w:p>
      <w:pPr>
        <w:spacing w:after="0" w:line="18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Net revenues from our NGL marketing operations decreased for the year ended December 31, 2014 as compared to the year ended December 31, 2013. This decrease was driven by higher NGL purchases and related costs in the 2014 periods, primarily due to a higher weighted average inventory cost and increased facility fees. Additionally, NGL margins were further impacted by less favorable market conditions, most notably during (i) the second quarter of 2014, as market pricing was stronger in the comparable 2013 period due to heating requirements during a winter season that extended into the second quarter and greater petrochemical demand for propane and (ii) the fourth quarter of 2014, due to less demand for crop drying as compared to the 2013 period.</w:t>
      </w:r>
    </w:p>
    <w:p>
      <w:pPr>
        <w:spacing w:after="0" w:line="193" w:lineRule="exact"/>
        <w:rPr>
          <w:sz w:val="20"/>
          <w:szCs w:val="20"/>
          <w:color w:val="auto"/>
        </w:rPr>
      </w:pPr>
    </w:p>
    <w:p>
      <w:pPr>
        <w:ind w:left="660" w:right="220" w:hanging="328"/>
        <w:spacing w:after="0" w:line="264" w:lineRule="auto"/>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experienced. We did not incur similar costs during 2015 or 2013.</w:t>
      </w:r>
    </w:p>
    <w:p>
      <w:pPr>
        <w:spacing w:after="0" w:line="181"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Variance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6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2015-2014</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8"/>
              </w:rPr>
              <w:t>2014-2013</w:t>
            </w:r>
          </w:p>
        </w:tc>
        <w:tc>
          <w:tcPr>
            <w:tcW w:w="120" w:type="dxa"/>
            <w:vAlign w:val="bottom"/>
            <w:tcBorders>
              <w:bottom w:val="single" w:sz="8" w:color="CCEEFF"/>
            </w:tcBorders>
          </w:tcPr>
          <w:p>
            <w:pPr>
              <w:spacing w:after="0"/>
              <w:rPr>
                <w:sz w:val="12"/>
                <w:szCs w:val="12"/>
                <w:color w:val="auto"/>
              </w:rPr>
            </w:pPr>
          </w:p>
        </w:tc>
      </w:tr>
      <w:tr>
        <w:trPr>
          <w:trHeight w:val="182"/>
        </w:trPr>
        <w:tc>
          <w:tcPr>
            <w:tcW w:w="3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Gains/(losses) from certain</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activities, net of inventory</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362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valuation adjustments </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160" w:hanging="644"/>
        <w:spacing w:after="0" w:line="227" w:lineRule="auto"/>
        <w:tabs>
          <w:tab w:leader="none" w:pos="1287"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
        <w:spacing w:after="0" w:line="264" w:lineRule="auto"/>
        <w:rPr>
          <w:sz w:val="20"/>
          <w:szCs w:val="20"/>
          <w:color w:val="auto"/>
        </w:rPr>
      </w:pPr>
      <w:r>
        <w:rPr>
          <w:rFonts w:ascii="Arial" w:cs="Arial" w:eastAsia="Arial" w:hAnsi="Arial"/>
          <w:sz w:val="18"/>
          <w:szCs w:val="18"/>
          <w:color w:val="auto"/>
        </w:rPr>
        <w:t>and losses on certain derivatives that are related to investing activities (such as the purchase of linefill) and inventory valuation adjustments, as applicable. See Note 11 to our Consolidated Financial Statements for a comprehensive discussion regarding our derivatives and risk management activities.</w:t>
      </w:r>
    </w:p>
    <w:p>
      <w:pPr>
        <w:spacing w:after="0" w:line="181" w:lineRule="exact"/>
        <w:rPr>
          <w:sz w:val="20"/>
          <w:szCs w:val="20"/>
          <w:color w:val="auto"/>
        </w:rPr>
      </w:pPr>
    </w:p>
    <w:p>
      <w:pPr>
        <w:ind w:left="660" w:right="100" w:hanging="328"/>
        <w:spacing w:after="0" w:line="255"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Long-Term Inventory Costing Adjustments — Our operating results are impacted by changes in the weighted average cost of our crude oil and NGL inventory pools that result from price movements during the periods. Such costing adjustments resulted in unfavorable impacts of $99 million and $85 million for the years ended December 31, 2015 and 2014, respectively, due to price decreases during each year.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3"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Foreign Exchange Impacts — Our results are impacted by fluctuations in the value of CAD to USD, resulting in foreign exchange gains and losses on U.S. denominated net assets within our Canadian operations. The impact of such gains and losses resulted in a favorable variance of $38 million for 2015 compared to 2014 and an unfavorable variance of $16 million for 2014 to 2013.</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Furthermore, the depreciation of CAD relative to USD resulted in lower net USD costs of approximately $41 million for 2015 compared to 2014 and by $15 million for 2014 compared to 2013. Such costs are primarily associated with intercompany facility fees and are largely offset in our Facilities segment results.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the year ended December 31, 2014 was primarily due to the decreased use of third party trucking services as pipeline expansion projects were placed into service.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field operating costs (excluding equity-indexed compensation expenses) for the year ended December 31, 2014 over the year ended December 31, 2013 was primarily due to an increase in trucking costs associated with higher lease gathering volumes.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in 2014 compared to 2013 was primarily due to reduced spending on trucking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Depreciation and amortization expense increased during the 2015 period over the comparable 2014 period primarily due to various capital expansion projects completed during 2015, partially offset by favorable impacts from the depreciation of CAD relative to USD.</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Depreciation and amortization expense increased during the 2014 period over the comparable 2013 period primarily due to various recently completed capital expansion projects, as well as an acceleration of depreciation on certain pipeline assets to reflect a change in their estimated useful lives. These increases were partially offset by a reduction in amortization expense due to declining-balance amortization used for certain of our intangible assets acquired in recent years.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ectPr>
          <w:pgSz w:w="11900" w:h="16838" w:orient="portrait"/>
          <w:cols w:equalWidth="0" w:num="1">
            <w:col w:w="11420"/>
          </w:cols>
          <w:pgMar w:left="240" w:top="125" w:right="239" w:bottom="0" w:gutter="0" w:footer="0" w:header="0"/>
        </w:sectPr>
      </w:pPr>
    </w:p>
    <w:bookmarkStart w:id="69" w:name="page70"/>
    <w:bookmarkEnd w:id="69"/>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 and</w:t>
      </w:r>
    </w:p>
    <w:p>
      <w:pPr>
        <w:spacing w:after="0" w:line="225" w:lineRule="exact"/>
        <w:rPr>
          <w:rFonts w:ascii="Arial" w:cs="Arial" w:eastAsia="Arial" w:hAnsi="Arial"/>
          <w:sz w:val="18"/>
          <w:szCs w:val="18"/>
          <w:color w:val="auto"/>
        </w:rPr>
      </w:pPr>
    </w:p>
    <w:p>
      <w:pPr>
        <w:ind w:left="5620" w:right="4560" w:hanging="4964"/>
        <w:spacing w:after="0" w:line="573" w:lineRule="auto"/>
        <w:tabs>
          <w:tab w:leader="none" w:pos="941"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interest capitalized on capital projects and included in purchases and related costs.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the components impacting the interest expense variance for the years ended December 31, 2015 and 2014 (in millions, except for percentages):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Average</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16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LIBOR</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1"/>
              </w:rPr>
              <w:t xml:space="preserve">Interest Rate </w:t>
            </w:r>
            <w:r>
              <w:rPr>
                <w:rFonts w:ascii="Arial" w:cs="Arial" w:eastAsia="Arial" w:hAnsi="Arial"/>
                <w:sz w:val="17"/>
                <w:szCs w:val="17"/>
                <w:b w:val="1"/>
                <w:bCs w:val="1"/>
                <w:color w:val="auto"/>
                <w:w w:val="91"/>
                <w:vertAlign w:val="superscript"/>
              </w:rPr>
              <w:t>(1)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Interest expense for the year ended December 31, 2013</w:t>
            </w:r>
          </w:p>
        </w:tc>
        <w:tc>
          <w:tcPr>
            <w:tcW w:w="1480" w:type="dxa"/>
            <w:vAlign w:val="bottom"/>
            <w:gridSpan w:val="2"/>
            <w:shd w:val="clear" w:color="auto" w:fill="CCEEFF"/>
          </w:tcPr>
          <w:p>
            <w:pPr>
              <w:jc w:val="right"/>
              <w:ind w:right="425"/>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313</w:t>
            </w:r>
          </w:p>
        </w:tc>
        <w:tc>
          <w:tcPr>
            <w:tcW w:w="1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0.2%</w:t>
            </w:r>
          </w:p>
        </w:tc>
        <w:tc>
          <w:tcPr>
            <w:tcW w:w="1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gridSpan w:val="2"/>
            <w:vMerge w:val="restart"/>
          </w:tcPr>
          <w:p>
            <w:pPr>
              <w:ind w:left="4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(2) (5)</w:t>
            </w:r>
          </w:p>
        </w:tc>
        <w:tc>
          <w:tcPr>
            <w:tcW w:w="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2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(4)</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capitalized interest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2014</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8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220" w:type="dxa"/>
            <w:vAlign w:val="bottom"/>
            <w:gridSpan w:val="2"/>
            <w:vMerge w:val="restart"/>
          </w:tcPr>
          <w:p>
            <w:pPr>
              <w:ind w:left="40"/>
              <w:spacing w:after="0" w:line="236" w:lineRule="exact"/>
              <w:rPr>
                <w:sz w:val="20"/>
                <w:szCs w:val="20"/>
                <w:color w:val="auto"/>
              </w:rPr>
            </w:pPr>
            <w:r>
              <w:rPr>
                <w:rFonts w:ascii="Arial" w:cs="Arial" w:eastAsia="Arial" w:hAnsi="Arial"/>
                <w:sz w:val="18"/>
                <w:szCs w:val="18"/>
                <w:color w:val="auto"/>
              </w:rPr>
              <w:t xml:space="preserve">Impact of issuance of senior notes </w:t>
            </w:r>
            <w:r>
              <w:rPr>
                <w:rFonts w:ascii="Arial" w:cs="Arial" w:eastAsia="Arial" w:hAnsi="Arial"/>
                <w:sz w:val="23"/>
                <w:szCs w:val="23"/>
                <w:color w:val="auto"/>
                <w:vertAlign w:val="superscript"/>
              </w:rPr>
              <w:t>(5) (6)</w:t>
            </w: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8"/>
                <w:szCs w:val="18"/>
                <w:color w:val="auto"/>
              </w:rPr>
              <w:t xml:space="preserve">Impact of interest included in purchases and related costs </w:t>
            </w:r>
            <w:r>
              <w:rPr>
                <w:rFonts w:ascii="Arial" w:cs="Arial" w:eastAsia="Arial" w:hAnsi="Arial"/>
                <w:sz w:val="23"/>
                <w:szCs w:val="23"/>
                <w:color w:val="auto"/>
                <w:vertAlign w:val="superscript"/>
              </w:rPr>
              <w:t>(3)</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2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 xml:space="preserve">Impact of retirement of senior notes </w:t>
            </w:r>
            <w:r>
              <w:rPr>
                <w:rFonts w:ascii="Arial" w:cs="Arial" w:eastAsia="Arial" w:hAnsi="Arial"/>
                <w:sz w:val="23"/>
                <w:szCs w:val="23"/>
                <w:color w:val="auto"/>
                <w:vertAlign w:val="superscript"/>
              </w:rPr>
              <w:t>(7)</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Impact of capitalized interest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2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for the year ended December 31, 2015</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8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5220" w:type="dxa"/>
            <w:vAlign w:val="bottom"/>
            <w:gridSpan w:val="2"/>
          </w:tcPr>
          <w:p>
            <w:pPr>
              <w:ind w:left="480"/>
              <w:spacing w:after="0"/>
              <w:rPr>
                <w:sz w:val="20"/>
                <w:szCs w:val="20"/>
                <w:color w:val="auto"/>
              </w:rPr>
            </w:pPr>
            <w:r>
              <w:rPr>
                <w:rFonts w:ascii="Arial" w:cs="Arial" w:eastAsia="Arial" w:hAnsi="Arial"/>
                <w:sz w:val="18"/>
                <w:szCs w:val="18"/>
                <w:color w:val="auto"/>
              </w:rPr>
              <w:t>Excludes commitment and other fees.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5"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August 2013, we completed the issuance of $700 million of 3.85% senior notes due 2023.</w:t>
      </w:r>
    </w:p>
    <w:p>
      <w:pPr>
        <w:spacing w:after="0" w:line="225" w:lineRule="exact"/>
        <w:rPr>
          <w:sz w:val="20"/>
          <w:szCs w:val="20"/>
          <w:color w:val="auto"/>
        </w:rPr>
      </w:pPr>
    </w:p>
    <w:p>
      <w:pPr>
        <w:ind w:left="20" w:right="240" w:hanging="11"/>
        <w:spacing w:after="0" w:line="264" w:lineRule="auto"/>
        <w:rPr>
          <w:sz w:val="20"/>
          <w:szCs w:val="20"/>
          <w:color w:val="auto"/>
        </w:rPr>
      </w:pPr>
      <w:r>
        <w:rPr>
          <w:rFonts w:ascii="Arial" w:cs="Arial" w:eastAsia="Arial" w:hAnsi="Arial"/>
          <w:sz w:val="18"/>
          <w:szCs w:val="18"/>
          <w:color w:val="auto"/>
        </w:rPr>
        <w:t>Interest costs attributable to borrowings for hedged inventory purchases are included in purchases and related costs in our Supply and Logistics segment profit as we consider interest on these borrowings a direct cost to storing the inventory. These costs were $6 million, $12 million and $30 million for the years ended December 31, 2015, 2014 and 2013, respectively.</w:t>
      </w:r>
    </w:p>
    <w:p>
      <w:pPr>
        <w:spacing w:after="0" w:line="181" w:lineRule="exact"/>
        <w:rPr>
          <w:sz w:val="20"/>
          <w:szCs w:val="20"/>
          <w:color w:val="auto"/>
        </w:rPr>
      </w:pPr>
    </w:p>
    <w:p>
      <w:pPr>
        <w:sectPr>
          <w:pgSz w:w="11900" w:h="16838" w:orient="portrait"/>
          <w:cols w:equalWidth="0" w:num="2">
            <w:col w:w="140" w:space="500"/>
            <w:col w:w="10780"/>
          </w:cols>
          <w:pgMar w:left="240" w:top="341" w:right="239" w:bottom="5"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December 2013, our $250 million, 5.63% senior notes matured.</w:t>
      </w:r>
    </w:p>
    <w:p>
      <w:pPr>
        <w:spacing w:after="0" w:line="225" w:lineRule="exact"/>
        <w:rPr>
          <w:sz w:val="20"/>
          <w:szCs w:val="20"/>
          <w:color w:val="auto"/>
        </w:rPr>
      </w:pPr>
    </w:p>
    <w:p>
      <w:pPr>
        <w:ind w:left="20" w:right="220" w:hanging="11"/>
        <w:spacing w:after="0" w:line="264" w:lineRule="auto"/>
        <w:rPr>
          <w:sz w:val="20"/>
          <w:szCs w:val="20"/>
          <w:color w:val="auto"/>
        </w:rPr>
      </w:pPr>
      <w:r>
        <w:rPr>
          <w:rFonts w:ascii="Arial" w:cs="Arial" w:eastAsia="Arial" w:hAnsi="Arial"/>
          <w:sz w:val="18"/>
          <w:szCs w:val="18"/>
          <w:color w:val="auto"/>
        </w:rPr>
        <w:t>In April 2014, we completed the issuance of $700 million of 4.70% senior notes due 2044; in September 2014, we completed the issuance of $750 million of 3.60% senior notes due 2024; and in December 2014, we completed the issuance of $500 million of 2.60% senior notes due 2019 and $650 million of 4.90% senior notes due 2045.</w:t>
      </w:r>
    </w:p>
    <w:p>
      <w:pPr>
        <w:spacing w:after="0" w:line="181" w:lineRule="exact"/>
        <w:rPr>
          <w:sz w:val="20"/>
          <w:szCs w:val="20"/>
          <w:color w:val="auto"/>
        </w:rPr>
      </w:pPr>
    </w:p>
    <w:p>
      <w:pPr>
        <w:sectPr>
          <w:pgSz w:w="11900" w:h="16838" w:orient="portrait"/>
          <w:cols w:equalWidth="0" w:num="2">
            <w:col w:w="140" w:space="500"/>
            <w:col w:w="10780"/>
          </w:cols>
          <w:pgMar w:left="240" w:top="341" w:right="239" w:bottom="5"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August 2015, we completed the issuance of $1.0 billion of 4.65% senior notes due 2025.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$150 million, 5.25% senior notes and $400 million, 3.95% senior notes matured in June 2015 and September 2015, respectively.</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Income/(Expense), Net</w:t>
      </w:r>
    </w:p>
    <w:p>
      <w:pPr>
        <w:spacing w:after="0" w:line="200" w:lineRule="exact"/>
        <w:rPr>
          <w:sz w:val="20"/>
          <w:szCs w:val="20"/>
          <w:color w:val="auto"/>
        </w:rPr>
      </w:pPr>
    </w:p>
    <w:p>
      <w:pPr>
        <w:sectPr>
          <w:pgSz w:w="11900" w:h="16838" w:orient="portrait"/>
          <w:cols w:equalWidth="0" w:num="2">
            <w:col w:w="140" w:space="500"/>
            <w:col w:w="10780"/>
          </w:cols>
          <w:pgMar w:left="240" w:top="341" w:right="239" w:bottom="5" w:gutter="0" w:footer="0" w:header="0"/>
          <w:type w:val="continuous"/>
        </w:sectPr>
      </w:pPr>
    </w:p>
    <w:p>
      <w:pPr>
        <w:spacing w:after="0" w:line="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Other income/(expense), net in each of the years ended December 31, 2015, 2014 and 2013 was primarily comprised of foreign currency gains or losses related to revaluations of CAD-denominated interest receivables associated with our intercompany notes and the impact of related foreign currency hedges.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Income tax expense decreased for the year ended December 31, 2015 compared to the year ended December 31, 2014 primarily due to the deferred income tax impact associated with fluctuations in the derivative mark-to-market valuation in our Canadian operations during the 2015 and 2014 periods. This benefit was partially offset by an Alberta, Canada provincial tax rate increase of 2% enacted during the second quarter of 2015, as well as higher current income tax expense resulting from increased year-over-year taxable earnings from our Canadian operations. The 2015 period was also favorably impacted by the depreciation of CAD relative to USD.</w:t>
      </w:r>
    </w:p>
    <w:p>
      <w:pPr>
        <w:spacing w:after="0" w:line="18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Income tax expense increased for the year ended December 31, 2014 compared to the year ended December 31, 2013 primarily as a result of higher deferred income tax expense associated with derivative mark-to-market gains in our Canadian operations. The increased deferred income tax expense was partially offset by lower current income tax expense as a result of decreased year-over-year taxable earnings from our Canadian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5"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160" w:firstLine="612"/>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left="40" w:right="60" w:firstLine="612"/>
        <w:spacing w:after="0" w:line="268" w:lineRule="auto"/>
        <w:rPr>
          <w:sz w:val="20"/>
          <w:szCs w:val="20"/>
          <w:color w:val="auto"/>
        </w:rPr>
      </w:pPr>
      <w:r>
        <w:rPr>
          <w:rFonts w:ascii="Arial" w:cs="Arial" w:eastAsia="Arial" w:hAnsi="Arial"/>
          <w:sz w:val="17"/>
          <w:szCs w:val="17"/>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the rate of growth of North American crude oil production has slowed significantly and began to decrease in some areas as producers have taken rigs out of service and deferred completions at an increased rate. While we believe that the large North American resource base remains intact and will be developed, such production will likely take place at a slower pace and previously anticipated peak production levels will likely be reduced. The slowdown in North American production coupled with increases in infrastructure has led to a compression of basis 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88"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While we believe that these recent market developments will continue to slow down crude oil supply growth and contribute toward bringing the markets back to equilibrium, there can be no assurance that such equilibrium will be achieved or that we will not be negatively impacted by declining crude oil supply, low level of volatility or challenging capital markets conditions. Additionally, construction of additional infrastructure by us and our competitors will likely create excess takeaway capacity in certain areas at least for the near to medium term, which could further reduce unit margins in our various segments, and which may be exacerbated by declining levels of crude oil production. Finally, we cannot be certain that our expansion efforts will generate targeted returns or that any future acquisition activities will be successful. See Item 1A. “Risk Factors — Risks Related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primary sources of liquidity are (i) cash flow from operating activities as further discussed below in the section entitled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 (v) 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As of December 31, 2015, we had a working capital deficit of $438 million and approximately $2.3 billion of liquidity available to meet our ongoing operating, investing and financing needs, subject to continued covenant compliance, as noted below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460" w:type="dxa"/>
            <w:vAlign w:val="bottom"/>
          </w:tcPr>
          <w:p>
            <w:pPr>
              <w:jc w:val="right"/>
              <w:ind w:right="385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52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1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r>
      <w:tr>
        <w:trPr>
          <w:trHeight w:val="210"/>
        </w:trPr>
        <w:tc>
          <w:tcPr>
            <w:tcW w:w="528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3"/>
                <w:szCs w:val="23"/>
                <w:color w:val="auto"/>
                <w:vertAlign w:val="superscript"/>
              </w:rPr>
              <w:t>(1) (2)</w:t>
            </w:r>
          </w:p>
        </w:tc>
        <w:tc>
          <w:tcPr>
            <w:tcW w:w="4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3"/>
                <w:szCs w:val="23"/>
                <w:color w:val="auto"/>
                <w:vertAlign w:val="superscript"/>
              </w:rPr>
              <w:t>(1) (2)</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Availability under senior unsecured 364-day revolving credit facility</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Amounts outstanding under commercial paper program</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r>
      <w:tr>
        <w:trPr>
          <w:trHeight w:val="210"/>
        </w:trPr>
        <w:tc>
          <w:tcPr>
            <w:tcW w:w="52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4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0"/>
        </w:trPr>
        <w:tc>
          <w:tcPr>
            <w:tcW w:w="52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-1725295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-1725295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1" w:right="199" w:bottom="102"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6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170" w:lineRule="exact"/>
        <w:rPr>
          <w:sz w:val="20"/>
          <w:szCs w:val="20"/>
          <w:color w:val="auto"/>
        </w:rPr>
      </w:pPr>
    </w:p>
    <w:p>
      <w:pPr>
        <w:ind w:right="200" w:hanging="11"/>
        <w:spacing w:after="0" w:line="277" w:lineRule="auto"/>
        <w:rPr>
          <w:sz w:val="20"/>
          <w:szCs w:val="20"/>
          <w:color w:val="auto"/>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$17 million and $29 million, respectively.</w:t>
      </w:r>
    </w:p>
    <w:p>
      <w:pPr>
        <w:spacing w:after="0" w:line="170" w:lineRule="exact"/>
        <w:rPr>
          <w:sz w:val="20"/>
          <w:szCs w:val="20"/>
          <w:color w:val="auto"/>
        </w:rPr>
      </w:pPr>
    </w:p>
    <w:p>
      <w:pPr>
        <w:sectPr>
          <w:pgSz w:w="11900" w:h="16838" w:orient="portrait"/>
          <w:cols w:equalWidth="0" w:num="2">
            <w:col w:w="140" w:space="520"/>
            <w:col w:w="10800"/>
          </w:cols>
          <w:pgMar w:left="240" w:top="121" w:right="199" w:bottom="102" w:gutter="0" w:footer="0" w:header="0"/>
          <w:type w:val="continuous"/>
        </w:sectPr>
      </w:pPr>
    </w:p>
    <w:p>
      <w:pPr>
        <w:ind w:right="240" w:firstLine="648"/>
        <w:spacing w:after="0" w:line="259" w:lineRule="auto"/>
        <w:rPr>
          <w:sz w:val="20"/>
          <w:szCs w:val="20"/>
          <w:color w:val="auto"/>
        </w:rPr>
      </w:pPr>
      <w:r>
        <w:rPr>
          <w:rFonts w:ascii="Arial" w:cs="Arial" w:eastAsia="Arial" w:hAnsi="Arial"/>
          <w:sz w:val="18"/>
          <w:szCs w:val="18"/>
          <w:color w:val="auto"/>
        </w:rPr>
        <w:t>During the latter part of 2015, energy industry conditions deteriorated and capital markets access for energy companies was disrupted, which has continued into 2016. To fund our ongoing capital program and maintain a solid capital structure and significant liquidity, in January 2016, we raised $1.6 billion of equity capital through the sale of approximately 61.0 million unregistered Series A Convertible Preferred Units. See Note 10 to our Consolidated Financial Statements for additional information.</w:t>
      </w:r>
    </w:p>
    <w:p>
      <w:pPr>
        <w:sectPr>
          <w:pgSz w:w="11900" w:h="16838" w:orient="portrait"/>
          <w:cols w:equalWidth="0" w:num="1">
            <w:col w:w="11460"/>
          </w:cols>
          <w:pgMar w:left="240" w:top="121" w:right="199" w:bottom="102" w:gutter="0" w:footer="0" w:header="0"/>
          <w:type w:val="continuous"/>
        </w:sectPr>
      </w:pPr>
    </w:p>
    <w:bookmarkStart w:id="71" w:name="page72"/>
    <w:bookmarkEnd w:id="71"/>
    <w:p>
      <w:pPr>
        <w:ind w:right="220" w:firstLine="648"/>
        <w:spacing w:after="0" w:line="255" w:lineRule="auto"/>
        <w:rPr>
          <w:sz w:val="20"/>
          <w:szCs w:val="20"/>
          <w:color w:val="auto"/>
        </w:rPr>
      </w:pPr>
      <w:r>
        <w:rPr>
          <w:rFonts w:ascii="Arial" w:cs="Arial" w:eastAsia="Arial" w:hAnsi="Arial"/>
          <w:sz w:val="18"/>
          <w:szCs w:val="18"/>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for further discussion regarding such risks that may impact our liquidity and capital resources. Usage of the credit facilities, which provide the backstop for the commercial paper program, is subject to ongoing compliance with covenants. As of December 31, 2015, we were in compliance with all such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storage and terminalling services provided for a fee and (ii) the payment of amounts related to the purchase of crude oil, NGL and other products and other expenses, principally field operating costs, general and administrative expenses and interest expense.</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and/or the timing of settlement of our derivative activities. For example, gains and losses from settled instruments that qualify as effective cash flow hedges are deferred in accumulated other comprehensive income/loss, but may impact operating cash flow in the period settled. See Note 11 to our Consolidated Financial Statements for a discussion regarding our derivatives and risk management activities.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operating activities for the years ended December 31, 2015, 2014 and 2013 was approximately $1.3 billion, $2.0 billion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$1.95 billion, respectively, and primarily resulted from earnings from our operations. Additionally, as discussed further below, changes in our inventory levels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these years impacted our cash flow from operating activities.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2015, we increased the amount of our inventory; however, these volumetric increases were largely offset by lower prices for our inventory stored at the end of the year compared to prior year amounts.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2014, we decreased the volume of our crude oil inventory that we held. The decreased inventory levels were further impacted by lower prices for such inventory stored at the end of the year compared to prior year amounts. In addition, our margin balances fluctuated from a net cash outflow to a net cash inflow. A portion of the net proceeds received from the liquidation of such inventory and the positive cash flow associated with our margin balance activities were used to repay borrowings under our commercial paper program and favorably impacted cash flow from operating activities. These overall decreases were partially offset by an increase in the amount of NGL inventory stored at December 31, 2014 compared to prior year amounts, which was primarily financed through borrowings under our commercial paper program.</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2013, we decreased the amount of our inventory, primarily due to the sale of crude oil inventory that had been stored during the contango market, as well as the sale of NGL inventory due to end users’ increased demand for product used for heating and crop drying during the latter half of 2013. The net proceeds received from liquidation of such inventory during the year were used to repay borrowings under our credit facilities or commercial paper program and favorably impacted cash flow from operating activities. These decreases in inventory were partially offset by an increase in natural gas inventory whereby we retained more capacity for our own use. We primarily used borrowings under our credit facilities to pay for the stored natural gas, which negatively impacted our cash flow from operating activities. Also, a significant portion of our 2013 natural gas sales occurred in December 2013, with cash collections on these sales occurring in January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At December 31, 2015, we had four primary credit arrangements. These include a $1.6 billion senior unsecured revolving credit facility maturing in 2020, a $1.4 billion senior secured hedged inventory facility maturing in 2018 and a $1.0 billion, 364-day senior unsecured credit facility maturing in August 2016. Additionally, we have a $3.0 billion unsecured commercial paper program that is backstopped by our revolving credit facility and our hedged inventory facility. Our credit agreements (which impact our ability to access our commercial paper 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December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ectPr>
          <w:pgSz w:w="11900" w:h="16838" w:orient="portrait"/>
          <w:cols w:equalWidth="0" w:num="1">
            <w:col w:w="11400"/>
          </w:cols>
          <w:pgMar w:left="240" w:top="125" w:right="259" w:bottom="61" w:gutter="0" w:footer="0" w:header="0"/>
        </w:sectPr>
      </w:pPr>
    </w:p>
    <w:bookmarkStart w:id="72" w:name="page73"/>
    <w:bookmarkEnd w:id="72"/>
    <w:p>
      <w:pPr>
        <w:spacing w:after="0" w:line="4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Registration Statements</w:t>
      </w:r>
      <w:r>
        <w:rPr>
          <w:rFonts w:ascii="Arial" w:cs="Arial" w:eastAsia="Arial" w:hAnsi="Arial"/>
          <w:sz w:val="17"/>
          <w:szCs w:val="17"/>
          <w:color w:val="auto"/>
        </w:rPr>
        <w:t>. We periodically access the capital markets for both equity and debt financing. We have filed with the SEC a universal shelf</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 At December 31, 2015, we had approximately $2.0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Our March 2015 underwritten equity offering and our August 2015 senior notes issuance were conducted under our WKSI shelf. See “Common Unit Issuances” and “Senior Notes”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Common Unit Issuances</w:t>
      </w:r>
      <w:r>
        <w:rPr>
          <w:rFonts w:ascii="Arial" w:cs="Arial" w:eastAsia="Arial" w:hAnsi="Arial"/>
          <w:sz w:val="18"/>
          <w:szCs w:val="18"/>
          <w:color w:val="auto"/>
        </w:rPr>
        <w:t>. The following table summarizes our issuance of common units during the three years ended December 31, 2015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Type of Offering</w:t>
            </w: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Units Issued</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17"/>
                <w:szCs w:val="17"/>
                <w:b w:val="1"/>
                <w:bCs w:val="1"/>
                <w:color w:val="auto"/>
                <w:vertAlign w:val="superscript"/>
              </w:rPr>
              <w:t>(1) (2)</w:t>
            </w:r>
          </w:p>
        </w:tc>
        <w:tc>
          <w:tcPr>
            <w:tcW w:w="260" w:type="dxa"/>
            <w:vAlign w:val="bottom"/>
          </w:tcPr>
          <w:p>
            <w:pPr>
              <w:spacing w:after="0"/>
              <w:rPr>
                <w:sz w:val="16"/>
                <w:szCs w:val="16"/>
                <w:color w:val="auto"/>
              </w:rPr>
            </w:pPr>
          </w:p>
        </w:tc>
      </w:tr>
      <w:tr>
        <w:trPr>
          <w:trHeight w:val="210"/>
        </w:trPr>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1"/>
              </w:rPr>
              <w:t>(3)</w:t>
            </w: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8"/>
                <w:szCs w:val="18"/>
                <w:color w:val="auto"/>
              </w:rPr>
            </w:pPr>
          </w:p>
        </w:tc>
        <w:tc>
          <w:tcPr>
            <w:tcW w:w="42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Underwritten Offering</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21,000,000</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1,062</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(4)</w:t>
            </w:r>
          </w:p>
        </w:tc>
      </w:tr>
      <w:tr>
        <w:trPr>
          <w:trHeight w:val="210"/>
        </w:trPr>
        <w:tc>
          <w:tcPr>
            <w:tcW w:w="3220" w:type="dxa"/>
            <w:vAlign w:val="bottom"/>
            <w:tcBorders>
              <w:top w:val="single" w:sz="8" w:color="CCEEFF"/>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2015 Total</w:t>
            </w: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22,133,904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3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2014 Total</w:t>
            </w:r>
          </w:p>
        </w:tc>
        <w:tc>
          <w:tcPr>
            <w:tcW w:w="4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15,375,810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866</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1"/>
              </w:rPr>
              <w:t>(3)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197"/>
        </w:trPr>
        <w:tc>
          <w:tcPr>
            <w:tcW w:w="2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32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2013 Total</w:t>
            </w:r>
          </w:p>
        </w:tc>
        <w:tc>
          <w:tcPr>
            <w:tcW w:w="4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Continuous Offering Program</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8,644,807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477</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1"/>
              </w:rPr>
              <w:t>(3)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3"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25"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Amounts include our general partner’s proportionate capital contributions of $22 million, $18 million and $9 million during 2015, 2014 and 2013, respectively.</w:t>
      </w:r>
    </w:p>
    <w:p>
      <w:pPr>
        <w:spacing w:after="0" w:line="170" w:lineRule="exact"/>
        <w:rPr>
          <w:sz w:val="20"/>
          <w:szCs w:val="20"/>
          <w:color w:val="auto"/>
        </w:rPr>
      </w:pPr>
    </w:p>
    <w:p>
      <w:pPr>
        <w:jc w:val="both"/>
        <w:ind w:left="20" w:right="80" w:hanging="11"/>
        <w:spacing w:after="0" w:line="264" w:lineRule="auto"/>
        <w:rPr>
          <w:sz w:val="20"/>
          <w:szCs w:val="20"/>
          <w:color w:val="auto"/>
        </w:rPr>
      </w:pPr>
      <w:r>
        <w:rPr>
          <w:rFonts w:ascii="Arial" w:cs="Arial" w:eastAsia="Arial" w:hAnsi="Arial"/>
          <w:sz w:val="18"/>
          <w:szCs w:val="18"/>
          <w:color w:val="auto"/>
        </w:rPr>
        <w:t>We pay commissions to our sales agents in connection with common unit issuances under our Continuous Offering Program. We paid $1 million, $9 million and $5 million of such commissions during 2015, 2014 and 2013, respectively. The net proceeds from these offerings were used for general partnership purposes.</w:t>
      </w:r>
    </w:p>
    <w:p>
      <w:pPr>
        <w:spacing w:after="0" w:line="181" w:lineRule="exact"/>
        <w:rPr>
          <w:sz w:val="20"/>
          <w:szCs w:val="20"/>
          <w:color w:val="auto"/>
        </w:rPr>
      </w:pPr>
    </w:p>
    <w:p>
      <w:pPr>
        <w:sectPr>
          <w:pgSz w:w="11900" w:h="16883" w:orient="portrait"/>
          <w:cols w:equalWidth="0" w:num="2">
            <w:col w:w="140" w:space="500"/>
            <w:col w:w="10780"/>
          </w:cols>
          <w:pgMar w:left="240" w:top="125" w:right="239" w:bottom="0" w:gutter="0" w:footer="0" w:header="0"/>
          <w:type w:val="continuous"/>
        </w:sectPr>
      </w:pPr>
    </w:p>
    <w:p>
      <w:pPr>
        <w:ind w:left="660" w:right="60" w:hanging="652"/>
        <w:spacing w:after="0" w:line="227" w:lineRule="auto"/>
        <w:tabs>
          <w:tab w:leader="none" w:pos="648"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A portion of the net proceeds from such offering was used to repay borrowings under our commercial paper program and the remaining net proceeds were used for general partnership purposes, including expenditures for our 2015 capital program.</w:t>
      </w:r>
    </w:p>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Preferred Unit Issuance</w:t>
      </w:r>
      <w:r>
        <w:rPr>
          <w:rFonts w:ascii="Arial" w:cs="Arial" w:eastAsia="Arial" w:hAnsi="Arial"/>
          <w:sz w:val="18"/>
          <w:szCs w:val="18"/>
          <w:color w:val="auto"/>
        </w:rPr>
        <w:t>. In January 2016, we completed the private placement of approximately 61.0 million preferred units at a price of $26.25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resulting in total net proceeds to us, after deducting offering expenses and the 2% transaction fee due to the purchasers and including our 2% general partner’s proportionate contribution, of approximately $1.6 billion. We intend to use the net proceeds for capital expenditures, repayment of debt and general partnership purposes.</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holders of the preferred units are entitled to receive quarterly distributions, subject to customary anti-dilution adjustments, of $0.525 per unit ($2.10 per unit annualized), commencing with the quarter ending March 31, 2016. With respect to any quarter ending on or prior to December 31, 2017, we may elect to pay distributions on the preferred units in additional preferred units, in cash or in a combination of both.</w:t>
      </w:r>
    </w:p>
    <w:p>
      <w:pPr>
        <w:spacing w:after="0" w:line="166"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After two years, the preferred units are convertible at the purchasers’ option into common units on a one-for-one basis, subject to certain conditions, and are convertible at our option in certain circumstances after three years. See Item 5. “Market for Registrant’s Common Units, Related Unitholder Matters and Issuer Purchases of Equity Securities—“Recent Sales of Unregistered Securities” for additional information regarding the preferred units.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During the last three years, we issued senior unsecured notes as summarized in the table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516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Face Value</w:t>
            </w: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920" w:type="dxa"/>
            <w:vAlign w:val="bottom"/>
            <w:gridSpan w:val="3"/>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line="172" w:lineRule="exact"/>
              <w:rPr>
                <w:sz w:val="20"/>
                <w:szCs w:val="20"/>
                <w:color w:val="auto"/>
              </w:rPr>
            </w:pPr>
            <w:r>
              <w:rPr>
                <w:rFonts w:ascii="Arial" w:cs="Arial" w:eastAsia="Arial" w:hAnsi="Arial"/>
                <w:sz w:val="14"/>
                <w:szCs w:val="14"/>
                <w:b w:val="1"/>
                <w:bCs w:val="1"/>
                <w:color w:val="auto"/>
                <w:w w:val="88"/>
              </w:rPr>
              <w:t>Proceeds</w:t>
            </w:r>
            <w:r>
              <w:rPr>
                <w:rFonts w:ascii="Arial" w:cs="Arial" w:eastAsia="Arial" w:hAnsi="Arial"/>
                <w:sz w:val="17"/>
                <w:szCs w:val="17"/>
                <w:b w:val="1"/>
                <w:bCs w:val="1"/>
                <w:color w:val="auto"/>
                <w:w w:val="88"/>
                <w:vertAlign w:val="superscript"/>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5"/>
              </w:rPr>
              <w:t>Proceeds</w:t>
            </w:r>
            <w:r>
              <w:rPr>
                <w:rFonts w:ascii="Arial" w:cs="Arial" w:eastAsia="Arial" w:hAnsi="Arial"/>
                <w:sz w:val="17"/>
                <w:szCs w:val="17"/>
                <w:b w:val="1"/>
                <w:bCs w:val="1"/>
                <w:color w:val="auto"/>
                <w:w w:val="85"/>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4.65% Senior Notes issued at 99.846% of face value </w:t>
            </w:r>
            <w:r>
              <w:rPr>
                <w:rFonts w:ascii="Arial" w:cs="Arial" w:eastAsia="Arial" w:hAnsi="Arial"/>
                <w:sz w:val="23"/>
                <w:szCs w:val="23"/>
                <w:color w:val="auto"/>
                <w:vertAlign w:val="superscript"/>
              </w:rPr>
              <w:t>(3)</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2.60% Senior Notes issued at 99.813% of face value </w:t>
            </w:r>
            <w:r>
              <w:rPr>
                <w:rFonts w:ascii="Arial" w:cs="Arial" w:eastAsia="Arial" w:hAnsi="Arial"/>
                <w:sz w:val="23"/>
                <w:szCs w:val="23"/>
                <w:color w:val="auto"/>
                <w:vertAlign w:val="superscript"/>
              </w:rPr>
              <w:t>(4)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51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4.90% Senior Notes issued at 99.876% of face value </w:t>
            </w:r>
            <w:r>
              <w:rPr>
                <w:rFonts w:ascii="Arial" w:cs="Arial" w:eastAsia="Arial" w:hAnsi="Arial"/>
                <w:sz w:val="23"/>
                <w:szCs w:val="23"/>
                <w:color w:val="auto"/>
                <w:vertAlign w:val="superscript"/>
              </w:rPr>
              <w:t>(4)</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February 2045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3.60% Senior Notes issued at 99.842% of face value </w:t>
            </w:r>
            <w:r>
              <w:rPr>
                <w:rFonts w:ascii="Arial" w:cs="Arial" w:eastAsia="Arial" w:hAnsi="Arial"/>
                <w:sz w:val="23"/>
                <w:szCs w:val="23"/>
                <w:color w:val="auto"/>
                <w:vertAlign w:val="superscript"/>
              </w:rPr>
              <w:t>(3)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51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4.70% Senior Notes issued at 99.734% of face value </w:t>
            </w:r>
            <w:r>
              <w:rPr>
                <w:rFonts w:ascii="Arial" w:cs="Arial" w:eastAsia="Arial" w:hAnsi="Arial"/>
                <w:sz w:val="23"/>
                <w:szCs w:val="23"/>
                <w:color w:val="auto"/>
                <w:vertAlign w:val="superscript"/>
              </w:rPr>
              <w:t>(3)</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2044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3.85% Senior Notes issued at 99.792% of face value </w:t>
            </w:r>
            <w:r>
              <w:rPr>
                <w:rFonts w:ascii="Arial" w:cs="Arial" w:eastAsia="Arial" w:hAnsi="Arial"/>
                <w:sz w:val="23"/>
                <w:szCs w:val="23"/>
                <w:color w:val="auto"/>
                <w:vertAlign w:val="superscript"/>
              </w:rPr>
              <w:t>(3)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2023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3" w:orient="portrait"/>
          <w:cols w:equalWidth="0" w:num="1">
            <w:col w:w="11420"/>
          </w:cols>
          <w:pgMar w:left="240" w:top="125" w:right="239" w:bottom="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83"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hanging="652"/>
        <w:spacing w:after="0" w:line="227" w:lineRule="auto"/>
        <w:tabs>
          <w:tab w:leader="none" w:pos="648"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We used the net proceeds from this offering to repay outstanding borrowings under our credit facilities or commercial paper program and for general partnership purposes.</w:t>
      </w:r>
    </w:p>
    <w:p>
      <w:pPr>
        <w:sectPr>
          <w:pgSz w:w="11900" w:h="16883" w:orient="portrait"/>
          <w:cols w:equalWidth="0" w:num="1">
            <w:col w:w="11420"/>
          </w:cols>
          <w:pgMar w:left="240" w:top="125" w:right="239" w:bottom="0" w:gutter="0" w:footer="0" w:header="0"/>
          <w:type w:val="continuous"/>
        </w:sectPr>
      </w:pPr>
    </w:p>
    <w:bookmarkStart w:id="73" w:name="page74"/>
    <w:bookmarkEnd w:id="73"/>
    <w:p>
      <w:pPr>
        <w:ind w:left="660" w:right="200" w:hanging="652"/>
        <w:spacing w:after="0" w:line="238" w:lineRule="auto"/>
        <w:tabs>
          <w:tab w:leader="none" w:pos="648" w:val="left"/>
        </w:tabs>
        <w:numPr>
          <w:ilvl w:val="0"/>
          <w:numId w:val="65"/>
        </w:numPr>
        <w:rPr>
          <w:rFonts w:ascii="Arial" w:cs="Arial" w:eastAsia="Arial" w:hAnsi="Arial"/>
          <w:sz w:val="22"/>
          <w:szCs w:val="22"/>
          <w:color w:val="auto"/>
          <w:vertAlign w:val="superscript"/>
        </w:rPr>
      </w:pPr>
      <w:r>
        <w:rPr>
          <w:rFonts w:ascii="Arial" w:cs="Arial" w:eastAsia="Arial" w:hAnsi="Arial"/>
          <w:sz w:val="17"/>
          <w:szCs w:val="17"/>
          <w:color w:val="auto"/>
        </w:rPr>
        <w:t>We used the net proceeds from this offering to repay outstanding borrowings under our commercial paper program (a portion of which was used to fund the acquisition of a 50% interest in BridgeTex). See Note 7 to our Consolidated Financial Statements for further discussion.</w:t>
      </w:r>
    </w:p>
    <w:p>
      <w:pPr>
        <w:spacing w:after="0" w:line="20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$150 million, 5.25% senior notes and $400 million, 3.95% senior notes matured in June 2015 and September 2015, respectively, and were repaid with borrowings under our commercial paper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2013, our $250 million, 5.63% senior notes matured and were repaid with borrowings under our commercial paper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Distributions Paid to Our Unitholders, General Partner and Noncontrolling Interests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capital projects and distributions paid to our unitholders, general partner and noncontrolling interests. Historically, we have financed these expenditures primarily with cash generated by operations and the financing activities discussed above. See “—Acquisitions and Capital Projects” for further discussion of such capital expenditures.</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The price of acquisitions includes cash paid, assumed liabilities and net working capital items. Because of the non-cash items included in the total price of the acquisition and the timing of certain cash payments, the net cash paid may differ significantly from the total price of the acquisitions completed during the year. During the years ended December 31, 2015, 2014 and 2013, we paid cash of $105 million, $1,098 million and $28 million, respectively, for acquisitions.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first quarter of 2016, we entered into binding agreements for the sale of various non-core assets for total consideration of approximately $325 million. We expect these transactions to close in the first half of 2016.</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2016 Capital Projects. </w:t>
      </w:r>
      <w:r>
        <w:rPr>
          <w:rFonts w:ascii="Arial" w:cs="Arial" w:eastAsia="Arial" w:hAnsi="Arial"/>
          <w:sz w:val="17"/>
          <w:szCs w:val="17"/>
          <w:color w:val="auto"/>
        </w:rPr>
        <w:t>We expect the majority of funding for our 2016 capital program will be provided by the proceeds from our January 2016</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 offering. 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2016 expansion capital program will be invested in our fee-based Transportation and Facilities segments. We expect that our investments will have minimal contributions to our 2016 results, but will provide growth for 2017 and beyond. Our 2016 capital program includes the following projects as of February 2016 with the estimated cost for the entire year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Saskatchewan Facility Projects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Permian Basin Area Pipeline Projects</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Projected Expansion Capital Expenditures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$1,400 - $1,600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$190 - $210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Distributions to our unitholders and general partner. </w:t>
      </w:r>
      <w:r>
        <w:rPr>
          <w:rFonts w:ascii="Arial" w:cs="Arial" w:eastAsia="Arial" w:hAnsi="Arial"/>
          <w:sz w:val="17"/>
          <w:szCs w:val="17"/>
          <w:color w:val="auto"/>
        </w:rPr>
        <w:t>We distribute 100% of our available cash within 45 days following the end of each quarter to</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On February 12, 2016, we paid a quarterly distribution of $0.70 per common unit. This distribution represents a year-over-year distribution increase of approximately 3.7%. See Note 10 to our Consolidated Financial Statements for details of distributions paid. Also, see Item 5. “Market for Registrant’s Common Units, Related Unitholder Matters and Issuer Purchases of Equity Securities—Cash Distribution Policy” for additional discussion regarding distributions.</w:t>
      </w:r>
    </w:p>
    <w:p>
      <w:pPr>
        <w:spacing w:after="0" w:line="178" w:lineRule="exact"/>
        <w:rPr>
          <w:sz w:val="20"/>
          <w:szCs w:val="20"/>
          <w:color w:val="auto"/>
        </w:rPr>
      </w:pPr>
    </w:p>
    <w:p>
      <w:pPr>
        <w:ind w:right="980" w:firstLine="648"/>
        <w:spacing w:after="0" w:line="342" w:lineRule="auto"/>
        <w:rPr>
          <w:sz w:val="20"/>
          <w:szCs w:val="20"/>
          <w:color w:val="auto"/>
        </w:rPr>
      </w:pPr>
      <w:r>
        <w:rPr>
          <w:rFonts w:ascii="Arial" w:cs="Arial" w:eastAsia="Arial" w:hAnsi="Arial"/>
          <w:sz w:val="16"/>
          <w:szCs w:val="16"/>
          <w:i w:val="1"/>
          <w:iCs w:val="1"/>
          <w:color w:val="auto"/>
        </w:rPr>
        <w:t xml:space="preserve">Distributions to noncontrolling interests. </w:t>
      </w:r>
      <w:r>
        <w:rPr>
          <w:rFonts w:ascii="Arial" w:cs="Arial" w:eastAsia="Arial" w:hAnsi="Arial"/>
          <w:sz w:val="16"/>
          <w:szCs w:val="16"/>
          <w:color w:val="auto"/>
        </w:rPr>
        <w:t>We paid $3 million for distributions to noncontrolling interests during each of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and 2014. These amounts represent distributions paid on interests in SLC Pipeline LLC that were not owned by us.</w:t>
      </w:r>
    </w:p>
    <w:p>
      <w:pPr>
        <w:spacing w:after="0" w:line="12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16 to our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ectPr>
          <w:pgSz w:w="11900" w:h="16838" w:orient="portrait"/>
          <w:cols w:equalWidth="0" w:num="1">
            <w:col w:w="11420"/>
          </w:cols>
          <w:pgMar w:left="240" w:top="341" w:right="239" w:bottom="0" w:gutter="0" w:footer="0" w:header="0"/>
        </w:sectPr>
      </w:pPr>
    </w:p>
    <w:bookmarkStart w:id="74" w:name="page75"/>
    <w:bookmarkEnd w:id="74"/>
    <w:p>
      <w:pPr>
        <w:spacing w:after="0" w:line="6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2021 and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and related interest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1,324</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Crude oil, natural gas, NGL and other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purchases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76" w:lineRule="auto"/>
        <w:rPr>
          <w:sz w:val="20"/>
          <w:szCs w:val="20"/>
          <w:color w:val="auto"/>
        </w:rPr>
      </w:pPr>
      <w:r>
        <w:rPr>
          <w:rFonts w:ascii="Arial" w:cs="Arial" w:eastAsia="Arial" w:hAnsi="Arial"/>
          <w:sz w:val="17"/>
          <w:szCs w:val="17"/>
          <w:color w:val="auto"/>
        </w:rPr>
        <w:t>Includes debt service payments, interest payments due on senior notes,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9 to our Consolidated Financial Statements.</w:t>
      </w:r>
    </w:p>
    <w:p>
      <w:pPr>
        <w:spacing w:after="0" w:line="173"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140" w:space="500"/>
            <w:col w:w="10780"/>
          </w:cols>
          <w:pgMar w:left="240" w:top="34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line="242" w:lineRule="auto"/>
        <w:tabs>
          <w:tab w:leader="none" w:pos="648"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Includes (i) other long-term liabilities (excluding approximately $33 million related to derivative activity included in Crude oil, natural gas, NGL and other purchases),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$930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202" w:lineRule="exact"/>
        <w:rPr>
          <w:rFonts w:ascii="Arial" w:cs="Arial" w:eastAsia="Arial" w:hAnsi="Arial"/>
          <w:sz w:val="23"/>
          <w:szCs w:val="23"/>
          <w:color w:val="auto"/>
          <w:vertAlign w:val="superscript"/>
        </w:rPr>
      </w:pPr>
    </w:p>
    <w:p>
      <w:pPr>
        <w:ind w:left="660" w:right="100" w:hanging="652"/>
        <w:spacing w:after="0" w:line="249" w:lineRule="auto"/>
        <w:tabs>
          <w:tab w:leader="none" w:pos="648" w:val="left"/>
        </w:tabs>
        <w:numPr>
          <w:ilvl w:val="0"/>
          <w:numId w:val="67"/>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 standby letters of credit to secure</w:t>
      </w:r>
      <w:r>
        <w:rPr>
          <w:rFonts w:ascii="Arial" w:cs="Arial" w:eastAsia="Arial" w:hAnsi="Arial"/>
          <w:sz w:val="16"/>
          <w:szCs w:val="16"/>
          <w:i w:val="1"/>
          <w:iCs w:val="1"/>
          <w:color w:val="auto"/>
        </w:rPr>
        <w:t xml:space="preserve"> </w:t>
      </w:r>
      <w:r>
        <w:rPr>
          <w:rFonts w:ascii="Arial" w:cs="Arial" w:eastAsia="Arial" w:hAnsi="Arial"/>
          <w:sz w:val="16"/>
          <w:szCs w:val="16"/>
          <w:color w:val="auto"/>
        </w:rPr>
        <w:t>our obligation for the purchase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2015 and 2014, we had outstanding letters of credit of approximately $46 million and $87 million,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2015 (unaudited, 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Our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Total Entity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Entity</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40" w:type="dxa"/>
            <w:vAlign w:val="bottom"/>
            <w:vMerge w:val="restart"/>
          </w:tcPr>
          <w:p>
            <w:pPr>
              <w:spacing w:after="0"/>
              <w:rPr>
                <w:sz w:val="12"/>
                <w:szCs w:val="12"/>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Type of Operation</w:t>
            </w:r>
          </w:p>
        </w:tc>
        <w:tc>
          <w:tcPr>
            <w:tcW w:w="240" w:type="dxa"/>
            <w:vAlign w:val="bottom"/>
            <w:vMerge w:val="restart"/>
          </w:tcPr>
          <w:p>
            <w:pPr>
              <w:spacing w:after="0"/>
              <w:rPr>
                <w:sz w:val="12"/>
                <w:szCs w:val="12"/>
                <w:color w:val="auto"/>
              </w:rPr>
            </w:pP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Ownership</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Cash</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Debt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BridgeTex Pipeline Company, LLC</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8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Caddo Pipeline LLC</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Diamond Pipeline LLC</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8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Terminals Corpus Christi LLC</w:t>
            </w: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Crude Oil Terminal and Dock</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Eagle Ford Pipeline LLC</w:t>
            </w:r>
          </w:p>
        </w:tc>
        <w:tc>
          <w:tcPr>
            <w:tcW w:w="3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Crude Oil Pipeline</w:t>
            </w:r>
          </w:p>
        </w:tc>
        <w:tc>
          <w:tcPr>
            <w:tcW w:w="8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type w:val="continuous"/>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Frontier Pipeline Company</w:t>
            </w:r>
          </w:p>
        </w:tc>
        <w:tc>
          <w:tcPr>
            <w:tcW w:w="3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Crude Oil Pipeline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Saddlehorn Pipeline Company, LLC</w:t>
            </w:r>
          </w:p>
        </w:tc>
        <w:tc>
          <w:tcPr>
            <w:tcW w:w="3040" w:type="dxa"/>
            <w:vAlign w:val="bottom"/>
          </w:tcPr>
          <w:p>
            <w:pPr>
              <w:ind w:left="780"/>
              <w:spacing w:after="0"/>
              <w:rPr>
                <w:sz w:val="20"/>
                <w:szCs w:val="20"/>
                <w:color w:val="auto"/>
              </w:rPr>
            </w:pPr>
            <w:r>
              <w:rPr>
                <w:rFonts w:ascii="Arial" w:cs="Arial" w:eastAsia="Arial" w:hAnsi="Arial"/>
                <w:sz w:val="18"/>
                <w:szCs w:val="18"/>
                <w:color w:val="auto"/>
              </w:rPr>
              <w:t>Crude Oil Pipeline</w:t>
            </w: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3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Crude Oil Pipeline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Butte Pipe Line Company</w:t>
            </w:r>
          </w:p>
        </w:tc>
        <w:tc>
          <w:tcPr>
            <w:tcW w:w="3040" w:type="dxa"/>
            <w:vAlign w:val="bottom"/>
          </w:tcPr>
          <w:p>
            <w:pPr>
              <w:ind w:left="780"/>
              <w:spacing w:after="0"/>
              <w:rPr>
                <w:sz w:val="20"/>
                <w:szCs w:val="20"/>
                <w:color w:val="auto"/>
              </w:rPr>
            </w:pPr>
            <w:r>
              <w:rPr>
                <w:rFonts w:ascii="Arial" w:cs="Arial" w:eastAsia="Arial" w:hAnsi="Arial"/>
                <w:sz w:val="18"/>
                <w:szCs w:val="18"/>
                <w:color w:val="auto"/>
              </w:rPr>
              <w:t>Crude Oil Pipeline</w:t>
            </w: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16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47" w:lineRule="exact"/>
        <w:rPr>
          <w:sz w:val="20"/>
          <w:szCs w:val="20"/>
          <w:color w:val="auto"/>
        </w:rPr>
      </w:pPr>
    </w:p>
    <w:p>
      <w:pPr>
        <w:ind w:left="940" w:hanging="284"/>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jc w:val="both"/>
        <w:ind w:left="980" w:right="22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4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to our Consolidated Financial Statements for further discussion regarding our hedging strategies and objectives.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2015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1060" w:type="dxa"/>
            <w:vAlign w:val="bottom"/>
            <w:tcBorders>
              <w:top w:val="single" w:sz="8" w:color="auto"/>
            </w:tcBorders>
            <w:shd w:val="clear" w:color="auto" w:fill="CCEEFF"/>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Natural gas</w:t>
            </w:r>
          </w:p>
        </w:tc>
        <w:tc>
          <w:tcPr>
            <w:tcW w:w="10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December 31, 2015, approximately $1.7 billion, is subject to interest rate re-sets that range from less than one week to two months. The average interest rate on variable rate debt that was outstanding during the year ended December 31, 2015 was 0.5%, based upon rates in effect during the year. The fair value of our interest rate derivatives was a liability of $49 million as of December 31, 2015. A 10% increase in the forward LIBOR curve as of December 31, 2015 would have resulted in an increase of $47 million to the fair value of our interest rate derivatives. A 10% decrease in the forward LIBOR curve as of December 31, 2015 would have resulted in a decrease of $47 million to the fair value of our interest rate derivatives. See Note 11 to our Consolidated Financial Statements for a discussion of our interest rate risk hedging activities.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76" w:name="page77"/>
    <w:bookmarkEnd w:id="76"/>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$8 million as of December 31, 2015.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11 to our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2015,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2015. See Management’s Report on Internal Control Over Financial Reporting on page F-2 of our Consolidated Financial Statements.</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2015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2015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Plains Midstream Canada ULC (“PMC” or “Plains Midstream Canada”)). GP LLC is the general partner of Plains AAP, L.P. (“AAP”), which is the sole member of PAA GP LLC, our general partner. Plains GP Holdings, L.P. (“PAGP”) is the sole member of GP LLC, and PAA GP Holdings LLC (“GP</w:t>
      </w:r>
    </w:p>
    <w:p>
      <w:pPr>
        <w:sectPr>
          <w:pgSz w:w="11900" w:h="16877" w:orient="portrait"/>
          <w:cols w:equalWidth="0" w:num="1">
            <w:col w:w="11420"/>
          </w:cols>
          <w:pgMar w:left="240" w:top="337" w:right="239" w:bottom="0" w:gutter="0" w:footer="0" w:header="0"/>
        </w:sectPr>
      </w:pPr>
    </w:p>
    <w:bookmarkStart w:id="77" w:name="page78"/>
    <w:bookmarkEnd w:id="77"/>
    <w:p>
      <w:pPr>
        <w:ind w:right="420"/>
        <w:spacing w:after="0" w:line="277" w:lineRule="auto"/>
        <w:rPr>
          <w:sz w:val="20"/>
          <w:szCs w:val="20"/>
          <w:color w:val="auto"/>
        </w:rPr>
      </w:pPr>
      <w:r>
        <w:rPr>
          <w:rFonts w:ascii="Arial" w:cs="Arial" w:eastAsia="Arial" w:hAnsi="Arial"/>
          <w:sz w:val="18"/>
          <w:szCs w:val="18"/>
          <w:color w:val="auto"/>
        </w:rPr>
        <w:t>Holdings”) is the general partner of PAGP. References to our officers, directors and employees are references to the officers, directors and employees of GP LLC (or, in the case of our Canadian operations, Plains Midstream Canada).</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GP LLC manages our operations and activities; however, PAGP effectively controls our business and affairs through the exercise of its rights as the sole and managing member of GP LLC, including its right to appoint certain members to the board of directors of GP LLC. The business and affairs of GP LLC are managed by or under the direction of its board of directors, which we refer to as our “board of directors” or “board”. As provided in the Sixth Amended and Restated Limited Liability Company Agreement of GP LLC (as amended, the “GP LLC Agreement”), our board of directors consists of eight members, appointed as follows:</w:t>
      </w:r>
    </w:p>
    <w:p>
      <w:pPr>
        <w:spacing w:after="0" w:line="188" w:lineRule="exact"/>
        <w:rPr>
          <w:sz w:val="20"/>
          <w:szCs w:val="20"/>
          <w:color w:val="auto"/>
        </w:rPr>
      </w:pPr>
    </w:p>
    <w:p>
      <w:pPr>
        <w:ind w:left="980" w:right="40" w:hanging="324"/>
        <w:spacing w:after="0" w:line="264" w:lineRule="auto"/>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Three of the members are the same individuals designated to serve on the board of directors of GP Holdings by the three members of GP Holdings that currently hold board designation rights for the GP Holdings board of directors (affiliates of The Energy &amp; Minerals Group, Kayne Anderson Investment Management Inc. and Occidental Petroleum Corporation);</w:t>
      </w:r>
    </w:p>
    <w:p>
      <w:pPr>
        <w:spacing w:after="0" w:line="181"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Four of the members (three of whom must be independent directors eligible to serve on the audit committee) are elected, and may be removed, by PAGP, acting by majority vote through the board of directors of its general partner, GP Holdings;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 of the members is the Chief Executive Officer of GP LLC.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member of GP Holdings that accumulates an interest in AAP greater than 20% and does not otherwise have a GP Holdings board designation right may designate a GP Holdings director, except that there may be no more than three designated directors serving on the GP Holdings board at any one time. In the event a designated director ceases to serve as a director of the GP Holdings board of directors, such director will be automatically removed as a director of our board; the replacement for such director shall either be (i) the director appointed to the GP Holdings board by a subsequent designating member of GP Holdings or (ii) if there is no such subsequent designating member, an individual elected by PAGP acting by majority vote through the board of directors of GP Holdings. In connection with the issuance of our Series A Convertible Preferred Units (the “Preferred Units”) in January 2016, the GP LLC Agreement was amended to provide that if we fail to make three distributions on the Preferred Units (whether or not consecutive), the holders of Preferred Units will have the right to appoint a new member of the board to serve until such time as all accrued and unpaid distributions on the Preferred Units have been paid in full.</w:t>
      </w:r>
    </w:p>
    <w:p>
      <w:pPr>
        <w:spacing w:after="0" w:line="19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In addition,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CEO also serves as Chairman of the Board. The board has no policy with respect to the separation of the offices of chairman and CEO; rather, that relationship is currently defined and governed by the GP LLC Agreement and the employment agreement with the CEO, which currently require coincidence of the offices. However, pursuant to the terms of the GP LLC Agreement, if and when our board of directors elects a successor to our current CEO, by majority vote our board of directors may determine to separate the offices of CEO and Chairman of the Board. We do not have a lead independent director.</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an ELR assessment to the board at least once every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Non-management directors meet in executive session in connection with each regular board meeting. On a rotating basis (determined alphabetically by last name), one of the non-management directors acts as presiding director at each such regularly scheduled executive session.</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by the NYSE.</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To be considered independent under NYSE listing standards,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(Messrs. Goyanes, Symonds and</w:t>
      </w:r>
    </w:p>
    <w:p>
      <w:pPr>
        <w:sectPr>
          <w:pgSz w:w="11900" w:h="16838" w:orient="portrait"/>
          <w:cols w:equalWidth="0" w:num="1">
            <w:col w:w="11420"/>
          </w:cols>
          <w:pgMar w:left="240" w:top="125" w:right="239" w:bottom="0" w:gutter="0" w:footer="0" w:header="0"/>
        </w:sectPr>
      </w:pPr>
    </w:p>
    <w:bookmarkStart w:id="78" w:name="page79"/>
    <w:bookmarkEnd w:id="78"/>
    <w:p>
      <w:pPr>
        <w:ind w:right="940"/>
        <w:spacing w:after="0" w:line="277" w:lineRule="auto"/>
        <w:rPr>
          <w:sz w:val="20"/>
          <w:szCs w:val="20"/>
          <w:color w:val="auto"/>
        </w:rPr>
      </w:pPr>
      <w:r>
        <w:rPr>
          <w:rFonts w:ascii="Arial" w:cs="Arial" w:eastAsia="Arial" w:hAnsi="Arial"/>
          <w:sz w:val="18"/>
          <w:szCs w:val="18"/>
          <w:color w:val="auto"/>
        </w:rPr>
        <w:t>Temple) is (i) “independent” under applicable NYSE rules and (ii) an “Audit Committee Financial Expert,” as that term is defined in Item 407 of Regulation S-K.</w:t>
      </w:r>
    </w:p>
    <w:p>
      <w:pPr>
        <w:spacing w:after="0" w:line="170"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None of the members of our audit committee has any relationships with either GP LLC or us, other than as a director and unitholder. Mr. Goyanes also serves as a director and member of the audit committee of the board of directors of GP Holdings. For additional information regarding the experience and qualifications of our directors, please read the biographical descriptions under “—Directors, Executive Officers and Other Officers”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2015. The compensation committee has delegated limited authority to the CEO to administer our long-term incentive plans with respect to employees other than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Other Committees</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and Symonds. Under applicable stock exchange rules, none of the members of our governance committee is required to be “independent.” In the event of a vacancy in the three required independent director seats on our board, the governance committee will assist in identifying and screening potential candidates. Upon request of PAGP as the sole member of GP LLC, the governance committee is also available to assist in identifying and screening potential candidates for any vacant “at large” seats.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spacing w:after="0" w:line="16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addition, our partnership agreement allows for the establishment or activation of a conflicts committee as circumstances warrant to review conflicts of interest between us and our general partner or the owners of our general partner. Such committee will typically consist of a minimum of two independent, non-employee members of our board. Our partnership agreement provides that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Independence—Review, Approval or Ratification of Transactions with Related Persons.”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Other Information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last fiscal year, our board of directors had nine meetings, our audit committee had eight meetings, our compensation committee had two meetings and our governance committee had one meeting. All directors have access to members of management, and a substantial amount of information transfer and informal communication occurs between meetings. None of our directors attended fewer than 75% of the aggregate number of meetings of the board of directors and committees of the board on which the director served.</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discussed above, GP LLC manages our operations and activities, and GP LLC is managed by or under the direction of its board of directors, whose members are either designated by certain members of GP Holdings or appointed by PAGP, as the sole member of GP LLC acting through the GP Holdings board of directors. Accordingly, unlike holders of common stock in a corporation, our unitholders have only limited voting rights on matters affecting our business or governance, subject in all cases to any specific unitholder rights contained in our partnership agreement. As a result, we do not hold regular annual meetings of unitholders for the purpose of electing directors or soliciting approval of any other routine matters.</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Code of Business Conduct on behalf of an executive officer or director either on our Internet website or in an 8-K filing.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audit committee of our board of directors oversees the Partnership’s financial reporting process on behalf of the board of directors. Management has the primary responsibility for the financial statements and the reporting process, including the systems of internal controls.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ectPr>
          <w:pgSz w:w="11900" w:h="16838" w:orient="portrait"/>
          <w:cols w:equalWidth="0" w:num="1">
            <w:col w:w="11400"/>
          </w:cols>
          <w:pgMar w:left="240" w:top="125" w:right="259" w:bottom="0" w:gutter="0" w:footer="0" w:header="0"/>
        </w:sectPr>
      </w:pPr>
    </w:p>
    <w:bookmarkStart w:id="79" w:name="page80"/>
    <w:bookmarkEnd w:id="79"/>
    <w:p>
      <w:pPr>
        <w:spacing w:after="0" w:line="6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discussed with PricewaterhouseCoopers LLP the matters required to be discussed by Public Company Accounting Oversight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Auditing Standard No. 16, Communications with Audit Committees. The audit committee received written disclosures and the letter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required by applicable requirements of the Public Company Accounting Oversight Board regarding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LLP’s communications with the audit committee concerning independence, and has discussed with PricewaterhouseCoopers LLP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independence from management and the Partnership.</w:t>
      </w:r>
    </w:p>
    <w:p>
      <w:pPr>
        <w:spacing w:after="0" w:line="211"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the audited financial statements be included in the Annual Report on Form 10-K for the year ended December 31, 2015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Taft Symonds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M. Temple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Other Officers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As discussed above, three of the owners of membership interests in GP Holdings each have the right to separately designate a member of the board of directors of GP Holdings, and such designee in turn automatically becomes a member of our board. Such designees are indicated in footnote 2 to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gridSpan w:val="2"/>
          </w:tcPr>
          <w:p>
            <w:pPr>
              <w:ind w:left="860"/>
              <w:spacing w:after="0"/>
              <w:rPr>
                <w:sz w:val="20"/>
                <w:szCs w:val="20"/>
                <w:color w:val="auto"/>
              </w:rPr>
            </w:pPr>
            <w:r>
              <w:rPr>
                <w:rFonts w:ascii="Arial" w:cs="Arial" w:eastAsia="Arial" w:hAnsi="Arial"/>
                <w:sz w:val="14"/>
                <w:szCs w:val="14"/>
                <w:b w:val="1"/>
                <w:bCs w:val="1"/>
                <w:color w:val="auto"/>
              </w:rPr>
              <w:t>Age (as of</w:t>
            </w:r>
          </w:p>
        </w:tc>
        <w:tc>
          <w:tcPr>
            <w:tcW w:w="592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4"/>
              </w:rPr>
              <w:t>12/31/15)</w:t>
            </w:r>
          </w:p>
        </w:tc>
        <w:tc>
          <w:tcPr>
            <w:tcW w:w="38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8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 (U.S.)</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Mark J. Gorman*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President—Operations and Engineering</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 Kramer*</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Richard K. McGee*</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Executive Vice President—Commercial Activities</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Samuel N. Brown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Lawrence J. Dreyfuss</w:t>
            </w:r>
          </w:p>
        </w:tc>
        <w:tc>
          <w:tcPr>
            <w:tcW w:w="2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61</w:t>
            </w:r>
          </w:p>
        </w:tc>
        <w:tc>
          <w:tcPr>
            <w:tcW w:w="38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Senior Vice President, General Counsel—Commercial &amp; Litigation and Assistant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John Keffer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A. Lindseth</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President—Technology, Process &amp; Risk Management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Daniel J. Nerbonne</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Senior Vice President—Engineering</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Balasch</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President,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Kevin L. Cantrell</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President—Internal Audit</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Craig</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 Corporate Development,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Brad Deets</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1"/>
              </w:rPr>
              <w:t>Senior Vice President, NGL Commercial and Facilities,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D. Everett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President—Human Resources</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Steve Falgoust</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President—Asset Integrity</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Ferrell</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President—Supply Chain Management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Bill Forward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 Finance,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President—Bulk Supply and Logistics</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Jeremy L. Goebel</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President—Acquisitions and Strategic Planning</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Gore</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President—Environmental and Regulatory Compliance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Chris Herbold*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Holtzman</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President—Safety, Security and Training</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Keith Jalbert</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President—Commercial Activities</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Jensen</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Operations,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Christopher M. Kean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 Engineering, Plains Midstream Canada</w:t>
            </w: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Sterling Koch</w:t>
            </w:r>
          </w:p>
        </w:tc>
        <w:tc>
          <w:tcPr>
            <w:tcW w:w="2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46</w:t>
            </w:r>
          </w:p>
        </w:tc>
        <w:tc>
          <w:tcPr>
            <w:tcW w:w="38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Vice President, Health, Safety, Environment &amp; Regulatory, Plains Midstream</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Dwayne Koehn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Mikuska</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Crude Supply &amp; Pipelines,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James H. Pinchback</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President—Pipeline Business Development</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Michelle Podavin</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President—NGL Supply and Facilities, Plains Midstream Canada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George N. Polydoros</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President—Land and Office Services</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Megan Prout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President—Commercial Litigation and Law</w:t>
            </w:r>
          </w:p>
        </w:tc>
        <w:tc>
          <w:tcPr>
            <w:tcW w:w="0" w:type="dxa"/>
            <w:vAlign w:val="bottom"/>
          </w:tcPr>
          <w:p>
            <w:pPr>
              <w:spacing w:after="0"/>
              <w:rPr>
                <w:sz w:val="1"/>
                <w:szCs w:val="1"/>
                <w:color w:val="auto"/>
              </w:rPr>
            </w:pPr>
          </w:p>
        </w:tc>
      </w:tr>
      <w:tr>
        <w:trPr>
          <w:trHeight w:val="202"/>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Tyler Rimbey</w:t>
            </w:r>
          </w:p>
        </w:tc>
        <w:tc>
          <w:tcPr>
            <w:tcW w:w="2320" w:type="dxa"/>
            <w:vAlign w:val="bottom"/>
          </w:tcPr>
          <w:p>
            <w:pPr>
              <w:jc w:val="center"/>
              <w:spacing w:after="0" w:line="201" w:lineRule="exact"/>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5"/>
              </w:rPr>
              <w:t>Executive Vice President, Crude Commercial and Pipelines, Plains Midstream</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Roberts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Robert M. Sanford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President—Lease Supply</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Schwarz</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Human Resources,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James Shelford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 LPG Commercial,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Sill</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Operations,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5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vMerge w:val="restart"/>
          </w:tcPr>
          <w:p>
            <w:pPr>
              <w:spacing w:after="0"/>
              <w:rPr>
                <w:sz w:val="24"/>
                <w:szCs w:val="24"/>
                <w:color w:val="auto"/>
              </w:rPr>
            </w:pPr>
          </w:p>
        </w:tc>
        <w:tc>
          <w:tcPr>
            <w:tcW w:w="2700" w:type="dxa"/>
            <w:vAlign w:val="bottom"/>
            <w:gridSpan w:val="2"/>
          </w:tcPr>
          <w:p>
            <w:pPr>
              <w:ind w:left="860"/>
              <w:spacing w:after="0"/>
              <w:rPr>
                <w:sz w:val="20"/>
                <w:szCs w:val="20"/>
                <w:color w:val="auto"/>
              </w:rPr>
            </w:pPr>
            <w:r>
              <w:rPr>
                <w:rFonts w:ascii="Arial" w:cs="Arial" w:eastAsia="Arial" w:hAnsi="Arial"/>
                <w:sz w:val="14"/>
                <w:szCs w:val="14"/>
                <w:b w:val="1"/>
                <w:bCs w:val="1"/>
                <w:color w:val="auto"/>
              </w:rPr>
              <w:t>Age (as of</w:t>
            </w:r>
          </w:p>
        </w:tc>
        <w:tc>
          <w:tcPr>
            <w:tcW w:w="592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Position</w:t>
            </w:r>
            <w:r>
              <w:rPr>
                <w:rFonts w:ascii="Arial" w:cs="Arial" w:eastAsia="Arial" w:hAnsi="Arial"/>
                <w:sz w:val="17"/>
                <w:szCs w:val="17"/>
                <w:b w:val="1"/>
                <w:bCs w:val="1"/>
                <w:color w:val="auto"/>
                <w:vertAlign w:val="superscript"/>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4"/>
              </w:rPr>
              <w:t>12/31/15)</w:t>
            </w:r>
          </w:p>
        </w:tc>
        <w:tc>
          <w:tcPr>
            <w:tcW w:w="38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Phil Smith</w:t>
            </w: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80" w:type="dxa"/>
            <w:vAlign w:val="bottom"/>
            <w:tcBorders>
              <w:top w:val="single" w:sz="8" w:color="CCEEFF"/>
            </w:tcBorders>
            <w:shd w:val="clear" w:color="auto" w:fill="CCEEFF"/>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Vice President—Operations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Sharon S. Spurlin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Jim Tillis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President—Human Resources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Walter van Zanten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Vice President—Tax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Sandi Wingert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 and Chief Financial Officer, Plains Midstream 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line="216" w:lineRule="exact"/>
              <w:rPr>
                <w:sz w:val="20"/>
                <w:szCs w:val="20"/>
                <w:color w:val="auto"/>
              </w:rPr>
            </w:pPr>
            <w:r>
              <w:rPr>
                <w:rFonts w:ascii="Arial" w:cs="Arial" w:eastAsia="Arial" w:hAnsi="Arial"/>
                <w:sz w:val="18"/>
                <w:szCs w:val="18"/>
                <w:color w:val="auto"/>
              </w:rPr>
              <w:t>Bernard (Ben) Figlock</w:t>
            </w:r>
            <w:r>
              <w:rPr>
                <w:rFonts w:ascii="Arial" w:cs="Arial" w:eastAsia="Arial" w:hAnsi="Arial"/>
                <w:sz w:val="23"/>
                <w:szCs w:val="23"/>
                <w:color w:val="auto"/>
                <w:vertAlign w:val="superscript"/>
              </w:rPr>
              <w:t>(2)</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Gary R. Petersen</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and Member of Compensation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(2)</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(2)</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8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and Member of Compensation** Committee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Taft Symonds</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3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Director and Member of Audit and Governance** Committees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Christopher M. Temple</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8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Director and Member of Audit Committee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-2377440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-2377440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an “executive officer” for purposes of Item 401(b)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chairman of committee.</w:t>
      </w:r>
    </w:p>
    <w:p>
      <w:pPr>
        <w:sectPr>
          <w:pgSz w:w="11900" w:h="16838" w:orient="portrait"/>
          <w:cols w:equalWidth="0" w:num="1">
            <w:col w:w="11460"/>
          </w:cols>
          <w:pgMar w:left="240" w:top="140" w:right="19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described, the position indicates the position held with GP LLC.</w:t>
      </w:r>
    </w:p>
    <w:p>
      <w:pPr>
        <w:spacing w:after="0" w:line="225" w:lineRule="exact"/>
        <w:rPr>
          <w:sz w:val="20"/>
          <w:szCs w:val="20"/>
          <w:color w:val="auto"/>
        </w:rPr>
      </w:pPr>
    </w:p>
    <w:p>
      <w:pPr>
        <w:ind w:left="20" w:right="140" w:hanging="11"/>
        <w:spacing w:after="0" w:line="287" w:lineRule="auto"/>
        <w:rPr>
          <w:sz w:val="20"/>
          <w:szCs w:val="20"/>
          <w:color w:val="auto"/>
        </w:rPr>
      </w:pPr>
      <w:r>
        <w:rPr>
          <w:rFonts w:ascii="Arial" w:cs="Arial" w:eastAsia="Arial" w:hAnsi="Arial"/>
          <w:sz w:val="16"/>
          <w:szCs w:val="16"/>
          <w:color w:val="auto"/>
        </w:rPr>
        <w:t>The GP LLC Agreement specifies that the Chief Executive Officer of the general partner will be a member of the board of directors. Under the GP LLC Agreement, three of the members of GP Holdings each have the right to appoint one director each to the GP Holdings board of directors and each such appointee is automatically appointed as a member of our board of directors. Mr. Raymond is serving as a member of our board of directors by virtue of his appointment as a member of the board of directors of GP Holdings by EMG Investment, LLC (“EMG”), of which he is the sole member of the general partner of its manager. Mr. Sinnott is serving as a member of our board of directors by virtue of his appointment as a member of the board of directors of GP Holdings by KAFU Holdings, L.P., which is affiliated with Kayne Anderson Investment Management, Inc., of which he is President. Mr. Figlock is serving as a member of our board of directors by virtue of his appointment as a member of the board of directors of GP Holdings by Occidental Holding Company (Pipeline), Inc., a subsidiary of Occidental Petroleum Corporation (“Oxy”), of which he is Vice President and Treasurer. The remaining directors, other than Mr. Armstrong who serves as a director by virtue of his capacity as CEO of GP LLC, were elected by PAGP, as the sole member of GP LLC acting through the board of GP Holdings. See Item 12. “Security Ownership of Certain Beneficial Owners and Management and Related Unitholder Matters—Beneficial Ownership of General Partner Interest.”</w:t>
      </w:r>
    </w:p>
    <w:p>
      <w:pPr>
        <w:spacing w:after="0" w:line="173" w:lineRule="exact"/>
        <w:rPr>
          <w:sz w:val="20"/>
          <w:szCs w:val="20"/>
          <w:color w:val="auto"/>
        </w:rPr>
      </w:pPr>
    </w:p>
    <w:p>
      <w:pPr>
        <w:sectPr>
          <w:pgSz w:w="11900" w:h="16838" w:orient="portrait"/>
          <w:cols w:equalWidth="0" w:num="2">
            <w:col w:w="140" w:space="500"/>
            <w:col w:w="10820"/>
          </w:cols>
          <w:pgMar w:left="240" w:top="140" w:right="199" w:bottom="0" w:gutter="0" w:footer="0" w:header="0"/>
          <w:type w:val="continuous"/>
        </w:sect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since our formation in 1998. He has also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Chairman, Chief Executive Officer and Director of GP Holdings, which is the general partner of PAGP.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Harry N. Pefanis </w:t>
      </w:r>
      <w:r>
        <w:rPr>
          <w:rFonts w:ascii="Arial" w:cs="Arial" w:eastAsia="Arial" w:hAnsi="Arial"/>
          <w:sz w:val="18"/>
          <w:szCs w:val="18"/>
          <w:color w:val="auto"/>
        </w:rPr>
        <w:t>has served as President and Chief Operating Officer since our formation in 1998. He was also a director of our former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Pefanis was also President of several former midstream subsidiaries of Plains Resources until our formation. Mr. Pefanis is a director of Settoon Towing.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Pefanis is also President and Chief Operating Officer of GP Holdings, which is the general partner of PAGP.</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Wilfred (Willie) C. Chiang </w:t>
      </w:r>
      <w:r>
        <w:rPr>
          <w:rFonts w:ascii="Arial" w:cs="Arial" w:eastAsia="Arial" w:hAnsi="Arial"/>
          <w:sz w:val="17"/>
          <w:szCs w:val="17"/>
          <w:color w:val="auto"/>
        </w:rPr>
        <w:t>has served as Executive Vice President and Chief Operating Officer (U.S.) since August 2015. Prior to joining Plains,</w:t>
      </w:r>
      <w:r>
        <w:rPr>
          <w:rFonts w:ascii="Arial" w:cs="Arial" w:eastAsia="Arial" w:hAnsi="Arial"/>
          <w:sz w:val="17"/>
          <w:szCs w:val="17"/>
          <w:i w:val="1"/>
          <w:iCs w:val="1"/>
          <w:color w:val="auto"/>
        </w:rPr>
        <w:t xml:space="preserve"> </w:t>
      </w:r>
      <w:r>
        <w:rPr>
          <w:rFonts w:ascii="Arial" w:cs="Arial" w:eastAsia="Arial" w:hAnsi="Arial"/>
          <w:sz w:val="17"/>
          <w:szCs w:val="17"/>
          <w:color w:val="auto"/>
        </w:rPr>
        <w:t>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 Mr. Chiang also serves as Executive Vice President and Chief Operating Officer (U.S.) of GP Holdings, which is the general partner of PAGP.</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Mark J. Gorman </w:t>
      </w:r>
      <w:r>
        <w:rPr>
          <w:rFonts w:ascii="Arial" w:cs="Arial" w:eastAsia="Arial" w:hAnsi="Arial"/>
          <w:sz w:val="16"/>
          <w:szCs w:val="16"/>
          <w:color w:val="auto"/>
        </w:rPr>
        <w:t>has served as Executive Vice President — Operations and Engineering since December 2015. He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President—Operations and Business Development from February 2013 until December 2015, and served as Senior Vice President—Operations and Business Development from August 2008 until February 2013. He previously served as Vice President from November 2006 until August 2008. Prior to joining Plains, he was with Genesis Energy in differing capacities as a Director, President and CEO, and Executive Vice President and COO from 1996 through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August 2006. From 1992 to 1996, he served as a President for Howell Crude Oil Company. Mr. Gorman began his career with Marathon Oil Company,</w:t>
      </w:r>
    </w:p>
    <w:p>
      <w:pPr>
        <w:sectPr>
          <w:pgSz w:w="11900" w:h="16838" w:orient="portrait"/>
          <w:cols w:equalWidth="0" w:num="1">
            <w:col w:w="11460"/>
          </w:cols>
          <w:pgMar w:left="240" w:top="140" w:right="199" w:bottom="0" w:gutter="0" w:footer="0" w:header="0"/>
          <w:type w:val="continuous"/>
        </w:sectPr>
      </w:pPr>
    </w:p>
    <w:bookmarkStart w:id="81" w:name="page82"/>
    <w:bookmarkEnd w:id="81"/>
    <w:p>
      <w:pPr>
        <w:ind w:right="60"/>
        <w:spacing w:after="0" w:line="277" w:lineRule="auto"/>
        <w:rPr>
          <w:sz w:val="20"/>
          <w:szCs w:val="20"/>
          <w:color w:val="auto"/>
        </w:rPr>
      </w:pPr>
      <w:r>
        <w:rPr>
          <w:rFonts w:ascii="Arial" w:cs="Arial" w:eastAsia="Arial" w:hAnsi="Arial"/>
          <w:sz w:val="18"/>
          <w:szCs w:val="18"/>
          <w:color w:val="auto"/>
        </w:rPr>
        <w:t>spending 13 years in various disciplines. Mr. Gorman is also a director of Settoon Towing and Butte. Mr. Gorman also serves as Executive Vice President — Operations and Business Development of GP Holdings, which is the general partner of PAGP.</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i w:val="1"/>
          <w:iCs w:val="1"/>
          <w:color w:val="auto"/>
        </w:rPr>
        <w:t xml:space="preserve">Phillip D. Kramer </w:t>
      </w:r>
      <w:r>
        <w:rPr>
          <w:rFonts w:ascii="Arial" w:cs="Arial" w:eastAsia="Arial" w:hAnsi="Arial"/>
          <w:sz w:val="17"/>
          <w:szCs w:val="17"/>
          <w:color w:val="auto"/>
        </w:rPr>
        <w:t>has served as Executive Vice President since November 2008 and previously served as Executive Vice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 Mr. Kramer also serves as Executive Vice President of GP Holdings, which is the general partner of PAGP.</w:t>
      </w:r>
    </w:p>
    <w:p>
      <w:pPr>
        <w:spacing w:after="0" w:line="173"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i w:val="1"/>
          <w:iCs w:val="1"/>
          <w:color w:val="auto"/>
        </w:rPr>
        <w:t xml:space="preserve">Richard K. McGee </w:t>
      </w:r>
      <w:r>
        <w:rPr>
          <w:rFonts w:ascii="Arial" w:cs="Arial" w:eastAsia="Arial" w:hAnsi="Arial"/>
          <w:sz w:val="16"/>
          <w:szCs w:val="16"/>
          <w:color w:val="auto"/>
        </w:rPr>
        <w:t>has served as Executive Vice President, General Counsel and Secretary since February 2013. He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Counsel 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GP Holdings, which is the general partner of PAGP.</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Al Swanson </w:t>
      </w:r>
      <w:r>
        <w:rPr>
          <w:rFonts w:ascii="Arial" w:cs="Arial" w:eastAsia="Arial" w:hAnsi="Arial"/>
          <w:sz w:val="16"/>
          <w:szCs w:val="16"/>
          <w:color w:val="auto"/>
        </w:rPr>
        <w:t>has served as Executive Vice President and Chief Financial Officer since February 2011. He previously served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Financial 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also serves as Executive Vice President and Chief Financial Officer of GP Holdings, which is the general partner of PAGP.</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John P. vonBerg </w:t>
      </w:r>
      <w:r>
        <w:rPr>
          <w:rFonts w:ascii="Arial" w:cs="Arial" w:eastAsia="Arial" w:hAnsi="Arial"/>
          <w:sz w:val="18"/>
          <w:szCs w:val="18"/>
          <w:color w:val="auto"/>
        </w:rPr>
        <w:t>has served as Executive Vice President—Commercial Activities since February 2014. Previously he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Activities from August 2008 until February 2014,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 Mr. vonBerg also serves as Executive Vice President — Commercial Activities of GP Holdings, which is the general partner of PAGP.</w:t>
      </w:r>
    </w:p>
    <w:p>
      <w:pPr>
        <w:spacing w:after="0" w:line="173"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served as Chief Executive Officer of Plains Midstream Canada since January 1, 2016. He served as President of Plains</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Canada from June 2003 through December 2015, and served as Executive Vice President of Plains Midstream Canada from July 2001 to June 2003. Mr. Duckett was with CANPET Energy Group Inc. (“CANPET”) from 1985 to 2001, where he served in various capacities, including most recently as President, Chief Executive Officer and Chairman of the Board.</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i w:val="1"/>
          <w:iCs w:val="1"/>
          <w:color w:val="auto"/>
        </w:rPr>
        <w:t xml:space="preserve">Samuel N. Brown </w:t>
      </w:r>
      <w:r>
        <w:rPr>
          <w:rFonts w:ascii="Arial" w:cs="Arial" w:eastAsia="Arial" w:hAnsi="Arial"/>
          <w:sz w:val="16"/>
          <w:szCs w:val="16"/>
          <w:color w:val="auto"/>
        </w:rPr>
        <w:t>has served as Senior Vice President since July 2015. He previously served as Vice President—Pipeline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from October 2009 until July 2015. Prior to joining PAA in October 2009, Mr. Brown served TEPPCO for over 10 years, most recently as Vice President— Commercial Downstream and previously as Vice President—Pipeline Marketing and Business Development for the Upstream segment. Prior to joining TEPPCO, Mr. Brown was with Duke Energy Transport and Trading Company. Mr. Brown serves as a director of Frontier and Eagle Ford Pipeline.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Lawrence J. Dreyfuss </w:t>
      </w:r>
      <w:r>
        <w:rPr>
          <w:rFonts w:ascii="Arial" w:cs="Arial" w:eastAsia="Arial" w:hAnsi="Arial"/>
          <w:sz w:val="17"/>
          <w:szCs w:val="17"/>
          <w:color w:val="auto"/>
        </w:rPr>
        <w:t>has served as Senior Vice President, General Counsel—Commercial and Litigation and Assistant Secretary since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2013, and served as Vice President, General Counsel—Commercial &amp; Litigation and Assistant Secretary from August 2006 until February 2013.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Dreyfuss was Vice President, Associate General Counsel and Assistant Secretary of our general partner from February 2004 to August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 General Counsel and Assistant Secretary of our general partner from June 2001 to February 2004 and held a senior management position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 Department since May 1999. In addition, he was a Vice President of Scurlock Permian LLC from 1987 to 1999.</w:t>
      </w:r>
    </w:p>
    <w:p>
      <w:pPr>
        <w:spacing w:after="0" w:line="211" w:lineRule="exact"/>
        <w:rPr>
          <w:sz w:val="20"/>
          <w:szCs w:val="20"/>
          <w:color w:val="auto"/>
        </w:rPr>
      </w:pPr>
    </w:p>
    <w:p>
      <w:pPr>
        <w:ind w:right="320" w:firstLine="648"/>
        <w:spacing w:after="0" w:line="286" w:lineRule="auto"/>
        <w:rPr>
          <w:sz w:val="20"/>
          <w:szCs w:val="20"/>
          <w:color w:val="auto"/>
        </w:rPr>
      </w:pPr>
      <w:r>
        <w:rPr>
          <w:rFonts w:ascii="Arial" w:cs="Arial" w:eastAsia="Arial" w:hAnsi="Arial"/>
          <w:sz w:val="16"/>
          <w:szCs w:val="16"/>
          <w:i w:val="1"/>
          <w:iCs w:val="1"/>
          <w:color w:val="auto"/>
        </w:rPr>
        <w:t xml:space="preserve">John Keffer </w:t>
      </w:r>
      <w:r>
        <w:rPr>
          <w:rFonts w:ascii="Arial" w:cs="Arial" w:eastAsia="Arial" w:hAnsi="Arial"/>
          <w:sz w:val="16"/>
          <w:szCs w:val="16"/>
          <w:color w:val="auto"/>
        </w:rPr>
        <w:t>has served as Senior Vice President since July 2015. He previously served as Vice President—Terminals from November 2006 until</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2015. Mr. Keffer joined Plains Marketing, L.P. in October 1998 and prior to his appointment as Vice President, he served as Managing Director— Refinery Supply, Director of Trading and Manager of Sales and Trading. Prior to joining Plains, Mr. Keffer was with Prebon Energy, an energy brokerage firm, from January 1996 through September 1998. Mr. Keffer was with the Permian Corporation/Scurlock Permian from January 1990 through</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December 1995, where he served in several capacities in the marketing department including Director of Crude Oil Trading. Mr. Keffer began his career with Amoco Production Company and served in various capacities beginning in June 1982.</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Daniel J. Nerbonne </w:t>
      </w:r>
      <w:r>
        <w:rPr>
          <w:rFonts w:ascii="Arial" w:cs="Arial" w:eastAsia="Arial" w:hAnsi="Arial"/>
          <w:sz w:val="18"/>
          <w:szCs w:val="18"/>
          <w:color w:val="auto"/>
        </w:rPr>
        <w:t>has served as Senior Vice President—Engineering since February 2013 and as Vice President—Engineering from February 2005</w:t>
      </w:r>
      <w:r>
        <w:rPr>
          <w:rFonts w:ascii="Arial" w:cs="Arial" w:eastAsia="Arial" w:hAnsi="Arial"/>
          <w:sz w:val="18"/>
          <w:szCs w:val="18"/>
          <w:i w:val="1"/>
          <w:iCs w:val="1"/>
          <w:color w:val="auto"/>
        </w:rPr>
        <w:t xml:space="preserve"> </w:t>
      </w:r>
      <w:r>
        <w:rPr>
          <w:rFonts w:ascii="Arial" w:cs="Arial" w:eastAsia="Arial" w:hAnsi="Arial"/>
          <w:sz w:val="18"/>
          <w:szCs w:val="18"/>
          <w:color w:val="auto"/>
        </w:rPr>
        <w:t>until February 2013. Prior to joining us, Mr. Nerbonne was General Manager of Portfolio Projects for Shell Oil Products US and served in various capacities with Shell Pipeline Company or its predecessors from 1998 to January 2005. From 1980 to 1998, Mr. Nerbonne held numerous positions of increasing responsibility in engineering, operations, and business development, including Vice President of Business Development with Texaco Trading and Transportation or its affiliates.</w:t>
      </w:r>
    </w:p>
    <w:p>
      <w:pPr>
        <w:sectPr>
          <w:pgSz w:w="11900" w:h="16838" w:orient="portrait"/>
          <w:cols w:equalWidth="0" w:num="1">
            <w:col w:w="11400"/>
          </w:cols>
          <w:pgMar w:left="240" w:top="125" w:right="259" w:bottom="0" w:gutter="0" w:footer="0" w:header="0"/>
        </w:sectPr>
      </w:pPr>
    </w:p>
    <w:bookmarkStart w:id="82" w:name="page83"/>
    <w:bookmarkEnd w:id="82"/>
    <w:p>
      <w:pPr>
        <w:spacing w:after="0" w:line="7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Jason Balasch </w:t>
      </w:r>
      <w:r>
        <w:rPr>
          <w:rFonts w:ascii="Arial" w:cs="Arial" w:eastAsia="Arial" w:hAnsi="Arial"/>
          <w:sz w:val="18"/>
          <w:szCs w:val="18"/>
          <w:color w:val="auto"/>
        </w:rPr>
        <w:t>has served as President of Plains Midstream Canada since January 1, 2016. He served as Executive Vice President, NGL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and Facilities of Plains Midstream Canada throughout 2015 and is responsible for the day-to-day operation of all of PMC’s business activities. He previously served as Senior Vice President, LPG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Commercial and Facilities of PMC from September 2013 through December 2014 and as Vice President of LPG of PMC from September 2011 until September 2013. Prior to joining PMC, he was with Enterprise Products Partners L.P. from June 2000 to August 2011, where he served in various capacities, most recently as Vice President, U.S. Gulf Coast Gathering &amp; Processing in their Houston, Texas office. Mr. Balasch has also worked for Chevron and TransCanada Corporation in both engineering and business development roles.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Kevin L. Cantrell </w:t>
      </w:r>
      <w:r>
        <w:rPr>
          <w:rFonts w:ascii="Arial" w:cs="Arial" w:eastAsia="Arial" w:hAnsi="Arial"/>
          <w:sz w:val="17"/>
          <w:szCs w:val="17"/>
          <w:color w:val="auto"/>
        </w:rPr>
        <w:t>has served as Vice President—Internal Audit since February 2011 and served as Managing Director of Internal Audit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2009 to February 2011. Prior to joining PAA, Mr. Cantrell was a managing director and founding member of Protiviti, Inc., a global risk consulting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internal audit firm, from May 2002 to April 2009, and a manager in Andersen’s Risk Consulting practice in Houston, Texas, from February 1999 to</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2002, where he lead internal audit, risk management, and Sarbanes-Oxley compliance projects for clients in the Energy industry. Mr. Cantrell began his professional career at J.P. Morgan Chase, where he held positions of increasing responsibilities in the internal audit and capital markets compliance groups from July 1986 through February 1999.</w:t>
      </w:r>
    </w:p>
    <w:p>
      <w:pPr>
        <w:spacing w:after="0" w:line="1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David Craig </w:t>
      </w:r>
      <w:r>
        <w:rPr>
          <w:rFonts w:ascii="Arial" w:cs="Arial" w:eastAsia="Arial" w:hAnsi="Arial"/>
          <w:sz w:val="18"/>
          <w:szCs w:val="18"/>
          <w:color w:val="auto"/>
        </w:rPr>
        <w:t>has served as Senior Vice President, Corporate Development of Plains Midstream Canada since January 1, 2016.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and Chief Financial Officer of Plains Midstream Canada from June 2008 through December 2015. Prior to joining our 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Brad Deets </w:t>
      </w:r>
      <w:r>
        <w:rPr>
          <w:rFonts w:ascii="Arial" w:cs="Arial" w:eastAsia="Arial" w:hAnsi="Arial"/>
          <w:sz w:val="18"/>
          <w:szCs w:val="18"/>
          <w:color w:val="auto"/>
        </w:rPr>
        <w:t>has served as Senior Vice President, NGL Commercial and Facilities of Plains Midstream Canada since January 1, 2016.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LPG Commercial of Plains Midstream Canada from September 2013 through December 2015. He served as Vice President of Strategic Planning from June 2013 through August 2013, and previously served as Director of Strategic Planning. He has served in a number of roles at PMC including butane trading, risk management and acquisitions. Prior to joining PMC, Mr. Deets worked with CANPET Energy Group Inc. for a number of years, focusing on crude oil trading.</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Roger D. Everett </w:t>
      </w:r>
      <w:r>
        <w:rPr>
          <w:rFonts w:ascii="Arial" w:cs="Arial" w:eastAsia="Arial" w:hAnsi="Arial"/>
          <w:sz w:val="17"/>
          <w:szCs w:val="17"/>
          <w:color w:val="auto"/>
        </w:rPr>
        <w:t>has served as Vice President—Human Resources since November 2006 and as Director of Human Resources from August 2006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Steve Falgoust </w:t>
      </w:r>
      <w:r>
        <w:rPr>
          <w:rFonts w:ascii="Arial" w:cs="Arial" w:eastAsia="Arial" w:hAnsi="Arial"/>
          <w:sz w:val="18"/>
          <w:szCs w:val="18"/>
          <w:color w:val="auto"/>
        </w:rPr>
        <w:t>has served as Vice President — Asset Integrity since February 2016. Mr. Falgoust has been with PAA since 1991,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Managing Director — Integrity. Prior to joining PAA, Mr. Falgoust was employed at Scurlock Oil Company.</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James Ferrell </w:t>
      </w:r>
      <w:r>
        <w:rPr>
          <w:rFonts w:ascii="Arial" w:cs="Arial" w:eastAsia="Arial" w:hAnsi="Arial"/>
          <w:sz w:val="18"/>
          <w:szCs w:val="18"/>
          <w:color w:val="auto"/>
        </w:rPr>
        <w:t>has served as Vice President—Supply Chain Management since August 2011. He joined Plains in 2006 from ConocoPhillips, where</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the Director of Market Intelligence and Strategy for their Global Procurement Services organization. Prior to that, he spent eight years as a Senior Manager in the Supply Chain consulting practice of Accenture.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Bill Forward </w:t>
      </w:r>
      <w:r>
        <w:rPr>
          <w:rFonts w:ascii="Arial" w:cs="Arial" w:eastAsia="Arial" w:hAnsi="Arial"/>
          <w:sz w:val="18"/>
          <w:szCs w:val="18"/>
          <w:color w:val="auto"/>
        </w:rPr>
        <w:t>has served as Vice President, Finance of Plains Midstream Canada since September 2013. Prior to joining PMC, he held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positions in accounting and finance for several midstream energy companies, most recently serving as Corporate Controller for Pembina Pipelines Corp. Previously, he was Vice-President at Provident Energy Ltd. and served in financial reporting and accounting roles at ENMAX, TransCanada and PricewaterhouseCoopers.</w:t>
      </w:r>
    </w:p>
    <w:p>
      <w:pPr>
        <w:spacing w:after="0" w:line="18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i w:val="1"/>
          <w:iCs w:val="1"/>
          <w:color w:val="auto"/>
        </w:rPr>
        <w:t xml:space="preserve">James B. Fryfogle </w:t>
      </w:r>
      <w:r>
        <w:rPr>
          <w:rFonts w:ascii="Arial" w:cs="Arial" w:eastAsia="Arial" w:hAnsi="Arial"/>
          <w:sz w:val="17"/>
          <w:szCs w:val="17"/>
          <w:color w:val="auto"/>
        </w:rPr>
        <w:t>has served as Vice President—Bulk Supply and Logistics since April 2014. He previously served as Vice President—Refinery</w:t>
      </w:r>
      <w:r>
        <w:rPr>
          <w:rFonts w:ascii="Arial" w:cs="Arial" w:eastAsia="Arial" w:hAnsi="Arial"/>
          <w:sz w:val="17"/>
          <w:szCs w:val="17"/>
          <w:i w:val="1"/>
          <w:iCs w:val="1"/>
          <w:color w:val="auto"/>
        </w:rPr>
        <w:t xml:space="preserve"> </w:t>
      </w:r>
      <w:r>
        <w:rPr>
          <w:rFonts w:ascii="Arial" w:cs="Arial" w:eastAsia="Arial" w:hAnsi="Arial"/>
          <w:sz w:val="17"/>
          <w:szCs w:val="17"/>
          <w:color w:val="auto"/>
        </w:rPr>
        <w:t>Supply from March 2005 through March 2014. He served as Vice President—Lease Operations from July 2004 until March 2005. Prior to joining Plains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171"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Vice President — Acquisitions and Strategic Planning since July 2015. He previously served as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Acquisitions from 2013 until July 2015. Prior to joining Plains in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Goebel worked at Simmons &amp; Company International, where he served as an advisor to Plains on several acquisitions.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Dean Gore </w:t>
      </w:r>
      <w:r>
        <w:rPr>
          <w:rFonts w:ascii="Arial" w:cs="Arial" w:eastAsia="Arial" w:hAnsi="Arial"/>
          <w:sz w:val="18"/>
          <w:szCs w:val="18"/>
          <w:color w:val="auto"/>
        </w:rPr>
        <w:t>has served as Vice President — Environmental and Regulatory Compliance since February 2016. Mr. Gore has been with PAA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2011, most recently serving as Managing Director — Environmental and Regulatory Compliance. Prior to joining PAA, Mr. Gore was employed at Environeering, Inc.</w:t>
      </w:r>
    </w:p>
    <w:p>
      <w:pPr>
        <w:spacing w:after="0" w:line="18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i w:val="1"/>
          <w:iCs w:val="1"/>
          <w:color w:val="auto"/>
        </w:rPr>
        <w:t xml:space="preserve">Chris Herbold </w:t>
      </w:r>
      <w:r>
        <w:rPr>
          <w:rFonts w:ascii="Arial" w:cs="Arial" w:eastAsia="Arial" w:hAnsi="Arial"/>
          <w:sz w:val="18"/>
          <w:szCs w:val="18"/>
          <w:color w:val="auto"/>
        </w:rPr>
        <w:t>has served as Vice President—Accounting and Chief Accounting Officer since August 2010. He served as Controller of PAA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Vice President — Accounting and Chief Accounting Officer of GP Holdings, which is the general partner of PAGP.</w:t>
      </w:r>
    </w:p>
    <w:p>
      <w:pPr>
        <w:sectPr>
          <w:pgSz w:w="11900" w:h="16911" w:orient="portrait"/>
          <w:cols w:equalWidth="0" w:num="1">
            <w:col w:w="11400"/>
          </w:cols>
          <w:pgMar w:left="240" w:top="125" w:right="259" w:bottom="0" w:gutter="0" w:footer="0" w:header="0"/>
        </w:sectPr>
      </w:pPr>
    </w:p>
    <w:bookmarkStart w:id="83" w:name="page84"/>
    <w:bookmarkEnd w:id="83"/>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Barry Holtzman </w:t>
      </w:r>
      <w:r>
        <w:rPr>
          <w:rFonts w:ascii="Arial" w:cs="Arial" w:eastAsia="Arial" w:hAnsi="Arial"/>
          <w:sz w:val="16"/>
          <w:szCs w:val="16"/>
          <w:color w:val="auto"/>
        </w:rPr>
        <w:t>has served as Vice President — Safety, Security and Training since February 2016. Mr. Holtzman has been with PAA since 2013,</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recently serving as Managing Director — Safety, Security and Training. Prior to joining PAA, Mr. Holtzman was employed at BP North America.</w:t>
      </w:r>
    </w:p>
    <w:p>
      <w:pPr>
        <w:spacing w:after="0" w:line="12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Keith Jalbert </w:t>
      </w:r>
      <w:r>
        <w:rPr>
          <w:rFonts w:ascii="Arial" w:cs="Arial" w:eastAsia="Arial" w:hAnsi="Arial"/>
          <w:sz w:val="16"/>
          <w:szCs w:val="16"/>
          <w:color w:val="auto"/>
        </w:rPr>
        <w:t>has served as Vice President — Commercial Activities since December 2014. He previously served as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Activities from 2008 until December 2014, and as a Trader from 2002 through 2008. Before joining Plains, he was employed by Genesis Energy as a Crude Oil Trader. Prior to that, he held various analyst, scheduling, trading and management positions with Basis Petroleum and Phibro Energy.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Richard Jensen </w:t>
      </w:r>
      <w:r>
        <w:rPr>
          <w:rFonts w:ascii="Arial" w:cs="Arial" w:eastAsia="Arial" w:hAnsi="Arial"/>
          <w:sz w:val="17"/>
          <w:szCs w:val="17"/>
          <w:color w:val="auto"/>
        </w:rPr>
        <w:t>has served as Executive Vice President, Operations of Plains Midstream Canada since October 2012. Prior to joining PMC,</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Jensen worked with Nexen Petroleum for over 27 years, where he served in various leadership capacities, most recently as Vice President, Middle East, South America and Africa. Mr. Jensen has also worked in executive leadership roles at Canadian Occidental Petroleum and Canadian Nexen Chemicals.</w:t>
      </w:r>
    </w:p>
    <w:p>
      <w:pPr>
        <w:spacing w:after="0" w:line="13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i w:val="1"/>
          <w:iCs w:val="1"/>
          <w:color w:val="auto"/>
        </w:rPr>
        <w:t xml:space="preserve">Christopher M. Kean </w:t>
      </w:r>
      <w:r>
        <w:rPr>
          <w:rFonts w:ascii="Arial" w:cs="Arial" w:eastAsia="Arial" w:hAnsi="Arial"/>
          <w:sz w:val="18"/>
          <w:szCs w:val="18"/>
          <w:color w:val="auto"/>
        </w:rPr>
        <w:t>has served as Vice President, Engineering of Plains Midstream Canada since September 2012. He has over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global projects and operations across the oil and gas, chemical and oil sands sectors. Prior to joining PMC, Mr. Kean worked with Enbridge Pipelines for over four years, where he served in various capacities, most recently as Project Director for the Cabin Gas Plant project. Mr. Kean has also worked in both engineering and project management leadership roles for Canadian Natural Resources Limited (11 years), Petro-Canada, and Amoco Chemical and Production Companies.</w:t>
      </w:r>
    </w:p>
    <w:p>
      <w:pPr>
        <w:spacing w:after="0" w:line="18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Sterling Koch </w:t>
      </w:r>
      <w:r>
        <w:rPr>
          <w:rFonts w:ascii="Arial" w:cs="Arial" w:eastAsia="Arial" w:hAnsi="Arial"/>
          <w:sz w:val="18"/>
          <w:szCs w:val="18"/>
          <w:color w:val="auto"/>
        </w:rPr>
        <w:t>has served as Vice President, Health, Safety, Environment &amp; Regulatory of Plains Midstream Canada since January 2013. He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providing strategic direction and oversight to the environment, health &amp; safety, regulatory, legal and land activities of our Canadian operations. Mr. Koch brings over 20 years of energy industry experience, including regulatory and legal affairs, commercial operations, compliance and security. Prior to joining PMC, Mr. Koch worked with TransAlta for over 14 years, where he served in various vice president roles including regulatory and legal affairs, commercial management and business development. He also brings to PMC a background as legal counsel, originating from his days with Western Gas Marketing, Northridge Petroleum and TransCanada.</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Dwayne Koehn </w:t>
      </w:r>
      <w:r>
        <w:rPr>
          <w:rFonts w:ascii="Arial" w:cs="Arial" w:eastAsia="Arial" w:hAnsi="Arial"/>
          <w:sz w:val="18"/>
          <w:szCs w:val="18"/>
          <w:color w:val="auto"/>
        </w:rPr>
        <w:t>has served as Vice President—Engineering since February 2014. Mr. Koehn previously served as Managing Director of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2008 to February 2014, and as Director of Engineering from September 2005 to June 2008. He initially joined Plains in 2004 in connection with the acquisition of Link Energy where he was a Manager of Engineering. Mr. Koehn has also served in various manager and director roles with Koch Industries and PF Net Construction.</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Mike Mikuska </w:t>
      </w:r>
      <w:r>
        <w:rPr>
          <w:rFonts w:ascii="Arial" w:cs="Arial" w:eastAsia="Arial" w:hAnsi="Arial"/>
          <w:sz w:val="17"/>
          <w:szCs w:val="17"/>
          <w:color w:val="auto"/>
        </w:rPr>
        <w:t>has served as Vice President, Crude Supply and Pipelines of Plains Midstream Canada since August 2015. He previously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Pipelines Development and Logistics of Plains Midstream Canada from August 2012 to August 2015. He previously served as Vice President of Business Development—Crude Oil of Plains Midstream Canada from September 2008 to August 2012. Mr. Mikuska has been with PMC and its predecessor CANPET since 1995 and has served in various commercial and development roles over that time.</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James H. Pinchback </w:t>
      </w:r>
      <w:r>
        <w:rPr>
          <w:rFonts w:ascii="Arial" w:cs="Arial" w:eastAsia="Arial" w:hAnsi="Arial"/>
          <w:sz w:val="18"/>
          <w:szCs w:val="18"/>
          <w:color w:val="auto"/>
        </w:rPr>
        <w:t>has served as Vice President — Pipeline Business Development since July 2015. He previously served as Managing Director —</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Business Development. Mr. Pinchback joined Plains in 2006.</w:t>
      </w:r>
    </w:p>
    <w:p>
      <w:pPr>
        <w:spacing w:after="0" w:line="170"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i w:val="1"/>
          <w:iCs w:val="1"/>
          <w:color w:val="auto"/>
        </w:rPr>
        <w:t xml:space="preserve">Michelle Podavin </w:t>
      </w:r>
      <w:r>
        <w:rPr>
          <w:rFonts w:ascii="Arial" w:cs="Arial" w:eastAsia="Arial" w:hAnsi="Arial"/>
          <w:sz w:val="17"/>
          <w:szCs w:val="17"/>
          <w:color w:val="auto"/>
        </w:rPr>
        <w:t>has served as Vice President, NGL Supply and Facilities of Plains Midstream Canada since April 2015 and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leadership and direction on NGL supply, storage, fractionation, and logistics. Ms. Podavin has been with PMC for over 14 years, serving most recently as Director of NGL Supply. Prior to joining PMC, she spent 6 years at major accounting firms in various roles.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i w:val="1"/>
          <w:iCs w:val="1"/>
          <w:color w:val="auto"/>
        </w:rPr>
        <w:t xml:space="preserve">George N. Polydoros </w:t>
      </w:r>
      <w:r>
        <w:rPr>
          <w:rFonts w:ascii="Arial" w:cs="Arial" w:eastAsia="Arial" w:hAnsi="Arial"/>
          <w:sz w:val="17"/>
          <w:szCs w:val="17"/>
          <w:color w:val="auto"/>
        </w:rPr>
        <w:t>has served as Vice President—Land and Office Services since February 2013. He served as Managing Director—Land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 Services from April 2011 until February 2013. Prior to joining PAA, Mr. Polydoros was a partner at the law firm of Mayer Brown. Before joining Mayer Brown, he worked as an attorney at American General Corporation (now part of AIG) and Bracewell &amp; Giuliani.</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Megan Prout </w:t>
      </w:r>
      <w:r>
        <w:rPr>
          <w:rFonts w:ascii="Arial" w:cs="Arial" w:eastAsia="Arial" w:hAnsi="Arial"/>
          <w:sz w:val="18"/>
          <w:szCs w:val="18"/>
          <w:color w:val="auto"/>
        </w:rPr>
        <w:t>has served as Vice President — Commercial Litigation and Law since February 2016. Ms. Prout has been with PAA since 2005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legal roles, most recently serving as Associate General Counsel — Commercial Litigation and Law. Prior to joining PAA, Ms. Prout was employed at the law firm Chadbourne &amp; Parke LLP.</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Tyler Rimbey </w:t>
      </w:r>
      <w:r>
        <w:rPr>
          <w:rFonts w:ascii="Arial" w:cs="Arial" w:eastAsia="Arial" w:hAnsi="Arial"/>
          <w:sz w:val="18"/>
          <w:szCs w:val="18"/>
          <w:color w:val="auto"/>
        </w:rPr>
        <w:t>has served as Executive Vice President, Crude Commercial and Pipelines of Plains Midstream Canada since July 2014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overseeing commercial areas of the business including crude oil trading, crude oil business development, pipelines and logistics, acquisitions and rail and truck transportation. Mr. Rimbey brings over 25 years of energy industry experience, including commodity trading, marketing and business development. Prior to joining PMC, Mr. Rimbey worked with Platino Energy Corp., serving as Vice President of Business Development. He has also worked in executive and senior leadership roles with BP Canada Energy Trading Company, BP Energy Company, Goldman Sachs and Shell in Canada, the U.S. and United Kingdom.</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James Roberts </w:t>
      </w:r>
      <w:r>
        <w:rPr>
          <w:rFonts w:ascii="Arial" w:cs="Arial" w:eastAsia="Arial" w:hAnsi="Arial"/>
          <w:sz w:val="18"/>
          <w:szCs w:val="18"/>
          <w:color w:val="auto"/>
        </w:rPr>
        <w:t>has served as Vice President — Lease Supply since February 2016. Mr. Roberts has been with PAA since 1998,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Managing Director — Lease Supply. Prior to joining PAA, Mr. Roberts was employed at Link Energy.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Robert M. Sanford </w:t>
      </w:r>
      <w:r>
        <w:rPr>
          <w:rFonts w:ascii="Arial" w:cs="Arial" w:eastAsia="Arial" w:hAnsi="Arial"/>
          <w:sz w:val="17"/>
          <w:szCs w:val="17"/>
          <w:color w:val="auto"/>
        </w:rPr>
        <w:t>has served as Vice President—Lease Supply since June 2006. He served as Managing Director—Lease Acquisitions and Trucking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2005 to June 2006 and as Director of South Texas and Mid Continent Business Units from April 2004 to July 2005. Mr. Sanford was with Link Energy/EOTT Energy from 1994 to April 2004, where he held various positions of increasing responsibility.</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David Schwarz </w:t>
      </w:r>
      <w:r>
        <w:rPr>
          <w:rFonts w:ascii="Arial" w:cs="Arial" w:eastAsia="Arial" w:hAnsi="Arial"/>
          <w:sz w:val="18"/>
          <w:szCs w:val="18"/>
          <w:color w:val="auto"/>
        </w:rPr>
        <w:t>has served as Vice President, Human Resources of Plains Midstream Canada since October 2012. He previously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Human Resources and Corporate Communications of Plains Midstream Canada from February 2011 to October 2012. He joined Plains Midstream Canada in August 2009 and brings over 18 years of experience to this role. Prior to joining PMC, Mr. Schwarz held various senior human resources roles in Calgary, and most recently served as Senior Manager, Human Resources in the ATCO Group of Companies. He has also gained experience working for such companies as Fluor Daniel, Manalta Coal and Superior Propane.</w:t>
      </w:r>
    </w:p>
    <w:p>
      <w:pPr>
        <w:sectPr>
          <w:pgSz w:w="11900" w:h="16838" w:orient="portrait"/>
          <w:cols w:equalWidth="0" w:num="1">
            <w:col w:w="11420"/>
          </w:cols>
          <w:pgMar w:left="240" w:top="341" w:right="239" w:bottom="63" w:gutter="0" w:footer="0" w:header="0"/>
        </w:sectPr>
      </w:pPr>
    </w:p>
    <w:bookmarkStart w:id="84" w:name="page85"/>
    <w:bookmarkEnd w:id="84"/>
    <w:p>
      <w:pPr>
        <w:ind w:firstLine="648"/>
        <w:spacing w:after="0" w:line="297" w:lineRule="auto"/>
        <w:rPr>
          <w:sz w:val="20"/>
          <w:szCs w:val="20"/>
          <w:color w:val="auto"/>
        </w:rPr>
      </w:pPr>
      <w:r>
        <w:rPr>
          <w:rFonts w:ascii="Arial" w:cs="Arial" w:eastAsia="Arial" w:hAnsi="Arial"/>
          <w:sz w:val="16"/>
          <w:szCs w:val="16"/>
          <w:i w:val="1"/>
          <w:iCs w:val="1"/>
          <w:color w:val="auto"/>
        </w:rPr>
        <w:t xml:space="preserve">James Shelford </w:t>
      </w:r>
      <w:r>
        <w:rPr>
          <w:rFonts w:ascii="Arial" w:cs="Arial" w:eastAsia="Arial" w:hAnsi="Arial"/>
          <w:sz w:val="16"/>
          <w:szCs w:val="16"/>
          <w:color w:val="auto"/>
        </w:rPr>
        <w:t>has served as Vice President, LPG Commercial of Plains Midstream Canada since January 1, 2016. He is responsible for PMC’s</w:t>
      </w:r>
      <w:r>
        <w:rPr>
          <w:rFonts w:ascii="Arial" w:cs="Arial" w:eastAsia="Arial" w:hAnsi="Arial"/>
          <w:sz w:val="16"/>
          <w:szCs w:val="16"/>
          <w:i w:val="1"/>
          <w:iCs w:val="1"/>
          <w:color w:val="auto"/>
        </w:rPr>
        <w:t xml:space="preserve"> </w:t>
      </w:r>
      <w:r>
        <w:rPr>
          <w:rFonts w:ascii="Arial" w:cs="Arial" w:eastAsia="Arial" w:hAnsi="Arial"/>
          <w:sz w:val="16"/>
          <w:szCs w:val="16"/>
          <w:color w:val="auto"/>
        </w:rPr>
        <w:t>propane and butane commercial activities across North America. Mr. Shelford has 13 years’ experience in various commercial roles in the oil and gas industry including the last 6 with PMC, serving most recently as Director of North American Propane. Prior to joining PMC, Mr. Shelford spent 5 years with Superior Gas Liquids, where he served in various capacities including market analysis, product distribution and marketing. Mr. Shelford also spent two years with Willis, a global risk management firm where he worked primarily with Husky Energy as well as other midsized E&amp;P companies based in Calgary.</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Scott Sill </w:t>
      </w:r>
      <w:r>
        <w:rPr>
          <w:rFonts w:ascii="Arial" w:cs="Arial" w:eastAsia="Arial" w:hAnsi="Arial"/>
          <w:sz w:val="16"/>
          <w:szCs w:val="16"/>
          <w:color w:val="auto"/>
        </w:rPr>
        <w:t>has served as Vice President, Operations of Plains Midstream Canada since September 2013 and is responsible for PMC’s crude oil, NGL</w:t>
      </w:r>
      <w:r>
        <w:rPr>
          <w:rFonts w:ascii="Arial" w:cs="Arial" w:eastAsia="Arial" w:hAnsi="Arial"/>
          <w:sz w:val="16"/>
          <w:szCs w:val="16"/>
          <w:i w:val="1"/>
          <w:iCs w:val="1"/>
          <w:color w:val="auto"/>
        </w:rPr>
        <w:t xml:space="preserve"> </w:t>
      </w:r>
      <w:r>
        <w:rPr>
          <w:rFonts w:ascii="Arial" w:cs="Arial" w:eastAsia="Arial" w:hAnsi="Arial"/>
          <w:sz w:val="16"/>
          <w:szCs w:val="16"/>
          <w:color w:val="auto"/>
        </w:rPr>
        <w:t>and LPG operations. He previously served as Vice President of LPG Operations from March 2010 until September 2013. He joined Plains Midstream Canada in April 2006 through PAA’s acquisition of the Shafter gas liquids processing facility. Prior to his most recent role as Managing Director of U.S. and Canadian LPG Operations, Mr. Sill performed the role of West Coast District Superintendent, overseeing an LPG isomerization/hydrotreating facility, salt cavern terminal, fractionation plant and various storage terminals. Mr. Sill brings over 25 years of LPG operations experience to this role.</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Phil Smith </w:t>
      </w:r>
      <w:r>
        <w:rPr>
          <w:rFonts w:ascii="Arial" w:cs="Arial" w:eastAsia="Arial" w:hAnsi="Arial"/>
          <w:sz w:val="18"/>
          <w:szCs w:val="18"/>
          <w:color w:val="auto"/>
        </w:rPr>
        <w:t>has served as Vice President—Operations since April 2010. He joined PAA in 2002 from Shell Pipeline. Mr. Smith is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operations and maintenance activities on its domestic pipeline and terminal facilities.</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Sharon S. Spurlin </w:t>
      </w:r>
      <w:r>
        <w:rPr>
          <w:rFonts w:ascii="Arial" w:cs="Arial" w:eastAsia="Arial" w:hAnsi="Arial"/>
          <w:sz w:val="18"/>
          <w:szCs w:val="18"/>
          <w:color w:val="auto"/>
        </w:rPr>
        <w:t>has served as Vice President and Treasurer since October 2014. Before re-joining PAA, Ms. Spurlin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PetroLogistics from 2009 until 2014. She originally joined PAA in 2002 and served as Director of Internal Audit and as Assistant Treasurer until 2009.</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Jim Tillis </w:t>
      </w:r>
      <w:r>
        <w:rPr>
          <w:rFonts w:ascii="Arial" w:cs="Arial" w:eastAsia="Arial" w:hAnsi="Arial"/>
          <w:sz w:val="18"/>
          <w:szCs w:val="18"/>
          <w:color w:val="auto"/>
        </w:rPr>
        <w:t>has served as Vice President — Human Resources since February 2016. Mr. Tillis has been with PAA since 2015, most recently serving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 Human Resources. Prior to joining PAA, Mr. Tillis was employed at Mattress Firm.</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Walter van Zanten </w:t>
      </w:r>
      <w:r>
        <w:rPr>
          <w:rFonts w:ascii="Arial" w:cs="Arial" w:eastAsia="Arial" w:hAnsi="Arial"/>
          <w:sz w:val="18"/>
          <w:szCs w:val="18"/>
          <w:color w:val="auto"/>
        </w:rPr>
        <w:t>has served as Vice President—Tax since February 2013. He served as Director of Tax from December 2008 until February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joining PAA, Mr. van Zanten worked in various leadership and functional capacities for Chimerical, Inc., El Paso Corp., Tenneco Energy, The Coastal Corporation, Tangram Transmission Corp. and Arthur Young.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Sandi Wingert </w:t>
      </w:r>
      <w:r>
        <w:rPr>
          <w:rFonts w:ascii="Arial" w:cs="Arial" w:eastAsia="Arial" w:hAnsi="Arial"/>
          <w:sz w:val="18"/>
          <w:szCs w:val="18"/>
          <w:color w:val="auto"/>
        </w:rPr>
        <w:t>has served as Executive Vice President and Chief Financial Officer of Plains Midstream Canada since January 1, 2016. She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Corporate Services of Plains Midstream Canada from September 2013 through December 2015. She served as Vice President of Accounting of PMC from February 2008 until September 2013. She has been with PMC and its predecessor CANPET acting as Controller since 2000. Prior to joining our Canadian operations, she held various accounting roles with Koch Petroleum and Ernst &amp; Young.</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Bernard (Ben) Figlock </w:t>
      </w:r>
      <w:r>
        <w:rPr>
          <w:rFonts w:ascii="Arial" w:cs="Arial" w:eastAsia="Arial" w:hAnsi="Arial"/>
          <w:sz w:val="17"/>
          <w:szCs w:val="17"/>
          <w:color w:val="auto"/>
        </w:rPr>
        <w:t>has served as a director of our general partner since January 2015. Mr. Figlock currently serves as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Treasurer at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He also serves as a director of GP Holdings, which is the general partner of PAGP. Mr. Figlock holds a BS in Accounting from Wake Forest University and an MBA from Loyola Marymount University. We believe that Mr. Figlock’s financial and analytical background provides the board a distinctive and valuable perspective.</w:t>
      </w:r>
    </w:p>
    <w:p>
      <w:pPr>
        <w:spacing w:after="0" w:line="17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or former general partner since May 1999. He is Founder of Ex Cathedra LLC (a</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also serves as a director and as chairman of the audit committee of GP Holdings, which is the general partner of PAGP.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Gary R. Petersen </w:t>
      </w:r>
      <w:r>
        <w:rPr>
          <w:rFonts w:ascii="Arial" w:cs="Arial" w:eastAsia="Arial" w:hAnsi="Arial"/>
          <w:sz w:val="17"/>
          <w:szCs w:val="17"/>
          <w:color w:val="auto"/>
        </w:rPr>
        <w:t>has served as a director of our general partner since June 2001. Mr. Petersen is a Managing Partner of EnCap Investments L.P.,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78"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December 2010. Mr. Raymond is an owner and founder of The Energy &amp;</w:t>
      </w:r>
      <w:r>
        <w:rPr>
          <w:rFonts w:ascii="Arial" w:cs="Arial" w:eastAsia="Arial" w:hAnsi="Arial"/>
          <w:sz w:val="16"/>
          <w:szCs w:val="16"/>
          <w:i w:val="1"/>
          <w:iCs w:val="1"/>
          <w:color w:val="auto"/>
        </w:rPr>
        <w:t xml:space="preserve"> </w:t>
      </w:r>
      <w:r>
        <w:rPr>
          <w:rFonts w:ascii="Arial" w:cs="Arial" w:eastAsia="Arial" w:hAnsi="Arial"/>
          <w:sz w:val="16"/>
          <w:szCs w:val="16"/>
          <w:color w:val="auto"/>
        </w:rPr>
        <w:t>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2015, EMG has approximately $16.5 billion of regulatory assets under management and approximately $9.4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also serves</w:t>
      </w:r>
    </w:p>
    <w:p>
      <w:pPr>
        <w:sectPr>
          <w:pgSz w:w="11900" w:h="16838" w:orient="portrait"/>
          <w:cols w:equalWidth="0" w:num="1">
            <w:col w:w="11420"/>
          </w:cols>
          <w:pgMar w:left="240" w:top="125" w:right="239" w:bottom="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director of GP Holdings, which is the general partner of PAGP. He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8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i w:val="1"/>
          <w:iCs w:val="1"/>
          <w:color w:val="auto"/>
        </w:rPr>
        <w:t xml:space="preserve">Robert V. Sinnott </w:t>
      </w:r>
      <w:r>
        <w:rPr>
          <w:rFonts w:ascii="Arial" w:cs="Arial" w:eastAsia="Arial" w:hAnsi="Arial"/>
          <w:sz w:val="17"/>
          <w:szCs w:val="17"/>
          <w:color w:val="auto"/>
        </w:rPr>
        <w:t>has served as a director of our general partner or former general partner since September 1998. Mr. Sinnott is President,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Investment Officer of Kayne Anderson Capital Advisors, L.P. (an investment management firm). He also served as a Managing Director from 1992 to 1996 and as a Senior Managing Director from 1996 until assuming his CEO role in 2010.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and GP Holdings, which is the general partner of PAGP. Mr. Sinnott received a BA from the University of Virginia and an MBA from Harvard. Mr. Sinnott’s extensive investment management background includes his current role of managing approximately $16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 xml:space="preserve">J. Taft Symonds </w:t>
      </w:r>
      <w:r>
        <w:rPr>
          <w:rFonts w:ascii="Arial" w:cs="Arial" w:eastAsia="Arial" w:hAnsi="Arial"/>
          <w:sz w:val="17"/>
          <w:szCs w:val="17"/>
          <w:color w:val="auto"/>
        </w:rPr>
        <w:t>has served as a director of our general partner since June 2001. Mr. Symonds is Chairman of the Board of Symonds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Christopher M. Temple </w:t>
      </w:r>
      <w:r>
        <w:rPr>
          <w:rFonts w:ascii="Arial" w:cs="Arial" w:eastAsia="Arial" w:hAnsi="Arial"/>
          <w:sz w:val="16"/>
          <w:szCs w:val="16"/>
          <w:color w:val="auto"/>
        </w:rPr>
        <w:t>has served as a director of our general partner since May 2009. He is President of DelTex Capital LLC (a private investment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firm) and Chairman of Brawler Industries, LLC, a Midland, Texas based distributor of engineered plastics used in the exploration and production of oil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 Mr. Temple served as the President of Vulcan Capital, the private investment group of Vulcan Inc., from May 2009 until December 2009 and as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 of Vulcan Capital from September 2008 to May 2009. Mr. Temple has served on the board of directors and audit committee of Clear Channel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Outdoor Holdings since April 2011. Mr. Temple previously served on the board of directors and audit committee of Charter Communications, Inc.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2009 through January 2011. Prior to joining Vulcan in September 2008, Mr. Temple served as a managing director at Tailwind Capital LLC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to August 2008. Prior to joining Tailwind, Mr. Temple was a managing director at Friend Skoler &amp; Co., Inc. from May 2005 to May 2008.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1996 to December 2004, Mr. Temple was a managing director at Thayer Capital Partners. Additionally, Mr. Temple was a licensed CPA serving clients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energy sector with KPMG in Houston, Texas from 1989 to 1993. Mr. Temple holds a BBA, magna cum laude, from the University of Texas and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MBA from Harvard. The board of directors has determined that Mr. Temple is “independent” under applicable NYSE rules and qualifies as an “Audit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Committee Financial Expert.” Mr. Temple has a broad investment management background across a variety of business sectors, as well as experience in the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energy sector. We believe that this background, along with the leadership attributes indicated by his executive experience, provide an important source of insight and perspective to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ectPr>
          <w:pgSz w:w="11900" w:h="16838" w:orient="portrait"/>
          <w:cols w:equalWidth="0" w:num="1">
            <w:col w:w="11400"/>
          </w:cols>
          <w:pgMar w:left="240" w:top="125" w:right="259" w:bottom="0" w:gutter="0" w:footer="0" w:header="0"/>
        </w:sectPr>
      </w:pPr>
    </w:p>
    <w:bookmarkStart w:id="86" w:name="page87"/>
    <w:bookmarkEnd w:id="86"/>
    <w:p>
      <w:pPr>
        <w:spacing w:after="0" w:line="2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compensation committee of GP LLC reviews and makes recommendations to the board of directors regarding the compensation for the executive officers and directors.</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fulfilling its oversight responsibilities, the compensation committee reviewed and discussed with management the compensation discussion and analysis contained in this Annual Report on Form 10-K. Based on those reviews and discussions, the compensation committee recommended to the board of directors that the compensation discussion and analysis be included in the Annual Report on Form 10-K for the year ended December 31, 2015 for filing with the SEC.</w:t>
      </w:r>
    </w:p>
    <w:p>
      <w:pPr>
        <w:spacing w:after="0" w:line="18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T. Raymond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Messrs. Petersen, Raymond and Sinnott currently serve on the compensation committee and served on the compensation committee throughout 2015. During 2015,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Investments, L.P. (“EnCap”), Mr. Raymond is associated with EMG and Mr. Sinnott is associated with Kayne Anderson and its affiliates. We have relationships with these entities. See Item 13. “Certain Relationships and Related Transactions, and Director Independence—Transactions with Related Persons.”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of our officers and employees (other than our Canadian personnel) are employed by Plains All American GP LLC. Our Canadian personnel are employed by Plains Midstream Canada, which is a wholly owned subsidiary. Under our partnership agreement, we are required to reimburse our general partner and its affiliates for all employment-related costs, including compensation for executive officers, other than expenses related to the AAP Management Units (which are borne entirely by AAP). For 2015, we are including an additional individual as a Named Executive Officer (defined in the Summary Compensation Table below). Therefore, as used throughout this Compensation Discussion and Analysis, the term Named Executive Officers includes Messrs. Armstrong, Pefanis, Chiang, Swanson, Duckett and vonBerg.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We do not maintain a defined benefit or pension plan for our executive officers as we believe such plans primarily reward longevity and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“benchmark” our salary or bonus amounts. In practice, we believe our salaries are generally competitive with the narrower</w:t>
      </w:r>
      <w:r>
        <w:rPr>
          <w:rFonts w:ascii="Arial" w:cs="Arial" w:eastAsia="Arial" w:hAnsi="Arial"/>
          <w:sz w:val="16"/>
          <w:szCs w:val="16"/>
          <w:i w:val="1"/>
          <w:iCs w:val="1"/>
          <w:color w:val="auto"/>
        </w:rPr>
        <w:t xml:space="preserve"> </w:t>
      </w:r>
      <w:r>
        <w:rPr>
          <w:rFonts w:ascii="Arial" w:cs="Arial" w:eastAsia="Arial" w:hAnsi="Arial"/>
          <w:sz w:val="16"/>
          <w:szCs w:val="16"/>
          <w:color w:val="auto"/>
        </w:rPr>
        <w:t>universe of large-cap master limited partnerships, but are moderate relative to the broad spectrum of energy industry competitors for similar talent.</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Our cash bonuses include annual discretionary bonuses in which all of our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our Canadian personnel.</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 primary long-term measure of our performance is our ability to increase our sustainable quarterly distribution to</w:t>
      </w:r>
      <w:r>
        <w:rPr>
          <w:rFonts w:ascii="Arial" w:cs="Arial" w:eastAsia="Arial" w:hAnsi="Arial"/>
          <w:sz w:val="16"/>
          <w:szCs w:val="16"/>
          <w:i w:val="1"/>
          <w:iCs w:val="1"/>
          <w:color w:val="auto"/>
        </w:rPr>
        <w:t xml:space="preserve"> </w:t>
      </w:r>
      <w:r>
        <w:rPr>
          <w:rFonts w:ascii="Arial" w:cs="Arial" w:eastAsia="Arial" w:hAnsi="Arial"/>
          <w:sz w:val="16"/>
          <w:szCs w:val="16"/>
          <w:color w:val="auto"/>
        </w:rPr>
        <w:t>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w:t>
      </w:r>
    </w:p>
    <w:p>
      <w:pPr>
        <w:sectPr>
          <w:pgSz w:w="11900" w:h="16865" w:orient="portrait"/>
          <w:cols w:equalWidth="0" w:num="1">
            <w:col w:w="11420"/>
          </w:cols>
          <w:pgMar w:left="240" w:top="341" w:right="239" w:bottom="0" w:gutter="0" w:footer="0" w:header="0"/>
        </w:sectPr>
      </w:pPr>
    </w:p>
    <w:bookmarkStart w:id="87" w:name="page88"/>
    <w:bookmarkEnd w:id="87"/>
    <w:p>
      <w:pPr>
        <w:spacing w:after="0" w:line="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requirement for vesting, our current Named Executive Officers have the right to receive distributions on phantom units prior to vesting in the underlying common units (referred to as distribution equivalent rights, or “DERs”).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2007, the owners of AAP authorized the creation of “Class B” units of AAP (“AAP Management Units”), each of which represents a “profits interest” in AAP, and authorized GP LLC’s compensation committee to issue grants of AAP Management Units to create additional long-term incentives for our management designed to attract talent and encourage retention over an extended period of time. The entire economic burden of the AAP Management Units is borne solely by AAP, and does not impact our cash or units outstanding.</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AAP Management Units are subject to restrictions on transfer and generally become incrementally “earned” (entitled to receive a portion of the distributions that would otherwise be paid to holders of AAP units) upon achievement of certain performance thresholds related to achievement of targeted distribution levels, which are aligned with the interests of our common unitholders. As of February 15, 2016, 100% of the outstanding AAP Management Units granted in 2007, 2009, 2010 and 2011 (including those held by Messrs. Armstrong, Pefanis, Swanson, Duckett and vonBerg) had been earned, 75% of the AAP Management Units granted in 2013 had been earned, and 25% of the AAP Management Units granted in 2014 had been earned. None of the AAP Management Units issued in 2015 (including those held by Mr. Chiang) have been earned. No AAP Management Units were granted in 2008 or 2012.</w:t>
      </w:r>
    </w:p>
    <w:p>
      <w:pPr>
        <w:spacing w:after="0" w:line="16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To encourage retention following achievement of these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2016, AAP Management Units granted in 2007 and 2009 (including those held by Messrs. Armstrong, Pefanis, Swanson, Duckett and vonBerg) are no longer subject to such call right and have vested. The applicable vesting dates for the remaining AAP Management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Unit grants range from January 1, 2017 for AAP Management Units granted in 2010 to January 1, 2023 for AAP Management Units granted in 2015.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long as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0.938 AAP units and PAGP Class B shares for each AAP Management Unit as of December 31, 2015 and approximately 0.940 as of February 15, 2016). Following any such conversion, the resulting AAP units and PAGP Class B shares are exchangeable for PAGP Class A shares on a one-for-one basis as provided in the AAP limited partnership agreement. As of February 15, 2016, approximately 44.9 million AAP Management Units had vested, of which 18.8 million have been converted into 17.7 million AAP units and PAGP Class B shares. A portion of the resulting AAP units and PAGP Class B shares was subsequently exchanged for an aggregate of 11.4 million PAGP Class A shares. See Item 13. “Certain Relationships and Related Transactions, and Director Independence—Our General Partner—AAP Management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GP LLC’s compensation committee in reviewing and making recommendations, a compensation “tally sheet” is prepared by GP LLC’s CEO and General Counsel and provided to the compensation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stress performance-based compensation elements to attempt to create a performance-driven environment in which our executive officers are</w:t>
      </w:r>
    </w:p>
    <w:p>
      <w:pPr>
        <w:spacing w:after="0" w:line="46" w:lineRule="exact"/>
        <w:rPr>
          <w:sz w:val="20"/>
          <w:szCs w:val="20"/>
          <w:color w:val="auto"/>
        </w:rPr>
      </w:pPr>
    </w:p>
    <w:p>
      <w:pPr>
        <w:ind w:right="60" w:firstLine="8"/>
        <w:spacing w:after="0" w:line="288" w:lineRule="auto"/>
        <w:tabs>
          <w:tab w:leader="none" w:pos="2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our compensation program has been instrumental in our achievement of stated objectives. Over the five-year period ended December 31, 2015, our annual distribution per common unit has grown at a compound annual rate of 8.1% and the total return realized by our unitholders for that period averaged approximately (1)% per annum as compared to the AMZ total return of 2%. During this period, we have enjoyed a very high rate of retention among executive officers.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40"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Application of Compensation Elements</w:t>
      </w:r>
    </w:p>
    <w:p>
      <w:pPr>
        <w:sectPr>
          <w:pgSz w:w="11900" w:h="16840" w:orient="portrait"/>
          <w:cols w:equalWidth="0" w:num="1">
            <w:col w:w="11420"/>
          </w:cols>
          <w:pgMar w:left="240" w:top="125" w:right="239" w:bottom="0" w:gutter="0" w:footer="0" w:header="0"/>
          <w:type w:val="continuous"/>
        </w:sectPr>
      </w:pPr>
    </w:p>
    <w:bookmarkStart w:id="88" w:name="page89"/>
    <w:bookmarkEnd w:id="88"/>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make systematic annual adjustments to the salaries of our Named Executive Officers. We do, however, make salary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as necessary to maintain hierarchical relationships among senior management levels after new senior management members are added to keep pace with our overall growth. Since the date of our initial public offering in 1998 (or date of employment, if later) through December 31, 2015,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resulting document and supporting detail is submitted to the board of directors of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however, pursuant to his employment agreement, Mr. Chiang is entitled to a minimum bonus of $500,000 for 2015 and $1.25 million for each of 2016 and 2017.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These recommendations are discussed with the compensation committee, adjusted as appropriate, and submitted to the board of directors for its review and approval. Similarly, the compensation committee typically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With respect to 2015, our CEO and President have indicated that neither of them will request or accept a bonus. Accordingly, the typical practice of having the CEO submit to the compensation committee a preliminary draft of bonus recommendations with the amount for the CEO left blank was modified for 2015 in that bonus recommendations were not included for either the CEO or the President. The CEO and the compensation committee discussed such preliminary draft, which was then revised to include any changes or adjustments in the formal submittal to the compensation committee for review and recommendation to the board.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our U.S.-based senior management team are directly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grants of phantom unit awards to our Named Executive Officers. Instead, our</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ectPr>
          <w:pgSz w:w="11900" w:h="16838" w:orient="portrait"/>
          <w:cols w:equalWidth="0" w:num="1">
            <w:col w:w="11420"/>
          </w:cols>
          <w:pgMar w:left="240" w:top="341" w:right="239" w:bottom="0" w:gutter="0" w:footer="0" w:header="0"/>
        </w:sectPr>
      </w:pPr>
    </w:p>
    <w:bookmarkStart w:id="89" w:name="page90"/>
    <w:bookmarkEnd w:id="89"/>
    <w:p>
      <w:pPr>
        <w:spacing w:after="0" w:line="9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AAP Management Units (each of which represents a “profits interest” in AAP) provide an additional longer-term, performance-based officer incentive. These AAP Management Units are limited to 52,125,935 authorized units, of which 50,722,830 were outstanding as of December 31, 2015 pursuant to individual restricted unit agreements between AAP and certain members of management. As of December 31, 2015 our Named Executive Officers held 29,931,571 of the restricted AAP Management Units. As noted above under “Elements of Compensation,” a significant portion of the outstanding AAP Management Units vested as of January 1, 2016 and a portion of such vested AAP Management Units has been converted into AAP units and PAGP Class B shares. As a result, as of February 15, 2016, the number of AAP Management Units outstanding was 31,878,821, of which 20,676,096 were held by our Named Executive Officers. The remaining available AAP Management Units are administered at the discretion of the compensation committee (subject to limited authority delegated to the CEO to approve awards to employees other than executive officers) and may be awarded upon advancement, exceptional performance or other change in circumstance of an existing member of management, or upon the addition of a new individual to the management team.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beginning of 2015, we established four public goals with paraphrased versions of these goals overlapping three of our five internal goals.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four public goals for the year were to:</w:t>
      </w:r>
    </w:p>
    <w:p>
      <w:pPr>
        <w:spacing w:after="0" w:line="22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or above guidance;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Successfully execute our 2015 capital program and set the stage for continued growth in 2016 and beyond;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 our November 2015 annualized distribution level by 7% over the November 2014 annualized distribution level;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Selectively pursue strategic and accretive acquisitions.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our internal qualitative goals included (a) advancing multi-year programs and initiatives and preparing the organization for future growth, and (b) continuing to promote a culture of safety and environmental responsibility throughout the organization.</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Industry conditions deteriorated throughout 2015 as crude oil and natural gas prices decreased and capital expenditures by producers were reduced. As a result, crude oil production volumes were below expectations and competition within the midstream crude oil sector increased due to excess pipeline capacity and shipper over-commitments under minimum volume contracts. Primarily as a result of the challenging industry conditions, we reduced our 2015 guidance and made a number of other mid-course corrections to our strategies and plans. Additionally, our 2015 reported results were impacted by an accidental release of approximately 2,935 barrels of crude oil near Santa Barbara, California. This event resulted in an accrual as of December 31, 2015 of estimated total costs that we have incurred or expect to incur in connection with such incident of $269 million ($83 million, net of expected insurance reimbursements) (See Item 3. “Legal Proceedings—Specific Legal, Environmental or Regulatory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below are the more significant shortfalls and accomplishments for the year relative to our public and internal goals: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Shortfalls</w:t>
      </w:r>
      <w:r>
        <w:rPr>
          <w:rFonts w:ascii="Arial" w:cs="Arial" w:eastAsia="Arial" w:hAnsi="Arial"/>
          <w:sz w:val="18"/>
          <w:szCs w:val="18"/>
          <w:color w:val="auto"/>
        </w:rPr>
        <w:t>:</w:t>
      </w:r>
    </w:p>
    <w:p>
      <w:pPr>
        <w:spacing w:after="0" w:line="225" w:lineRule="exact"/>
        <w:rPr>
          <w:sz w:val="20"/>
          <w:szCs w:val="20"/>
          <w:color w:val="auto"/>
        </w:rPr>
      </w:pPr>
    </w:p>
    <w:p>
      <w:pPr>
        <w:ind w:left="1300" w:hanging="320"/>
        <w:spacing w:after="0" w:line="277" w:lineRule="auto"/>
        <w:tabs>
          <w:tab w:leader="none" w:pos="12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reported approximately $2.2 billion of adjusted EBITDA and $1.5 billion of distributable cash flow, slightly below our revised guidance, but approximately 8% and 10%, respectively, below the midpoint of our initial guidance;</w:t>
      </w:r>
    </w:p>
    <w:p>
      <w:pPr>
        <w:spacing w:after="0" w:line="170" w:lineRule="exact"/>
        <w:rPr>
          <w:rFonts w:ascii="Arial" w:cs="Arial" w:eastAsia="Arial" w:hAnsi="Arial"/>
          <w:sz w:val="18"/>
          <w:szCs w:val="18"/>
          <w:color w:val="auto"/>
        </w:rPr>
      </w:pPr>
    </w:p>
    <w:p>
      <w:pPr>
        <w:ind w:left="1300" w:right="160" w:hanging="320"/>
        <w:spacing w:after="0" w:line="277" w:lineRule="auto"/>
        <w:tabs>
          <w:tab w:leader="none" w:pos="12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increased our annualized distribution rate by 6% over the November 2014 exit rate, and generated distribution coverage for the year of approximately 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Accomplishments</w:t>
      </w:r>
      <w:r>
        <w:rPr>
          <w:rFonts w:ascii="Arial" w:cs="Arial" w:eastAsia="Arial" w:hAnsi="Arial"/>
          <w:sz w:val="18"/>
          <w:szCs w:val="18"/>
          <w:color w:val="auto"/>
        </w:rPr>
        <w:t>:</w:t>
      </w:r>
    </w:p>
    <w:p>
      <w:pPr>
        <w:spacing w:after="0" w:line="225" w:lineRule="exact"/>
        <w:rPr>
          <w:sz w:val="20"/>
          <w:szCs w:val="20"/>
          <w:color w:val="auto"/>
        </w:rPr>
      </w:pPr>
    </w:p>
    <w:p>
      <w:pPr>
        <w:ind w:left="1300" w:right="20" w:hanging="320"/>
        <w:spacing w:after="0" w:line="277" w:lineRule="auto"/>
        <w:tabs>
          <w:tab w:leader="none" w:pos="1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executed a $2.2 billion expansion capital program timely and cost effectively, and commissioned and integrated multiple new assets into our operations;</w:t>
      </w:r>
    </w:p>
    <w:p>
      <w:pPr>
        <w:spacing w:after="0" w:line="170" w:lineRule="exact"/>
        <w:rPr>
          <w:rFonts w:ascii="Arial" w:cs="Arial" w:eastAsia="Arial" w:hAnsi="Arial"/>
          <w:sz w:val="18"/>
          <w:szCs w:val="18"/>
          <w:color w:val="auto"/>
        </w:rPr>
      </w:pPr>
    </w:p>
    <w:p>
      <w:pPr>
        <w:ind w:left="1300" w:right="60" w:hanging="320"/>
        <w:spacing w:after="0" w:line="277" w:lineRule="auto"/>
        <w:tabs>
          <w:tab w:leader="none" w:pos="1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completed transactions associated with two of our pipeline projects that reduced our funding requirements while essentially maintaining the long-term earnings capacity of such projects;</w:t>
      </w:r>
    </w:p>
    <w:p>
      <w:pPr>
        <w:spacing w:after="0" w:line="170" w:lineRule="exact"/>
        <w:rPr>
          <w:rFonts w:ascii="Arial" w:cs="Arial" w:eastAsia="Arial" w:hAnsi="Arial"/>
          <w:sz w:val="18"/>
          <w:szCs w:val="18"/>
          <w:color w:val="auto"/>
        </w:rPr>
      </w:pPr>
    </w:p>
    <w:p>
      <w:pPr>
        <w:ind w:left="1300" w:right="460" w:hanging="320"/>
        <w:spacing w:after="0" w:line="277" w:lineRule="auto"/>
        <w:tabs>
          <w:tab w:leader="none" w:pos="1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executed two key financings on attractive terms that enabled us to maintain solid liquidity and financial strength, including raising approximately $1.1 billion of common equity capital and $1.0 billion in long-term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initiated a $1.6 billion preferred equity placement that was completed in January 2016; and</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2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made significant progress with respect to the implementation of multiple initiatives to strengthen and sustain the organization and promote a culture of safety and environmental responsibility throughout.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2015, the elements of compensation were applied as described below.</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2015. See “—Employment Contracts”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the base salaries of our Named Executive Officers with employment contracts.</w:t>
      </w:r>
    </w:p>
    <w:p>
      <w:pPr>
        <w:sectPr>
          <w:pgSz w:w="11900" w:h="16929" w:orient="portrait"/>
          <w:cols w:equalWidth="0" w:num="1">
            <w:col w:w="11400"/>
          </w:cols>
          <w:pgMar w:left="240" w:top="125" w:right="259" w:bottom="0" w:gutter="0" w:footer="0" w:header="0"/>
        </w:sectPr>
      </w:pPr>
    </w:p>
    <w:bookmarkStart w:id="90" w:name="page91"/>
    <w:bookmarkEnd w:id="90"/>
    <w:p>
      <w:pPr>
        <w:spacing w:after="0" w:line="4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 xml:space="preserve">Cash Bonuses. </w:t>
      </w:r>
      <w:r>
        <w:rPr>
          <w:rFonts w:ascii="Arial" w:cs="Arial" w:eastAsia="Arial" w:hAnsi="Arial"/>
          <w:sz w:val="17"/>
          <w:szCs w:val="17"/>
          <w:color w:val="auto"/>
        </w:rPr>
        <w:t>In light of PAA’s overall 2015 performance, our CEO and President have indicated that neither of them will request or accept a</w:t>
      </w:r>
      <w:r>
        <w:rPr>
          <w:rFonts w:ascii="Arial" w:cs="Arial" w:eastAsia="Arial" w:hAnsi="Arial"/>
          <w:sz w:val="17"/>
          <w:szCs w:val="17"/>
          <w:i w:val="1"/>
          <w:iCs w:val="1"/>
          <w:color w:val="auto"/>
        </w:rPr>
        <w:t xml:space="preserve"> </w:t>
      </w:r>
      <w:r>
        <w:rPr>
          <w:rFonts w:ascii="Arial" w:cs="Arial" w:eastAsia="Arial" w:hAnsi="Arial"/>
          <w:sz w:val="17"/>
          <w:szCs w:val="17"/>
          <w:color w:val="auto"/>
        </w:rPr>
        <w:t>bonus. Additionally, pursuant to Mr. Chiang’s employment agreement, his bonus for 2015 will not be less than $500,000. The CEO’s annual bonus recommendations for the remaining Named Executive Officers were based on his assessment of PAA’s performance as well as the individual’s performance against goals, opportunities and challenges, taking into consideration both controllable and non-controllable factors. Based on the CEO’s annual performance review and recommendations, the compensation committee recommended to the board of directors and the board of directors approved the annual bonuses reflected in the Summary Compensation Table and notes thereto.</w:t>
      </w:r>
    </w:p>
    <w:p>
      <w:pPr>
        <w:spacing w:after="0" w:line="17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Other than the grant of 120,000 phantom units and 1,000,000 AAP Management Units to Mr. Chiang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his employment as described below, there were no grants of long-term incentive awards to Named Executive Officers in 2015.</w:t>
      </w:r>
    </w:p>
    <w:p>
      <w:pPr>
        <w:spacing w:after="0" w:line="1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 xml:space="preserve">Mr. Chiang’s phantom units will vest </w:t>
      </w:r>
      <w:r>
        <w:rPr>
          <w:rFonts w:ascii="Arial" w:cs="Arial" w:eastAsia="Arial" w:hAnsi="Arial"/>
          <w:sz w:val="17"/>
          <w:szCs w:val="17"/>
          <w:color w:val="auto"/>
        </w:rPr>
        <w:t>40% on the later of the August 2018 distribution date and the date PAA pays an annualized quarterly distribution</w:t>
      </w:r>
      <w:r>
        <w:rPr>
          <w:rFonts w:ascii="Arial" w:cs="Arial" w:eastAsia="Arial" w:hAnsi="Arial"/>
          <w:sz w:val="18"/>
          <w:szCs w:val="18"/>
          <w:color w:val="auto"/>
        </w:rPr>
        <w:t xml:space="preserve"> </w:t>
      </w:r>
      <w:r>
        <w:rPr>
          <w:rFonts w:ascii="Arial" w:cs="Arial" w:eastAsia="Arial" w:hAnsi="Arial"/>
          <w:sz w:val="17"/>
          <w:szCs w:val="17"/>
          <w:color w:val="auto"/>
        </w:rPr>
        <w:t xml:space="preserve">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described under “—Employment Contracts” and “—Potential Payments Upon Termination or Change-in-Control” below. Any phantom units that have not vested as of the August 2021 distribution date will be forfeited. </w:t>
      </w:r>
      <w:r>
        <w:rPr>
          <w:rFonts w:ascii="Arial" w:cs="Arial" w:eastAsia="Arial" w:hAnsi="Arial"/>
          <w:sz w:val="18"/>
          <w:szCs w:val="18"/>
          <w:color w:val="auto"/>
        </w:rPr>
        <w:t>Upon vesting,</w:t>
      </w:r>
      <w:r>
        <w:rPr>
          <w:rFonts w:ascii="Arial" w:cs="Arial" w:eastAsia="Arial" w:hAnsi="Arial"/>
          <w:sz w:val="17"/>
          <w:szCs w:val="17"/>
          <w:color w:val="auto"/>
        </w:rPr>
        <w:t xml:space="preserve"> </w:t>
      </w:r>
      <w:r>
        <w:rPr>
          <w:rFonts w:ascii="Arial" w:cs="Arial" w:eastAsia="Arial" w:hAnsi="Arial"/>
          <w:sz w:val="18"/>
          <w:szCs w:val="18"/>
          <w:color w:val="auto"/>
        </w:rPr>
        <w:t>the phantom units are payable on a one-for-one basis in common units. Mr. Chiang’s phantom units have associated DERs that are currently vested and payable in cash on each distribution payment date.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Mr. Chiang’s AAP Management Units become earned in 25% increments upon payment by PAA of annualized quarterly distributions of $2.90, $3.15, $3.30 and $3.50 per common unit, respectively. </w:t>
      </w:r>
      <w:r>
        <w:rPr>
          <w:rFonts w:ascii="Arial" w:cs="Arial" w:eastAsia="Arial" w:hAnsi="Arial"/>
          <w:sz w:val="17"/>
          <w:szCs w:val="17"/>
          <w:color w:val="auto"/>
        </w:rPr>
        <w:t>Mr. Chiang’s AAP Management Units are subject to a call right in the event his employment is</w:t>
      </w:r>
      <w:r>
        <w:rPr>
          <w:rFonts w:ascii="Arial" w:cs="Arial" w:eastAsia="Arial" w:hAnsi="Arial"/>
          <w:sz w:val="18"/>
          <w:szCs w:val="18"/>
          <w:color w:val="auto"/>
        </w:rPr>
        <w:t xml:space="preserve"> </w:t>
      </w:r>
      <w:r>
        <w:rPr>
          <w:rFonts w:ascii="Arial" w:cs="Arial" w:eastAsia="Arial" w:hAnsi="Arial"/>
          <w:sz w:val="17"/>
          <w:szCs w:val="17"/>
          <w:color w:val="auto"/>
        </w:rPr>
        <w:t>terminated under certain circumstances prior to December 31, 2022. If Mr. Chiang remains employed after such date, his AAP Management Units will be deemed to have vested. Mr. Chiang’s AAP Management Units also vest upon his termination of employment under certain circumstances described below under “— Employment Contracts” and “—Potential Payments Upon Termination or Change-in-Control.”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Equity Ownership. </w:t>
      </w:r>
      <w:r>
        <w:rPr>
          <w:rFonts w:ascii="Arial" w:cs="Arial" w:eastAsia="Arial" w:hAnsi="Arial"/>
          <w:sz w:val="17"/>
          <w:szCs w:val="17"/>
          <w:color w:val="auto"/>
        </w:rPr>
        <w:t>Our Named Executive Officers collectively own substantial equity in the Partnership as well as the general partner. Although we</w:t>
      </w:r>
      <w:r>
        <w:rPr>
          <w:rFonts w:ascii="Arial" w:cs="Arial" w:eastAsia="Arial" w:hAnsi="Arial"/>
          <w:sz w:val="17"/>
          <w:szCs w:val="17"/>
          <w:i w:val="1"/>
          <w:iCs w:val="1"/>
          <w:color w:val="auto"/>
        </w:rPr>
        <w:t xml:space="preserve"> </w:t>
      </w:r>
      <w:r>
        <w:rPr>
          <w:rFonts w:ascii="Arial" w:cs="Arial" w:eastAsia="Arial" w:hAnsi="Arial"/>
          <w:sz w:val="17"/>
          <w:szCs w:val="17"/>
          <w:color w:val="auto"/>
        </w:rPr>
        <w:t>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February 15, 2016, our Named Executive Officers beneficially owned, in the aggregate, (i) approximately 2.6 million of our common units (excluding any unvested equity awards), (ii) through their ownership of interests in PAA Management, L.P., an approximate 1.9% indirect ownership interest (approximate 1.8% economic interest) in AAP, (iii) 20,676,096 AAP Management Units, which represent an approximate 3.0% aggregate economic interest in AAP, and (iv) 10,102,845 PAGP Class A shares. Based on the market price of our common units and PAGP’s Class A shares at February 15, 2016 and assuming the conversion of all earned AAP Management Units into AAP units at a conversion factor of approximately 0.940 and the exchange of AAP units for an equivalent number of PAGP Class A shares, the value of the equity ownership of these individuals was significantly greater than the combined aggregate salaries and bonuses of these individuals for 2015.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 which previous awards were based are restated or otherwise adjusted in a manner that would have reduced the size of such award or payment if previously known.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Pefanis and Chiang, the long-term incentive plan grants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and the AAP Management Unit grant agreements to which our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and with respect to the completion of the initial public offering of PAGP in October 2013. The AAP Management Unit grant agreements generally call for vesting upon a change in control of any units that have already been earned, plus the next increment of units that could be earned at the next distribution threshold. Any remaining AAP Management Units would be forfeited (unless waived at the discretion of the general partner or acquirer as the case may be). As a result of significant participation (i.e., purchases) by existing general partner owners or their affiliates in the December 2010 sale of Vulcan Energy’s 50.1% ownership in the general partner, the change of control provisions of the AAP Management Unit grant agreements were not triggered. In addition, the completion of the initial public offering of PAGP in October 2013 did not constitute a change of control pursuant to the terms of the AAP Management Unit grant agreements. Mr. Chiang’s employment agreement provides for accelerated vesting of his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w:t>
      </w:r>
    </w:p>
    <w:p>
      <w:pPr>
        <w:sectPr>
          <w:pgSz w:w="11900" w:h="16885" w:orient="portrait"/>
          <w:cols w:equalWidth="0" w:num="1">
            <w:col w:w="11400"/>
          </w:cols>
          <w:pgMar w:left="240" w:top="341" w:right="259" w:bottom="0" w:gutter="0" w:footer="0" w:header="0"/>
        </w:sectPr>
      </w:pPr>
    </w:p>
    <w:bookmarkStart w:id="91" w:name="page92"/>
    <w:bookmarkEnd w:id="91"/>
    <w:p>
      <w:pPr>
        <w:ind w:right="320"/>
        <w:spacing w:after="0" w:line="277" w:lineRule="auto"/>
        <w:rPr>
          <w:sz w:val="20"/>
          <w:szCs w:val="20"/>
          <w:color w:val="auto"/>
        </w:rPr>
      </w:pPr>
      <w:r>
        <w:rPr>
          <w:rFonts w:ascii="Arial" w:cs="Arial" w:eastAsia="Arial" w:hAnsi="Arial"/>
          <w:sz w:val="18"/>
          <w:szCs w:val="18"/>
          <w:color w:val="auto"/>
        </w:rPr>
        <w:t>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70"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See “Impact of Commodity Price Volatility and Dynamic Market Conditions on Our Business Model—Risk Management” in Part I of this annual report. We also routinely monitor and measure the execution and performance of our capital projects and acquisitions relative to expectations.</w:t>
      </w:r>
    </w:p>
    <w:p>
      <w:pPr>
        <w:spacing w:after="0" w:line="17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practices or of our Code of Business Conduct. In addition, our long-term incentive awards typically include vesting criteria based on payment of distributions from currently available cash. See “Compensation Discussion and Analysis—Relation of Compensation Elements to Compensation Objectives.”</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table sets forth certain compensation information for our Chief Executive Officer, Chief Financial Officer, and the four other most highly compensated executive officers in 2015 (our “Named Executive Officers”). We reimburse our general partner and its affiliates for expenses incurred on our behalf, including the costs of officer compensation (excluding the costs of the obligations represented by the AAP Management Units). Mr. Chiang joined PAA in August 2015; therefore, his salary and bonus amounts reflect a partial year of payment.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Year</w:t>
            </w:r>
          </w:p>
        </w:tc>
        <w:tc>
          <w:tcPr>
            <w:tcW w:w="12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2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20" w:type="dxa"/>
            <w:vAlign w:val="bottom"/>
          </w:tcPr>
          <w:p>
            <w:pPr>
              <w:spacing w:after="0"/>
              <w:rPr>
                <w:sz w:val="14"/>
                <w:szCs w:val="14"/>
                <w:color w:val="auto"/>
              </w:rPr>
            </w:pPr>
          </w:p>
        </w:tc>
        <w:tc>
          <w:tcPr>
            <w:tcW w:w="112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(2)</w:t>
            </w:r>
          </w:p>
        </w:tc>
        <w:tc>
          <w:tcPr>
            <w:tcW w:w="22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and Chief Executive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2,662,378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Operating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2,396,140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89,102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5,330,830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5,925,818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Executive Vice President and Chief Operating</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 (U.S.)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and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1,774,919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222,543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2,665,224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99,173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Officer—Plains Midstream</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257,571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3,244,686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276,666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3,887,652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1,774,919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3,650,000</w:t>
            </w:r>
            <w:r>
              <w:rPr>
                <w:rFonts w:ascii="Arial" w:cs="Arial" w:eastAsia="Arial" w:hAnsi="Arial"/>
                <w:sz w:val="11"/>
                <w:szCs w:val="11"/>
                <w:color w:val="auto"/>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4,175,000</w:t>
            </w:r>
            <w:r>
              <w:rPr>
                <w:rFonts w:ascii="Arial" w:cs="Arial" w:eastAsia="Arial" w:hAnsi="Arial"/>
                <w:sz w:val="11"/>
                <w:szCs w:val="11"/>
                <w:color w:val="auto"/>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Activities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5,255,000</w:t>
            </w:r>
            <w:r>
              <w:rPr>
                <w:rFonts w:ascii="Arial" w:cs="Arial" w:eastAsia="Arial" w:hAnsi="Arial"/>
                <w:sz w:val="11"/>
                <w:szCs w:val="11"/>
                <w:color w:val="auto"/>
              </w:rPr>
              <w:t>(4)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1,331,189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6,852,929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328"/>
        <w:spacing w:after="0" w:line="261" w:lineRule="auto"/>
        <w:tabs>
          <w:tab w:leader="none" w:pos="648" w:val="left"/>
        </w:tabs>
        <w:numPr>
          <w:ilvl w:val="0"/>
          <w:numId w:val="78"/>
        </w:numPr>
        <w:rPr>
          <w:rFonts w:ascii="Arial" w:cs="Arial" w:eastAsia="Arial" w:hAnsi="Arial"/>
          <w:sz w:val="22"/>
          <w:szCs w:val="22"/>
          <w:color w:val="auto"/>
          <w:vertAlign w:val="superscript"/>
        </w:rPr>
      </w:pPr>
      <w:r>
        <w:rPr>
          <w:rFonts w:ascii="Arial" w:cs="Arial" w:eastAsia="Arial" w:hAnsi="Arial"/>
          <w:sz w:val="17"/>
          <w:szCs w:val="17"/>
          <w:color w:val="auto"/>
        </w:rPr>
        <w:t>Grant date fair values are presented for (i) LTIP phantom unit grants awarded to Messrs. Armstrong, Pefanis, Swanson, Duckett and vonBerg in 2013, (ii) LTIP phantom unit grants awarded to Mr. Chiang in 2015, and (iii) AAP Management Unit grants awarded to Mr. Chiang in 2015. Dollar amounts in the table represent the aggregate grant date fair value of phantom units and AAP Management Units awarded based on the probable outcome of underlying performance conditions pursuant to FASB ASC Topic 718. For LTIP phantom units granted in 2013, the performance threshold for the first tranche of vesting was deemed probable of occurring on the grant date. The maximum grant date fair values of phantom unit grants awarded in 2013, assuming that the highest level of performance conditions will be met, are: $7,562,664 for Mr. Armstrong; $6,806,398 for Mr. Pefanis; $5,041,776 for Mr. Swanson; $5,041,776 for Mr. Duckett and $3,781,332 for Mr. vonBerg. For LTIP phantom unit grants and AAP Management Unit grants awarded in 2015, the performance threshold for the first tranche of vesting was deemed probable of occurring on the grant date. The aggregate maximum grant date fair value of phantom unit grants and AAP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Unit grants awarded to Mr. Chiang in 2015, assuming that the highest level of performance conditions will be met, was $17,197,332.</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 to our Consolidated Financial Statements for further discussion regarding the calculation of grant date fair values.</w:t>
      </w:r>
    </w:p>
    <w:p>
      <w:pPr>
        <w:sectPr>
          <w:pgSz w:w="11900" w:h="16838" w:orient="portrait"/>
          <w:cols w:equalWidth="0" w:num="1">
            <w:col w:w="11420"/>
          </w:cols>
          <w:pgMar w:left="240" w:top="125" w:right="239" w:bottom="0" w:gutter="0" w:footer="0" w:header="0"/>
        </w:sectPr>
      </w:pPr>
    </w:p>
    <w:bookmarkStart w:id="92" w:name="page93"/>
    <w:bookmarkEnd w:id="92"/>
    <w:p>
      <w:pPr>
        <w:ind w:left="660" w:right="80" w:hanging="652"/>
        <w:spacing w:after="0" w:line="257" w:lineRule="auto"/>
        <w:tabs>
          <w:tab w:leader="none" w:pos="648"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color w:val="auto"/>
        </w:rPr>
        <w:t>GP LLC matches 100% of employees’ contributions to its 401(k) plan in cash, subject to certain limitations in the plan. All Other Compensation for each of Messrs. Armstrong, Pefanis, Swanson and vonBerg includes $15,900 ($5,346 for Mr. Chiang) in such contributions for 2015. The remaining amount for each represents premium payments on behalf of such Named Executive Officer for group term life insurance. All Other Compensation for Mr. Duckett includes, for 2015, employer contributions to the Plains Midstream Canada savings plan of $28,931, group term life insurance premiums of $30,891, automobile lease payments of $33,128 and club dues of $6,223.</w:t>
      </w:r>
    </w:p>
    <w:p>
      <w:pPr>
        <w:sectPr>
          <w:pgSz w:w="11900" w:h="16838" w:orient="portrait"/>
          <w:cols w:equalWidth="0" w:num="1">
            <w:col w:w="11420"/>
          </w:cols>
          <w:pgMar w:left="240" w:top="341" w:right="239" w:bottom="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hanging="11"/>
        <w:spacing w:after="0" w:line="277" w:lineRule="auto"/>
        <w:rPr>
          <w:sz w:val="20"/>
          <w:szCs w:val="20"/>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spacing w:after="0" w:line="170" w:lineRule="exact"/>
        <w:rPr>
          <w:sz w:val="20"/>
          <w:szCs w:val="20"/>
          <w:color w:val="auto"/>
        </w:rPr>
      </w:pPr>
    </w:p>
    <w:p>
      <w:pPr>
        <w:ind w:right="420" w:hanging="11"/>
        <w:spacing w:after="0" w:line="342" w:lineRule="auto"/>
        <w:rPr>
          <w:sz w:val="20"/>
          <w:szCs w:val="20"/>
          <w:color w:val="auto"/>
        </w:rPr>
      </w:pPr>
      <w:r>
        <w:rPr>
          <w:rFonts w:ascii="Arial" w:cs="Arial" w:eastAsia="Arial" w:hAnsi="Arial"/>
          <w:sz w:val="16"/>
          <w:szCs w:val="16"/>
          <w:color w:val="auto"/>
        </w:rPr>
        <w:t>Includes quarterly bonuses aggregating $2,750,000, $2,275,000 and $3,355,000 and annual bonuses of $900,000, $1,900,000 and $1,900,000 in 2015, 2014 and 2013, respectively. The annual bonuses are payable 60% at the time of award and 20% in each of the two succeeding years.</w:t>
      </w:r>
    </w:p>
    <w:p>
      <w:pPr>
        <w:spacing w:after="0" w:line="120" w:lineRule="exact"/>
        <w:rPr>
          <w:sz w:val="20"/>
          <w:szCs w:val="20"/>
          <w:color w:val="auto"/>
        </w:rPr>
      </w:pPr>
    </w:p>
    <w:p>
      <w:pPr>
        <w:sectPr>
          <w:pgSz w:w="11900" w:h="16838" w:orient="portrait"/>
          <w:cols w:equalWidth="0" w:num="2">
            <w:col w:w="140" w:space="520"/>
            <w:col w:w="10760"/>
          </w:cols>
          <w:pgMar w:left="240" w:top="341"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or</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63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4"/>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8/24/15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8/24/15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r>
              <w:rPr>
                <w:rFonts w:ascii="Arial" w:cs="Arial" w:eastAsia="Arial" w:hAnsi="Arial"/>
                <w:sz w:val="11"/>
                <w:szCs w:val="11"/>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656"/>
        <w:spacing w:after="0" w:line="272" w:lineRule="auto"/>
        <w:tabs>
          <w:tab w:leader="none" w:pos="94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These phantom units will vest 40% on the later of the August 2018 distribution date and the date PAA pays an annualized quarterly distribution 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described under “—Employment Contracts” and “—Potential Payments Upon Termination or Change-in-Control” below.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77" w:lineRule="exact"/>
        <w:rPr>
          <w:rFonts w:ascii="Arial" w:cs="Arial" w:eastAsia="Arial" w:hAnsi="Arial"/>
          <w:sz w:val="17"/>
          <w:szCs w:val="17"/>
          <w:color w:val="auto"/>
        </w:rPr>
      </w:pPr>
    </w:p>
    <w:p>
      <w:pPr>
        <w:ind w:right="160" w:firstLine="656"/>
        <w:spacing w:after="0" w:line="263" w:lineRule="auto"/>
        <w:tabs>
          <w:tab w:leader="none" w:pos="9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These AAP Management Units become earned in 25% increments upon payment by PAA of annualized quarterly distributions of $2.90, $3.15, $3.30 and $3.50 per common unit, respectively. </w:t>
      </w:r>
      <w:r>
        <w:rPr>
          <w:rFonts w:ascii="Arial" w:cs="Arial" w:eastAsia="Arial" w:hAnsi="Arial"/>
          <w:sz w:val="17"/>
          <w:szCs w:val="17"/>
          <w:color w:val="auto"/>
        </w:rPr>
        <w:t>These AAP Management Units are subject to a call right in the event Mr. Chiang’s employment is terminated</w:t>
      </w:r>
      <w:r>
        <w:rPr>
          <w:rFonts w:ascii="Arial" w:cs="Arial" w:eastAsia="Arial" w:hAnsi="Arial"/>
          <w:sz w:val="18"/>
          <w:szCs w:val="18"/>
          <w:color w:val="auto"/>
        </w:rPr>
        <w:t xml:space="preserve"> </w:t>
      </w:r>
      <w:r>
        <w:rPr>
          <w:rFonts w:ascii="Arial" w:cs="Arial" w:eastAsia="Arial" w:hAnsi="Arial"/>
          <w:sz w:val="17"/>
          <w:szCs w:val="17"/>
          <w:color w:val="auto"/>
        </w:rPr>
        <w:t>under certain circumstances prior to December 31, 2022. If Mr. Chiang remains employed after such date, his AAP Management Units will be deemed to have vested. Mr. Chiang’s AAP Management Units also vest upon his termination of employment under certain circumstances described under “—Employment Contracts” and “—Potential Payments Upon Termination or Change-in-Control” below.</w:t>
      </w:r>
    </w:p>
    <w:p>
      <w:pPr>
        <w:spacing w:after="0" w:line="187" w:lineRule="exact"/>
        <w:rPr>
          <w:rFonts w:ascii="Arial" w:cs="Arial" w:eastAsia="Arial" w:hAnsi="Arial"/>
          <w:sz w:val="18"/>
          <w:szCs w:val="18"/>
          <w:color w:val="auto"/>
        </w:rPr>
      </w:pPr>
    </w:p>
    <w:p>
      <w:pPr>
        <w:ind w:right="300" w:firstLine="656"/>
        <w:spacing w:after="0" w:line="264" w:lineRule="auto"/>
        <w:tabs>
          <w:tab w:leader="none" w:pos="9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grant date fair values of LTIP phantom units and AAP Management Units based on the probable outcome of underlying performance conditions pursuant to FASB ASC Topic 718. The performance threshold for the first tranche of vesting of the LTIP phantom units and AAP Management Units was deemed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probable of occurring on the grant date. The aggregate maximum grant date fair value of phantom unit grants and AAP Management Unit grants awarded in 2015, assuming that the highest level of performance conditions will be met, was $17,197,332.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“—Compensation Discussion and Analysis” and in the footnotes to such tables.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For 2016, Mr. Armstrong has unilaterally elected to forego approximately 90% of his annual base salary.</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ectPr>
          <w:pgSz w:w="11900" w:h="16838" w:orient="portrait"/>
          <w:cols w:equalWidth="0" w:num="1">
            <w:col w:w="11420"/>
          </w:cols>
          <w:pgMar w:left="240" w:top="341" w:right="239" w:bottom="0" w:gutter="0" w:footer="0" w:header="0"/>
          <w:type w:val="continuous"/>
        </w:sectPr>
      </w:pPr>
    </w:p>
    <w:bookmarkStart w:id="93" w:name="page94"/>
    <w:bookmarkEnd w:id="93"/>
    <w:p>
      <w:pPr>
        <w:spacing w:after="0" w:line="4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his phantom units and AAP Management Units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 (iii) if a change of control occurs prior to the Reference Date and in connection therewith Mr. Chiang is not designated to receive the Executive Promotion and terminates his employment within 90 days of such change of control. Mr. Chiang’s employment agreement also provides that in the event of his death or disability prior to the second anniversary of his employment date under circumstances where less than 500,000 of his AAP Management Units have previously become “earned”, he will immediately vest in such number of AAP Management Units as may be necessary to cause the number of vested AAP Management Units to equal 500,000. Mr. Chiang also entered into ancillary agreements pursuant to which he has agreed to maintain confidentiality and not to solicit customers, assets or employees for a period of two years following termination of his employment.</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 Potential Payments upon Termination or Change-In-Control” for a discussion of the provisions in Messrs. Armstrong’s, Pefanis’ and Chiang’s employment agreements related to termination, change of control and related payment obligations.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2015 with respect to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2"/>
              </w:rPr>
              <w:t>Unit Awards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Equity</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18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w:t>
            </w:r>
          </w:p>
        </w:tc>
        <w:tc>
          <w:tcPr>
            <w:tcW w:w="18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Not</w:t>
            </w:r>
          </w:p>
        </w:tc>
        <w:tc>
          <w:tcPr>
            <w:tcW w:w="18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Vested (#)</w:t>
            </w:r>
          </w:p>
        </w:tc>
        <w:tc>
          <w:tcPr>
            <w:tcW w:w="1880" w:type="dxa"/>
            <w:vAlign w:val="bottom"/>
            <w:gridSpan w:val="3"/>
          </w:tcPr>
          <w:p>
            <w:pPr>
              <w:jc w:val="center"/>
              <w:ind w:right="520"/>
              <w:spacing w:after="0" w:line="172" w:lineRule="exact"/>
              <w:rPr>
                <w:sz w:val="20"/>
                <w:szCs w:val="20"/>
                <w:color w:val="auto"/>
              </w:rPr>
            </w:pPr>
            <w:r>
              <w:rPr>
                <w:rFonts w:ascii="Arial" w:cs="Arial" w:eastAsia="Arial" w:hAnsi="Arial"/>
                <w:sz w:val="14"/>
                <w:szCs w:val="14"/>
                <w:b w:val="1"/>
                <w:bCs w:val="1"/>
                <w:color w:val="auto"/>
                <w:w w:val="89"/>
              </w:rPr>
              <w:t>Vested ($)</w:t>
            </w:r>
            <w:r>
              <w:rPr>
                <w:rFonts w:ascii="Arial" w:cs="Arial" w:eastAsia="Arial" w:hAnsi="Arial"/>
                <w:sz w:val="17"/>
                <w:szCs w:val="17"/>
                <w:b w:val="1"/>
                <w:bCs w:val="1"/>
                <w:color w:val="auto"/>
                <w:w w:val="89"/>
                <w:vertAlign w:val="superscript"/>
              </w:rPr>
              <w:t>(1)</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Vested (#)</w:t>
            </w:r>
          </w:p>
        </w:tc>
        <w:tc>
          <w:tcPr>
            <w:tcW w:w="1480" w:type="dxa"/>
            <w:vAlign w:val="bottom"/>
            <w:gridSpan w:val="2"/>
          </w:tcPr>
          <w:p>
            <w:pPr>
              <w:jc w:val="center"/>
              <w:ind w:right="100"/>
              <w:spacing w:after="0" w:line="172" w:lineRule="exact"/>
              <w:rPr>
                <w:sz w:val="20"/>
                <w:szCs w:val="20"/>
                <w:color w:val="auto"/>
              </w:rPr>
            </w:pPr>
            <w:r>
              <w:rPr>
                <w:rFonts w:ascii="Arial" w:cs="Arial" w:eastAsia="Arial" w:hAnsi="Arial"/>
                <w:sz w:val="14"/>
                <w:szCs w:val="14"/>
                <w:b w:val="1"/>
                <w:bCs w:val="1"/>
                <w:color w:val="auto"/>
                <w:w w:val="86"/>
              </w:rPr>
              <w:t>Vested ($)</w:t>
            </w:r>
            <w:r>
              <w:rPr>
                <w:rFonts w:ascii="Arial" w:cs="Arial" w:eastAsia="Arial" w:hAnsi="Arial"/>
                <w:sz w:val="17"/>
                <w:szCs w:val="17"/>
                <w:b w:val="1"/>
                <w:bCs w:val="1"/>
                <w:color w:val="auto"/>
                <w:w w:val="86"/>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10,425,791</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92,428,125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7,819,344</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69,321,099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135,000</w:t>
            </w:r>
            <w:r>
              <w:rPr>
                <w:rFonts w:ascii="Arial" w:cs="Arial" w:eastAsia="Arial" w:hAnsi="Arial"/>
                <w:sz w:val="11"/>
                <w:szCs w:val="11"/>
                <w:color w:val="auto"/>
              </w:rPr>
              <w:t>(3)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3,118,500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r>
              <w:rPr>
                <w:rFonts w:ascii="Arial" w:cs="Arial" w:eastAsia="Arial" w:hAnsi="Arial"/>
                <w:sz w:val="11"/>
                <w:szCs w:val="1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2,606,448</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23,107,036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4,430,961</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39,281,949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3,649,027</w:t>
            </w:r>
            <w:r>
              <w:rPr>
                <w:rFonts w:ascii="Arial" w:cs="Arial" w:eastAsia="Arial" w:hAnsi="Arial"/>
                <w:sz w:val="11"/>
                <w:szCs w:val="11"/>
                <w:color w:val="auto"/>
              </w:rPr>
              <w:t>(2)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32,349,845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60" w:hanging="11"/>
        <w:spacing w:after="0" w:line="255" w:lineRule="auto"/>
        <w:rPr>
          <w:sz w:val="20"/>
          <w:szCs w:val="20"/>
          <w:color w:val="auto"/>
        </w:rPr>
      </w:pPr>
      <w:r>
        <w:rPr>
          <w:rFonts w:ascii="Arial" w:cs="Arial" w:eastAsia="Arial" w:hAnsi="Arial"/>
          <w:sz w:val="18"/>
          <w:szCs w:val="18"/>
          <w:color w:val="auto"/>
        </w:rPr>
        <w:t>Market value of phantom units reported in these columns is calculated by multiplying the closing market price ($23.10) of our common units at December 31, 2015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December 31, 2015 conversion factor of approximately 0.938 AAP units and PAGP Class B shares for each AAP Management Unit, (ii) assuming the exchange of the resulting AAP units and PAGP Class B shares for PAGP Class A shares on a one-for-one basis, and (iii) multiplying such resulting number of PAGP Class A shares by the closing market price ($9.45) of PAGP’s Class A shares at December 31, 2015 (the last trading day of the fiscal year).</w:t>
      </w:r>
    </w:p>
    <w:p>
      <w:pPr>
        <w:spacing w:after="0" w:line="189" w:lineRule="exact"/>
        <w:rPr>
          <w:sz w:val="20"/>
          <w:szCs w:val="20"/>
          <w:color w:val="auto"/>
        </w:rPr>
      </w:pPr>
    </w:p>
    <w:p>
      <w:pPr>
        <w:ind w:right="20" w:hanging="11"/>
        <w:spacing w:after="0" w:line="290" w:lineRule="auto"/>
        <w:rPr>
          <w:sz w:val="20"/>
          <w:szCs w:val="20"/>
          <w:color w:val="auto"/>
        </w:rPr>
      </w:pPr>
      <w:r>
        <w:rPr>
          <w:rFonts w:ascii="Arial" w:cs="Arial" w:eastAsia="Arial" w:hAnsi="Arial"/>
          <w:sz w:val="16"/>
          <w:szCs w:val="16"/>
          <w:color w:val="auto"/>
        </w:rPr>
        <w:t>Represents the pre-conversion number of AAP Management Units held by the applicable individual, each of which represents a “profits interest” in AAP, entitling the holder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Despite the fact that 100% of the AAP Management Units held by our Named Executive Officers (other than Mr. Chiang) had been earned as of December 31, 2015 (i.e., all relevant performance benchmarks have been satisfied), all such AAP Management Units are treated as stock that has not vested for purposes of this table due to the fact that, as of December 31, 2015, they remained subject to a “call right” held by AAP. Such call right expired on January 1, 2016 and the AAP Management Units held by Messrs. Armstrong, Pefanis, Swanson, Duckett and vonBerg are now vested. As long as the PAGP Class A shares are publicly traded, each vested AAP Management Unit may be converted into AAP units and a</w:t>
      </w:r>
    </w:p>
    <w:p>
      <w:pPr>
        <w:sectPr>
          <w:pgSz w:w="11900" w:h="16879" w:orient="portrait"/>
          <w:cols w:equalWidth="0" w:num="2">
            <w:col w:w="140" w:space="520"/>
            <w:col w:w="10760"/>
          </w:cols>
          <w:pgMar w:left="240" w:top="125" w:right="239" w:bottom="0" w:gutter="0" w:footer="0" w:header="0"/>
          <w:type w:val="continuous"/>
        </w:sectPr>
      </w:pPr>
    </w:p>
    <w:bookmarkStart w:id="94" w:name="page95"/>
    <w:bookmarkEnd w:id="94"/>
    <w:p>
      <w:pPr>
        <w:ind w:left="660" w:right="540"/>
        <w:spacing w:after="0" w:line="277" w:lineRule="auto"/>
        <w:rPr>
          <w:sz w:val="20"/>
          <w:szCs w:val="20"/>
          <w:color w:val="auto"/>
        </w:rPr>
      </w:pPr>
      <w:r>
        <w:rPr>
          <w:rFonts w:ascii="Arial" w:cs="Arial" w:eastAsia="Arial" w:hAnsi="Arial"/>
          <w:sz w:val="18"/>
          <w:szCs w:val="18"/>
          <w:color w:val="auto"/>
        </w:rPr>
        <w:t>like number of PAGP Class B shares based on a conversion ratio calculated in accordance with the AAP limited partnership agreement (which conversion ratio will not be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more than one-to-one and was approximately 0.938 AAP units and PAGP Class B shares for each AAP Management Unit as of December 31, 2015). Following any such conversion, the resulting AAP units and PAGP Class B shares are exchangeable for PAGP Class A shares on a one-for-one basis as provided in the PAGP limited partnership agreement. In January and February 2016, Messrs. Pefanis, Swanson, Duckett and vonBerg converted all or a portion of their AAP Management Units into AAP units and PAGP Class B shares and then exchanged all of their respective resulting AAP units and PAGP Class B shares for PAGP Class A shares. For additional information regarding the AAP Management Units, please read Item 13. “Certain Relationships and Related Transactions, and Director Independence—Our General Partner—AAP Management Units.”</w:t>
      </w:r>
    </w:p>
    <w:p>
      <w:pPr>
        <w:spacing w:after="0" w:line="165" w:lineRule="exact"/>
        <w:rPr>
          <w:sz w:val="20"/>
          <w:szCs w:val="20"/>
          <w:color w:val="auto"/>
        </w:rPr>
      </w:pPr>
    </w:p>
    <w:p>
      <w:pPr>
        <w:ind w:right="100" w:hanging="11"/>
        <w:spacing w:after="0" w:line="257" w:lineRule="auto"/>
        <w:rPr>
          <w:sz w:val="20"/>
          <w:szCs w:val="20"/>
          <w:color w:val="auto"/>
        </w:rPr>
      </w:pPr>
      <w:r>
        <w:rPr>
          <w:rFonts w:ascii="Arial" w:cs="Arial" w:eastAsia="Arial" w:hAnsi="Arial"/>
          <w:sz w:val="18"/>
          <w:szCs w:val="18"/>
          <w:color w:val="auto"/>
        </w:rPr>
        <w:t>Represents phantom units granted in 2013 under our Long-Term Incentive Plan. All performance thresholds have been met. Accordingly, subject to continued employment, these phantom units will vest as follows: (i) one-third will vest on the August 2016 distribution date, (ii) one third will vest on the August 2017 distribution date, and (iii) one-third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188" w:lineRule="exact"/>
        <w:rPr>
          <w:sz w:val="20"/>
          <w:szCs w:val="20"/>
          <w:color w:val="auto"/>
        </w:rPr>
      </w:pPr>
    </w:p>
    <w:p>
      <w:pPr>
        <w:ind w:right="60" w:hanging="11"/>
        <w:spacing w:after="0" w:line="253" w:lineRule="auto"/>
        <w:rPr>
          <w:sz w:val="20"/>
          <w:szCs w:val="20"/>
          <w:color w:val="auto"/>
        </w:rPr>
      </w:pPr>
      <w:r>
        <w:rPr>
          <w:rFonts w:ascii="Arial" w:cs="Arial" w:eastAsia="Arial" w:hAnsi="Arial"/>
          <w:sz w:val="18"/>
          <w:szCs w:val="18"/>
          <w:color w:val="auto"/>
        </w:rPr>
        <w:t>Represents the pre-conversion number of AAP Management Units held by Mr. Chiang, each of which represents a “profits interest” in AAP, entitling him to participate in future profits and losses from operations, current distributions from operations, and an interest in future appreciation or depreciation in AAP’s asset values, but does not represent an interest in the capital of AAP on the applicable grant date of the AAP Management Units. These AAP Management Units become earned in 25% increments upon payment by PAA of annualized quarterly distributions of $2.90, $3.15, $3.30 and $3.50 per common unit, respectively.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197" w:lineRule="exact"/>
        <w:rPr>
          <w:sz w:val="20"/>
          <w:szCs w:val="20"/>
          <w:color w:val="auto"/>
        </w:rPr>
      </w:pPr>
    </w:p>
    <w:p>
      <w:pPr>
        <w:ind w:right="140" w:hanging="11"/>
        <w:spacing w:after="0" w:line="254" w:lineRule="auto"/>
        <w:rPr>
          <w:sz w:val="20"/>
          <w:szCs w:val="20"/>
          <w:color w:val="auto"/>
        </w:rPr>
      </w:pPr>
      <w:r>
        <w:rPr>
          <w:rFonts w:ascii="Arial" w:cs="Arial" w:eastAsia="Arial" w:hAnsi="Arial"/>
          <w:sz w:val="18"/>
          <w:szCs w:val="18"/>
          <w:color w:val="auto"/>
        </w:rPr>
        <w:t>Represents phantom units granted in 2015 under our Long-Term Incentive Plan. These phantom units will vest 40% on the later of the August 2018 distribution date and the date PAA pays an annualized quarterly distribution of $2.90 per common unit; 30% on the later of the August 2019 distribution date and the date PAA pays an annualized quarterly distribution of $3.10 per common unit; and 30% on the later of the August 2020 distribution date and the date PAA pays an annualized quarterly distribution of $3.30 per common unit.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88" w:lineRule="exact"/>
        <w:rPr>
          <w:sz w:val="20"/>
          <w:szCs w:val="20"/>
          <w:color w:val="auto"/>
        </w:rPr>
      </w:pPr>
    </w:p>
    <w:p>
      <w:pPr>
        <w:sectPr>
          <w:pgSz w:w="11900" w:h="16838" w:orient="portrait"/>
          <w:cols w:equalWidth="0" w:num="2">
            <w:col w:w="140" w:space="520"/>
            <w:col w:w="1080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2015 with respect to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95"/>
              </w:rPr>
              <w:t>Unit Awards</w:t>
            </w:r>
          </w:p>
        </w:tc>
        <w:tc>
          <w:tcPr>
            <w:tcW w:w="1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6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 Units</w:t>
            </w:r>
          </w:p>
        </w:tc>
        <w:tc>
          <w:tcPr>
            <w:tcW w:w="17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4"/>
              </w:rPr>
              <w:t>Value Realized 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Vesting (#)</w:t>
            </w: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Vesting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5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120,000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5,818,800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5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80,000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3,879,200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5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40,000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1,939,600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5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2,424,500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5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36,000</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1,745,640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0" w:type="dxa"/>
            <w:vAlign w:val="bottom"/>
          </w:tcPr>
          <w:p>
            <w:pPr>
              <w:jc w:val="right"/>
              <w:ind w:right="123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right="60" w:hanging="328"/>
        <w:spacing w:after="0" w:line="227" w:lineRule="auto"/>
        <w:tabs>
          <w:tab w:leader="none" w:pos="64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Represents the gross number of phantom units that vested during the year ended December 31, 2015. The actual number of units delivered was net of income tax withholding.</w:t>
      </w:r>
    </w:p>
    <w:p>
      <w:pPr>
        <w:spacing w:after="0" w:line="202" w:lineRule="exact"/>
        <w:rPr>
          <w:rFonts w:ascii="Arial" w:cs="Arial" w:eastAsia="Arial" w:hAnsi="Arial"/>
          <w:sz w:val="23"/>
          <w:szCs w:val="23"/>
          <w:color w:val="auto"/>
          <w:vertAlign w:val="superscript"/>
        </w:rPr>
      </w:pPr>
    </w:p>
    <w:p>
      <w:pPr>
        <w:ind w:left="660" w:right="420" w:hanging="328"/>
        <w:spacing w:after="0" w:line="238" w:lineRule="auto"/>
        <w:tabs>
          <w:tab w:leader="none" w:pos="648" w:val="left"/>
        </w:tabs>
        <w:numPr>
          <w:ilvl w:val="0"/>
          <w:numId w:val="81"/>
        </w:numPr>
        <w:rPr>
          <w:rFonts w:ascii="Arial" w:cs="Arial" w:eastAsia="Arial" w:hAnsi="Arial"/>
          <w:sz w:val="22"/>
          <w:szCs w:val="22"/>
          <w:color w:val="auto"/>
          <w:vertAlign w:val="superscript"/>
        </w:rPr>
      </w:pPr>
      <w:r>
        <w:rPr>
          <w:rFonts w:ascii="Arial" w:cs="Arial" w:eastAsia="Arial" w:hAnsi="Arial"/>
          <w:sz w:val="17"/>
          <w:szCs w:val="17"/>
          <w:color w:val="auto"/>
        </w:rPr>
        <w:t>Consistent with the terms of our Long-Term Incentive Plan, the value realized upon vesting is computed by multiplying the closing market price ($48.49) of our common units on May 14, 2015 (the date preceding the vesting date) by the number of units that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ectPr>
          <w:pgSz w:w="11900" w:h="16838" w:orient="portrait"/>
          <w:cols w:equalWidth="0" w:num="1">
            <w:col w:w="11460"/>
          </w:cols>
          <w:pgMar w:left="240" w:top="125" w:right="199" w:bottom="0" w:gutter="0" w:footer="0" w:header="0"/>
          <w:type w:val="continuous"/>
        </w:sectPr>
      </w:pPr>
    </w:p>
    <w:bookmarkStart w:id="95" w:name="page96"/>
    <w:bookmarkEnd w:id="95"/>
    <w:p>
      <w:pPr>
        <w:ind w:left="6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By Company</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By Executive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Connection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By Reason of</w:t>
            </w: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By Reason of</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with 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Good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Death</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Cause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Reason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 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9,550,000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14,325,000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33,708</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884,755</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23,107,031</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13,048,708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36,155,739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36,155,739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41,815,494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Harry N. Pefanis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Salary and Bonus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9,100,000</w:t>
            </w:r>
            <w:r>
              <w:rPr>
                <w:rFonts w:ascii="Arial" w:cs="Arial" w:eastAsia="Arial" w:hAnsi="Arial"/>
                <w:sz w:val="11"/>
                <w:szCs w:val="11"/>
                <w:color w:val="auto"/>
              </w:rPr>
              <w:t>(1)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13,650,000</w:t>
            </w:r>
            <w:r>
              <w:rPr>
                <w:rFonts w:ascii="Arial" w:cs="Arial" w:eastAsia="Arial" w:hAnsi="Arial"/>
                <w:sz w:val="11"/>
                <w:szCs w:val="11"/>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3,118,500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Health Benefits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52,412</w:t>
            </w:r>
            <w:r>
              <w:rPr>
                <w:rFonts w:ascii="Arial" w:cs="Arial" w:eastAsia="Arial" w:hAnsi="Arial"/>
                <w:sz w:val="11"/>
                <w:szCs w:val="11"/>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Gross-up</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1,333,497</w:t>
            </w:r>
            <w:r>
              <w:rPr>
                <w:rFonts w:ascii="Arial" w:cs="Arial" w:eastAsia="Arial" w:hAnsi="Arial"/>
                <w:sz w:val="11"/>
                <w:szCs w:val="11"/>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17,330,275</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12,218,500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12,270,912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29,601,187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29,601,187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35,484,684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Wilfred (Willie) C. Chiang </w:t>
            </w:r>
            <w:r>
              <w:rPr>
                <w:rFonts w:ascii="Arial" w:cs="Arial" w:eastAsia="Arial" w:hAnsi="Arial"/>
                <w:sz w:val="23"/>
                <w:szCs w:val="23"/>
                <w:b w:val="1"/>
                <w:bCs w:val="1"/>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1,108,800</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1,108,800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2,772,000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4,432,669</w:t>
            </w:r>
            <w:r>
              <w:rPr>
                <w:rFonts w:ascii="Arial" w:cs="Arial" w:eastAsia="Arial" w:hAnsi="Arial"/>
                <w:sz w:val="11"/>
                <w:szCs w:val="11"/>
                <w:color w:val="auto"/>
              </w:rPr>
              <w:t>(11)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4,432,669</w:t>
            </w:r>
            <w:r>
              <w:rPr>
                <w:rFonts w:ascii="Arial" w:cs="Arial" w:eastAsia="Arial" w:hAnsi="Arial"/>
                <w:sz w:val="11"/>
                <w:szCs w:val="11"/>
                <w:color w:val="auto"/>
              </w:rPr>
              <w:t>(11)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8,865,338</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5,541,469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5,541,469</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11,637,338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Al Swanson </w:t>
            </w:r>
            <w:r>
              <w:rPr>
                <w:rFonts w:ascii="Arial" w:cs="Arial" w:eastAsia="Arial" w:hAnsi="Arial"/>
                <w:sz w:val="23"/>
                <w:szCs w:val="23"/>
                <w:b w:val="1"/>
                <w:bCs w:val="1"/>
                <w:color w:val="auto"/>
                <w:vertAlign w:val="superscript"/>
              </w:rPr>
              <w:t>(10)</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5,776,759</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8,086,759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5,776,759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8,086,759</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W. David Duckett </w:t>
            </w:r>
            <w:r>
              <w:rPr>
                <w:rFonts w:ascii="Arial" w:cs="Arial" w:eastAsia="Arial" w:hAnsi="Arial"/>
                <w:sz w:val="23"/>
                <w:szCs w:val="23"/>
                <w:b w:val="1"/>
                <w:bCs w:val="1"/>
                <w:color w:val="auto"/>
                <w:vertAlign w:val="superscript"/>
              </w:rPr>
              <w:t>(10)</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2,310,000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AAP Management Units</w:t>
            </w: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9,820,487</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2,310,000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12,130,487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9,820,487</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12,310,487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John P. vonBerg </w:t>
            </w:r>
            <w:r>
              <w:rPr>
                <w:rFonts w:ascii="Arial" w:cs="Arial" w:eastAsia="Arial" w:hAnsi="Arial"/>
                <w:sz w:val="23"/>
                <w:szCs w:val="23"/>
                <w:b w:val="1"/>
                <w:bCs w:val="1"/>
                <w:color w:val="auto"/>
                <w:vertAlign w:val="superscript"/>
              </w:rPr>
              <w:t>(10)</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1,732,500</w:t>
            </w:r>
            <w:r>
              <w:rPr>
                <w:rFonts w:ascii="Arial" w:cs="Arial" w:eastAsia="Arial" w:hAnsi="Arial"/>
                <w:sz w:val="11"/>
                <w:szCs w:val="11"/>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AAP Management Units</w:t>
            </w:r>
          </w:p>
        </w:tc>
        <w:tc>
          <w:tcPr>
            <w:tcW w:w="158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8,087,461</w:t>
            </w:r>
            <w:r>
              <w:rPr>
                <w:rFonts w:ascii="Arial" w:cs="Arial" w:eastAsia="Arial" w:hAnsi="Arial"/>
                <w:sz w:val="11"/>
                <w:szCs w:val="11"/>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9,819,961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8,087,461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9,819,961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80" w:type="dxa"/>
            <w:vAlign w:val="bottom"/>
            <w:gridSpan w:val="3"/>
          </w:tcPr>
          <w:p>
            <w:pPr>
              <w:ind w:left="1280"/>
              <w:spacing w:after="0"/>
              <w:rPr>
                <w:sz w:val="20"/>
                <w:szCs w:val="20"/>
                <w:color w:val="auto"/>
              </w:rPr>
            </w:pPr>
            <w:r>
              <w:rPr>
                <w:rFonts w:ascii="Arial" w:cs="Arial" w:eastAsia="Arial" w:hAnsi="Arial"/>
                <w:sz w:val="18"/>
                <w:szCs w:val="18"/>
                <w:color w:val="auto"/>
                <w:w w:val="93"/>
              </w:rPr>
              <w:t>131</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660" w:right="240" w:hanging="652"/>
        <w:spacing w:after="0" w:line="251" w:lineRule="auto"/>
        <w:tabs>
          <w:tab w:leader="none" w:pos="648"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w:t>
      </w:r>
    </w:p>
    <w:p>
      <w:pPr>
        <w:spacing w:after="0" w:line="1" w:lineRule="exact"/>
        <w:rPr>
          <w:rFonts w:ascii="Arial" w:cs="Arial" w:eastAsia="Arial" w:hAnsi="Arial"/>
          <w:sz w:val="21"/>
          <w:szCs w:val="21"/>
          <w:color w:val="auto"/>
          <w:vertAlign w:val="superscript"/>
        </w:rPr>
      </w:pPr>
    </w:p>
    <w:p>
      <w:pPr>
        <w:ind w:left="660" w:right="200"/>
        <w:spacing w:after="0" w:line="270" w:lineRule="auto"/>
        <w:rPr>
          <w:rFonts w:ascii="Arial" w:cs="Arial" w:eastAsia="Arial" w:hAnsi="Arial"/>
          <w:sz w:val="21"/>
          <w:szCs w:val="21"/>
          <w:color w:val="auto"/>
          <w:vertAlign w:val="superscript"/>
        </w:rPr>
      </w:pPr>
      <w:r>
        <w:rPr>
          <w:rFonts w:ascii="Arial" w:cs="Arial" w:eastAsia="Arial" w:hAnsi="Arial"/>
          <w:sz w:val="17"/>
          <w:szCs w:val="17"/>
          <w:color w:val="auto"/>
        </w:rPr>
        <w:t>(b)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2015, and also assumes a highest annual base salary of $375,000 and highest annual bonus of $4,400,000 for Mr. Armstrong, and a highest annual base salary of $300,000 and highest annual bonus of $4,250,000 for Mr. Pefanis.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agreements between GP LLC and Messrs. Armstrong and Pefanis define “cause” as (i) willfully engaging in gross misconduct, or</w:t>
      </w:r>
    </w:p>
    <w:p>
      <w:pPr>
        <w:spacing w:after="0" w:line="46" w:lineRule="exact"/>
        <w:rPr>
          <w:sz w:val="20"/>
          <w:szCs w:val="20"/>
          <w:color w:val="auto"/>
        </w:rPr>
      </w:pPr>
    </w:p>
    <w:p>
      <w:pPr>
        <w:ind w:left="660" w:right="100" w:hanging="4"/>
        <w:spacing w:after="0" w:line="288" w:lineRule="auto"/>
        <w:tabs>
          <w:tab w:leader="none" w:pos="9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of directors of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ectPr>
          <w:pgSz w:w="11900" w:h="16838" w:orient="portrait"/>
          <w:cols w:equalWidth="0" w:num="1">
            <w:col w:w="11460"/>
          </w:cols>
          <w:pgMar w:left="240" w:top="125" w:right="199" w:bottom="0" w:gutter="0" w:footer="0" w:header="0"/>
        </w:sectPr>
      </w:pPr>
    </w:p>
    <w:bookmarkStart w:id="96" w:name="page97"/>
    <w:bookmarkEnd w:id="96"/>
    <w:p>
      <w:pPr>
        <w:ind w:left="660" w:right="20"/>
        <w:spacing w:after="0" w:line="270" w:lineRule="auto"/>
        <w:rPr>
          <w:sz w:val="20"/>
          <w:szCs w:val="20"/>
          <w:color w:val="auto"/>
        </w:rPr>
      </w:pPr>
      <w:r>
        <w:rPr>
          <w:rFonts w:ascii="Arial" w:cs="Arial" w:eastAsia="Arial" w:hAnsi="Arial"/>
          <w:sz w:val="17"/>
          <w:szCs w:val="17"/>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78" w:lineRule="exact"/>
        <w:rPr>
          <w:sz w:val="20"/>
          <w:szCs w:val="20"/>
          <w:color w:val="auto"/>
        </w:rPr>
      </w:pPr>
    </w:p>
    <w:p>
      <w:pPr>
        <w:ind w:left="660" w:right="160" w:hanging="652"/>
        <w:spacing w:after="0" w:line="251" w:lineRule="auto"/>
        <w:tabs>
          <w:tab w:leader="none" w:pos="648"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w:t>
      </w:r>
    </w:p>
    <w:p>
      <w:pPr>
        <w:spacing w:after="0" w:line="1" w:lineRule="exact"/>
        <w:rPr>
          <w:rFonts w:ascii="Arial" w:cs="Arial" w:eastAsia="Arial" w:hAnsi="Arial"/>
          <w:sz w:val="21"/>
          <w:szCs w:val="21"/>
          <w:color w:val="auto"/>
          <w:vertAlign w:val="superscript"/>
        </w:rPr>
      </w:pPr>
    </w:p>
    <w:p>
      <w:pPr>
        <w:ind w:left="660" w:right="160"/>
        <w:spacing w:after="0" w:line="261" w:lineRule="auto"/>
        <w:rPr>
          <w:rFonts w:ascii="Arial" w:cs="Arial" w:eastAsia="Arial" w:hAnsi="Arial"/>
          <w:sz w:val="21"/>
          <w:szCs w:val="21"/>
          <w:color w:val="auto"/>
          <w:vertAlign w:val="superscript"/>
        </w:rPr>
      </w:pPr>
      <w:r>
        <w:rPr>
          <w:rFonts w:ascii="Arial" w:cs="Arial" w:eastAsia="Arial" w:hAnsi="Arial"/>
          <w:sz w:val="18"/>
          <w:szCs w:val="18"/>
          <w:color w:val="auto"/>
        </w:rPr>
        <w:t>(a) their highest annual base salary previously paid to them and (b) their highest annual bonus paid or payable for any of the three years prior to the date of such termination. The amount provided in the table assumes a change in control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60"/>
        <w:spacing w:after="0" w:line="308" w:lineRule="auto"/>
        <w:rPr>
          <w:sz w:val="20"/>
          <w:szCs w:val="20"/>
          <w:color w:val="auto"/>
        </w:rPr>
      </w:pPr>
      <w:r>
        <w:rPr>
          <w:rFonts w:ascii="Arial" w:cs="Arial" w:eastAsia="Arial" w:hAnsi="Arial"/>
          <w:sz w:val="17"/>
          <w:szCs w:val="17"/>
          <w:color w:val="auto"/>
        </w:rPr>
        <w:t>termination date of December 31, 2015, and also assumes a highest annual base salary of $375,000 and highest annual bonus of $4,400,000 for Mr. Armstrong, and a highest annual base salary of $300,000 and highest annual bonus of $4,250,000 for Mr. Pefanis.</w:t>
      </w:r>
    </w:p>
    <w:p>
      <w:pPr>
        <w:spacing w:after="0" w:line="147"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“Change in control” was originally defined in their employment agreements to mean (i) the acquisition by a person or group (other than Vulcan Energy or a wholly owned subsidiary thereof) of beneficial ownership, directly or indirectly, of 50% or more of the membership interest of GP LLC or (ii) the owners of the membership interests of GP LLC on June 30, 2001 ceasing to beneficially own, directly or indirectly, more than 50% of the membership interests of GP LLC.</w:t>
      </w:r>
    </w:p>
    <w:p>
      <w:pPr>
        <w:spacing w:after="0" w:line="187"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August 2005, Vulcan Energy increased its interest in GP LLC from approximately 44% to greater than 50%. The consummation of the transaction constituted a change in control under the employment agreements with Messrs. Armstrong and Pefanis. However, Messrs. Armstrong and Pefanis entered into agreements with GP LLC waiving their rights to payments under their employment agreements in connection with the change in control, contingent on the execution and performance by Vulcan Energy of a voting agreement with GP LLC that restricted certain of Vulcan’s voting rights. The December 2010 sale by Vulcan Energy of its interest in GP LLC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w:t>
      </w:r>
    </w:p>
    <w:p>
      <w:pPr>
        <w:spacing w:after="0" w:line="167"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The initial public offering of PAGP and certain related transactions in October 2013 would have constituted a change in control as originally defined under the employment agreements, which would have allowed Messrs. Armstrong and Pefanis to terminate their employment and become entitled to certain separation benefits. Messrs. Armstrong and Pefanis executed agreements waiving their rights to terminate employment and receive such benefits.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LLC or 50% or more of the outstanding limited partnership interests of PAGP; (ii) 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GP Holdings; (iii) PAGP ceases to beneficially own, directly or indirectly, more than 50% of the membership interest in GP LLC; (iv) KAFU Holdings, L.P. and its affiliates, Lynx Holdings I, LLC and its affiliates, Oxy Holding Company (Pipeline), Inc. and its affiliates, Mark Strome and his affiliates, Windy, LLC and its affiliates, PAA Management, L.P. and its affiliates, PAGP and its affiliates, and various individual investors (collectively, the “Owner Affiliates”), cease to beneficially own, directly or indirectly, more than 50% of the membership interest in GP Holdings;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73" w:lineRule="exact"/>
        <w:rPr>
          <w:sz w:val="20"/>
          <w:szCs w:val="20"/>
          <w:color w:val="auto"/>
        </w:rPr>
      </w:pPr>
    </w:p>
    <w:p>
      <w:pPr>
        <w:ind w:left="660" w:right="20" w:hanging="652"/>
        <w:spacing w:after="0" w:line="258" w:lineRule="auto"/>
        <w:tabs>
          <w:tab w:leader="none" w:pos="648" w:val="left"/>
        </w:tabs>
        <w:numPr>
          <w:ilvl w:val="0"/>
          <w:numId w:val="85"/>
        </w:numPr>
        <w:rPr>
          <w:rFonts w:ascii="Arial" w:cs="Arial" w:eastAsia="Arial" w:hAnsi="Arial"/>
          <w:sz w:val="22"/>
          <w:szCs w:val="22"/>
          <w:color w:val="auto"/>
          <w:vertAlign w:val="superscript"/>
        </w:rPr>
      </w:pPr>
      <w:r>
        <w:rPr>
          <w:rFonts w:ascii="Arial" w:cs="Arial" w:eastAsia="Arial" w:hAnsi="Arial"/>
          <w:sz w:val="17"/>
          <w:szCs w:val="17"/>
          <w:color w:val="auto"/>
        </w:rPr>
        <w:t>The letters evidencing phantom unit grants awarded to our Named Executive Officers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Assuming death or disability occurred on December 31, 2015, all of the phantom unit grants and associated DERs held by our Named Executive Officers would have become nonforfeitable effective as of December 31, 2015, and would vest on the February 2016 distribution date to the extent the vesting criteria had been satisfied (other than the passage of time) or, if the vesting criteria had not been satisfied, at the times described in the footnotes to the “Outstanding Equity Awards at Fiscal Year-End” table. For the 2015 grants, any units not vested by August 2021 would expire. That portion of the dollar value given that is attributable to PAA phantom units assumes that all performance thresholds will be timely achieved if deemed probable of occurrence as of December 31, 2015, and is based on the market value of PAA’s common units on December 31, 2015 ($23.10 per unit) without discount for service period. At December 31, 2015, an annualized distribution level of $2.90 was deemed probable of occurrence. All</w:t>
      </w:r>
    </w:p>
    <w:p>
      <w:pPr>
        <w:sectPr>
          <w:pgSz w:w="11900" w:h="16838" w:orient="portrait"/>
          <w:cols w:equalWidth="0" w:num="1">
            <w:col w:w="11420"/>
          </w:cols>
          <w:pgMar w:left="240" w:top="125" w:right="239" w:bottom="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20" w:right="360"/>
        <w:spacing w:after="0" w:line="277" w:lineRule="auto"/>
        <w:rPr>
          <w:sz w:val="20"/>
          <w:szCs w:val="20"/>
          <w:color w:val="auto"/>
        </w:rPr>
      </w:pPr>
      <w:r>
        <w:rPr>
          <w:rFonts w:ascii="Arial" w:cs="Arial" w:eastAsia="Arial" w:hAnsi="Arial"/>
          <w:sz w:val="18"/>
          <w:szCs w:val="18"/>
          <w:color w:val="auto"/>
        </w:rPr>
        <w:t>outstanding 2013 grants and 40% of the 2015 grants (Mr. Chiang) were assumed to eventually vest as a result. The balance of the 2015 grants is assumed to expire unvested in August 2021.</w:t>
      </w:r>
    </w:p>
    <w:p>
      <w:pPr>
        <w:spacing w:after="0" w:line="170" w:lineRule="exact"/>
        <w:rPr>
          <w:sz w:val="20"/>
          <w:szCs w:val="20"/>
          <w:color w:val="auto"/>
        </w:rPr>
      </w:pPr>
    </w:p>
    <w:p>
      <w:pPr>
        <w:ind w:left="20" w:hanging="11"/>
        <w:spacing w:after="0" w:line="286" w:lineRule="auto"/>
        <w:rPr>
          <w:sz w:val="20"/>
          <w:szCs w:val="20"/>
          <w:color w:val="auto"/>
        </w:rPr>
      </w:pPr>
      <w:r>
        <w:rPr>
          <w:rFonts w:ascii="Arial" w:cs="Arial" w:eastAsia="Arial" w:hAnsi="Arial"/>
          <w:sz w:val="16"/>
          <w:szCs w:val="16"/>
          <w:color w:val="auto"/>
        </w:rPr>
        <w:t>Pursuant to the phantom unit grants held by our Named Executive Officers,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Mr. Chiang’s employment agreement also provides that his phantom unit grants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our Named Executive Officers (other than Mr. Chiang) were terminated without cause on December 31, 2015, and (ii) Mr. Chiang had not received the Executive Promotion and was terminated without cause or terminated his employment for good reason on December 31, 2015. As a result, all of the phantom unit grants held by Messrs. Armstrong, Pefanis, Swanson, Duckett, vonBerg and Chiang would be deemed nonforfeitable and would vest on the February 2016 distribution date. That portion of the dollar value given that is attributable to PAA phantom units is based on the market value of PAA’s common units on December 31, 2015 ($23.10 per unit), without discount for service period. In addition to the foregoing, under Canadian law, Mr. Duckett could have a claim for additional payment if inadequate notice were given for a termination without cause.</w:t>
      </w:r>
    </w:p>
    <w:p>
      <w:pPr>
        <w:spacing w:after="0" w:line="388" w:lineRule="exact"/>
        <w:rPr>
          <w:sz w:val="20"/>
          <w:szCs w:val="20"/>
          <w:color w:val="auto"/>
        </w:rPr>
      </w:pPr>
    </w:p>
    <w:p>
      <w:pPr>
        <w:jc w:val="both"/>
        <w:ind w:left="20" w:right="120"/>
        <w:spacing w:after="0" w:line="264" w:lineRule="auto"/>
        <w:rPr>
          <w:sz w:val="20"/>
          <w:szCs w:val="20"/>
          <w:color w:val="auto"/>
        </w:rPr>
      </w:pPr>
      <w:r>
        <w:rPr>
          <w:rFonts w:ascii="Arial" w:cs="Arial" w:eastAsia="Arial" w:hAnsi="Arial"/>
          <w:sz w:val="18"/>
          <w:szCs w:val="18"/>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Long-Term Incentive Plan would immediately vest.</w:t>
      </w:r>
    </w:p>
    <w:p>
      <w:pPr>
        <w:spacing w:after="0" w:line="181" w:lineRule="exact"/>
        <w:rPr>
          <w:sz w:val="20"/>
          <w:szCs w:val="20"/>
          <w:color w:val="auto"/>
        </w:rPr>
      </w:pPr>
    </w:p>
    <w:p>
      <w:pPr>
        <w:jc w:val="both"/>
        <w:ind w:left="20" w:right="460" w:hanging="11"/>
        <w:spacing w:after="0" w:line="288" w:lineRule="auto"/>
        <w:rPr>
          <w:sz w:val="20"/>
          <w:szCs w:val="20"/>
          <w:color w:val="auto"/>
        </w:rPr>
      </w:pPr>
      <w:r>
        <w:rPr>
          <w:rFonts w:ascii="Arial" w:cs="Arial" w:eastAsia="Arial" w:hAnsi="Arial"/>
          <w:sz w:val="16"/>
          <w:szCs w:val="16"/>
          <w:color w:val="auto"/>
        </w:rPr>
        <w:t>The letters evidencing phantom unit grants awarded to our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w:t>
      </w:r>
    </w:p>
    <w:p>
      <w:pPr>
        <w:ind w:left="20" w:right="40"/>
        <w:spacing w:after="0" w:line="287" w:lineRule="auto"/>
        <w:rPr>
          <w:sz w:val="20"/>
          <w:szCs w:val="20"/>
          <w:color w:val="auto"/>
        </w:rPr>
      </w:pPr>
      <w:r>
        <w:rPr>
          <w:rFonts w:ascii="Arial" w:cs="Arial" w:eastAsia="Arial" w:hAnsi="Arial"/>
          <w:sz w:val="16"/>
          <w:szCs w:val="16"/>
          <w:color w:val="auto"/>
        </w:rPr>
        <w:t>Additionally, Mr. Chiang’s employment agreement provides that his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31, 2015, (ii) that a change of control occurred 90 days prior to December 31, 2015, and (iii) that, in connection with the change of control, Mr. Chiang did not receive the Executive Promotion and terminated his employment on December 31, 2015, all outstanding phantom units and the associated DERs would have become nonforfeitable as of December 31, 2015, and such phantom units would vest on the February 2016 distribution date. That portion of the dollar value given that is attributable to PAA phantom units is based on the market value of PAA’s common units on December 31, 2015 ($23.10 per unit), without discount for service period.</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w:t>
      </w:r>
    </w:p>
    <w:p>
      <w:pPr>
        <w:ind w:left="660"/>
        <w:spacing w:after="0" w:line="254" w:lineRule="auto"/>
        <w:rPr>
          <w:sz w:val="20"/>
          <w:szCs w:val="20"/>
          <w:color w:val="auto"/>
        </w:rPr>
      </w:pPr>
      <w:r>
        <w:rPr>
          <w:rFonts w:ascii="Arial" w:cs="Arial" w:eastAsia="Arial" w:hAnsi="Arial"/>
          <w:sz w:val="18"/>
          <w:szCs w:val="18"/>
          <w:color w:val="auto"/>
        </w:rPr>
        <w:t>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90"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The phrase “change of control” is defined in the phantom unit grants awarded to our Named Executive Officers other than Mr. Chiang to mean,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 or GP LLC to any person and/or its affiliates, other than to us or GP LLC, including any employee benefit plan thereof; (iii) the consolidation, reorganization, merger, or any other similar transaction involving (A) a person other than us or GP LLC and (B) us, GP LLC or both;</w:t>
      </w:r>
    </w:p>
    <w:p>
      <w:pPr>
        <w:spacing w:after="0" w:line="2" w:lineRule="exact"/>
        <w:rPr>
          <w:sz w:val="20"/>
          <w:szCs w:val="20"/>
          <w:color w:val="auto"/>
        </w:rPr>
      </w:pPr>
    </w:p>
    <w:p>
      <w:pPr>
        <w:ind w:left="660" w:right="40" w:hanging="4"/>
        <w:spacing w:after="0" w:line="286" w:lineRule="auto"/>
        <w:tabs>
          <w:tab w:leader="none" w:pos="96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means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respect to Mr. Chiang’s phantom units, “Change of Control” means the determination by the board that one of the following events has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occurred: (i) the Persons who owned member interests in GP Holdings immediately following the closing of PAGP’s initial public offering,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including PAGP, and the respective Affiliates of such Persons (such owners and Affiliates being referred to as the “Owner Affiliates”), cease to own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directly or indirectly at least 50% of the membership interests of such entity; (ii) (x) a “person” or “group” other than the Owner Affiliates becomes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“beneficial owner” directly or indirectly of 25% or more of the member interest in the general partner of PAGP,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the member interest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beneficially owned by such “person” or “group” exceeds the aggregate member interest in the general partner of PAGP beneficially owned, directly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or indirectly, by the Owner Affiliates; or (iii) a direct or indirect transfer, sale, exchange or other disposition in a single transaction or series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(whether by merger or otherwise) of all or substantially all of the assets of PAGP or PAA to one or more Persons who are not Affiliates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PAGP (“third party or parties”), other than a transaction in which the Owner Affiliates continues to beneficially own, directly or indirectly, more than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50% of the issued and outstanding voting securities of such third party or parties immediately following such transaction. “Cause” is defined in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Chiang’s phantom unit grant agreement as (i) substantial failure to perform the duties and responsibilities of his position at an acceptable level as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reasonably determined in good faith by the CEO and President-COO of GP LLC (or if Mr. Chiang is the CEO, by vote of the board of directors)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written notice specifying such failure in detail and after a reasonable period under the circumstances (determined by the CEO, or alternatively</w:t>
      </w:r>
    </w:p>
    <w:p>
      <w:pPr>
        <w:sectPr>
          <w:pgSz w:w="11900" w:h="16838" w:orient="portrait"/>
          <w:cols w:equalWidth="0" w:num="1">
            <w:col w:w="11420"/>
          </w:cols>
          <w:pgMar w:left="240" w:top="125" w:right="239" w:bottom="0" w:gutter="0" w:footer="0" w:header="0"/>
          <w:type w:val="continuous"/>
        </w:sectPr>
      </w:pPr>
    </w:p>
    <w:bookmarkStart w:id="98" w:name="page99"/>
    <w:bookmarkEnd w:id="98"/>
    <w:p>
      <w:pPr>
        <w:spacing w:after="0" w:line="90"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hanging="652"/>
        <w:spacing w:after="0" w:line="257" w:lineRule="auto"/>
        <w:tabs>
          <w:tab w:leader="none" w:pos="648"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2015.</w:t>
      </w:r>
    </w:p>
    <w:p>
      <w:pPr>
        <w:spacing w:after="0" w:line="188" w:lineRule="exact"/>
        <w:rPr>
          <w:rFonts w:ascii="Arial" w:cs="Arial" w:eastAsia="Arial" w:hAnsi="Arial"/>
          <w:sz w:val="22"/>
          <w:szCs w:val="22"/>
          <w:color w:val="auto"/>
          <w:vertAlign w:val="superscript"/>
        </w:rPr>
      </w:pPr>
    </w:p>
    <w:p>
      <w:pPr>
        <w:jc w:val="both"/>
        <w:ind w:left="660" w:right="60" w:hanging="634"/>
        <w:spacing w:after="0" w:line="269" w:lineRule="auto"/>
        <w:tabs>
          <w:tab w:leader="none" w:pos="652" w:val="left"/>
        </w:tabs>
        <w:numPr>
          <w:ilvl w:val="1"/>
          <w:numId w:val="87"/>
        </w:numPr>
        <w:rPr>
          <w:rFonts w:ascii="Arial" w:cs="Arial" w:eastAsia="Arial" w:hAnsi="Arial"/>
          <w:sz w:val="21"/>
          <w:szCs w:val="21"/>
          <w:color w:val="auto"/>
          <w:vertAlign w:val="superscript"/>
        </w:rPr>
      </w:pPr>
      <w:r>
        <w:rPr>
          <w:rFonts w:ascii="Arial" w:cs="Arial" w:eastAsia="Arial" w:hAnsi="Arial"/>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2015.</w:t>
      </w:r>
    </w:p>
    <w:p>
      <w:pPr>
        <w:spacing w:after="0" w:line="181" w:lineRule="exact"/>
        <w:rPr>
          <w:sz w:val="20"/>
          <w:szCs w:val="20"/>
          <w:color w:val="auto"/>
        </w:rPr>
      </w:pPr>
    </w:p>
    <w:p>
      <w:pPr>
        <w:ind w:left="660" w:hanging="652"/>
        <w:spacing w:after="0" w:line="280" w:lineRule="auto"/>
        <w:tabs>
          <w:tab w:leader="none" w:pos="648" w:val="left"/>
        </w:tabs>
        <w:numPr>
          <w:ilvl w:val="0"/>
          <w:numId w:val="88"/>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of each of our Named Executive Officers, to encourage retention following the achievement of applicable performance benchmarks, AAP retained a call right to purchase any earned AAP Management Units for an amount equal to 75% of fair market value (which is referred to in the AAP Management Unit grant agreements as the “Call Value” as defined below) of such AAP Management Units, which call right is exercisable upon the termination of such Named Executive Officer’s employment with GP LLC and its affiliates prior to January 1, 2016 (January 1, 2023 for Mr. Chiang);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 Employment Contracts” for additional information regarding Mr. Chiang’s employment agreement). If the Named Executive Officers are terminated without cause or terminate their employment for good reason, or if such Named Executive Officer remains employed past December 31, 2015 (December 31, 2022 for Mr. Chiang), any earned AAP Management Units are no longer subject to the call right and are deemed to have “vested.” As of December 31, 2015, 100% of the AAP Management Units held by Messrs. Armstrong, Pefanis, Swanson, Duckett and vonBerg had been earned, but all of such AAP Management Units remained subject to AAP’s call right, and none of the AAP Management Units held by Mr. Chiang had been earned. Assuming a termination of employment without cause or for good reason on December 31, 2015 and assuming that Mr. Chiang had not received the Executive Promotion prior to that date, all of the AAP Management Units held by Messrs. Armstrong, Pefanis, Swanson, Duckett, vonBerg and Chiang would become vested and would no longer be subject to the call right. Because the call right provides for a discounted purchase price equal to 75% of fair market value, in such event the applicable Named Executive Officer would “benefit” by virtue of the fact that such officer’s AAP Management Units could no longer be purchased by AAP at a 25% discount. The value reflected in the table above for Messrs. Armstrong, Pefanis, Swanson, Duckett and vonBerg represents the implied value of such “benefit” to the applicable Named Executive Officer, calculated as of December 31, 2015 by (i) assuming that such officer’s AAP Management Units are converted into AAP units based on the December 31, 2015 conversion factor of approximately 0.938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($9.45) of PAGP’s Class A shares at December 31, 2015 (the last trading day of the fiscal year). The value reflected in the table above for Mr. Chiang represents the implied value of such “benefit”, calculated as of December 31, 2015 by (i) assuming that Mr. Chiang’s AAP Management Units are converted into AAP units based on the December 31, 2015 conversion factor of approximately 0.938 AAP units and PAGP Class B shares for each AAP Management Unit, (ii) assuming the exchange of the resulting AAP units and PAGP Class B shares for PAGP Class A shares on a one-for-one basis, and (iii) multiplying such resulting number of PAGP Class A shares by an amount equal to 100% of the closing market price ($9.45) of PAGP’s Class A shares at December 31, 2015 (the last trading day of the fiscal year). The entire economic burden of the AAP Management Units is borne solely by AAP.</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firstLine="5"/>
        <w:spacing w:after="0" w:line="284" w:lineRule="auto"/>
        <w:rPr>
          <w:sz w:val="20"/>
          <w:szCs w:val="20"/>
          <w:color w:val="auto"/>
        </w:rPr>
      </w:pPr>
      <w:r>
        <w:rPr>
          <w:rFonts w:ascii="Arial" w:cs="Arial" w:eastAsia="Arial" w:hAnsi="Arial"/>
          <w:sz w:val="16"/>
          <w:szCs w:val="16"/>
          <w:color w:val="auto"/>
        </w:rPr>
        <w:t>“Cause” is defined in the AAP Management Unit grant agreements of our Named Executive Officers other than Mr. Chiang as (i) a finding by the board of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GP LLC or its affiliates. For</w:t>
      </w:r>
    </w:p>
    <w:p>
      <w:pPr>
        <w:spacing w:after="0" w:line="5"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Mr. Chiang, “Cause” is defined as (i) substantial failure to perform the duties and responsibilities of his position at an acceptable level as reasonably determined in good faith by the CEO and President-COO of GP LLC (or if Mr. Chiang is the CEO, by vote of the board of directors) and after written notice specifying such failure in detail and after a reasonable period under the circumstances (determined by the CEO, or alternatively the board of directors,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9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ectPr>
          <w:pgSz w:w="11900" w:h="16929" w:orient="portrait"/>
          <w:cols w:equalWidth="0" w:num="1">
            <w:col w:w="11400"/>
          </w:cols>
          <w:pgMar w:left="240" w:top="125" w:right="259" w:bottom="0" w:gutter="0" w:footer="0" w:header="0"/>
        </w:sectPr>
      </w:pPr>
    </w:p>
    <w:bookmarkStart w:id="99" w:name="page100"/>
    <w:bookmarkEnd w:id="99"/>
    <w:p>
      <w:pPr>
        <w:ind w:left="660" w:right="40" w:hanging="652"/>
        <w:spacing w:after="0" w:line="270" w:lineRule="auto"/>
        <w:tabs>
          <w:tab w:leader="none" w:pos="648" w:val="left"/>
        </w:tabs>
        <w:numPr>
          <w:ilvl w:val="0"/>
          <w:numId w:val="89"/>
        </w:numPr>
        <w:rPr>
          <w:rFonts w:ascii="Arial" w:cs="Arial" w:eastAsia="Arial" w:hAnsi="Arial"/>
          <w:sz w:val="21"/>
          <w:szCs w:val="21"/>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becomes vested. 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2015, 100% of the AAP Management Units held by</w:t>
      </w:r>
    </w:p>
    <w:p>
      <w:pPr>
        <w:spacing w:after="0" w:line="4" w:lineRule="exact"/>
        <w:rPr>
          <w:rFonts w:ascii="Arial" w:cs="Arial" w:eastAsia="Arial" w:hAnsi="Arial"/>
          <w:sz w:val="21"/>
          <w:szCs w:val="21"/>
          <w:color w:val="auto"/>
          <w:vertAlign w:val="superscript"/>
        </w:rPr>
      </w:pPr>
    </w:p>
    <w:p>
      <w:pPr>
        <w:ind w:left="660" w:right="20"/>
        <w:spacing w:after="0" w:line="281" w:lineRule="auto"/>
        <w:rPr>
          <w:rFonts w:ascii="Arial" w:cs="Arial" w:eastAsia="Arial" w:hAnsi="Arial"/>
          <w:sz w:val="21"/>
          <w:szCs w:val="21"/>
          <w:color w:val="auto"/>
          <w:vertAlign w:val="superscript"/>
        </w:rPr>
      </w:pPr>
      <w:r>
        <w:rPr>
          <w:rFonts w:ascii="Arial" w:cs="Arial" w:eastAsia="Arial" w:hAnsi="Arial"/>
          <w:sz w:val="16"/>
          <w:szCs w:val="16"/>
          <w:color w:val="auto"/>
        </w:rPr>
        <w:t>Messrs. Armstrong, Pefanis, Swanson, Duckett and vonBerg had been earned, and none of the AAP Management Units held by Mr. Chiang had been earned. Accordingly, assuming that a Change in Control occurred on December 31, 2015 (or in the case of Mr. Chiang, 90 days prior to December 31, 2015) and that in connection with such Change in Control, Mr. Chiang had not received the Executive Promotion, all of the AAP Management Units held by Messrs. Armstrong, Pefanis, Swanson, Duckett, vonBerg and Chiang would become vested and would no longer be subject to the call right. Because the call right provides for a discounted purchase price equal to 75% of fair market value as described above, the applicable Named Executive Officer would “benefit” from a Change in Control by virtue of the fact that such officer’s AAP Management Units could no longer be purchased by AAP at a 25% discount. The value reflected in the table above for Messrs. Armstrong, Pefanis, Swanson, Duckett and vonBerg represents the implied value of such “benefit” to the applicable Named Executive Officer, calculated as of December 31, 2015 by</w:t>
      </w:r>
    </w:p>
    <w:p>
      <w:pPr>
        <w:spacing w:after="0" w:line="5" w:lineRule="exact"/>
        <w:rPr>
          <w:rFonts w:ascii="Arial" w:cs="Arial" w:eastAsia="Arial" w:hAnsi="Arial"/>
          <w:sz w:val="21"/>
          <w:szCs w:val="21"/>
          <w:color w:val="auto"/>
          <w:vertAlign w:val="superscript"/>
        </w:rPr>
      </w:pPr>
    </w:p>
    <w:p>
      <w:pPr>
        <w:ind w:left="660" w:right="20" w:hanging="4"/>
        <w:spacing w:after="0" w:line="281" w:lineRule="auto"/>
        <w:tabs>
          <w:tab w:leader="none" w:pos="875" w:val="left"/>
        </w:tabs>
        <w:numPr>
          <w:ilvl w:val="1"/>
          <w:numId w:val="89"/>
        </w:numPr>
        <w:rPr>
          <w:rFonts w:ascii="Arial" w:cs="Arial" w:eastAsia="Arial" w:hAnsi="Arial"/>
          <w:sz w:val="16"/>
          <w:szCs w:val="16"/>
          <w:color w:val="auto"/>
        </w:rPr>
      </w:pPr>
      <w:r>
        <w:rPr>
          <w:rFonts w:ascii="Arial" w:cs="Arial" w:eastAsia="Arial" w:hAnsi="Arial"/>
          <w:sz w:val="16"/>
          <w:szCs w:val="16"/>
          <w:color w:val="auto"/>
        </w:rPr>
        <w:t>assuming that such officer’s AAP Management Units are converted into AAP units based on the December 31, 2015 conversion factor of approximately 0.938 AAP units and PAGP Class B shares for each AAP Management Unit, (ii) assuming the exchange of the resulting AAP units and PAGP Class B shares for PAGP Class A shares on a one-for-one basis, and (iii) multiplying such resulting number of PAGP Class A shares by an amount equal to 25% of the closing market price ($9.45) of PAGP’s Class A shares at December 31, 2015 (the last trading day of the fiscal year). The value reflected in the table above for Mr. Chiang represents the implied value of such “benefit”, calculated as of December 31, 2015 by</w:t>
      </w:r>
    </w:p>
    <w:p>
      <w:pPr>
        <w:spacing w:after="0" w:line="3" w:lineRule="exact"/>
        <w:rPr>
          <w:rFonts w:ascii="Arial" w:cs="Arial" w:eastAsia="Arial" w:hAnsi="Arial"/>
          <w:sz w:val="16"/>
          <w:szCs w:val="16"/>
          <w:color w:val="auto"/>
        </w:rPr>
      </w:pPr>
    </w:p>
    <w:p>
      <w:pPr>
        <w:ind w:left="660" w:right="700" w:hanging="4"/>
        <w:spacing w:after="0" w:line="261" w:lineRule="auto"/>
        <w:tabs>
          <w:tab w:leader="none" w:pos="87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assuming that Mr. Chiang’s AAP Management Units are converted into AAP units based on the December 31, 2015 conversion factor of approximately 0.938 AAP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color w:val="auto"/>
        </w:rPr>
        <w:t>units and PAGP Class B shares for each AAP Management Unit, (ii) assuming the exchange of the resulting AAP units and PAGP Class B shares for PAGP Class A shares on a one-for-one basis, and (iii) multiplying such resulting number of PAGP Class A shares by an amount equal to 100% of the closing market price ($9.45) of PAGP’s Class A shares at December 31, 2015 (the last trading day of the fiscal year). The entire economic burden of the AAP Management Units is borne solely by AAP.</w:t>
      </w:r>
    </w:p>
    <w:p>
      <w:pPr>
        <w:spacing w:after="0" w:line="187"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“Change in Control” means the determination by the board that one of the following events has occurred: (i) the Persons who own member interests in GP Holdings immediately following the closing of the GP IPO, including PAGP, and the respective Affiliates of such Persons (such owners and Affiliates being referred to as the “Owner Affiliates”), cease to own directly or indirectly at least 50% of the membership interests of such entity;</w:t>
      </w:r>
    </w:p>
    <w:p>
      <w:pPr>
        <w:ind w:left="660" w:right="120"/>
        <w:spacing w:after="0" w:line="252" w:lineRule="auto"/>
        <w:rPr>
          <w:sz w:val="20"/>
          <w:szCs w:val="20"/>
          <w:color w:val="auto"/>
        </w:rPr>
      </w:pPr>
      <w:r>
        <w:rPr>
          <w:rFonts w:ascii="Arial" w:cs="Arial" w:eastAsia="Arial" w:hAnsi="Arial"/>
          <w:sz w:val="18"/>
          <w:szCs w:val="18"/>
          <w:color w:val="auto"/>
        </w:rPr>
        <w:t xml:space="preserve">(ii) (x) a “person” or “group” other than the Owner Affiliates becomes the “beneficial owner” directly or indirectly of 25% or more of the member interest in the general partner of PAGP,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93" w:lineRule="exact"/>
        <w:rPr>
          <w:sz w:val="20"/>
          <w:szCs w:val="20"/>
          <w:color w:val="auto"/>
        </w:rPr>
      </w:pPr>
    </w:p>
    <w:p>
      <w:pPr>
        <w:ind w:left="660" w:right="460" w:hanging="634"/>
        <w:spacing w:after="0" w:line="238" w:lineRule="auto"/>
        <w:tabs>
          <w:tab w:leader="none" w:pos="643" w:val="left"/>
        </w:tabs>
        <w:numPr>
          <w:ilvl w:val="0"/>
          <w:numId w:val="91"/>
        </w:numPr>
        <w:rPr>
          <w:rFonts w:ascii="Arial" w:cs="Arial" w:eastAsia="Arial" w:hAnsi="Arial"/>
          <w:sz w:val="22"/>
          <w:szCs w:val="22"/>
          <w:color w:val="auto"/>
          <w:vertAlign w:val="superscript"/>
        </w:rPr>
      </w:pPr>
      <w:r>
        <w:rPr>
          <w:rFonts w:ascii="Arial" w:cs="Arial" w:eastAsia="Arial" w:hAnsi="Arial"/>
          <w:sz w:val="17"/>
          <w:szCs w:val="17"/>
          <w:color w:val="auto"/>
        </w:rPr>
        <w:t>If Messrs. Swanson, Duckett, vonBerg or Chiang were terminated for cause, GP LLC would be obligated to pay base salary through the date of termination, with no other payment obligation triggered by the termination under any employment arrangement.</w:t>
      </w:r>
    </w:p>
    <w:p>
      <w:pPr>
        <w:spacing w:after="0" w:line="203" w:lineRule="exact"/>
        <w:rPr>
          <w:rFonts w:ascii="Arial" w:cs="Arial" w:eastAsia="Arial" w:hAnsi="Arial"/>
          <w:sz w:val="22"/>
          <w:szCs w:val="22"/>
          <w:color w:val="auto"/>
          <w:vertAlign w:val="superscript"/>
        </w:rPr>
      </w:pPr>
    </w:p>
    <w:p>
      <w:pPr>
        <w:ind w:left="660" w:hanging="634"/>
        <w:spacing w:after="0" w:line="278" w:lineRule="auto"/>
        <w:tabs>
          <w:tab w:leader="none" w:pos="639"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Mr. Chiang’s employment agreement provides that in the event of his death or disability prior to December 31, 2018, if less than 500,000 of his AAP Management Units have been earned, he shall vest in such number of additional AAP Management Units as may be necessary to cause the total number of vested AAP Management Units to equal 500,000. Mr. Chiang’s AAP Management Unit grant agreement also provides that in the event of his death or disability, AAP will not have a call right and all of his earned AAP Management Units will vest. As of December 31, 2015, none of Mr. Chiang’s AAP Management Units had been earned. The dollar value given assumes Mr. Chiang’s death or disability on December 31, 2015 and represents the implied value of such “benefit,” calculated as of December 31, 2015 by (i) assuming that Mr. Chiang’s vested AAP Management Units are converted into AAP units based on the December 31, 2015 conversion factor of approximately 0.938 AAP units and PAGP Class B shares for each AAP Management Unit, (ii) assuming the exchange of the resulting AAP units and PAGP Class B shares for PAGP Class A shares on a one-for-one basis, and (iii) multiplying such resulting number of PAGP Class A shares by the closing market price ($9.45) of PAGP’s Class A shares at December 31, 2015 (the last trading day of the fiscal year). The entire economic burden of the AAP Management Units is borne solely by AAP.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ind w:right="140"/>
        <w:spacing w:after="0" w:line="273" w:lineRule="auto"/>
        <w:rPr>
          <w:sz w:val="20"/>
          <w:szCs w:val="20"/>
          <w:color w:val="auto"/>
        </w:rPr>
      </w:pPr>
      <w:r>
        <w:rPr>
          <w:rFonts w:ascii="Arial" w:cs="Arial" w:eastAsia="Arial" w:hAnsi="Arial"/>
          <w:sz w:val="17"/>
          <w:szCs w:val="17"/>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Mr. Chiang has agreed to maintain confidentiality and not to solicit customers, assets and employees for two years following termination of his employment.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paid to each person who served as a non-employee director of GP LLC in 2015:</w:t>
      </w:r>
    </w:p>
    <w:p>
      <w:pPr>
        <w:sectPr>
          <w:pgSz w:w="11900" w:h="16838" w:orient="portrait"/>
          <w:cols w:equalWidth="0" w:num="1">
            <w:col w:w="11420"/>
          </w:cols>
          <w:pgMar w:left="240" w:top="341" w:right="239" w:bottom="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 ($)</w:t>
            </w:r>
          </w:p>
        </w:tc>
      </w:tr>
      <w:tr>
        <w:trPr>
          <w:trHeight w:val="149"/>
        </w:trPr>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16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Awards ($)</w:t>
            </w:r>
            <w:r>
              <w:rPr>
                <w:rFonts w:ascii="Arial" w:cs="Arial" w:eastAsia="Arial" w:hAnsi="Arial"/>
                <w:sz w:val="17"/>
                <w:szCs w:val="17"/>
                <w:b w:val="1"/>
                <w:bCs w:val="1"/>
                <w:color w:val="auto"/>
                <w:vertAlign w:val="superscript"/>
              </w:rPr>
              <w:t>(1)</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Cash ($)</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59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Ben Figlock </w:t>
            </w:r>
            <w:r>
              <w:rPr>
                <w:rFonts w:ascii="Arial" w:cs="Arial" w:eastAsia="Arial" w:hAnsi="Arial"/>
                <w:sz w:val="23"/>
                <w:szCs w:val="23"/>
                <w:color w:val="auto"/>
                <w:vertAlign w:val="superscript"/>
              </w:rPr>
              <w:t>(2)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179,200</w:t>
            </w:r>
          </w:p>
        </w:tc>
        <w:tc>
          <w:tcPr>
            <w:tcW w:w="1360" w:type="dxa"/>
            <w:vAlign w:val="bottom"/>
          </w:tcPr>
          <w:p>
            <w:pPr>
              <w:jc w:val="right"/>
              <w:spacing w:after="0"/>
              <w:rPr>
                <w:sz w:val="20"/>
                <w:szCs w:val="20"/>
                <w:color w:val="auto"/>
              </w:rPr>
            </w:pPr>
            <w:r>
              <w:rPr>
                <w:rFonts w:ascii="Arial" w:cs="Arial" w:eastAsia="Arial" w:hAnsi="Arial"/>
                <w:sz w:val="18"/>
                <w:szCs w:val="18"/>
                <w:color w:val="auto"/>
              </w:rPr>
              <w:t>254,200</w:t>
            </w:r>
          </w:p>
        </w:tc>
        <w:tc>
          <w:tcPr>
            <w:tcW w:w="12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John T. Raymond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89,600</w:t>
            </w:r>
          </w:p>
        </w:tc>
        <w:tc>
          <w:tcPr>
            <w:tcW w:w="1360" w:type="dxa"/>
            <w:vAlign w:val="bottom"/>
          </w:tcPr>
          <w:p>
            <w:pPr>
              <w:jc w:val="right"/>
              <w:spacing w:after="0"/>
              <w:rPr>
                <w:sz w:val="20"/>
                <w:szCs w:val="20"/>
                <w:color w:val="auto"/>
              </w:rPr>
            </w:pPr>
            <w:r>
              <w:rPr>
                <w:rFonts w:ascii="Arial" w:cs="Arial" w:eastAsia="Arial" w:hAnsi="Arial"/>
                <w:sz w:val="18"/>
                <w:szCs w:val="18"/>
                <w:color w:val="auto"/>
              </w:rPr>
              <w:t>134,600</w:t>
            </w:r>
          </w:p>
        </w:tc>
        <w:tc>
          <w:tcPr>
            <w:tcW w:w="12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62,000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179,200</w:t>
            </w:r>
          </w:p>
        </w:tc>
        <w:tc>
          <w:tcPr>
            <w:tcW w:w="1360" w:type="dxa"/>
            <w:vAlign w:val="bottom"/>
          </w:tcPr>
          <w:p>
            <w:pPr>
              <w:jc w:val="right"/>
              <w:spacing w:after="0"/>
              <w:rPr>
                <w:sz w:val="20"/>
                <w:szCs w:val="20"/>
                <w:color w:val="auto"/>
              </w:rPr>
            </w:pPr>
            <w:r>
              <w:rPr>
                <w:rFonts w:ascii="Arial" w:cs="Arial" w:eastAsia="Arial" w:hAnsi="Arial"/>
                <w:sz w:val="18"/>
                <w:szCs w:val="18"/>
                <w:color w:val="auto"/>
              </w:rPr>
              <w:t>241,200</w:t>
            </w:r>
          </w:p>
        </w:tc>
        <w:tc>
          <w:tcPr>
            <w:tcW w:w="12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179,200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239,200</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652"/>
        <w:spacing w:after="0" w:line="244" w:lineRule="auto"/>
        <w:tabs>
          <w:tab w:leader="none" w:pos="648"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The dollar value of LTIPs granted during 2015 is based on the grant date fair value computed in accordance with FASB ASC Topic 718. See Note 15 to our Consolidated Financial Statements for additional discussion regarding the calculation of grant date fair values. In connection with the August 2015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2015 (other than the incremental audit committee awards), a cash payment of $145,050 was made to Oxy as directed by Mr. Figlock. Such cash payment was based on the unit value of Mr. Sinnott’s award on the previous year’s vesting date. As of December 31, 2015, the number of outstanding LTIPs held by our directors was as follows: Goyanes - 20,000; Petersen - 10,000; Raymond - 10,000; Sinnott - 10,000; Symonds - 20,000; and Temple - 20,000.</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Mr. Figlock’s compensation is assigned to Oxy.</w:t>
      </w:r>
    </w:p>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director of GP LLC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2015, Messrs. Sinnott, Goyanes and Symonds served as chairmen of the compensation, audit and governance committees, respectively.</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any public company) or (ii) is removed from the board of directors or is not reelected to the board of directors, unless such removal or failure to reelect is for “good cause,” as defined in the letter granting the units.</w:t>
      </w:r>
    </w:p>
    <w:p>
      <w:pPr>
        <w:spacing w:after="0" w:line="170" w:lineRule="exact"/>
        <w:rPr>
          <w:sz w:val="20"/>
          <w:szCs w:val="20"/>
          <w:color w:val="auto"/>
        </w:rPr>
      </w:pPr>
    </w:p>
    <w:p>
      <w:pPr>
        <w:jc w:val="both"/>
        <w:ind w:right="560" w:firstLine="648"/>
        <w:spacing w:after="0" w:line="291" w:lineRule="auto"/>
        <w:rPr>
          <w:sz w:val="20"/>
          <w:szCs w:val="20"/>
          <w:color w:val="auto"/>
        </w:rPr>
      </w:pPr>
      <w:r>
        <w:rPr>
          <w:rFonts w:ascii="Arial" w:cs="Arial" w:eastAsia="Arial" w:hAnsi="Arial"/>
          <w:sz w:val="16"/>
          <w:szCs w:val="16"/>
          <w:color w:val="auto"/>
        </w:rPr>
        <w:t>Messrs. Figlock, Goyanes, Raymond and Sinnott also serve as directors of GP Holdings, and Mr. Goyanes also serves as chairman of the GP Holdings audit committee. Messrs. Figlock, Raymond and Sinnott do not receive additional compensation for their service on the GP Holdings board.</w:t>
      </w:r>
    </w:p>
    <w:p>
      <w:pPr>
        <w:jc w:val="both"/>
        <w:ind w:right="100"/>
        <w:spacing w:after="0" w:line="271" w:lineRule="auto"/>
        <w:rPr>
          <w:sz w:val="20"/>
          <w:szCs w:val="20"/>
          <w:color w:val="auto"/>
        </w:rPr>
      </w:pPr>
      <w:r>
        <w:rPr>
          <w:rFonts w:ascii="Arial" w:cs="Arial" w:eastAsia="Arial" w:hAnsi="Arial"/>
          <w:sz w:val="17"/>
          <w:szCs w:val="17"/>
          <w:color w:val="auto"/>
        </w:rPr>
        <w:t>Mr. Goyanes does not receive additional cash compensation for his service as a director and chairman of the audit committee of the GP Holdings board, but he received initial equity compensation in the form of an LTIP award for 19,200 phantom Class A shares of PAGP that, subject to continued service as a GP Holdings director, vests in 25% increments over a four-year period and includes an automatic re-grant feature such that as they vest, an equivalent amount is granted. Mr. Goyanes’ LTIP award has associated distribution equivalent rights that are payable quarterly and entitle Mr. Goyanes to receive a cash payment for each phantom Class A share equal in amount to the distribution paid by PAGP on its Class A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AAP Management Units)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Limited Partner Interest</w:t>
      </w:r>
    </w:p>
    <w:p>
      <w:pPr>
        <w:sectPr>
          <w:pgSz w:w="11900" w:h="16838" w:orient="portrait"/>
          <w:cols w:equalWidth="0" w:num="1">
            <w:col w:w="11420"/>
          </w:cols>
          <w:pgMar w:left="240" w:top="104" w:right="239" w:bottom="0" w:gutter="0" w:footer="0" w:header="0"/>
        </w:sectPr>
      </w:pPr>
    </w:p>
    <w:bookmarkStart w:id="101" w:name="page102"/>
    <w:bookmarkEnd w:id="101"/>
    <w:p>
      <w:pPr>
        <w:ind w:firstLine="648"/>
        <w:spacing w:after="0" w:line="259" w:lineRule="auto"/>
        <w:rPr>
          <w:sz w:val="20"/>
          <w:szCs w:val="20"/>
          <w:color w:val="auto"/>
        </w:rPr>
      </w:pPr>
      <w:r>
        <w:rPr>
          <w:rFonts w:ascii="Arial" w:cs="Arial" w:eastAsia="Arial" w:hAnsi="Arial"/>
          <w:sz w:val="18"/>
          <w:szCs w:val="18"/>
          <w:color w:val="auto"/>
        </w:rPr>
        <w:t>Our common units and Preferred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15,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Common</w:t>
            </w:r>
          </w:p>
        </w:tc>
        <w:tc>
          <w:tcPr>
            <w:tcW w:w="92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Preferred</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5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92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 and Address (in the case of Owners of more than 5%)</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Units</w:t>
            </w:r>
          </w:p>
        </w:tc>
        <w:tc>
          <w:tcPr>
            <w:tcW w:w="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71"/>
              <w:spacing w:after="0" w:line="172" w:lineRule="exact"/>
              <w:rPr>
                <w:sz w:val="20"/>
                <w:szCs w:val="20"/>
                <w:color w:val="auto"/>
              </w:rPr>
            </w:pPr>
            <w:r>
              <w:rPr>
                <w:rFonts w:ascii="Arial" w:cs="Arial" w:eastAsia="Arial" w:hAnsi="Arial"/>
                <w:sz w:val="14"/>
                <w:szCs w:val="14"/>
                <w:b w:val="1"/>
                <w:bCs w:val="1"/>
                <w:color w:val="auto"/>
              </w:rPr>
              <w:t>Units</w:t>
            </w:r>
            <w:r>
              <w:rPr>
                <w:rFonts w:ascii="Arial" w:cs="Arial" w:eastAsia="Arial" w:hAnsi="Arial"/>
                <w:sz w:val="17"/>
                <w:szCs w:val="17"/>
                <w:b w:val="1"/>
                <w:bCs w:val="1"/>
                <w:color w:val="auto"/>
                <w:vertAlign w:val="superscript"/>
              </w:rPr>
              <w:t>(1)</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EnCap Partners LLC</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21,768,708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8"/>
                <w:szCs w:val="18"/>
                <w:color w:val="auto"/>
              </w:rPr>
              <w:t>EMG Fund IV PAA Holdings, LLC</w:t>
            </w:r>
            <w:r>
              <w:rPr>
                <w:rFonts w:ascii="Arial" w:cs="Arial" w:eastAsia="Arial" w:hAnsi="Arial"/>
                <w:sz w:val="23"/>
                <w:szCs w:val="23"/>
                <w:color w:val="auto"/>
                <w:vertAlign w:val="superscript"/>
              </w:rPr>
              <w:t>(3)</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17,492,711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FR KA Plains Holdings LLC</w:t>
            </w:r>
            <w:r>
              <w:rPr>
                <w:rFonts w:ascii="Arial" w:cs="Arial" w:eastAsia="Arial" w:hAnsi="Arial"/>
                <w:sz w:val="23"/>
                <w:szCs w:val="23"/>
                <w:color w:val="auto"/>
                <w:vertAlign w:val="superscript"/>
              </w:rPr>
              <w:t>(4)</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10,884,354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8"/>
                <w:szCs w:val="18"/>
                <w:color w:val="auto"/>
              </w:rPr>
              <w:t>Stonepeak Partners LLC</w:t>
            </w:r>
            <w:r>
              <w:rPr>
                <w:rFonts w:ascii="Arial" w:cs="Arial" w:eastAsia="Arial" w:hAnsi="Arial"/>
                <w:sz w:val="23"/>
                <w:szCs w:val="23"/>
                <w:color w:val="auto"/>
                <w:vertAlign w:val="superscript"/>
              </w:rPr>
              <w:t>(5)</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5,442,177</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Tortoise Capital Advisors, L.L.C.</w:t>
            </w:r>
            <w:r>
              <w:rPr>
                <w:rFonts w:ascii="Arial" w:cs="Arial" w:eastAsia="Arial" w:hAnsi="Arial"/>
                <w:sz w:val="23"/>
                <w:szCs w:val="23"/>
                <w:color w:val="auto"/>
                <w:vertAlign w:val="superscript"/>
              </w:rPr>
              <w:t>(6)</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32,738,697</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8"/>
                <w:szCs w:val="18"/>
                <w:color w:val="auto"/>
              </w:rPr>
              <w:t>ALPS Advisors, Inc.</w:t>
            </w:r>
            <w:r>
              <w:rPr>
                <w:rFonts w:ascii="Arial" w:cs="Arial" w:eastAsia="Arial" w:hAnsi="Arial"/>
                <w:sz w:val="23"/>
                <w:szCs w:val="23"/>
                <w:color w:val="auto"/>
                <w:vertAlign w:val="superscript"/>
              </w:rPr>
              <w:t>(7)</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24,410,107</w:t>
            </w:r>
          </w:p>
        </w:tc>
        <w:tc>
          <w:tcPr>
            <w:tcW w:w="9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Alerian MLP ETF</w:t>
            </w:r>
            <w:r>
              <w:rPr>
                <w:rFonts w:ascii="Arial" w:cs="Arial" w:eastAsia="Arial" w:hAnsi="Arial"/>
                <w:sz w:val="23"/>
                <w:szCs w:val="23"/>
                <w:color w:val="auto"/>
                <w:vertAlign w:val="superscript"/>
              </w:rPr>
              <w:t>(7)</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24,299,462</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8"/>
                <w:szCs w:val="18"/>
                <w:color w:val="auto"/>
              </w:rPr>
              <w:t>Richard A. Kayne/Kayne Anderson Capital Advisors, L.P.</w:t>
            </w:r>
            <w:r>
              <w:rPr>
                <w:rFonts w:ascii="Arial" w:cs="Arial" w:eastAsia="Arial" w:hAnsi="Arial"/>
                <w:sz w:val="23"/>
                <w:szCs w:val="23"/>
                <w:color w:val="auto"/>
                <w:vertAlign w:val="superscript"/>
              </w:rPr>
              <w:t>(8)</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12,332,793</w:t>
            </w:r>
          </w:p>
        </w:tc>
        <w:tc>
          <w:tcPr>
            <w:tcW w:w="9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3.1%</w:t>
            </w:r>
          </w:p>
        </w:tc>
        <w:tc>
          <w:tcPr>
            <w:tcW w:w="1140" w:type="dxa"/>
            <w:vAlign w:val="bottom"/>
          </w:tcPr>
          <w:p>
            <w:pPr>
              <w:jc w:val="right"/>
              <w:spacing w:after="0"/>
              <w:rPr>
                <w:sz w:val="20"/>
                <w:szCs w:val="20"/>
                <w:color w:val="auto"/>
              </w:rPr>
            </w:pPr>
            <w:r>
              <w:rPr>
                <w:rFonts w:ascii="Arial" w:cs="Arial" w:eastAsia="Arial" w:hAnsi="Arial"/>
                <w:sz w:val="18"/>
                <w:szCs w:val="18"/>
                <w:color w:val="auto"/>
              </w:rPr>
              <w:t>5,442,177</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1,475,416</w:t>
            </w:r>
            <w:r>
              <w:rPr>
                <w:rFonts w:ascii="Arial" w:cs="Arial" w:eastAsia="Arial" w:hAnsi="Arial"/>
                <w:sz w:val="11"/>
                <w:szCs w:val="11"/>
                <w:color w:val="auto"/>
              </w:rPr>
              <w:t>(9)</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817,821</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(9)</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Al Swanson</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146,649</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(9)</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143,257</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 Figlock</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83,400</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Gary R. Petersen</w:t>
            </w:r>
            <w:r>
              <w:rPr>
                <w:rFonts w:ascii="Arial" w:cs="Arial" w:eastAsia="Arial" w:hAnsi="Arial"/>
                <w:sz w:val="23"/>
                <w:szCs w:val="23"/>
                <w:color w:val="auto"/>
                <w:vertAlign w:val="superscript"/>
              </w:rPr>
              <w:t>(2)</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46,950</w:t>
            </w:r>
            <w:r>
              <w:rPr>
                <w:rFonts w:ascii="Arial" w:cs="Arial" w:eastAsia="Arial" w:hAnsi="Arial"/>
                <w:sz w:val="11"/>
                <w:szCs w:val="11"/>
                <w:color w:val="auto"/>
              </w:rPr>
              <w:t>(9)</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21,768,708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8"/>
                <w:szCs w:val="18"/>
                <w:color w:val="auto"/>
              </w:rPr>
              <w:t>John T. Raymond</w:t>
            </w:r>
            <w:r>
              <w:rPr>
                <w:rFonts w:ascii="Arial" w:cs="Arial" w:eastAsia="Arial" w:hAnsi="Arial"/>
                <w:sz w:val="23"/>
                <w:szCs w:val="23"/>
                <w:color w:val="auto"/>
                <w:vertAlign w:val="superscript"/>
              </w:rPr>
              <w:t>(3)</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1,597,116</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17,492,711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343,893</w:t>
            </w:r>
            <w:r>
              <w:rPr>
                <w:rFonts w:ascii="Arial" w:cs="Arial" w:eastAsia="Arial" w:hAnsi="Arial"/>
                <w:sz w:val="11"/>
                <w:szCs w:val="11"/>
                <w:color w:val="auto"/>
              </w:rPr>
              <w:t>(9)(10)</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99,050</w:t>
            </w:r>
            <w:r>
              <w:rPr>
                <w:rFonts w:ascii="Arial" w:cs="Arial" w:eastAsia="Arial" w:hAnsi="Arial"/>
                <w:sz w:val="11"/>
                <w:szCs w:val="11"/>
                <w:color w:val="auto"/>
              </w:rPr>
              <w:t>(9)</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26,250</w:t>
            </w:r>
            <w:r>
              <w:rPr>
                <w:rFonts w:ascii="Arial" w:cs="Arial" w:eastAsia="Arial" w:hAnsi="Arial"/>
                <w:sz w:val="11"/>
                <w:szCs w:val="11"/>
                <w:color w:val="auto"/>
              </w:rPr>
              <w:t>(9)</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5,431,034</w:t>
            </w:r>
            <w:r>
              <w:rPr>
                <w:rFonts w:ascii="Arial" w:cs="Arial" w:eastAsia="Arial" w:hAnsi="Arial"/>
                <w:sz w:val="11"/>
                <w:szCs w:val="11"/>
                <w:color w:val="auto"/>
              </w:rPr>
              <w:t>(9)(11)</w:t>
            </w:r>
          </w:p>
        </w:tc>
        <w:tc>
          <w:tcPr>
            <w:tcW w:w="92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39,261,419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660" w:hanging="652"/>
        <w:spacing w:after="0" w:line="238" w:lineRule="auto"/>
        <w:tabs>
          <w:tab w:leader="none" w:pos="648"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The Preferred Units will vote on an as-converted basis with the common units and will have certain other class voting rights with respect to any amendment to our partnership agreement that would adversely affect any rights, preferences or privileges of the Preferred Units. The Preferred Units are convertible, generally on a one-for-one basis and subject to customary anti-dilution adjustments, (i) by the holders after January 28, 2018, and (ii) by us after January 28, 2019.</w:t>
      </w:r>
    </w:p>
    <w:p>
      <w:pPr>
        <w:spacing w:after="0" w:line="202" w:lineRule="exact"/>
        <w:rPr>
          <w:rFonts w:ascii="Arial" w:cs="Arial" w:eastAsia="Arial" w:hAnsi="Arial"/>
          <w:sz w:val="23"/>
          <w:szCs w:val="23"/>
          <w:color w:val="auto"/>
          <w:vertAlign w:val="superscript"/>
        </w:rPr>
      </w:pPr>
    </w:p>
    <w:p>
      <w:pPr>
        <w:ind w:left="660" w:right="100" w:hanging="652"/>
        <w:spacing w:after="0" w:line="238" w:lineRule="auto"/>
        <w:tabs>
          <w:tab w:leader="none" w:pos="648"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The Preferred Units are owned by funds managed by EnCap Partners, LLC, whose address is 1100 Louisiana, Suite 4900, Houston, Texas 77002. Gary R. Petersen may be deemed to be the beneficial owner of the Preferred Units owned by these holders by virtue of being a member of EnCap Partners, LLC, the managing member of each holder’s general partner. Mr. Petersen disclaims beneficial ownership of the Preferred Units except to the extent of his pecuniary interest therein.</w:t>
      </w:r>
    </w:p>
    <w:p>
      <w:pPr>
        <w:spacing w:after="0" w:line="202" w:lineRule="exact"/>
        <w:rPr>
          <w:rFonts w:ascii="Arial" w:cs="Arial" w:eastAsia="Arial" w:hAnsi="Arial"/>
          <w:sz w:val="23"/>
          <w:szCs w:val="23"/>
          <w:color w:val="auto"/>
          <w:vertAlign w:val="superscript"/>
        </w:rPr>
      </w:pPr>
    </w:p>
    <w:p>
      <w:pPr>
        <w:ind w:left="660" w:right="120" w:hanging="652"/>
        <w:spacing w:after="0" w:line="238" w:lineRule="auto"/>
        <w:tabs>
          <w:tab w:leader="none" w:pos="648" w:val="left"/>
        </w:tabs>
        <w:numPr>
          <w:ilvl w:val="0"/>
          <w:numId w:val="94"/>
        </w:numPr>
        <w:rPr>
          <w:rFonts w:ascii="Arial" w:cs="Arial" w:eastAsia="Arial" w:hAnsi="Arial"/>
          <w:sz w:val="23"/>
          <w:szCs w:val="23"/>
          <w:color w:val="auto"/>
          <w:vertAlign w:val="superscript"/>
        </w:rPr>
      </w:pPr>
      <w:r>
        <w:rPr>
          <w:rFonts w:ascii="Arial" w:cs="Arial" w:eastAsia="Arial" w:hAnsi="Arial"/>
          <w:sz w:val="18"/>
          <w:szCs w:val="18"/>
          <w:color w:val="auto"/>
        </w:rPr>
        <w:t>The address for this holder is 811 Main Street, Suite 4200, Houston, Texas 77002. John T. Raymond has sole voting and dispositive power over the Preferred Units and may be deemed to be the beneficial owner of the Preferred Units owned by the holder by virtue of being the sole member of the general partner of the holder’s manager. Mr. Raymond disclaims beneficial ownership of the Preferred Units except to the extent of his pecuniary interest therein.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The address for this holder is 600 Travis, Suite 6000, Houston, Texas 77002.</w:t>
      </w:r>
    </w:p>
    <w:p>
      <w:pPr>
        <w:spacing w:after="0" w:line="201" w:lineRule="exact"/>
        <w:rPr>
          <w:rFonts w:ascii="Arial" w:cs="Arial" w:eastAsia="Arial" w:hAnsi="Arial"/>
          <w:sz w:val="23"/>
          <w:szCs w:val="23"/>
          <w:color w:val="auto"/>
          <w:vertAlign w:val="superscript"/>
        </w:rPr>
      </w:pPr>
    </w:p>
    <w:p>
      <w:pPr>
        <w:ind w:left="660" w:right="60" w:hanging="652"/>
        <w:spacing w:after="0" w:line="227" w:lineRule="auto"/>
        <w:tabs>
          <w:tab w:leader="none" w:pos="648"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The Preferred Units are owned by a fund managed by Stonepeak Partners LLC, whose address is 717 Fifth Avenue,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10022.</w:t>
      </w:r>
    </w:p>
    <w:p>
      <w:pPr>
        <w:spacing w:after="0" w:line="202" w:lineRule="exact"/>
        <w:rPr>
          <w:rFonts w:ascii="Arial" w:cs="Arial" w:eastAsia="Arial" w:hAnsi="Arial"/>
          <w:sz w:val="23"/>
          <w:szCs w:val="23"/>
          <w:color w:val="auto"/>
          <w:vertAlign w:val="superscript"/>
        </w:rPr>
      </w:pPr>
    </w:p>
    <w:p>
      <w:pPr>
        <w:ind w:left="660" w:right="280" w:hanging="652"/>
        <w:spacing w:after="0" w:line="227" w:lineRule="auto"/>
        <w:tabs>
          <w:tab w:leader="none" w:pos="648"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This information has been derived from a Schedule 13G filed with the SEC on February 9, 2016. The address for this holder is 11550 Ash Street, Suite 300, Leawood, Kansas 66211.</w:t>
      </w:r>
    </w:p>
    <w:p>
      <w:pPr>
        <w:spacing w:after="0" w:line="202" w:lineRule="exact"/>
        <w:rPr>
          <w:rFonts w:ascii="Arial" w:cs="Arial" w:eastAsia="Arial" w:hAnsi="Arial"/>
          <w:sz w:val="23"/>
          <w:szCs w:val="23"/>
          <w:color w:val="auto"/>
          <w:vertAlign w:val="superscript"/>
        </w:rPr>
      </w:pPr>
    </w:p>
    <w:p>
      <w:pPr>
        <w:ind w:left="660" w:right="80" w:hanging="652"/>
        <w:spacing w:after="0" w:line="243" w:lineRule="auto"/>
        <w:tabs>
          <w:tab w:leader="none" w:pos="648" w:val="left"/>
        </w:tabs>
        <w:numPr>
          <w:ilvl w:val="0"/>
          <w:numId w:val="95"/>
        </w:numPr>
        <w:rPr>
          <w:rFonts w:ascii="Arial" w:cs="Arial" w:eastAsia="Arial" w:hAnsi="Arial"/>
          <w:sz w:val="23"/>
          <w:szCs w:val="23"/>
          <w:color w:val="auto"/>
          <w:vertAlign w:val="superscript"/>
        </w:rPr>
      </w:pPr>
      <w:r>
        <w:rPr>
          <w:rFonts w:ascii="Arial" w:cs="Arial" w:eastAsia="Arial" w:hAnsi="Arial"/>
          <w:sz w:val="18"/>
          <w:szCs w:val="18"/>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03" w:lineRule="exact"/>
        <w:rPr>
          <w:rFonts w:ascii="Arial" w:cs="Arial" w:eastAsia="Arial" w:hAnsi="Arial"/>
          <w:sz w:val="23"/>
          <w:szCs w:val="23"/>
          <w:color w:val="auto"/>
          <w:vertAlign w:val="superscript"/>
        </w:rPr>
      </w:pPr>
    </w:p>
    <w:p>
      <w:pPr>
        <w:ind w:left="660" w:right="100" w:hanging="652"/>
        <w:spacing w:after="0" w:line="276" w:lineRule="auto"/>
        <w:tabs>
          <w:tab w:leader="none" w:pos="648" w:val="left"/>
        </w:tabs>
        <w:numPr>
          <w:ilvl w:val="0"/>
          <w:numId w:val="95"/>
        </w:numPr>
        <w:rPr>
          <w:rFonts w:ascii="Arial" w:cs="Arial" w:eastAsia="Arial" w:hAnsi="Arial"/>
          <w:sz w:val="21"/>
          <w:szCs w:val="21"/>
          <w:color w:val="auto"/>
          <w:vertAlign w:val="superscript"/>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11,059,618 common units and 5,442,177 Preferred Units. Mr. Kayne may be deemed to beneficially own such units. In addition, Mr. Kayne directly owns or has sole voting and dispositive power over 1,273,175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ectPr>
          <w:pgSz w:w="11900" w:h="16838" w:orient="portrait"/>
          <w:cols w:equalWidth="0" w:num="1">
            <w:col w:w="11420"/>
          </w:cols>
          <w:pgMar w:left="240" w:top="125" w:right="239" w:bottom="0" w:gutter="0" w:footer="0" w:header="0"/>
        </w:sectPr>
      </w:pPr>
    </w:p>
    <w:bookmarkStart w:id="102" w:name="page103"/>
    <w:bookmarkEnd w:id="102"/>
    <w:p>
      <w:pPr>
        <w:ind w:left="660" w:right="220" w:hanging="652"/>
        <w:spacing w:after="0" w:line="238" w:lineRule="auto"/>
        <w:tabs>
          <w:tab w:leader="none" w:pos="648"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Does not include unvested phantom units granted under our Long-Term Incentive Plans, none of which will vest within 60 days of the date hereof. See Item 11. “Executive Compensation—Outstanding Equity Awards at Fiscal Year-End” and “— Director Compensation.”</w:t>
      </w:r>
    </w:p>
    <w:p>
      <w:pPr>
        <w:spacing w:after="0" w:line="203" w:lineRule="exact"/>
        <w:rPr>
          <w:rFonts w:ascii="Arial" w:cs="Arial" w:eastAsia="Arial" w:hAnsi="Arial"/>
          <w:sz w:val="22"/>
          <w:szCs w:val="22"/>
          <w:color w:val="auto"/>
          <w:vertAlign w:val="superscript"/>
        </w:rPr>
      </w:pPr>
    </w:p>
    <w:p>
      <w:pPr>
        <w:ind w:left="660" w:right="20" w:hanging="652"/>
        <w:spacing w:after="0" w:line="242" w:lineRule="auto"/>
        <w:tabs>
          <w:tab w:leader="none" w:pos="639"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Pursuant to the GP LLC Agreement, Mr. Sinnott is one of our directors by virtue of his designation as a member of the board of directors of GP Holdings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168"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As of February 15, 2016, no units were pledged by directors or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AAP owns all of our incentive distribution rights and, through its 100% member interest in PAA GP LLC, our 2% general partner interest. GP LLC owns a non-economic general partner interest in AAP. Thus, GP LLC has responsibility for conducting our business and managing our operations and the Class A limited partners of AAP, together with the holders of the AAP Management Units, collectively own 100% of the economic interests in AAP. The following table sets forth the percentage ownership of each of the Class A limited partners of AAP and the resulting economic interest of each such limited partner and the holders of the AAP Management Units as a group, in each case as of February 15,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Economic</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Class A LP</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Plains</w:t>
            </w:r>
          </w:p>
        </w:tc>
        <w:tc>
          <w:tcPr>
            <w:tcW w:w="0" w:type="dxa"/>
            <w:vAlign w:val="bottom"/>
          </w:tcPr>
          <w:p>
            <w:pPr>
              <w:spacing w:after="0"/>
              <w:rPr>
                <w:sz w:val="1"/>
                <w:szCs w:val="1"/>
                <w:color w:val="auto"/>
              </w:rPr>
            </w:pPr>
          </w:p>
        </w:tc>
      </w:tr>
      <w:tr>
        <w:trPr>
          <w:trHeight w:val="171"/>
        </w:trPr>
        <w:tc>
          <w:tcPr>
            <w:tcW w:w="820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580" w:type="dxa"/>
            <w:vAlign w:val="bottom"/>
            <w:gridSpan w:val="2"/>
          </w:tcPr>
          <w:p>
            <w:pPr>
              <w:jc w:val="center"/>
              <w:ind w:right="200"/>
              <w:spacing w:after="0" w:line="172" w:lineRule="exact"/>
              <w:rPr>
                <w:sz w:val="20"/>
                <w:szCs w:val="20"/>
                <w:color w:val="auto"/>
              </w:rPr>
            </w:pPr>
            <w:r>
              <w:rPr>
                <w:rFonts w:ascii="Arial" w:cs="Arial" w:eastAsia="Arial" w:hAnsi="Arial"/>
                <w:sz w:val="14"/>
                <w:szCs w:val="14"/>
                <w:b w:val="1"/>
                <w:bCs w:val="1"/>
                <w:color w:val="auto"/>
                <w:w w:val="91"/>
              </w:rPr>
              <w:t xml:space="preserve">AAP, L.P. </w:t>
            </w:r>
            <w:r>
              <w:rPr>
                <w:rFonts w:ascii="Arial" w:cs="Arial" w:eastAsia="Arial" w:hAnsi="Arial"/>
                <w:sz w:val="17"/>
                <w:szCs w:val="17"/>
                <w:b w:val="1"/>
                <w:bCs w:val="1"/>
                <w:color w:val="auto"/>
                <w:w w:val="91"/>
                <w:vertAlign w:val="superscript"/>
              </w:rPr>
              <w:t>(1)</w:t>
            </w:r>
          </w:p>
        </w:tc>
        <w:tc>
          <w:tcPr>
            <w:tcW w:w="0" w:type="dxa"/>
            <w:vAlign w:val="bottom"/>
          </w:tcPr>
          <w:p>
            <w:pPr>
              <w:spacing w:after="0"/>
              <w:rPr>
                <w:sz w:val="1"/>
                <w:szCs w:val="1"/>
                <w:color w:val="auto"/>
              </w:rPr>
            </w:pPr>
          </w:p>
        </w:tc>
      </w:tr>
      <w:tr>
        <w:trPr>
          <w:trHeight w:val="195"/>
        </w:trPr>
        <w:tc>
          <w:tcPr>
            <w:tcW w:w="7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Plains GP Holdings, L.P.</w:t>
            </w: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2"/>
        </w:trPr>
        <w:tc>
          <w:tcPr>
            <w:tcW w:w="8200" w:type="dxa"/>
            <w:vAlign w:val="bottom"/>
            <w:gridSpan w:val="2"/>
          </w:tcPr>
          <w:p>
            <w:pPr>
              <w:spacing w:after="0" w:line="201" w:lineRule="exact"/>
              <w:rPr>
                <w:sz w:val="20"/>
                <w:szCs w:val="20"/>
                <w:color w:val="auto"/>
              </w:rPr>
            </w:pPr>
            <w:r>
              <w:rPr>
                <w:rFonts w:ascii="Arial" w:cs="Arial" w:eastAsia="Arial" w:hAnsi="Arial"/>
                <w:sz w:val="18"/>
                <w:szCs w:val="18"/>
                <w:color w:val="auto"/>
              </w:rPr>
              <w:t>EMG Investment, LLC</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811 Main, Suite 4200</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2"/>
        </w:trPr>
        <w:tc>
          <w:tcPr>
            <w:tcW w:w="8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KAFU Holdings, L.P. and Affiliates</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3rd Floor</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8200" w:type="dxa"/>
            <w:vAlign w:val="bottom"/>
            <w:gridSpan w:val="2"/>
          </w:tcPr>
          <w:p>
            <w:pPr>
              <w:spacing w:after="0" w:line="201" w:lineRule="exact"/>
              <w:rPr>
                <w:sz w:val="20"/>
                <w:szCs w:val="20"/>
                <w:color w:val="auto"/>
              </w:rPr>
            </w:pPr>
            <w:r>
              <w:rPr>
                <w:rFonts w:ascii="Arial" w:cs="Arial" w:eastAsia="Arial" w:hAnsi="Arial"/>
                <w:sz w:val="18"/>
                <w:szCs w:val="18"/>
                <w:color w:val="auto"/>
              </w:rPr>
              <w:t>Oxy Holding Company (Pipeline), Inc.</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5 Greenway Plaza</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180"/>
              <w:spacing w:after="0"/>
              <w:rPr>
                <w:sz w:val="20"/>
                <w:szCs w:val="20"/>
                <w:color w:val="auto"/>
              </w:rPr>
            </w:pPr>
            <w:r>
              <w:rPr>
                <w:rFonts w:ascii="Arial" w:cs="Arial" w:eastAsia="Arial" w:hAnsi="Arial"/>
                <w:sz w:val="18"/>
                <w:szCs w:val="18"/>
                <w:color w:val="auto"/>
              </w:rPr>
              <w:t>Houston, TX 77046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PAA Management, L.P. </w:t>
            </w:r>
            <w:r>
              <w:rPr>
                <w:rFonts w:ascii="Arial" w:cs="Arial" w:eastAsia="Arial" w:hAnsi="Arial"/>
                <w:sz w:val="23"/>
                <w:szCs w:val="23"/>
                <w:color w:val="auto"/>
                <w:vertAlign w:val="superscript"/>
              </w:rPr>
              <w:t>(2)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Strome PAA, L.P. and Affiliate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Various Individual Investors </w:t>
            </w:r>
            <w:r>
              <w:rPr>
                <w:rFonts w:ascii="Arial" w:cs="Arial" w:eastAsia="Arial" w:hAnsi="Arial"/>
                <w:sz w:val="23"/>
                <w:szCs w:val="23"/>
                <w:color w:val="auto"/>
                <w:vertAlign w:val="superscript"/>
              </w:rPr>
              <w:t>(3)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5"/>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AAP Management Unitholders </w:t>
            </w:r>
            <w:r>
              <w:rPr>
                <w:rFonts w:ascii="Arial" w:cs="Arial" w:eastAsia="Arial" w:hAnsi="Arial"/>
                <w:sz w:val="23"/>
                <w:szCs w:val="23"/>
                <w:color w:val="auto"/>
                <w:vertAlign w:val="superscript"/>
              </w:rPr>
              <w:t>(4)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20" w:right="60" w:hanging="11"/>
        <w:spacing w:after="0" w:line="279" w:lineRule="auto"/>
        <w:rPr>
          <w:sz w:val="20"/>
          <w:szCs w:val="20"/>
          <w:color w:val="auto"/>
        </w:rPr>
      </w:pPr>
      <w:r>
        <w:rPr>
          <w:rFonts w:ascii="Arial" w:cs="Arial" w:eastAsia="Arial" w:hAnsi="Arial"/>
          <w:sz w:val="17"/>
          <w:szCs w:val="17"/>
          <w:color w:val="auto"/>
        </w:rPr>
        <w:t>AAP owns a 100% member interest in PAA GP LLC, which owns our 2% general partner interest. AAP has pledged its member interest, as well as its interest in our incentive distribution rights, as security for its obligations under the Second Amended and Restated Credit Agreement dated as of September 26, 2013 among AAP, Citibank, N.A. and the lenders party thereto (as amended, the “Plains AAP Credit Agreement”). A default by AAP under the Plains AAP Credit Agreement could result in a change in control of our general partner.</w:t>
      </w:r>
    </w:p>
    <w:p>
      <w:pPr>
        <w:spacing w:after="0" w:line="171" w:lineRule="exact"/>
        <w:rPr>
          <w:sz w:val="20"/>
          <w:szCs w:val="20"/>
          <w:color w:val="auto"/>
        </w:rPr>
      </w:pPr>
    </w:p>
    <w:p>
      <w:pPr>
        <w:ind w:left="20" w:right="140" w:hanging="11"/>
        <w:spacing w:after="0" w:line="257" w:lineRule="auto"/>
        <w:rPr>
          <w:sz w:val="20"/>
          <w:szCs w:val="20"/>
          <w:color w:val="auto"/>
        </w:rPr>
      </w:pPr>
      <w:r>
        <w:rPr>
          <w:rFonts w:ascii="Arial" w:cs="Arial" w:eastAsia="Arial" w:hAnsi="Arial"/>
          <w:sz w:val="18"/>
          <w:szCs w:val="18"/>
          <w:color w:val="auto"/>
        </w:rPr>
        <w:t>PAA Management, L.P. is owned entirely by certain current and former members of senior management, including Messrs. Armstrong (approximately 25%), Pefanis (approximately 14%), Duckett (approximately 6%), vonBerg (approximately 4%) and Swanson (approximately 5%). Other than Mr. Armstrong, none of our directors own any interest in PAA Management, L.P. Executive officers as a group own approximately 65% of PAA Management, L.P. Mr. Armstrong disclaims any beneficial ownership of the general partner interest owned by AAP, except to the extent of his ownership interest in PAA Management, L.P.</w:t>
      </w:r>
    </w:p>
    <w:p>
      <w:pPr>
        <w:spacing w:after="0" w:line="188" w:lineRule="exact"/>
        <w:rPr>
          <w:sz w:val="20"/>
          <w:szCs w:val="20"/>
          <w:color w:val="auto"/>
        </w:rPr>
      </w:pPr>
    </w:p>
    <w:p>
      <w:pPr>
        <w:ind w:left="20" w:right="540" w:hanging="11"/>
        <w:spacing w:after="0" w:line="277" w:lineRule="auto"/>
        <w:rPr>
          <w:sz w:val="20"/>
          <w:szCs w:val="20"/>
          <w:color w:val="auto"/>
        </w:rPr>
      </w:pPr>
      <w:r>
        <w:rPr>
          <w:rFonts w:ascii="Arial" w:cs="Arial" w:eastAsia="Arial" w:hAnsi="Arial"/>
          <w:sz w:val="18"/>
          <w:szCs w:val="18"/>
          <w:color w:val="auto"/>
        </w:rPr>
        <w:t>Includes certain current and former members of management who have converted AAP Management Units into AAP units and PAGP Class B shares.</w:t>
      </w:r>
    </w:p>
    <w:p>
      <w:pPr>
        <w:spacing w:after="0" w:line="170" w:lineRule="exact"/>
        <w:rPr>
          <w:sz w:val="20"/>
          <w:szCs w:val="20"/>
          <w:color w:val="auto"/>
        </w:rPr>
      </w:pPr>
    </w:p>
    <w:p>
      <w:pPr>
        <w:ind w:left="20" w:right="40" w:hanging="11"/>
        <w:spacing w:after="0" w:line="255" w:lineRule="auto"/>
        <w:rPr>
          <w:sz w:val="20"/>
          <w:szCs w:val="20"/>
          <w:color w:val="auto"/>
        </w:rPr>
      </w:pPr>
      <w:r>
        <w:rPr>
          <w:rFonts w:ascii="Arial" w:cs="Arial" w:eastAsia="Arial" w:hAnsi="Arial"/>
          <w:sz w:val="18"/>
          <w:szCs w:val="18"/>
          <w:color w:val="auto"/>
        </w:rPr>
        <w:t>Represents a profits interest in AAP in the form of AAP Management Units owned by certain members of management. On January 1, 2016, a significant number of AAP Management Units vested and a portion thereof was converted into AAP units and PAGP Class B shares. Additionally, a portion of the resulting AAP units and PAGP Class B shares was exchanged for PAGP Class A shares. As a result of such conversions and exchanges as well as open market purchases, as of February 15, 2016, Named Executive Officers and executive officers as a group owned the following AAP Management Units, AAP units and PAGP Class A shares (other than Mr. Armstrong, none of our directors own any AAP Management Units):</w:t>
      </w:r>
    </w:p>
    <w:p>
      <w:pPr>
        <w:spacing w:after="0" w:line="19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41"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341" w:right="239" w:bottom="0" w:gutter="0" w:footer="0" w:header="0"/>
          <w:type w:val="continuous"/>
        </w:sectPr>
      </w:pPr>
    </w:p>
    <w:bookmarkStart w:id="103" w:name="page104"/>
    <w:bookmarkEnd w:id="103"/>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Name of Owner</w:t>
            </w: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AAP Management</w:t>
            </w: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AAP Units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PAGP Class A</w:t>
            </w:r>
          </w:p>
        </w:tc>
      </w:tr>
      <w:tr>
        <w:trPr>
          <w:trHeight w:val="171"/>
        </w:trPr>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Units</w:t>
            </w: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10,425,791</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1460" w:type="dxa"/>
            <w:vAlign w:val="bottom"/>
          </w:tcPr>
          <w:p>
            <w:pPr>
              <w:jc w:val="right"/>
              <w:spacing w:after="0"/>
              <w:rPr>
                <w:sz w:val="20"/>
                <w:szCs w:val="20"/>
                <w:color w:val="auto"/>
              </w:rPr>
            </w:pPr>
            <w:r>
              <w:rPr>
                <w:rFonts w:ascii="Arial" w:cs="Arial" w:eastAsia="Arial" w:hAnsi="Arial"/>
                <w:sz w:val="18"/>
                <w:szCs w:val="18"/>
                <w:color w:val="auto"/>
              </w:rPr>
              <w:t>7,319,344</w:t>
            </w:r>
          </w:p>
        </w:tc>
        <w:tc>
          <w:tcPr>
            <w:tcW w:w="30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489,065</w:t>
            </w:r>
          </w:p>
        </w:tc>
        <w:tc>
          <w:tcPr>
            <w:tcW w:w="1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Wilfred (Willie) C. Chiang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Al Swanson</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2,445,189</w:t>
            </w:r>
          </w:p>
        </w:tc>
        <w:tc>
          <w:tcPr>
            <w:tcW w:w="1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1,930,961</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2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John vonBerg</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3,423,264</w:t>
            </w:r>
          </w:p>
        </w:tc>
        <w:tc>
          <w:tcPr>
            <w:tcW w:w="12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as a group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22,239,965</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2,689,707</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11,814,477</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following table sets forth certain information with respect to our equity compensation plans as of December 31, 2015. For a description of these plans, see Item 13. “Certain Relationships and Related Transactions, and Director Independence—Equity-Based Long-Term Incentive Plans.”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960" w:type="dxa"/>
            <w:vAlign w:val="bottom"/>
          </w:tcPr>
          <w:p>
            <w:pPr>
              <w:jc w:val="center"/>
              <w:ind w:left="1948"/>
              <w:spacing w:after="0"/>
              <w:rPr>
                <w:sz w:val="20"/>
                <w:szCs w:val="20"/>
                <w:color w:val="auto"/>
              </w:rPr>
            </w:pPr>
            <w:r>
              <w:rPr>
                <w:rFonts w:ascii="Arial" w:cs="Arial" w:eastAsia="Arial" w:hAnsi="Arial"/>
                <w:sz w:val="14"/>
                <w:szCs w:val="14"/>
                <w:b w:val="1"/>
                <w:bCs w:val="1"/>
                <w:color w:val="auto"/>
                <w:w w:val="93"/>
              </w:rPr>
              <w:t>Number of Units</w:t>
            </w:r>
          </w:p>
        </w:tc>
        <w:tc>
          <w:tcPr>
            <w:tcW w:w="2040" w:type="dxa"/>
            <w:vAlign w:val="bottom"/>
          </w:tcPr>
          <w:p>
            <w:pPr>
              <w:spacing w:after="0"/>
              <w:rPr>
                <w:sz w:val="14"/>
                <w:szCs w:val="14"/>
                <w:color w:val="auto"/>
              </w:rPr>
            </w:pPr>
          </w:p>
        </w:tc>
        <w:tc>
          <w:tcPr>
            <w:tcW w:w="14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5"/>
              </w:rPr>
              <w:t>Number of Units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0"/>
              </w:rPr>
              <w:t>to</w:t>
            </w:r>
          </w:p>
        </w:tc>
        <w:tc>
          <w:tcPr>
            <w:tcW w:w="20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89"/>
              </w:rPr>
              <w:t>be Issued upon</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89"/>
              </w:rPr>
              <w:t>Exercise/Vesting</w:t>
            </w:r>
          </w:p>
        </w:tc>
        <w:tc>
          <w:tcPr>
            <w:tcW w:w="2040" w:type="dxa"/>
            <w:vAlign w:val="bottom"/>
            <w:vMerge w:val="continue"/>
          </w:tcPr>
          <w:p>
            <w:pPr>
              <w:spacing w:after="0"/>
              <w:rPr>
                <w:sz w:val="12"/>
                <w:szCs w:val="12"/>
                <w:color w:val="auto"/>
              </w:rPr>
            </w:pP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0"/>
              </w:rPr>
              <w:t>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1"/>
              </w:rPr>
              <w:t>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Plan</w:t>
            </w:r>
          </w:p>
        </w:tc>
        <w:tc>
          <w:tcPr>
            <w:tcW w:w="3960" w:type="dxa"/>
            <w:vAlign w:val="bottom"/>
          </w:tcPr>
          <w:p>
            <w:pPr>
              <w:jc w:val="center"/>
              <w:ind w:left="194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3040" w:type="dxa"/>
            <w:vAlign w:val="bottom"/>
            <w:vMerge w:val="continue"/>
          </w:tcPr>
          <w:p>
            <w:pPr>
              <w:spacing w:after="0"/>
              <w:rPr>
                <w:sz w:val="12"/>
                <w:szCs w:val="12"/>
                <w:color w:val="auto"/>
              </w:rPr>
            </w:pPr>
          </w:p>
        </w:tc>
        <w:tc>
          <w:tcPr>
            <w:tcW w:w="39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1"/>
              </w:rPr>
              <w:t>Rights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4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20"/>
                <w:szCs w:val="20"/>
                <w:color w:val="auto"/>
              </w:rPr>
            </w:pPr>
            <w:r>
              <w:rPr>
                <w:rFonts w:ascii="Arial" w:cs="Arial" w:eastAsia="Arial" w:hAnsi="Arial"/>
                <w:sz w:val="14"/>
                <w:szCs w:val="14"/>
                <w:b w:val="1"/>
                <w:bCs w:val="1"/>
                <w:color w:val="auto"/>
              </w:rPr>
              <w:t>Category</w:t>
            </w:r>
          </w:p>
        </w:tc>
        <w:tc>
          <w:tcPr>
            <w:tcW w:w="3960" w:type="dxa"/>
            <w:vAlign w:val="bottom"/>
          </w:tcPr>
          <w:p>
            <w:pPr>
              <w:jc w:val="center"/>
              <w:ind w:left="1928"/>
              <w:spacing w:after="0"/>
              <w:rPr>
                <w:sz w:val="20"/>
                <w:szCs w:val="20"/>
                <w:color w:val="auto"/>
              </w:rPr>
            </w:pPr>
            <w:r>
              <w:rPr>
                <w:rFonts w:ascii="Arial" w:cs="Arial" w:eastAsia="Arial" w:hAnsi="Arial"/>
                <w:sz w:val="14"/>
                <w:szCs w:val="14"/>
                <w:b w:val="1"/>
                <w:bCs w:val="1"/>
                <w:color w:val="auto"/>
                <w:w w:val="93"/>
              </w:rPr>
              <w:t>(a)</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Equity compensation plans approved by unitholders: 2013 Long</w:t>
            </w:r>
          </w:p>
        </w:tc>
        <w:tc>
          <w:tcPr>
            <w:tcW w:w="3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Incentive Plan</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2,539,451</w:t>
            </w:r>
            <w:r>
              <w:rPr>
                <w:rFonts w:ascii="Arial" w:cs="Arial" w:eastAsia="Arial" w:hAnsi="Arial"/>
                <w:sz w:val="11"/>
                <w:szCs w:val="11"/>
                <w:color w:val="auto"/>
              </w:rPr>
              <w:t>(1)</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9,588,454</w:t>
            </w: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unitholders: PNG</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Successor LTIP</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334,082</w:t>
            </w:r>
            <w:r>
              <w:rPr>
                <w:rFonts w:ascii="Arial" w:cs="Arial" w:eastAsia="Arial" w:hAnsi="Arial"/>
                <w:sz w:val="11"/>
                <w:szCs w:val="11"/>
                <w:color w:val="auto"/>
              </w:rPr>
              <w:t>(4)</w:t>
            </w:r>
          </w:p>
        </w:tc>
        <w:tc>
          <w:tcPr>
            <w:tcW w:w="20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2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847,972</w:t>
            </w:r>
            <w:r>
              <w:rPr>
                <w:rFonts w:ascii="Arial" w:cs="Arial" w:eastAsia="Arial" w:hAnsi="Arial"/>
                <w:sz w:val="11"/>
                <w:szCs w:val="1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54"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 w:hanging="11"/>
        <w:spacing w:after="0" w:line="254" w:lineRule="auto"/>
        <w:rPr>
          <w:sz w:val="20"/>
          <w:szCs w:val="20"/>
          <w:color w:val="auto"/>
        </w:rPr>
      </w:pPr>
      <w:r>
        <w:rPr>
          <w:rFonts w:ascii="Arial" w:cs="Arial" w:eastAsia="Arial" w:hAnsi="Arial"/>
          <w:sz w:val="18"/>
          <w:szCs w:val="18"/>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Phantom unit awards under the 2013 Plan and PNG Successor Plan vest without payment by recipients.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Item 201(d) of Regulation S-K, column (c) excludes the securities disclosed in column (a). However, as discussed in footnotes</w:t>
      </w:r>
    </w:p>
    <w:p>
      <w:pPr>
        <w:spacing w:after="0" w:line="46" w:lineRule="exact"/>
        <w:rPr>
          <w:sz w:val="20"/>
          <w:szCs w:val="20"/>
          <w:color w:val="auto"/>
        </w:rPr>
      </w:pPr>
    </w:p>
    <w:p>
      <w:pPr>
        <w:jc w:val="center"/>
        <w:ind w:left="4940" w:right="560" w:hanging="4924"/>
        <w:spacing w:after="0" w:line="511" w:lineRule="auto"/>
        <w:tabs>
          <w:tab w:leader="none" w:pos="27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and (4), any phantom units represented in column (a) that are not satisfied by the issuance of units become “available for future issuance.”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-80645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54" w:orient="portrait"/>
          <w:cols w:equalWidth="0" w:num="2">
            <w:col w:w="140" w:space="500"/>
            <w:col w:w="10780"/>
          </w:cols>
          <w:pgMar w:left="240" w:top="104" w:right="239" w:bottom="0" w:gutter="0" w:footer="0" w:header="0"/>
          <w:type w:val="continuous"/>
        </w:sectPr>
      </w:pPr>
    </w:p>
    <w:p>
      <w:pPr>
        <w:spacing w:after="0" w:line="5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00"/>
        <w:spacing w:after="0" w:line="261" w:lineRule="auto"/>
        <w:tabs>
          <w:tab w:leader="none" w:pos="646" w:val="left"/>
        </w:tabs>
        <w:numPr>
          <w:ilvl w:val="0"/>
          <w:numId w:val="98"/>
        </w:numPr>
        <w:rPr>
          <w:rFonts w:ascii="Arial" w:cs="Arial" w:eastAsia="Arial" w:hAnsi="Arial"/>
          <w:sz w:val="22"/>
          <w:szCs w:val="22"/>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 discussion of director independence, see Item 10. “Directors and Executive Officers of Our General Partner and Corporate Governance.”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2015 were approximately $648 million.</w:t>
      </w:r>
    </w:p>
    <w:p>
      <w:pPr>
        <w:spacing w:after="0" w:line="18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general partner owns the 2% general partner interest and all of the incentive distribution rights (“IDRs”). In addition to distributions on its 2% general partner interest, our general partner is entitled to receive incentive distributions if the amount we distribute with respect to any quarter exceeds levels</w:t>
      </w:r>
    </w:p>
    <w:p>
      <w:pPr>
        <w:sectPr>
          <w:pgSz w:w="11900" w:h="16854" w:orient="portrait"/>
          <w:cols w:equalWidth="0" w:num="1">
            <w:col w:w="11420"/>
          </w:cols>
          <w:pgMar w:left="240" w:top="104" w:right="239" w:bottom="0" w:gutter="0" w:footer="0" w:header="0"/>
          <w:type w:val="continuous"/>
        </w:sectPr>
      </w:pPr>
    </w:p>
    <w:bookmarkStart w:id="104" w:name="page105"/>
    <w:bookmarkEnd w:id="104"/>
    <w:p>
      <w:pPr>
        <w:spacing w:after="0" w:line="1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specified in our partnership agreement. Under the quarterly distribution provisions, generally our general partner is entitled, without duplication and except for the agreed upon adjustments discussed below, to 2% of amounts we distribute up to $0.2250 ($0.90 annualized) per unit, 15% of amounts we distribute in excess of $0.2250 ($0.90 annualized) per unit, 25% of the amounts we distribute in excess of $0.2475 ($0.99 annualized) per unit and 50% of amounts we distribute in excess of $0.3375 ($1.35 annualized) per unit. Our general partner’s incentive distributions were reduced by approximately $15 million, $23 million and $22 million in 2013, 2014 and 2015, respectively. These reductions were agreed to in connection with the BP NGL Acquisition and the PNG Merger. In addition, our general partner has agreed to reduce the amount of its incentive distributions by $5 million per quarter in 2016 and $3.75 million per quarter thereafter. In connection with our January 2016 Preferred Unit offering, our general partner agreed to further modify its IDRs such that when the Preferred Units convert into common units, the IDRs associated with the resulting common units will only participate in distribution growth above $2.80 per converted common unit. Assuming all Preferred Units convert into common units, this modification represents a permanent incentive distribution reduction of approximately $90 million per year (excluding the impact of any distributions that are paid-in-kind through December 31, 2017 under the terms of the Preferred Units).</w:t>
      </w:r>
    </w:p>
    <w:p>
      <w:pPr>
        <w:spacing w:after="0" w:line="1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illustrates the allocation of aggregate distributions at different per-unit levels, excluding the effect of the incentive distribution reductions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Annual LP Distribution Per</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Distribution</w:t>
            </w:r>
          </w:p>
        </w:tc>
        <w:tc>
          <w:tcPr>
            <w:tcW w:w="320" w:type="dxa"/>
            <w:vAlign w:val="bottom"/>
          </w:tcPr>
          <w:p>
            <w:pPr>
              <w:spacing w:after="0"/>
              <w:rPr>
                <w:sz w:val="14"/>
                <w:szCs w:val="14"/>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Distribution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GP %</w:t>
            </w: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to LP</w:t>
            </w:r>
          </w:p>
        </w:tc>
        <w:tc>
          <w:tcPr>
            <w:tcW w:w="3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Unit</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96"/>
              <w:spacing w:after="0" w:line="172" w:lineRule="exact"/>
              <w:rPr>
                <w:sz w:val="20"/>
                <w:szCs w:val="20"/>
                <w:color w:val="auto"/>
              </w:rPr>
            </w:pPr>
            <w:r>
              <w:rPr>
                <w:rFonts w:ascii="Arial" w:cs="Arial" w:eastAsia="Arial" w:hAnsi="Arial"/>
                <w:sz w:val="14"/>
                <w:szCs w:val="14"/>
                <w:b w:val="1"/>
                <w:bCs w:val="1"/>
                <w:color w:val="auto"/>
                <w:w w:val="91"/>
              </w:rPr>
              <w:t>Unitholders</w:t>
            </w:r>
            <w:r>
              <w:rPr>
                <w:rFonts w:ascii="Arial" w:cs="Arial" w:eastAsia="Arial" w:hAnsi="Arial"/>
                <w:sz w:val="17"/>
                <w:szCs w:val="17"/>
                <w:b w:val="1"/>
                <w:bCs w:val="1"/>
                <w:color w:val="auto"/>
                <w:w w:val="91"/>
                <w:vertAlign w:val="superscript"/>
              </w:rPr>
              <w:t>(1)</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9"/>
              <w:spacing w:after="0" w:line="172" w:lineRule="exact"/>
              <w:rPr>
                <w:sz w:val="20"/>
                <w:szCs w:val="20"/>
                <w:color w:val="auto"/>
              </w:rPr>
            </w:pPr>
            <w:r>
              <w:rPr>
                <w:rFonts w:ascii="Arial" w:cs="Arial" w:eastAsia="Arial" w:hAnsi="Arial"/>
                <w:sz w:val="19"/>
                <w:szCs w:val="19"/>
                <w:b w:val="1"/>
                <w:bCs w:val="1"/>
                <w:color w:val="auto"/>
                <w:vertAlign w:val="subscript"/>
              </w:rPr>
              <w:t>to GP</w:t>
            </w:r>
            <w:r>
              <w:rPr>
                <w:rFonts w:ascii="Arial" w:cs="Arial" w:eastAsia="Arial" w:hAnsi="Arial"/>
                <w:sz w:val="7"/>
                <w:szCs w:val="7"/>
                <w:b w:val="1"/>
                <w:bCs w:val="1"/>
                <w:color w:val="auto"/>
              </w:rPr>
              <w:t>(1)(2)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74"/>
              <w:spacing w:after="0" w:line="172" w:lineRule="exact"/>
              <w:rPr>
                <w:sz w:val="20"/>
                <w:szCs w:val="20"/>
                <w:color w:val="auto"/>
              </w:rPr>
            </w:pPr>
            <w:r>
              <w:rPr>
                <w:rFonts w:ascii="Arial" w:cs="Arial" w:eastAsia="Arial" w:hAnsi="Arial"/>
                <w:sz w:val="14"/>
                <w:szCs w:val="14"/>
                <w:b w:val="1"/>
                <w:bCs w:val="1"/>
                <w:color w:val="auto"/>
                <w:w w:val="90"/>
              </w:rPr>
              <w:t>Distribution</w:t>
            </w:r>
            <w:r>
              <w:rPr>
                <w:rFonts w:ascii="Arial" w:cs="Arial" w:eastAsia="Arial" w:hAnsi="Arial"/>
                <w:sz w:val="17"/>
                <w:szCs w:val="17"/>
                <w:b w:val="1"/>
                <w:bCs w:val="1"/>
                <w:color w:val="auto"/>
                <w:w w:val="90"/>
                <w:vertAlign w:val="superscript"/>
              </w:rPr>
              <w:t>(1)(2)</w:t>
            </w:r>
          </w:p>
        </w:tc>
        <w:tc>
          <w:tcPr>
            <w:tcW w:w="3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367,347</w:t>
            </w:r>
          </w:p>
        </w:tc>
        <w:tc>
          <w:tcPr>
            <w:tcW w:w="3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340" w:type="dxa"/>
            <w:vAlign w:val="bottom"/>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0.99</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396,000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13,700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409,700</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61,700</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601,700</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340" w:type="dxa"/>
            <w:vAlign w:val="bottom"/>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1,120,000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641,700</w:t>
            </w:r>
          </w:p>
        </w:tc>
        <w:tc>
          <w:tcPr>
            <w:tcW w:w="140" w:type="dxa"/>
            <w:vAlign w:val="bottom"/>
          </w:tcPr>
          <w:p>
            <w:pPr>
              <w:spacing w:after="0"/>
              <w:rPr>
                <w:sz w:val="18"/>
                <w:szCs w:val="18"/>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1,761,700</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681,700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1,841,700</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2340" w:type="dxa"/>
            <w:vAlign w:val="bottom"/>
          </w:tcPr>
          <w:p>
            <w:pPr>
              <w:jc w:val="right"/>
              <w:ind w:right="21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1,200,000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721,700</w:t>
            </w:r>
          </w:p>
        </w:tc>
        <w:tc>
          <w:tcPr>
            <w:tcW w:w="140" w:type="dxa"/>
            <w:vAlign w:val="bottom"/>
          </w:tcPr>
          <w:p>
            <w:pPr>
              <w:spacing w:after="0"/>
              <w:rPr>
                <w:sz w:val="20"/>
                <w:szCs w:val="20"/>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1,921,700</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360" w:hanging="634"/>
        <w:spacing w:after="0" w:line="264" w:lineRule="auto"/>
        <w:tabs>
          <w:tab w:leader="none" w:pos="661" w:val="left"/>
        </w:tabs>
        <w:numPr>
          <w:ilvl w:val="0"/>
          <w:numId w:val="99"/>
        </w:numPr>
        <w:rPr>
          <w:rFonts w:ascii="Arial" w:cs="Arial" w:eastAsia="Arial" w:hAnsi="Arial"/>
          <w:sz w:val="9"/>
          <w:szCs w:val="9"/>
          <w:color w:val="auto"/>
        </w:rPr>
      </w:pPr>
      <w:r>
        <w:rPr>
          <w:rFonts w:ascii="Arial" w:cs="Arial" w:eastAsia="Arial" w:hAnsi="Arial"/>
          <w:sz w:val="18"/>
          <w:szCs w:val="18"/>
          <w:color w:val="auto"/>
        </w:rPr>
        <w:t>Assumes 400,000,000 units outstanding. The actual number of units outstanding as of December 31, 2015 was 397,727,624. An increase in the number of units outstanding would increase both the distribution to unitholders and the distribution to the general partner for any given level of distribution per unit.</w:t>
      </w:r>
    </w:p>
    <w:p>
      <w:pPr>
        <w:spacing w:after="0" w:line="181" w:lineRule="exact"/>
        <w:rPr>
          <w:rFonts w:ascii="Arial" w:cs="Arial" w:eastAsia="Arial" w:hAnsi="Arial"/>
          <w:sz w:val="9"/>
          <w:szCs w:val="9"/>
          <w:color w:val="auto"/>
        </w:rPr>
      </w:pPr>
    </w:p>
    <w:p>
      <w:pPr>
        <w:ind w:left="660" w:hanging="634"/>
        <w:spacing w:after="0"/>
        <w:tabs>
          <w:tab w:leader="none" w:pos="660" w:val="left"/>
        </w:tabs>
        <w:numPr>
          <w:ilvl w:val="0"/>
          <w:numId w:val="99"/>
        </w:numPr>
        <w:rPr>
          <w:rFonts w:ascii="Arial" w:cs="Arial" w:eastAsia="Arial" w:hAnsi="Arial"/>
          <w:sz w:val="9"/>
          <w:szCs w:val="9"/>
          <w:color w:val="auto"/>
        </w:rPr>
      </w:pPr>
      <w:r>
        <w:rPr>
          <w:rFonts w:ascii="Arial" w:cs="Arial" w:eastAsia="Arial" w:hAnsi="Arial"/>
          <w:sz w:val="18"/>
          <w:szCs w:val="18"/>
          <w:color w:val="auto"/>
        </w:rPr>
        <w:t>Includes distributions attributable to the 2% general partner interest and the incentive distribution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Long-Term Incentive Plans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common units for each PNG common unit and rounding down for any fractions. The GP LLC board of directors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6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i w:val="1"/>
          <w:iCs w:val="1"/>
          <w:color w:val="auto"/>
        </w:rPr>
        <w:t xml:space="preserve">Phantom Units. </w:t>
      </w:r>
      <w:r>
        <w:rPr>
          <w:rFonts w:ascii="Arial" w:cs="Arial" w:eastAsia="Arial" w:hAnsi="Arial"/>
          <w:sz w:val="17"/>
          <w:szCs w:val="17"/>
          <w:color w:val="auto"/>
        </w:rPr>
        <w:t>A phantom unit entitles the grantee to receive, upon the vesting of the phantom unit, a common unit (or cash equivalent, depending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As of December 31, 2015, grants of approximately 3,055,551 and 360,359 unvested phantom units were outstanding under the 2013 Plan and PNG Successor Plan, respectively, and approximately 9,588,454 and 847,972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Unit Appreciation Rights. </w:t>
      </w:r>
      <w:r>
        <w:rPr>
          <w:rFonts w:ascii="Arial" w:cs="Arial" w:eastAsia="Arial" w:hAnsi="Arial"/>
          <w:sz w:val="17"/>
          <w:szCs w:val="17"/>
          <w:color w:val="auto"/>
        </w:rPr>
        <w:t>A unit appreciation right is an award that, upon exercise, entitles the holder to receive the excess, if any,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 common 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Restricted Unit Awards. </w:t>
      </w:r>
      <w:r>
        <w:rPr>
          <w:rFonts w:ascii="Arial" w:cs="Arial" w:eastAsia="Arial" w:hAnsi="Arial"/>
          <w:sz w:val="16"/>
          <w:szCs w:val="16"/>
          <w:color w:val="auto"/>
        </w:rPr>
        <w:t>A restricted unit is a common unit granted under the Plan that is subject to a risk of forfeiture, restrictions on transferability,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other restrictions that may be imposed by the plan administrator in its discretion. No restricted unit awards have been granted under the Plans to date.</w:t>
      </w:r>
    </w:p>
    <w:p>
      <w:pPr>
        <w:spacing w:after="0" w:line="12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Unit Options. </w:t>
      </w:r>
      <w:r>
        <w:rPr>
          <w:rFonts w:ascii="Arial" w:cs="Arial" w:eastAsia="Arial" w:hAnsi="Arial"/>
          <w:sz w:val="16"/>
          <w:szCs w:val="16"/>
          <w:color w:val="auto"/>
        </w:rPr>
        <w:t>Options may be granted under the Plan to purchase a specific number of common units at a set exercise price. The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granted under the Plan will be determined by the plan administrator at the time the option is granted, provided that each option may not have an</w:t>
      </w:r>
    </w:p>
    <w:p>
      <w:pPr>
        <w:sectPr>
          <w:pgSz w:w="11900" w:h="16948" w:orient="portrait"/>
          <w:cols w:equalWidth="0" w:num="1">
            <w:col w:w="11420"/>
          </w:cols>
          <w:pgMar w:left="240" w:top="125" w:right="239" w:bottom="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exercise price that is less than the fair market value of the common units on the date of grant. No options have been granted under the Plans to date.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of GP LLC to issue grants of AAP Management Units to create long-term incentives for our management. The entire economic burden of the AAP Management Units, which are equity classified, is borne solely by AAP and does not impact our cash or units outstanding. We are not obligated to reimburse AAP for any costs attributable to the AAP Management Units, and any distributions made on the AAP Management Units will not reduce the amount of cash available for distribution to our unitholders. Each AAP Management Unit represents a “profits interest” in AAP, which entitles the holder to participate in future profits and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losses from operations, current distributions from operations, and an interest in future appreciation or depreciation in AAP’s asset values. Up to 52,125,935 AAP Management Units are authorized for issuance. As of December 31, 2015, 50,722,830 AAP Management Units were issued and outstanding. On January 1, 2016, a significant portion of the outstanding AAP Management Units vested and a portion of such vested AAP Management Units has been converted into AAP units and PAGP Class B shares. As a result, as of February 15, 2016, the number of AAP Management Units outstanding was 31,878,821.</w:t>
      </w:r>
    </w:p>
    <w:p>
      <w:pPr>
        <w:spacing w:after="0" w:line="18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a portion of the distributions that would otherwise be paid to holders of AAP units) in percentage increments when the annualized quarterly distributions on our common units equal or exceed certain thresholds. Upon achievement of these performance thresholds (or, in some cases, within six months thereafter), the AAP Management Units will be entitled to their proportionate share of all quarterly cash distributions made by AAP in excess of $11 million per quarter (as adjusted for debt service costs and excluding special distributions funded by debt). Assuming all authorized AAP Management Units are issued, the maximum participation would be approximately 8% of the amount in excess of $11 million per quarter, as adjusted. As of February 15, 2016, approximately 93% of the outstanding AAP Management Units had been earned or will be earned within 180 days. The remaining AAP Management Units will be earned in 25% increments upon or six months after payment of annualized quarterly distributions ranging from $2.85 to $3.50 per unit.</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encourage retention following achievement of these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January 1, 2016, AAP Management Units granted in 2007 and 2009 are no longer subject to such call right and have vested. The applicable vesting dates for the remaining AAP Management Unit grants range from January 1, 2017 for AAP Management Units granted in 2010 to January 1, 2023 for AAP Management Units granted in 2015. In order to encourage retention,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8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long as the PAGP Class A shares are publicly traded, each vested AAP Management Unit may be converted into AAP units and a like number of PAGP Class B shares based on a conversion ratio calculated in accordance with the AAP limited partnership agreement (which conversion ratio will not be more than one-to-one and was approximately 0.940 AAP units and PAGP Class B shares for each AAP Management Unit as of February 15, 2016). Following any such conversion, the resulting AAP units and PAGP Class B shares are exchangeable for PAGP Class A shares on a one-for-one basis as provided in the AAP limited partnership agreement. As of February 15, 2016, approximately 44.9 million AAP Management Units had vested, of which 18.8 million have been converted into 17.7 million AAP units and PAGP Class B shares. A portion of the resulting AAP units and PAGP Class B shares were subsequently exchanged for an aggregate of 11.4 million PAGP Class A shares.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Agreement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connection with the closing of the initial public offering of PAGP, PAA entered into an administrative agreement (the “Administrative Agreement”) with PAGP, GP Holdings, AAP, PAA GP LLC and GP LLC to address, among other things, potential conflicts with respect to business opportunities that may arise among PAGP, GP Holdings, AAP, PAA, PAA GP LLC and GP LLC. The agreement provides that if any business opportunity is presented to PAGP, GP Holdings, AAP, PAA, PAA GP LLC or GP LLC, then PAA will have the first right to pursue such business opportunity. PAGP will have the right to pursue and/or participate in such business opportunity if invited to do so by PAA, or if PAA abandons the business opportunity and GP LLC so notifies GP Holdings.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Pursuant to the Administrative Agreement, all of PAGP’s officers and other personnel necessary for its business to function (to the extent not out-sourced) are employed by GP LLC, and AAP pays GP LLC an annual fee for general and administrative services performed on behalf of PAGP. During 2015, the annual fee paid by AAP to GP LLC totaled $1.5 million. This fee is subject to adjustment on an annual basis based on the Consumer Price Index. The fee is also subject to adjustment if a material event occurs that impacts the general and administrative services provided to PAGP, such as acquisitions, entering into new lines of business or changes in laws, regulations, listing requirements or accounting rules.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the Administrative Agreement provides that any direct expenses incurred by PAGP, GP Holdings and AAP (other than income taxes payable by PAGP) are borne by AAP. These direct expenses include costs related to (i) compensation for new directors, (ii) incremental director and officer liability insurance, (iii) listing on the NYSE, (iv) investor relations, (v) legal, (vi) tax and (vii) accounting.</w:t>
      </w:r>
    </w:p>
    <w:p>
      <w:pPr>
        <w:sectPr>
          <w:pgSz w:w="11900" w:h="16838" w:orient="portrait"/>
          <w:cols w:equalWidth="0" w:num="1">
            <w:col w:w="11400"/>
          </w:cols>
          <w:pgMar w:left="240" w:top="125" w:right="259" w:bottom="0" w:gutter="0" w:footer="0" w:header="0"/>
        </w:sectPr>
      </w:pPr>
    </w:p>
    <w:bookmarkStart w:id="106" w:name="page107"/>
    <w:bookmarkEnd w:id="106"/>
    <w:p>
      <w:pPr>
        <w:ind w:right="120" w:firstLine="648"/>
        <w:spacing w:after="0" w:line="257" w:lineRule="auto"/>
        <w:rPr>
          <w:sz w:val="20"/>
          <w:szCs w:val="20"/>
          <w:color w:val="auto"/>
        </w:rPr>
      </w:pPr>
      <w:r>
        <w:rPr>
          <w:rFonts w:ascii="Arial" w:cs="Arial" w:eastAsia="Arial" w:hAnsi="Arial"/>
          <w:sz w:val="18"/>
          <w:szCs w:val="18"/>
          <w:color w:val="auto"/>
        </w:rPr>
        <w:t>In addition to the fee and expenses described above, the Administrative Agreement requires AAP to reimburse GP LLC for any additional expenses incurred by GP LLC and certain of its affiliates (i) on PAGP’s behalf, (ii) on behalf of GP Holdings, or (iii) for any other purpose related to PAGP’s business and activities or those of GP Holdings. AAP is also required to reimburse GP Holdings for any additional expenses incurred by it on PAGP’s behalf or to maintain PAGP’s legal existence and good standing. There is no limit on the amount of fees and expenses AAP may be required to pay to affiliates of GP Holdings on PAGP’s behalf pursuant to the Administrative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Administrative Agreement, PAA has also granted PAGP a license to use the names “PAA” and “Plains” and any associated or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January 2016, we sold approximately 61.0 million unregistered Series A Convertible Preferred Units (the “Preferred Units”) in a private placement offering to a group of purchasers that included affiliates of EnCap, KAFU and EMG. Net proceeds of the sale, after deducting offering expenses and a transaction fee due to the purchasers and including our general partner’s 2% equity contribution, were approximately $1.6 billion.</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the closing of our private placement of Preferred Units, we entered into a Registration Rights Agreement (the “Registration Rights Agreement”) with the purchasers of the Preferred Units relating to the registered resale of the common units issuable upon conversion of the Preferred Units. Pursuant to the Registration Rights Agreement, we are required to file or cause to be filed a registration statement for such registered resale and are required to cause the registration statement to become effective no later than two years after the closing.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Preferred Units have been converted into common units pursuant to our partnership agreement and (ii) the earlier of (x) the date on which such holder is no longer an “affiliate” as such term is defined in Rule 144 promulgated under the Securities Act of 1933, as amended, and (y) the tenth anniversary of the closing.</w:t>
      </w:r>
    </w:p>
    <w:p>
      <w:pPr>
        <w:spacing w:after="0" w:line="16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During 2015, we recognized sales and transportation and storage revenues of approximately $0.9 billion from companies affiliated with Occidental. During 2015, we also purchased approximately $41 million of petroleum products from companies affiliated with Occidental. These transactions were conducted at posted tariff rates or prices that we believe approximate market. A portion of these transactions was conducted under a crude oil buy/sell agreement that includes a multi-year minimum volume commitment. These amounts do not include revenues from unconsolidated equity investments.</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2015, we recognized sales and transportation and storage revenues of approximately $38 million from companies affiliated with EMG. During 2015, we also purchased approximately $165 million of oil from companies affiliated with EMG. These transactions were conducted at posted tariff rates or prices that we believe approximate market.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2015, we purchased approximately $17.5 million of oil from companies owned and controlled by funds managed by KACALP. We pay the same amount per barrel to these companies that we pay to other producers in the area.</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An employee in our marketing department is the son of Phil Kramer, one of our executive officers. Mr. Kramer’s son’s total compensation for 2015 (which amount includes the grant date fair value of LTIPs awarded to him on terms consistent with all eligible employees) was approximately $284,000.</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 employee with our Canadian operations is the son of W. David Duckett, one of our executive officers. Mr. Duckett’s son’s total compensation for 2015 (which amount includes the grant date fair value of LTIPs awarded to him on terms consistent with all eligible employees) was approximately $501,000.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Another employee with our Canadian operations is the daughter of W. David Duckett, one of our executive officers. Mr. Duckett’s daughter’s total compensation for 2015 (which amount includes the grant date fair value of LTIPs awarded to her on terms consistent with all eligible employees) was approximately $129,000.</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An employee in our facilities department is the son of John vonBerg, one of our executive officers. Mr. vonBerg’s son’s total compensation for 2015 (which amount includes the grant date fair value of LTIPs awarded to him on terms consistent with all eligible employees) was approximately $120,000.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of directors of our general partner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 of directors of our general partner.</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is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ectPr>
          <w:pgSz w:w="11900" w:h="16838" w:orient="portrait"/>
          <w:cols w:equalWidth="0" w:num="1">
            <w:col w:w="11420"/>
          </w:cols>
          <w:pgMar w:left="240" w:top="125"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(2)</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0"/>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84" w:right="25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are for an audit of our benefit plan.</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Tax fees are related to tax processing as well as the preparation of Forms K-1 for our unitholders and international tax planning work associated with the structure of our Canadian investment.</w:t>
      </w:r>
    </w:p>
    <w:p>
      <w:pPr>
        <w:spacing w:after="0" w:line="166" w:lineRule="exact"/>
        <w:rPr>
          <w:sz w:val="20"/>
          <w:szCs w:val="20"/>
          <w:color w:val="auto"/>
        </w:rPr>
      </w:pPr>
    </w:p>
    <w:p>
      <w:pPr>
        <w:sectPr>
          <w:pgSz w:w="11900" w:h="16838" w:orient="portrait"/>
          <w:cols w:equalWidth="0" w:num="2">
            <w:col w:w="140" w:space="500"/>
            <w:col w:w="10760"/>
          </w:cols>
          <w:pgMar w:left="240" w:top="584" w:right="25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discussed above, we have an audit committee that reviews our external financial reporting, engages our independent auditors and reviews the adequacy of our internal accounting controls. All services provided by our independent auditor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2015 and 2014 were approved in advance by our audit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5"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i w:val="1"/>
          <w:i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the Consolidated Financial Statements” set forth on Page F-1.</w:t>
      </w:r>
    </w:p>
    <w:p>
      <w:pPr>
        <w:spacing w:after="0" w:line="225" w:lineRule="exact"/>
        <w:rPr>
          <w:rFonts w:ascii="Arial" w:cs="Arial" w:eastAsia="Arial" w:hAnsi="Arial"/>
          <w:sz w:val="18"/>
          <w:szCs w:val="18"/>
          <w:b w:val="1"/>
          <w:bCs w:val="1"/>
          <w:color w:val="auto"/>
        </w:rPr>
      </w:pPr>
    </w:p>
    <w:p>
      <w:pPr>
        <w:ind w:left="1220" w:hanging="564"/>
        <w:spacing w:after="0"/>
        <w:tabs>
          <w:tab w:leader="none" w:pos="1220" w:val="left"/>
        </w:tabs>
        <w:numPr>
          <w:ilvl w:val="1"/>
          <w:numId w:val="100"/>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70" w:lineRule="exact"/>
        <w:rPr>
          <w:sz w:val="20"/>
          <w:szCs w:val="20"/>
          <w:color w:val="auto"/>
        </w:rPr>
      </w:pPr>
    </w:p>
    <w:p>
      <w:pPr>
        <w:ind w:left="1220" w:hanging="564"/>
        <w:spacing w:after="0"/>
        <w:tabs>
          <w:tab w:leader="none" w:pos="1220" w:val="left"/>
        </w:tabs>
        <w:numPr>
          <w:ilvl w:val="0"/>
          <w:numId w:val="101"/>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800"/>
        <w:spacing w:after="0"/>
        <w:tabs>
          <w:tab w:leader="none" w:pos="63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800"/>
        <w:spacing w:after="0"/>
        <w:tabs>
          <w:tab w:leader="none" w:pos="63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its sole member</w:t>
      </w:r>
    </w:p>
    <w:p>
      <w:pPr>
        <w:sectPr>
          <w:pgSz w:w="11900" w:h="16838" w:orient="portrait"/>
          <w:cols w:equalWidth="0" w:num="1">
            <w:col w:w="11400"/>
          </w:cols>
          <w:pgMar w:left="240" w:top="584" w:right="259" w:bottom="0" w:gutter="0" w:footer="0" w:header="0"/>
          <w:type w:val="continuous"/>
        </w:sectPr>
      </w:pPr>
    </w:p>
    <w:bookmarkStart w:id="108" w:name="page109"/>
    <w:bookmarkEnd w:id="108"/>
    <w:p>
      <w:pPr>
        <w:ind w:left="5800"/>
        <w:spacing w:after="0"/>
        <w:tabs>
          <w:tab w:leader="none" w:pos="63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800"/>
        <w:spacing w:after="0"/>
        <w:tabs>
          <w:tab w:leader="none" w:pos="6300" w:val="left"/>
        </w:tabs>
        <w:rPr>
          <w:sz w:val="20"/>
          <w:szCs w:val="20"/>
          <w:color w:val="auto"/>
        </w:rPr>
      </w:pPr>
      <w:r>
        <w:rPr>
          <w:rFonts w:ascii="Arial" w:cs="Arial" w:eastAsia="Arial" w:hAnsi="Arial"/>
          <w:sz w:val="18"/>
          <w:szCs w:val="18"/>
          <w:color w:val="auto"/>
        </w:rPr>
        <w:t>By:</w:t>
        <w:tab/>
        <w:t>/s/ Greg L. Armstrong</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Chairman of the Board, Chief Executive Officer and Director of</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25" w:lineRule="exact"/>
        <w:rPr>
          <w:sz w:val="20"/>
          <w:szCs w:val="20"/>
          <w:color w:val="auto"/>
        </w:rPr>
      </w:pPr>
    </w:p>
    <w:p>
      <w:pPr>
        <w:ind w:left="5800"/>
        <w:spacing w:after="0"/>
        <w:tabs>
          <w:tab w:leader="none" w:pos="6300" w:val="left"/>
        </w:tabs>
        <w:rPr>
          <w:sz w:val="20"/>
          <w:szCs w:val="20"/>
          <w:color w:val="auto"/>
        </w:rPr>
      </w:pPr>
      <w:r>
        <w:rPr>
          <w:rFonts w:ascii="Arial" w:cs="Arial" w:eastAsia="Arial" w:hAnsi="Arial"/>
          <w:sz w:val="18"/>
          <w:szCs w:val="18"/>
          <w:color w:val="auto"/>
        </w:rPr>
        <w:t>By:</w:t>
        <w:tab/>
        <w:t>/s/ Al Swanson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25" w:lineRule="exact"/>
        <w:rPr>
          <w:sz w:val="20"/>
          <w:szCs w:val="20"/>
          <w:color w:val="auto"/>
        </w:rPr>
      </w:pPr>
    </w:p>
    <w:p>
      <w:pPr>
        <w:ind w:left="5800"/>
        <w:spacing w:after="0"/>
        <w:tabs>
          <w:tab w:leader="none" w:pos="6300" w:val="left"/>
        </w:tabs>
        <w:rPr>
          <w:sz w:val="20"/>
          <w:szCs w:val="20"/>
          <w:color w:val="auto"/>
        </w:rPr>
      </w:pPr>
      <w:r>
        <w:rPr>
          <w:rFonts w:ascii="Arial" w:cs="Arial" w:eastAsia="Arial" w:hAnsi="Arial"/>
          <w:sz w:val="18"/>
          <w:szCs w:val="18"/>
          <w:color w:val="auto"/>
        </w:rPr>
        <w:t>By:</w:t>
        <w:tab/>
        <w:t>/s/ Chris Herbold</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572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r>
      <w:tr>
        <w:trPr>
          <w:trHeight w:val="426"/>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Greg L. Armstrong</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Chairman of the Board, Chief Executive Officer and Director of Plains All</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3"/>
              </w:rPr>
              <w:t>Greg L. Armstrong</w:t>
            </w:r>
          </w:p>
        </w:tc>
        <w:tc>
          <w:tcPr>
            <w:tcW w:w="2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American GP LLC (Principal Executive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Harry N. Pefanis</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2"/>
              </w:rPr>
              <w:t>Harry N. Pefanis</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Al Swanson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of Plains All</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2"/>
              </w:rPr>
              <w:t>Al Swanson</w:t>
            </w:r>
          </w:p>
        </w:tc>
        <w:tc>
          <w:tcPr>
            <w:tcW w:w="2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American GP LLC (Principal Financial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Chris Herbold</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President—Accounting and Chief Accounting Officer of Plains All</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2"/>
              </w:rPr>
              <w:t>Chris Herbold</w:t>
            </w:r>
          </w:p>
        </w:tc>
        <w:tc>
          <w:tcPr>
            <w:tcW w:w="2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American GP LLC (Principal Accounting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Bernard Figlock</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3"/>
              </w:rPr>
              <w:t>Bernard Figlock</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 Everardo Goyanes</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9"/>
              </w:rPr>
              <w:t>Everardo Goyanes</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 Gary R. Petersen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7"/>
              </w:rPr>
              <w:t>Gary R. Petersen</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 John T. Raymond</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8"/>
              </w:rPr>
              <w:t>John T. Raymond</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Robert V. Sinnott</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1"/>
              </w:rPr>
              <w:t>Robert V. Sinnott</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 J. Taft Symonds</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9"/>
              </w:rPr>
              <w:t>J. Taft Symonds</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Christopher M. Temple</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 of Plains All American GP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40" w:type="dxa"/>
            <w:vAlign w:val="bottom"/>
          </w:tcPr>
          <w:p>
            <w:pPr>
              <w:spacing w:after="0"/>
              <w:rPr>
                <w:sz w:val="24"/>
                <w:szCs w:val="24"/>
                <w:color w:val="auto"/>
              </w:rPr>
            </w:pPr>
          </w:p>
        </w:tc>
      </w:tr>
      <w:tr>
        <w:trPr>
          <w:trHeight w:val="224"/>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91"/>
              </w:rPr>
              <w:t>Christopher M. Temple</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940" w:type="dxa"/>
            <w:vAlign w:val="bottom"/>
            <w:gridSpan w:val="2"/>
          </w:tcPr>
          <w:p>
            <w:pPr>
              <w:jc w:val="right"/>
              <w:ind w:right="2991"/>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2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61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31"/>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660" w:type="dxa"/>
            <w:vAlign w:val="bottom"/>
            <w:gridSpan w:val="31"/>
            <w:vMerge w:val="continue"/>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25"/>
          </w:tcPr>
          <w:p>
            <w:pPr>
              <w:spacing w:after="0" w:line="190"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Management’s Report on Internal Control Over Financial Reporting</w:t>
              </w:r>
            </w:hyperlink>
          </w:p>
        </w:tc>
        <w:tc>
          <w:tcPr>
            <w:tcW w:w="5740" w:type="dxa"/>
            <w:vAlign w:val="bottom"/>
            <w:gridSpan w:val="6"/>
          </w:tcPr>
          <w:p>
            <w:pPr>
              <w:spacing w:after="0"/>
              <w:rPr>
                <w:sz w:val="16"/>
                <w:szCs w:val="16"/>
                <w:color w:val="auto"/>
              </w:rPr>
            </w:pPr>
          </w:p>
        </w:tc>
        <w:tc>
          <w:tcPr>
            <w:tcW w:w="80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Report of Independent Registered Public Accounting Firm</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Balance Sheets as of December 31, 2015 and 2014</w:t>
              </w:r>
            </w:hyperlink>
          </w:p>
        </w:tc>
        <w:tc>
          <w:tcPr>
            <w:tcW w:w="6000" w:type="dxa"/>
            <w:vAlign w:val="bottom"/>
            <w:gridSpan w:val="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Operations for the years ended December 31, 2015, 2014 and 2013</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Comprehensive Income for the years ended December 31, 2015, 2014 and 2013</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Consolidated Statements of Changes in Accumulated Other Comprehensive Income/(Loss) for the years ended December 31, 2015, 2014 and 2013</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Cash Flows for the years ended December 31, 2015, 2014 and 2013</w:t>
              </w:r>
            </w:hyperlink>
          </w:p>
        </w:tc>
        <w:tc>
          <w:tcPr>
            <w:tcW w:w="36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Consolidated Statements of Changes in Partners’ Capital for the years ended December 31, 2015, 2014 and 2013</w:t>
              </w:r>
            </w:hyperlink>
          </w:p>
        </w:tc>
        <w:tc>
          <w:tcPr>
            <w:tcW w:w="2520" w:type="dxa"/>
            <w:vAlign w:val="bottom"/>
            <w:gridSpan w:val="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Notes to the Consolidated Financial Statements:</w:t>
              </w:r>
            </w:hyperlink>
          </w:p>
        </w:tc>
        <w:tc>
          <w:tcPr>
            <w:tcW w:w="7180" w:type="dxa"/>
            <w:vAlign w:val="bottom"/>
            <w:gridSpan w:val="14"/>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Organization and Basis of Consolidation and Presentation</w:t>
              </w:r>
            </w:hyperlink>
          </w:p>
        </w:tc>
        <w:tc>
          <w:tcPr>
            <w:tcW w:w="6120" w:type="dxa"/>
            <w:vAlign w:val="bottom"/>
            <w:gridSpan w:val="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2.</w:t>
              </w:r>
            </w:hyperlink>
          </w:p>
        </w:tc>
        <w:tc>
          <w:tcPr>
            <w:tcW w:w="326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Summary of Significant Accounting Policies</w:t>
              </w:r>
            </w:hyperlink>
          </w:p>
        </w:tc>
        <w:tc>
          <w:tcPr>
            <w:tcW w:w="7060" w:type="dxa"/>
            <w:vAlign w:val="bottom"/>
            <w:gridSpan w:val="1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9">
              <w:r>
                <w:rPr>
                  <w:rFonts w:ascii="Arial" w:cs="Arial" w:eastAsia="Arial" w:hAnsi="Arial"/>
                  <w:sz w:val="18"/>
                  <w:szCs w:val="18"/>
                  <w:color w:val="0000EE"/>
                  <w:w w:val="91"/>
                </w:rPr>
                <w:t>3. Net Income Per Common Unit</w:t>
              </w:r>
            </w:hyperlink>
          </w:p>
        </w:tc>
        <w:tc>
          <w:tcPr>
            <w:tcW w:w="8080" w:type="dxa"/>
            <w:vAlign w:val="bottom"/>
            <w:gridSpan w:val="20"/>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4.</w:t>
              </w:r>
            </w:hyperlink>
          </w:p>
        </w:tc>
        <w:tc>
          <w:tcPr>
            <w:tcW w:w="424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Inventory, Linefill and Base Gas and Long-term Inventory</w:t>
              </w:r>
            </w:hyperlink>
          </w:p>
        </w:tc>
        <w:tc>
          <w:tcPr>
            <w:tcW w:w="6080" w:type="dxa"/>
            <w:vAlign w:val="bottom"/>
            <w:gridSpan w:val="8"/>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5.</w:t>
              </w:r>
            </w:hyperlink>
          </w:p>
        </w:tc>
        <w:tc>
          <w:tcPr>
            <w:tcW w:w="10320" w:type="dxa"/>
            <w:vAlign w:val="bottom"/>
            <w:gridSpan w:val="29"/>
          </w:tcPr>
          <w:p>
            <w:pPr>
              <w:ind w:left="20"/>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Property and Equipment</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EE"/>
            </w:tcBorders>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6.</w:t>
              </w:r>
            </w:hyperlink>
          </w:p>
        </w:tc>
        <w:tc>
          <w:tcPr>
            <w:tcW w:w="178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Goodwill</w:t>
              </w:r>
            </w:hyperlink>
          </w:p>
        </w:tc>
        <w:tc>
          <w:tcPr>
            <w:tcW w:w="8540" w:type="dxa"/>
            <w:vAlign w:val="bottom"/>
            <w:gridSpan w:val="2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7.</w:t>
              </w:r>
            </w:hyperlink>
          </w:p>
        </w:tc>
        <w:tc>
          <w:tcPr>
            <w:tcW w:w="286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Investments in Unconsolidated Entities</w:t>
              </w:r>
            </w:hyperlink>
          </w:p>
        </w:tc>
        <w:tc>
          <w:tcPr>
            <w:tcW w:w="7460" w:type="dxa"/>
            <w:vAlign w:val="bottom"/>
            <w:gridSpan w:val="1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8.</w:t>
              </w:r>
            </w:hyperlink>
          </w:p>
        </w:tc>
        <w:tc>
          <w:tcPr>
            <w:tcW w:w="10320" w:type="dxa"/>
            <w:vAlign w:val="bottom"/>
            <w:gridSpan w:val="29"/>
          </w:tcPr>
          <w:p>
            <w:pPr>
              <w:ind w:left="2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Other Long-Term Assets, Net</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9.</w:t>
              </w:r>
            </w:hyperlink>
          </w:p>
        </w:tc>
        <w:tc>
          <w:tcPr>
            <w:tcW w:w="38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Debt</w:t>
              </w:r>
            </w:hyperlink>
          </w:p>
        </w:tc>
        <w:tc>
          <w:tcPr>
            <w:tcW w:w="1780" w:type="dxa"/>
            <w:vAlign w:val="bottom"/>
            <w:tcBorders>
              <w:top w:val="single" w:sz="8" w:color="0000EE"/>
            </w:tcBorders>
            <w:gridSpan w:val="6"/>
          </w:tcPr>
          <w:p>
            <w:pPr>
              <w:spacing w:after="0"/>
              <w:rPr>
                <w:sz w:val="17"/>
                <w:szCs w:val="17"/>
                <w:color w:val="auto"/>
              </w:rPr>
            </w:pPr>
          </w:p>
        </w:tc>
        <w:tc>
          <w:tcPr>
            <w:tcW w:w="8160" w:type="dxa"/>
            <w:vAlign w:val="bottom"/>
            <w:gridSpan w:val="2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10.</w:t>
              </w:r>
            </w:hyperlink>
          </w:p>
        </w:tc>
        <w:tc>
          <w:tcPr>
            <w:tcW w:w="10220" w:type="dxa"/>
            <w:vAlign w:val="bottom"/>
            <w:gridSpan w:val="28"/>
          </w:tcPr>
          <w:p>
            <w:pPr>
              <w:ind w:left="2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Partners’ Capital and Distributions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11. Derivatives and Risk Management Activities</w:t>
              </w:r>
            </w:hyperlink>
          </w:p>
        </w:tc>
        <w:tc>
          <w:tcPr>
            <w:tcW w:w="6960" w:type="dxa"/>
            <w:vAlign w:val="bottom"/>
            <w:gridSpan w:val="1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12.</w:t>
              </w:r>
            </w:hyperlink>
          </w:p>
        </w:tc>
        <w:tc>
          <w:tcPr>
            <w:tcW w:w="102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Income Taxes</w:t>
              </w:r>
            </w:hyperlink>
          </w:p>
        </w:tc>
        <w:tc>
          <w:tcPr>
            <w:tcW w:w="9200" w:type="dxa"/>
            <w:vAlign w:val="bottom"/>
            <w:gridSpan w:val="2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13.</w:t>
              </w:r>
            </w:hyperlink>
          </w:p>
        </w:tc>
        <w:tc>
          <w:tcPr>
            <w:tcW w:w="10220" w:type="dxa"/>
            <w:vAlign w:val="bottom"/>
            <w:gridSpan w:val="28"/>
          </w:tcPr>
          <w:p>
            <w:pPr>
              <w:ind w:left="20"/>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Major Customers and Concentration of Credit Risk</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14.</w:t>
              </w:r>
            </w:hyperlink>
          </w:p>
        </w:tc>
        <w:tc>
          <w:tcPr>
            <w:tcW w:w="196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Related Party Transactions</w:t>
              </w:r>
            </w:hyperlink>
          </w:p>
        </w:tc>
        <w:tc>
          <w:tcPr>
            <w:tcW w:w="1740" w:type="dxa"/>
            <w:vAlign w:val="bottom"/>
            <w:tcBorders>
              <w:top w:val="single" w:sz="8" w:color="0000EE"/>
            </w:tcBorders>
            <w:gridSpan w:val="11"/>
          </w:tcPr>
          <w:p>
            <w:pPr>
              <w:spacing w:after="0"/>
              <w:rPr>
                <w:sz w:val="17"/>
                <w:szCs w:val="17"/>
                <w:color w:val="auto"/>
              </w:rPr>
            </w:pPr>
          </w:p>
        </w:tc>
        <w:tc>
          <w:tcPr>
            <w:tcW w:w="6520" w:type="dxa"/>
            <w:vAlign w:val="bottom"/>
            <w:gridSpan w:val="11"/>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15.</w:t>
              </w:r>
            </w:hyperlink>
          </w:p>
        </w:tc>
        <w:tc>
          <w:tcPr>
            <w:tcW w:w="266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Equity-Indexed Compensation Plans</w:t>
              </w:r>
            </w:hyperlink>
          </w:p>
        </w:tc>
        <w:tc>
          <w:tcPr>
            <w:tcW w:w="7560" w:type="dxa"/>
            <w:vAlign w:val="bottom"/>
            <w:gridSpan w:val="17"/>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16.</w:t>
              </w:r>
            </w:hyperlink>
          </w:p>
        </w:tc>
        <w:tc>
          <w:tcPr>
            <w:tcW w:w="24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Commitments and Contingencies</w:t>
              </w:r>
            </w:hyperlink>
          </w:p>
        </w:tc>
        <w:tc>
          <w:tcPr>
            <w:tcW w:w="7800" w:type="dxa"/>
            <w:vAlign w:val="bottom"/>
            <w:gridSpan w:val="1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gridSpan w:val="2"/>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17.</w:t>
              </w:r>
            </w:hyperlink>
          </w:p>
        </w:tc>
        <w:tc>
          <w:tcPr>
            <w:tcW w:w="10220" w:type="dxa"/>
            <w:vAlign w:val="bottom"/>
            <w:gridSpan w:val="28"/>
          </w:tcPr>
          <w:p>
            <w:pPr>
              <w:ind w:left="20"/>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Quarterly Financial Data (Unaudited)</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Borders>
              <w:top w:val="single" w:sz="8" w:color="0000EE"/>
            </w:tcBorders>
            <w:gridSpan w:val="2"/>
          </w:tcPr>
          <w:p>
            <w:pPr>
              <w:spacing w:after="0" w:line="196" w:lineRule="exact"/>
              <w:rPr>
                <w:rFonts w:ascii="Arial" w:cs="Arial" w:eastAsia="Arial" w:hAnsi="Arial"/>
                <w:sz w:val="18"/>
                <w:szCs w:val="18"/>
                <w:color w:val="0000EE"/>
                <w:w w:val="95"/>
              </w:rPr>
            </w:pPr>
            <w:hyperlink w:anchor="page144">
              <w:r>
                <w:rPr>
                  <w:rFonts w:ascii="Arial" w:cs="Arial" w:eastAsia="Arial" w:hAnsi="Arial"/>
                  <w:sz w:val="18"/>
                  <w:szCs w:val="18"/>
                  <w:color w:val="0000EE"/>
                  <w:w w:val="95"/>
                </w:rPr>
                <w:t>18.</w:t>
              </w:r>
            </w:hyperlink>
          </w:p>
        </w:tc>
        <w:tc>
          <w:tcPr>
            <w:tcW w:w="272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Operating Segments</w:t>
              </w:r>
            </w:hyperlink>
          </w:p>
        </w:tc>
        <w:tc>
          <w:tcPr>
            <w:tcW w:w="7500" w:type="dxa"/>
            <w:vAlign w:val="bottom"/>
            <w:gridSpan w:val="16"/>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40" w:type="dxa"/>
            <w:vAlign w:val="bottom"/>
            <w:gridSpan w:val="6"/>
          </w:tcPr>
          <w:p>
            <w:pPr>
              <w:ind w:left="660"/>
              <w:spacing w:after="0"/>
              <w:rPr>
                <w:sz w:val="20"/>
                <w:szCs w:val="20"/>
                <w:color w:val="auto"/>
              </w:rPr>
            </w:pPr>
            <w:r>
              <w:rPr>
                <w:rFonts w:ascii="Arial" w:cs="Arial" w:eastAsia="Arial" w:hAnsi="Arial"/>
                <w:sz w:val="18"/>
                <w:szCs w:val="18"/>
                <w:color w:val="auto"/>
              </w:rPr>
              <w:t>F-1</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2015.</w:t>
      </w:r>
    </w:p>
    <w:p>
      <w:pPr>
        <w:spacing w:after="0" w:line="147" w:lineRule="exact"/>
        <w:rPr>
          <w:sz w:val="20"/>
          <w:szCs w:val="20"/>
          <w:color w:val="auto"/>
        </w:rPr>
      </w:pPr>
    </w:p>
    <w:p>
      <w:pPr>
        <w:jc w:val="both"/>
        <w:ind w:right="18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2015 has been audited by PricewaterhouseCoopers LLP, an independent registered public accounting firm, as stated in their report which appears on Page F-3.</w:t>
      </w:r>
    </w:p>
    <w:p>
      <w:pPr>
        <w:spacing w:after="0" w:line="1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Chairman of the Board, Chief Executive Officer and Director of Plains All</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 of Plains All</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American GP LLC</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Report of Independent Registered Public Accounting Firm</w:t>
      </w:r>
    </w:p>
    <w:p>
      <w:pPr>
        <w:sectPr>
          <w:pgSz w:w="11900" w:h="16838" w:orient="portrait"/>
          <w:cols w:equalWidth="0" w:num="1">
            <w:col w:w="11460"/>
          </w:cols>
          <w:pgMar w:left="240" w:top="121" w:right="199"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accumulated other comprehensive income/(loss), of changes in partners’ capital, and of cash flows present fairly, in all material respects, the financial position of Plains All American Pipeline, L.P.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Partnership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assets</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15,654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Short-term debt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3,407</w:t>
            </w:r>
          </w:p>
        </w:tc>
        <w:tc>
          <w:tcPr>
            <w:tcW w:w="4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debt</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long-term liabilities</w:t>
            </w:r>
          </w:p>
        </w:tc>
        <w:tc>
          <w:tcPr>
            <w:tcW w:w="1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unitholders (397,727,624 and 375,107,793 units outstanding, respectively)</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partner</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21,927</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42,114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23,152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19,726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39,500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21,890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1,799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 of capitalized interest of $57, $48 and $38, respectively)</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 (NOTE 3):</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Basic</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 attributable to common unitholders - Diluted</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12" w:name="page113"/>
    <w:bookmarkEnd w:id="11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Comprehensive income attributable to noncontrolling interests</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PAA</w:t>
            </w: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2013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2014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2015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1,386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expense/(benefit)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and 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net of cash acquired (Note 7)</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Investments in unconsolidated entities (Note 7)</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66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7"/>
              </w:rPr>
              <w:t>Net borrowings/(repayments) under senior secured hedged inventory facility (Note 9)</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senior unsecured revolving credit facility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repayments under PNG credit agreement</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under commercial paper program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the issuance of senior notes (Note 9)</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2,595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senior notes (Note 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proceeds from the sale of common units (Note 10)</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1,099</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general partner</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Distributions paid to common unitholders (Note 10)</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(1,081)</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general partner (Note 10)</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5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by/(used in) financing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403</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396</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Partners’ 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54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Common Unitholders</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Excluding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Noncontrolling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2"/>
                <w:szCs w:val="12"/>
                <w:color w:val="auto"/>
              </w:rPr>
            </w:pPr>
          </w:p>
        </w:tc>
        <w:tc>
          <w:tcPr>
            <w:tcW w:w="13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common units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PNG Merger (Note 10)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common units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Sale of common units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114" w:name="page115"/>
    <w:bookmarkEnd w:id="114"/>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18 for further discussion of our operating segments.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2% general partner interest is held by PAA GP LLC, a Delaware limited liability company, whose sole member is Plains AAP, L.P. (“AAP”), a Delaware limited partnership. In addition to its ownership of PAA GP LLC, AAP also owns all of our incentive distribution rights (“IDRs”). Plains All American GP LLC (“GP LLC”), a Delaware limited liability company, is AAP’s general partner. Plains GP Holdings, L.P. (“PAGP”) is the sole member of GP LLC, and at December 31, 2015, owned an approximate 38% limited partner interest in AAP.</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LLC,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AOCI</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Bcf</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Billion cubic feet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Btu</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British thermal unit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CAD</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Canadian dollar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CERCLA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Federal Comprehensive Environmental Response, Compensation and Liability Act, as amended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DERs</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EBITDA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EPA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FASB</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GAAP</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ICE</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Intercontinental Exchange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IDR</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Incentive distribution right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IPO</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Initial public offering</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LTIP</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Long-term incentive plan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Mcf</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Thousand cubic feet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Master limited partnership</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MQD</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NGL</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NYMEX</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NYSE</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New York Stock Exchange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Oxy</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PLA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Pipeline loss allowance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PNG</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PAA Natural Gas Storage, L.P.</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RCRA</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Federal Resource Conservation and Recovery Act, as amended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USD</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United States dollar</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WTI</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380" w:type="dxa"/>
            <w:vAlign w:val="bottom"/>
          </w:tcPr>
          <w:p>
            <w:pPr>
              <w:ind w:left="180"/>
              <w:spacing w:after="0"/>
              <w:rPr>
                <w:sz w:val="20"/>
                <w:szCs w:val="20"/>
                <w:color w:val="auto"/>
              </w:rPr>
            </w:pPr>
            <w:r>
              <w:rPr>
                <w:rFonts w:ascii="Arial" w:cs="Arial" w:eastAsia="Arial" w:hAnsi="Arial"/>
                <w:sz w:val="18"/>
                <w:szCs w:val="18"/>
                <w:color w:val="auto"/>
              </w:rPr>
              <w:t>West Texas Intermediate</w:t>
            </w:r>
          </w:p>
        </w:tc>
      </w:tr>
      <w:tr>
        <w:trPr>
          <w:trHeight w:val="432"/>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80" w:type="dxa"/>
            <w:vAlign w:val="bottom"/>
          </w:tcPr>
          <w:p>
            <w:pPr>
              <w:ind w:left="3500"/>
              <w:spacing w:after="0"/>
              <w:rPr>
                <w:sz w:val="20"/>
                <w:szCs w:val="20"/>
                <w:color w:val="auto"/>
              </w:rPr>
            </w:pPr>
            <w:r>
              <w:rPr>
                <w:rFonts w:ascii="Arial" w:cs="Arial" w:eastAsia="Arial" w:hAnsi="Arial"/>
                <w:sz w:val="18"/>
                <w:szCs w:val="18"/>
                <w:color w:val="auto"/>
              </w:rPr>
              <w:t>F-9</w:t>
            </w:r>
          </w:p>
        </w:tc>
      </w:tr>
      <w:tr>
        <w:trPr>
          <w:trHeight w:val="132"/>
        </w:trPr>
        <w:tc>
          <w:tcPr>
            <w:tcW w:w="1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accompanying financial statements and related notes present and discuss our consolidated financial position as of December 31, 2015 and 2014, and the consolidated results of our operations, cash flows, changes in partners’ capital, comprehensive income and changes in accumulated other comprehensive income/(loss) for the years ended December 31, 2015, 2014 and 2013. All significant intercompany transactions have been eliminated in consolidation, and certain reclassifications have been made to information from previous years to conform to the current presentation. These reclassifications do not affect net income attributable to PAA. The accompanying consolidated financial statements include the accounts of PAA and all of its wholly owned subsidiaries and those entities that it controls.</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Consolidated Statement of Changes in Partners’ Capital for the period ended December 31, 2015 includes an adjustment of $50 million to correct the misclassifications in prior periods of amounts allocated between our common unitholders and general partner. We have assessed the impact of the misclassification on current and prior periods and have determined the impacts are not material in any period.</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ectPr>
          <w:pgSz w:w="11900" w:h="16861" w:orient="portrait"/>
          <w:cols w:equalWidth="0" w:num="1">
            <w:col w:w="11460"/>
          </w:cols>
          <w:pgMar w:left="240" w:top="121" w:right="199" w:bottom="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On December 31, 2013, with the approval of PNG’s common unitholders, PNG became our wholly-owned subsidiary through a unit-for-unit exchange (referred to herein as the “PNG Merger”). See Note 10 for further discussion. Since we historically consolidated PNG for financial reporting purposes, the PNG Merger did not change the basis of consolidation of our historical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fair value of derivatives, (iv) accruals and contingent liabilities,</w:t>
      </w:r>
    </w:p>
    <w:p>
      <w:pPr>
        <w:spacing w:after="0" w:line="2" w:lineRule="exact"/>
        <w:rPr>
          <w:sz w:val="20"/>
          <w:szCs w:val="20"/>
          <w:color w:val="auto"/>
        </w:rPr>
      </w:pPr>
    </w:p>
    <w:p>
      <w:pPr>
        <w:jc w:val="both"/>
        <w:ind w:right="560" w:firstLine="8"/>
        <w:spacing w:after="0" w:line="323" w:lineRule="auto"/>
        <w:tabs>
          <w:tab w:leader="none" w:pos="2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equity-indexed compensation plan accruals, (vi) property and equipment, depreciation expense and asset retirement obligations, (vii) allowance for doubtful accounts and (viii) inventory valuations. Although we believe these estimates are reasonable, actual results could differ from these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Supply and Logistics Segment Revenues. </w:t>
      </w:r>
      <w:r>
        <w:rPr>
          <w:rFonts w:ascii="Arial" w:cs="Arial" w:eastAsia="Arial" w:hAnsi="Arial"/>
          <w:sz w:val="18"/>
          <w:szCs w:val="18"/>
          <w:color w:val="auto"/>
        </w:rPr>
        <w:t>Revenues from sales of crude oil, NGL and natural gas are recognized at the time title to the product sold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purchaser, which occurs upon delivery of the product to the purchaser or its designee. Sales of crude oil and NGL consist of outright sales contracts. Inventory purchases and sales under buy/sell transactions are treated as inventory exchanges. The sales under these exchanges are netted to zero in Supply and Logistics segment revenues in our Consolidated Statements of Operations.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we may utilize derivatives in connection with the transactions described above. For commodity derivatives that are designated as cash flow hedges, derivative gains and losses are deferred in AOCI and recognized in revenues in the periods during which the underlying physical hedged transaction impacts earnings. Also, the ineffective portion of the change in fair value of cash flow hedges is recognized in revenues each period along with the change in fair value of derivatives that do not qualify for or are not designated for hedge accounting.</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 xml:space="preserve">Transportation Segment Revenues. </w:t>
      </w:r>
      <w:r>
        <w:rPr>
          <w:rFonts w:ascii="Arial" w:cs="Arial" w:eastAsia="Arial" w:hAnsi="Arial"/>
          <w:sz w:val="18"/>
          <w:szCs w:val="18"/>
          <w:color w:val="auto"/>
        </w:rPr>
        <w:t>Our Transportation segment operations generally consist of fee-based activities associated with transporting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NGL on pipelines, gathering systems, trucks and barges. Revenues from pipeline tariffs and fees are associated with the transportation of crude oil and NGL at a published tariff, as well as revenues associated with agreements for committed space on various assets. Tariff revenues are recognized either at the point of delivery or at the point of receipt pursuant to specifications outlined in the regulated and non-regulated tariffs. Revenues associated with fees are recognized in the month to which the fee applies. The majority of our pipeline tariff and fee revenues are based on actual volumes and rates.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93"/>
        <w:spacing w:after="0" w:line="255" w:lineRule="auto"/>
        <w:rPr>
          <w:sz w:val="20"/>
          <w:szCs w:val="20"/>
          <w:color w:val="auto"/>
        </w:rPr>
      </w:pPr>
      <w:r>
        <w:rPr>
          <w:rFonts w:ascii="Arial" w:cs="Arial" w:eastAsia="Arial" w:hAnsi="Arial"/>
          <w:sz w:val="18"/>
          <w:szCs w:val="18"/>
          <w:i w:val="1"/>
          <w:iCs w:val="1"/>
          <w:color w:val="auto"/>
        </w:rPr>
        <w:t xml:space="preserve">Facilities Segment Revenues. </w:t>
      </w:r>
      <w:r>
        <w:rPr>
          <w:rFonts w:ascii="Arial" w:cs="Arial" w:eastAsia="Arial" w:hAnsi="Arial"/>
          <w:sz w:val="18"/>
          <w:szCs w:val="18"/>
          <w:color w:val="auto"/>
        </w:rPr>
        <w:t>Our Facilities segment operations generally consist of fee-based activities associated with providing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terminalling and throughput services for crude oil, refined products,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w:t>
      </w:r>
    </w:p>
    <w:p>
      <w:pPr>
        <w:spacing w:after="0" w:line="189" w:lineRule="exact"/>
        <w:rPr>
          <w:sz w:val="20"/>
          <w:szCs w:val="20"/>
          <w:color w:val="auto"/>
        </w:rPr>
      </w:pPr>
    </w:p>
    <w:p>
      <w:pPr>
        <w:ind w:right="60" w:firstLine="693"/>
        <w:spacing w:after="0" w:line="255" w:lineRule="auto"/>
        <w:rPr>
          <w:sz w:val="20"/>
          <w:szCs w:val="20"/>
          <w:color w:val="auto"/>
        </w:rPr>
      </w:pPr>
      <w:r>
        <w:rPr>
          <w:rFonts w:ascii="Arial" w:cs="Arial" w:eastAsia="Arial" w:hAnsi="Arial"/>
          <w:sz w:val="18"/>
          <w:szCs w:val="18"/>
          <w:color w:val="auto"/>
        </w:rPr>
        <w:t>We generate revenue through a combination of month-to-month and multi-year agreements and processing arrangements. Storage fees resulting from short-term and long-term contracts are typically recognized in revenue ratably over the term of the contract regardless of the actual storage capacity utilized. Terminal fees (including throughput and rail fees) are recognized as the crude oil, NGL or refined product enters or exits the terminal and is received from or delivered to the connecting carrier or third-party terminal, as applicable. Hub service fees are recognized in the period the natural gas moves across our header system. Fees from NGL fractionation, isomerization services and gas processing services are recognized in the period when the services are performed.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deliver, transport or throughput a minimum volume over</w:t>
      </w:r>
      <w:r>
        <w:rPr>
          <w:rFonts w:ascii="Arial" w:cs="Arial" w:eastAsia="Arial" w:hAnsi="Arial"/>
          <w:sz w:val="18"/>
          <w:szCs w:val="18"/>
          <w:i w:val="1"/>
          <w:iCs w:val="1"/>
          <w:color w:val="auto"/>
        </w:rPr>
        <w:t xml:space="preserve"> </w:t>
      </w:r>
      <w:r>
        <w:rPr>
          <w:rFonts w:ascii="Arial" w:cs="Arial" w:eastAsia="Arial" w:hAnsi="Arial"/>
          <w:sz w:val="18"/>
          <w:szCs w:val="18"/>
          <w:color w:val="auto"/>
        </w:rPr>
        <w:t>an agreed upon period. Some of these agreements include make-up rights if the minimum volume is not met. At December 31, 2015, counterparty deficiencies associated with agreements that include minimum volume commitments totaled $33 million.</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w:t>
      </w:r>
    </w:p>
    <w:p>
      <w:pPr>
        <w:spacing w:after="0" w:line="15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December 31, 2015 and 2014, we had deferred revenue associated with minimum volume commitments of $17 million and $4 million, respectively. In addition to the amounts recorded as deferred revenue, as of December 31, 2015, there was $16 million of accrued deficiencies for which the counterparties had not met their contractual minimum commitments, but we had not yet billed or collected such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ectPr>
          <w:pgSz w:w="11900" w:h="16838" w:orient="portrait"/>
          <w:cols w:equalWidth="0" w:num="1">
            <w:col w:w="11420"/>
          </w:cols>
          <w:pgMar w:left="240" w:top="337" w:right="239" w:bottom="100" w:gutter="0" w:footer="0" w:header="0"/>
        </w:sectPr>
      </w:pPr>
    </w:p>
    <w:bookmarkStart w:id="116" w:name="page117"/>
    <w:bookmarkEnd w:id="116"/>
    <w:p>
      <w:pPr>
        <w:ind w:right="60" w:firstLine="648"/>
        <w:spacing w:after="0" w:line="257" w:lineRule="auto"/>
        <w:rPr>
          <w:sz w:val="20"/>
          <w:szCs w:val="20"/>
          <w:color w:val="auto"/>
        </w:rPr>
      </w:pPr>
      <w:r>
        <w:rPr>
          <w:rFonts w:ascii="Arial" w:cs="Arial" w:eastAsia="Arial" w:hAnsi="Arial"/>
          <w:sz w:val="18"/>
          <w:szCs w:val="18"/>
          <w:color w:val="auto"/>
        </w:rPr>
        <w:t>Purchases and related costs include (i) the cost of crude oil, NGL and natural gas obtained in outright purchases, (ii) fees incurred for third-party storage and transportation, whether by pipeline, truck, rail, ship or barge, (iii) interest cost attributable to borrowings for inventory stored in a contango market and (iv) performance-related bonus costs. These costs are recognized when incurred except in the case of products purchased, which are recognized at the time title transfers to us. Purchases that are part of exchanges under buy/sell transactions are netted with the related sales, with any margin presented in “Purchases and related costs” in our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Field operating costs consist of various field operating expenses, including fuel and power costs (including the impact of gains and losses from derivative related activities), telecommunications, payroll and benefit costs (including equity-indexed compensation expense) for truck drivers and field and other operations personnel, third-party trucking transportation costs for our U.S. crude oil operations, maintenance and integrity management costs, regulatory compliance, environmental remediation, insurance, vehicle leases, and property taxes. General and administrative expenses consist primarily of payroll and benefit costs (including equity-indexed compensation expense), certain information systems and legal costs, office rent, contract and consultant costs and audit and tax fees.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net gain of $21 million for the year ended December 31, 2015, a net loss of $13 million for the year ended December 31, 2014 and a net gain of $1 million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our policy, outstanding checks are classified as accounts payable rather than negative cash. As of December 31, 2015 and 2014, accounts payable included $60 million and $94 million, respectively, of outstanding checks that were reclassified from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sustained decrease in commodity prices since late 2014 has caused liquidity issues throughout the energy industry, which in turn has increased the potential credit risks associated with certain counterparties with which we do business.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December 31, 2015 and 2014, we had received $88 million and $180 million, respectively, of advance cash payments from third parties to mitigate credit risk. We also received $36 million and $198 million as of December 31, 2015 and 2014, respectively, of standby letters of credit to support obligations due from third parties, a portion of which applies to future business. The decrease in standby letters of credit and advance cash payments from third parties as of December 31, 2015 compared to December 31, 2014 was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7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2015 and 2014, substantially all of our trade accounts receivable (net of allowance for doubtful accounts) were less than 30 days past their scheduled invoice date. Our allowance for doubtful accounts receivable totaled $4 million at both December 31, 2015 and 2014. Although we consider our allowance for doubtful accounts receivable to be adequate, actual amounts could vary significantly from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account for noncontrolling interests in subsidiaries in accordance with FASB guidance, which requires all entities to report noncontrolling interests in subsidiaries as a component of equity in the consolidated financial statements. Noncontrolling interest represents the portion of assets and liabilities in a consolidated subsidiary that is owned by a third-party. See Note 10 for additional discussion regarding our noncontrolling interests.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0" w:gutter="0" w:footer="0" w:header="0"/>
        </w:sectPr>
      </w:pPr>
    </w:p>
    <w:bookmarkStart w:id="117" w:name="page118"/>
    <w:bookmarkEnd w:id="117"/>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1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$35 million and $36 million, respectively, at December 31, 2015 and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11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income for partners’ capital presentation purposes is allocated to our general partner and common unitholders in accordance with their respective partnership percentages, after giving effect to priority income allocations for incentive distributions, if any, to our general partner (the holder of the IDRs pursuant to our partnership agreement), which are declared and paid following the close of each quarter. For purposes of determining basic and diluted net income per common unit, income is allocated pursuant to the two-class method for MLPs as prescribed in FASB guidance. See Note 3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See the respective footnotes for our accounting policies regarding (i) net income per common unit, (ii) inventory, linefill and base gas and long-term inventory, (iii) property and equipment, (iv) goodwill, (v) investments in unconsolidated entities, (vi) other long-term assets, net, (vii) derivatives and risk management activities, (viii) income taxes, (ix) equity-indexed compensation and (x) legal and environmental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November 2015, the FASB issued guidance to simplify the balance sheet classification of deferred taxes by requiring that deferred tax liabilities and assets be classified as noncurrent. This guidance is effective for interim and annual periods beginning after December 15, 2016, with early adoption permitted, and may be applied prospectively or retrospectively to all periods presented. We early adopted this guidance during the fourth quarter of 2015, with prospective application. Prior period amounts presented have not been retrospectively adjusted. Our adoption did not have a material impact on our financial position, results of operations or cash flows.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September 2015, the FASB issued guidance to simplify the accounting for measurement-period adjustments for provisional amounts recognized in a business combination by eliminating the requirement for an acquirer to retrospectively account for measurement-period adjustments. Under the updated guidance, the acquirer must recognize adjustments in the reporting period in which the adjustment amounts are determined and the effect on earnings as a result of the change to the provisional amounts must be calculated as if the accounting had been completed at the acquisition date. This guidance will become effective for interim and annual periods beginning after December 15, 2015, with early adoption permitted, and must be applied prospectively. We adopted this guidance on January 1, 2016. Our adoption did not have a material impact on our financial position, results of operations or cash flows.</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July 2015, the FASB issued guidance to simplify the measurement of inventory. This updated guidance requires entities to measure inventory at the lower of cost and net realizable value; however, inventory measured using last-in, first-out and the retail inventory method is unchanged by this update. This guidance will become effective for interim and annual periods beginning after December 15, 2016, with prospective application required. Early adoption is permitted, including adoption in an interim period. We expect to adopt this guidance on January 1, 2017, and we do not anticipate that our adoption will have a material impact on our financial position, results of operations or cash flows.</w:t>
      </w:r>
    </w:p>
    <w:p>
      <w:pPr>
        <w:spacing w:after="0" w:line="17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April 2015, the FASB issued guidance to simplify the presentation of debt issuance costs in entities’ financial statements. This updated guidance requires entities to present certain debt issuance costs as a direct deduction from the related debt liability, consistent with debt discounts. Additionally, amortization of debt issuance costs is required to be reported as interest expense. This guidance became effective for interim and annual periods beginning after December 15, 2015, with retrospective application required for all prior periods presented and early adoption permitted. We early adopted this guidance</w:t>
      </w:r>
    </w:p>
    <w:p>
      <w:pPr>
        <w:sectPr>
          <w:pgSz w:w="11900" w:h="16877" w:orient="portrait"/>
          <w:cols w:equalWidth="0" w:num="1">
            <w:col w:w="11420"/>
          </w:cols>
          <w:pgMar w:left="240" w:top="125" w:right="239" w:bottom="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during the fourth quarter of 2015 and have retroactively adjusted all prior period information presented in this Form 10-K. Our adoption of this guidance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resulted in the reclassification of $58 million of unamortized debt issuance costs from “Other long-term assets, net” to “Senior notes, net of unamortized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discounts and debt issuance costs” in our accompanying Consolidated Balance Sheet as of December 31, 2014. Additionally,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and 2013, we reclassified $8 million and $10 million, respectively, from “Depreciation and amortization” to “Interest expense, net”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accompanying Consolidated Statement of Operations related to the presentation of the amortization of debt issuance costs. Our adoption of this guidance did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impact our Consolidated Statements of Comprehensive Income, Cash Flows or Changes in Partners’ Capital.</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180" w:firstLine="8"/>
        <w:spacing w:after="0" w:line="292" w:lineRule="auto"/>
        <w:tabs>
          <w:tab w:leader="none" w:pos="2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adopted this guidance on January 1, 2016. Our adoption did not have a material impact on our financial position, results of operations or cash flows.</w:t>
      </w:r>
    </w:p>
    <w:p>
      <w:pPr>
        <w:spacing w:after="0" w:line="16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August 2015, the FASB issued guidance deferring the effective date to interim and annual periods beginning after December 15, 2017. Therefore, we expect to adopt this guidance on January 1, 2018, and we are currently evaluating which transition approach to apply and the impact that adopting this guidance will have on our financial position, results of operations and cash flows.</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Basic and diluted net income per common unit is determined pursuant to the two-class method for MLPs as prescribed in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the amount allocated to the general partner’s interest, IDRs and participating securities)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Diluted net income per common unit is computed based on the weighted-average number of common units plus the effect of dilutive potential common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common unit repurchase based on the remaining unamortized fair value, as prescribed by the treasury stock method in guidance issued by the FASB. See Note 15 for a complete discussion of our LTIP awards including specific discussion regarding 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income per common unit for the periods indicated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Net income attributable to PAA</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Less: Undistributed (earnings)/loss allocated to general partner and participating</w:t>
            </w: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54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6"/>
              </w:rPr>
              <w:t>Net income attributable to common unitholders in accordance with application of the</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620" w:type="dxa"/>
            <w:vAlign w:val="bottom"/>
            <w:vMerge w:val="continue"/>
          </w:tcPr>
          <w:p>
            <w:pPr>
              <w:spacing w:after="0"/>
              <w:rPr>
                <w:sz w:val="15"/>
                <w:szCs w:val="15"/>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100" w:type="dxa"/>
            <w:vAlign w:val="bottom"/>
            <w:vMerge w:val="restart"/>
          </w:tcPr>
          <w:p>
            <w:pPr>
              <w:spacing w:after="0"/>
              <w:rPr>
                <w:sz w:val="15"/>
                <w:szCs w:val="15"/>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878</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two-class method for MLPs</w:t>
            </w:r>
          </w:p>
        </w:tc>
        <w:tc>
          <w:tcPr>
            <w:tcW w:w="94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Basic net income per common unit</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PAA</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9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w w:val="97"/>
              </w:rPr>
              <w:t>Less: Undistributed (earnings)/loss allocated to general partner and participating</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19" w:name="page120"/>
    <w:bookmarkEnd w:id="1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w w:val="96"/>
              </w:rPr>
              <w:t>Net income attributable to common unitholders in accordance with application of the</w:t>
            </w:r>
          </w:p>
        </w:tc>
        <w:tc>
          <w:tcPr>
            <w:tcW w:w="580" w:type="dxa"/>
            <w:vAlign w:val="bottom"/>
            <w:vMerge w:val="restart"/>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560" w:type="dxa"/>
            <w:vAlign w:val="bottom"/>
            <w:vMerge w:val="restart"/>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two-class method for MLPs</w:t>
            </w:r>
          </w:p>
        </w:tc>
        <w:tc>
          <w:tcPr>
            <w:tcW w:w="5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Effect of dilutive securities: Weighted average LTIP units</w:t>
            </w:r>
          </w:p>
        </w:tc>
        <w:tc>
          <w:tcPr>
            <w:tcW w:w="5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per common unit</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line="238" w:lineRule="auto"/>
        <w:tabs>
          <w:tab w:leader="none" w:pos="648" w:val="left"/>
        </w:tabs>
        <w:numPr>
          <w:ilvl w:val="0"/>
          <w:numId w:val="104"/>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the terms of our partnership agreement, the general partner’s incentive distribution is limited to a percentage of available cash, which, as defined in our partnership agreement, is net of reserves deemed appropriate. As such, IDRs are not allocated undistributed earnings or distributions in excess of earnings in the calculation of net income per common unit. If, however, undistributed earnings were allocated to our IDRs beyond amounts distributed to them under the terms of our partnership agreement, basic and diluted net income per common unit as reflected in the table above would be impacted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income per common unit impact</w:t>
            </w: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6"/>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 impact</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4—Inventory, Linefill and Base Gas and Long-term Inventory</w:t>
            </w: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Inventory primarily consists of crude oil, NGL and natural gas in pipelines, storage facilities and railcars that are valued at the lower of cost or market,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2015, 2014 and 2013, we recorded charges of $117 million, $289 million and $7 million, respectively, related to the writedown of our crude oil, NGL and natural gas inventory due to declines in prices. In addition, the charges recorded during the year ended December 31, 2014 included the writedown of our natural gas inventory that was purchased in conjunction with managing natural gas storage deliverability requirements during the extended period of severe cold weather in the first quarter of 2014. A portion of these adjustments was offset by the recognition of gains on derivative instruments being utilized to hedge the future sales of our crude oil and NGL inventory. Substantially all of such gains were recorded to “Supply and Logistics segment revenues” in our accompanying Consolidated Statement of Operations. See Note 11 for discussion of our derivative and risk management activities.</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Linefill and base gas and minimum working inventory requirements in assets we own are recorded at historical cost and consist of crude oil, NGL and natural gas. We classify as linefill or base gas (i) 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 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5 for further discussion regarding impairment of long-lived assets. During 2015, 2014 and 2013, we did not recognize any impairments of linefill and base gas, but we did recognize gains of less than $1 million, $8 million and $7 million, respectively, on the sale of linefill and base gas for proceeds of $1 million, $24 million and $40 million, respectively.</w:t>
      </w:r>
    </w:p>
    <w:p>
      <w:pPr>
        <w:spacing w:after="0" w:line="197"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in “Other assets” on our Consolidated Balance Sheets.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Volumes</w:t>
            </w:r>
          </w:p>
        </w:tc>
        <w:tc>
          <w:tcPr>
            <w:tcW w:w="1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2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Unit of</w:t>
            </w:r>
          </w:p>
        </w:tc>
        <w:tc>
          <w:tcPr>
            <w:tcW w:w="12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70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Measure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1040" w:type="dxa"/>
            <w:vAlign w:val="bottom"/>
            <w:gridSpan w:val="2"/>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Measure</w:t>
            </w: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3"/>
              </w:rPr>
              <w:t xml:space="preserve">Unit </w:t>
            </w:r>
            <w:r>
              <w:rPr>
                <w:rFonts w:ascii="Arial" w:cs="Arial" w:eastAsia="Arial" w:hAnsi="Arial"/>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16,345</w:t>
            </w: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37.20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6,465</w:t>
            </w: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13,907</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13,553</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53"/>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Natural gas</w:t>
            </w:r>
          </w:p>
        </w:tc>
        <w:tc>
          <w:tcPr>
            <w:tcW w:w="9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22,080</w:t>
            </w:r>
          </w:p>
        </w:tc>
        <w:tc>
          <w:tcPr>
            <w:tcW w:w="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Mcf</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2.40</w:t>
            </w:r>
          </w:p>
        </w:tc>
        <w:tc>
          <w:tcPr>
            <w:tcW w:w="10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32,317</w:t>
            </w: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ectPr>
          <w:pgSz w:w="11900" w:h="16900" w:orient="portrait"/>
          <w:cols w:equalWidth="0" w:num="1">
            <w:col w:w="11420"/>
          </w:cols>
          <w:pgMar w:left="240" w:top="91" w:right="239" w:bottom="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Inventory subtotal</w:t>
            </w:r>
          </w:p>
        </w:tc>
        <w:tc>
          <w:tcPr>
            <w:tcW w:w="1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12,298</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57.98</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11,810</w:t>
            </w:r>
          </w:p>
        </w:tc>
        <w:tc>
          <w:tcPr>
            <w:tcW w:w="1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32.64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200" w:type="dxa"/>
            <w:vAlign w:val="bottom"/>
          </w:tcPr>
          <w:p>
            <w:pPr>
              <w:ind w:left="120"/>
              <w:spacing w:after="0"/>
              <w:rPr>
                <w:sz w:val="20"/>
                <w:szCs w:val="20"/>
                <w:color w:val="auto"/>
              </w:rPr>
            </w:pPr>
            <w:r>
              <w:rPr>
                <w:rFonts w:ascii="Arial" w:cs="Arial" w:eastAsia="Arial" w:hAnsi="Arial"/>
                <w:sz w:val="18"/>
                <w:szCs w:val="18"/>
                <w:color w:val="auto"/>
              </w:rPr>
              <w:t>barrels</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30,812</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4.58</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28,612</w:t>
            </w:r>
          </w:p>
        </w:tc>
        <w:tc>
          <w:tcPr>
            <w:tcW w:w="1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Mcf</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Linefill and base gas subtotal</w:t>
            </w:r>
          </w:p>
        </w:tc>
        <w:tc>
          <w:tcPr>
            <w:tcW w:w="1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3,417</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31.02</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2,582</w:t>
            </w:r>
          </w:p>
        </w:tc>
        <w:tc>
          <w:tcPr>
            <w:tcW w:w="1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NGL</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1,652</w:t>
            </w: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barrels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13.92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1,681</w:t>
            </w:r>
          </w:p>
        </w:tc>
        <w:tc>
          <w:tcPr>
            <w:tcW w:w="1200" w:type="dxa"/>
            <w:vAlign w:val="bottom"/>
          </w:tcPr>
          <w:p>
            <w:pPr>
              <w:ind w:left="120"/>
              <w:spacing w:after="0"/>
              <w:rPr>
                <w:sz w:val="20"/>
                <w:szCs w:val="20"/>
                <w:color w:val="auto"/>
              </w:rPr>
            </w:pPr>
            <w:r>
              <w:rPr>
                <w:rFonts w:ascii="Arial" w:cs="Arial" w:eastAsia="Arial" w:hAnsi="Arial"/>
                <w:sz w:val="18"/>
                <w:szCs w:val="18"/>
                <w:color w:val="auto"/>
              </w:rPr>
              <w:t>barrels</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652"/>
        <w:spacing w:after="0" w:line="227" w:lineRule="auto"/>
        <w:tabs>
          <w:tab w:leader="none" w:pos="648"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2015, 2014 and 2013, capitalized interest was $57 million, $48 million and $38 million, respectively. We also capitalize expenditures for the replacement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Estimated Useful</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6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Lives (Years)</w:t>
            </w: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Pipelines and related facilities</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10 - 70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Storage, terminal and rail facilities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30 - 70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5,012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Office property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Land and other</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(2,180)</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(1,906)</w:t>
            </w:r>
          </w:p>
        </w:tc>
      </w:tr>
      <w:tr>
        <w:trPr>
          <w:trHeight w:val="210"/>
        </w:trPr>
        <w:tc>
          <w:tcPr>
            <w:tcW w:w="66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We calculate our depreciation using the straight-line method, based on estimated useful lives and salvage values of our assets. Depreciation expense for the years ended December 31, 2015, 2014 and 2013 was $380 million, $319 million and $259 million, respectively. We also classify gains and losses on sales of assets and asset impairments as a component of “Depreciation and amortization” in our Consolidated Statements of Operations. See “Impairment of Long-Lived Assets” below for a discussion of our policy for the recognition of asset impairments.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181" w:lineRule="exact"/>
        <w:rPr>
          <w:sz w:val="20"/>
          <w:szCs w:val="20"/>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ectPr>
          <w:pgSz w:w="11900" w:h="16838" w:orient="portrait"/>
          <w:cols w:equalWidth="0" w:num="1">
            <w:col w:w="11420"/>
          </w:cols>
          <w:pgMar w:left="240" w:top="140" w:right="239" w:bottom="5" w:gutter="0" w:footer="0" w:header="0"/>
        </w:sectPr>
      </w:pPr>
    </w:p>
    <w:bookmarkStart w:id="121" w:name="page122"/>
    <w:bookmarkEnd w:id="121"/>
    <w:p>
      <w:pPr>
        <w:spacing w:after="0" w:line="62"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We did not recognize any impairments during the year ended December 31, 2015. During the years ended December 31, 2014 and 2013, we recognized impairments of $10 million and $20 million, respectively, primarily related to assets that were taken out of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two-step, quantitative approach to testing goodwill for impairment; however, we may first assess certain qualitative factors to determine whether it is necessary to perform the two-step goodwill impairment test. We did not elect to apply this qualitative assessment during our 2015 annual goodwill impairment test, but proceeded directly to the two-step, quantitative test.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to the book value. A goodwill impairment loss is recognized if the carrying amount exceeds its fair value.</w:t>
      </w:r>
    </w:p>
    <w:p>
      <w:pPr>
        <w:spacing w:after="0" w:line="18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Through Step 1 of our annual testing of goodwill for potential impairment, which also includes a sensitivity analysis regarding the excess of our reporting unit’s fair value over book value, we determined that the fair value of each reporting unit was substantially greater than its respective book value; therefore, goodwill was not considered impaired. We did not recognize any material impairments of goodwill during the last three years.</w:t>
      </w:r>
    </w:p>
    <w:p>
      <w:pPr>
        <w:spacing w:after="0" w:line="16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As of December 31, 2015, as a result of industry conditions, we considered qualitative factors to determine whether a triggering event had occurred, which would require that a Step 1 impairment test be performed as of the end of the year. A triggering event is a determination that it is more likely than not that the fair value of any reporting unit was less than its carrying value. Based on our assessment, we concluded that a triggering event had not occurred as of December 31, 2015. However, significant negative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variances in the assumptions and estimates utilized in our forecasts, such as a continued decline in petroleum commodity prices or a sustained multi-year low petroleum commodity price environment that results in lower volumes and cash flows or further increases in our weighted average cost of capital assumption, could result in reporting unit carrying values in excess of fair values.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Supply and Logistics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Acquisitions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7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200"/>
              <w:spacing w:after="0" w:line="197" w:lineRule="exact"/>
              <w:rPr>
                <w:sz w:val="20"/>
                <w:szCs w:val="20"/>
                <w:color w:val="auto"/>
              </w:rPr>
            </w:pPr>
            <w:r>
              <w:rPr>
                <w:rFonts w:ascii="Arial" w:cs="Arial" w:eastAsia="Arial" w:hAnsi="Arial"/>
                <w:sz w:val="17"/>
                <w:szCs w:val="17"/>
                <w:color w:val="auto"/>
              </w:rPr>
              <w:t xml:space="preserve">Acquisitions </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80" w:hanging="652"/>
        <w:spacing w:after="0" w:line="227" w:lineRule="auto"/>
        <w:tabs>
          <w:tab w:leader="none" w:pos="648"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color w:val="auto"/>
        </w:rPr>
        <w:t>Goodwill is recorded at the acquisition date based on a preliminary fair value determination. This preliminary goodwill balance may be adjusted when the fair value determination is finalized.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Investments in entities over which we have significant influence but not control are accounted for by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In addition, as applicable, we include a proportionate share of our equity method investees’ unrealized gains and losses in other comprehensive income on our Consolidated Balance Sheets. We also adjust our investment balances in these investees by the like amount.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the following entities are accounted for under the equity method of accounting: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80" w:type="dxa"/>
            <w:vAlign w:val="bottom"/>
            <w:vMerge w:val="restart"/>
          </w:tcPr>
          <w:p>
            <w:pPr>
              <w:spacing w:after="0"/>
              <w:rPr>
                <w:sz w:val="14"/>
                <w:szCs w:val="14"/>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300" w:type="dxa"/>
            <w:vAlign w:val="bottom"/>
            <w:vMerge w:val="restart"/>
          </w:tcPr>
          <w:p>
            <w:pPr>
              <w:spacing w:after="0"/>
              <w:rPr>
                <w:sz w:val="14"/>
                <w:szCs w:val="14"/>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Our Ownership</w:t>
            </w:r>
          </w:p>
        </w:tc>
        <w:tc>
          <w:tcPr>
            <w:tcW w:w="0" w:type="dxa"/>
            <w:vAlign w:val="bottom"/>
          </w:tcPr>
          <w:p>
            <w:pPr>
              <w:spacing w:after="0"/>
              <w:rPr>
                <w:sz w:val="1"/>
                <w:szCs w:val="1"/>
                <w:color w:val="auto"/>
              </w:rPr>
            </w:pPr>
          </w:p>
        </w:tc>
      </w:tr>
      <w:tr>
        <w:trPr>
          <w:trHeight w:val="171"/>
        </w:trPr>
        <w:tc>
          <w:tcPr>
            <w:tcW w:w="6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Settoon Towing, LLC</w:t>
            </w: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BridgeTex Pipeline Company, LLC (“BridgeTex”)</w:t>
            </w:r>
          </w:p>
        </w:tc>
        <w:tc>
          <w:tcPr>
            <w:tcW w:w="3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Crude Oil Pipeline</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Caddo Pipeline LLC (“Caddo”) </w:t>
            </w:r>
            <w:r>
              <w:rPr>
                <w:rFonts w:ascii="Arial" w:cs="Arial" w:eastAsia="Arial" w:hAnsi="Arial"/>
                <w:sz w:val="23"/>
                <w:szCs w:val="23"/>
                <w:color w:val="auto"/>
                <w:vertAlign w:val="superscript"/>
              </w:rPr>
              <w:t>(1)</w:t>
            </w:r>
          </w:p>
        </w:tc>
        <w:tc>
          <w:tcPr>
            <w:tcW w:w="3140" w:type="dxa"/>
            <w:vAlign w:val="bottom"/>
            <w:gridSpan w:val="2"/>
            <w:shd w:val="clear" w:color="auto" w:fill="CCEEFF"/>
          </w:tcPr>
          <w:p>
            <w:pPr>
              <w:jc w:val="center"/>
              <w:ind w:right="280"/>
              <w:spacing w:after="0" w:line="216"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Diamond Pipeline LLC (“Diamond”) </w:t>
            </w:r>
            <w:r>
              <w:rPr>
                <w:rFonts w:ascii="Arial" w:cs="Arial" w:eastAsia="Arial" w:hAnsi="Arial"/>
                <w:sz w:val="23"/>
                <w:szCs w:val="23"/>
                <w:color w:val="auto"/>
                <w:vertAlign w:val="superscript"/>
              </w:rPr>
              <w:t>(1)</w:t>
            </w:r>
          </w:p>
        </w:tc>
        <w:tc>
          <w:tcPr>
            <w:tcW w:w="3140" w:type="dxa"/>
            <w:vAlign w:val="bottom"/>
            <w:gridSpan w:val="2"/>
          </w:tcPr>
          <w:p>
            <w:pPr>
              <w:jc w:val="center"/>
              <w:ind w:right="280"/>
              <w:spacing w:after="0" w:line="216"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84"/>
        </w:trPr>
        <w:tc>
          <w:tcPr>
            <w:tcW w:w="60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Eagle Ford Pipeline LLC</w:t>
            </w:r>
          </w:p>
        </w:tc>
        <w:tc>
          <w:tcPr>
            <w:tcW w:w="41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Crude Oil Pipeline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60" w:type="dxa"/>
            <w:vAlign w:val="bottom"/>
          </w:tcPr>
          <w:p>
            <w:pPr>
              <w:spacing w:after="0" w:line="216" w:lineRule="exact"/>
              <w:rPr>
                <w:sz w:val="20"/>
                <w:szCs w:val="20"/>
                <w:color w:val="auto"/>
              </w:rPr>
            </w:pPr>
            <w:r>
              <w:rPr>
                <w:rFonts w:ascii="Arial" w:cs="Arial" w:eastAsia="Arial" w:hAnsi="Arial"/>
                <w:sz w:val="18"/>
                <w:szCs w:val="18"/>
                <w:color w:val="auto"/>
              </w:rPr>
              <w:t xml:space="preserve">Eagle Ford Terminals Corpus Christi LLC (“Eagle Ford Terminals”) </w:t>
            </w:r>
            <w:r>
              <w:rPr>
                <w:rFonts w:ascii="Arial" w:cs="Arial" w:eastAsia="Arial" w:hAnsi="Arial"/>
                <w:sz w:val="23"/>
                <w:szCs w:val="23"/>
                <w:color w:val="auto"/>
                <w:vertAlign w:val="superscript"/>
              </w:rPr>
              <w:t>(1)</w:t>
            </w:r>
          </w:p>
        </w:tc>
        <w:tc>
          <w:tcPr>
            <w:tcW w:w="4120" w:type="dxa"/>
            <w:vAlign w:val="bottom"/>
          </w:tcPr>
          <w:p>
            <w:pPr>
              <w:jc w:val="center"/>
              <w:ind w:right="170"/>
              <w:spacing w:after="0" w:line="216" w:lineRule="exact"/>
              <w:rPr>
                <w:sz w:val="20"/>
                <w:szCs w:val="20"/>
                <w:color w:val="auto"/>
              </w:rPr>
            </w:pPr>
            <w:r>
              <w:rPr>
                <w:rFonts w:ascii="Arial" w:cs="Arial" w:eastAsia="Arial" w:hAnsi="Arial"/>
                <w:sz w:val="18"/>
                <w:szCs w:val="18"/>
                <w:color w:val="auto"/>
                <w:w w:val="91"/>
              </w:rPr>
              <w:t xml:space="preserve">Crude Oil Terminal and Dock </w:t>
            </w:r>
            <w:r>
              <w:rPr>
                <w:rFonts w:ascii="Arial" w:cs="Arial" w:eastAsia="Arial" w:hAnsi="Arial"/>
                <w:sz w:val="23"/>
                <w:szCs w:val="23"/>
                <w:color w:val="auto"/>
                <w:w w:val="91"/>
                <w:vertAlign w:val="superscript"/>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Frontier Pipeline Company</w:t>
            </w:r>
          </w:p>
        </w:tc>
        <w:tc>
          <w:tcPr>
            <w:tcW w:w="41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Crude Oil Pipeline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860" w:type="dxa"/>
            <w:vAlign w:val="bottom"/>
          </w:tcPr>
          <w:p>
            <w:pPr>
              <w:spacing w:after="0" w:line="216" w:lineRule="exact"/>
              <w:rPr>
                <w:sz w:val="20"/>
                <w:szCs w:val="20"/>
                <w:color w:val="auto"/>
              </w:rPr>
            </w:pPr>
            <w:r>
              <w:rPr>
                <w:rFonts w:ascii="Arial" w:cs="Arial" w:eastAsia="Arial" w:hAnsi="Arial"/>
                <w:sz w:val="18"/>
                <w:szCs w:val="18"/>
                <w:color w:val="auto"/>
              </w:rPr>
              <w:t xml:space="preserve">Saddlehorn Pipeline Company, LLC (“Saddlehorn”) </w:t>
            </w:r>
            <w:r>
              <w:rPr>
                <w:rFonts w:ascii="Arial" w:cs="Arial" w:eastAsia="Arial" w:hAnsi="Arial"/>
                <w:sz w:val="23"/>
                <w:szCs w:val="23"/>
                <w:color w:val="auto"/>
                <w:vertAlign w:val="superscript"/>
              </w:rPr>
              <w:t>(1)</w:t>
            </w:r>
          </w:p>
        </w:tc>
        <w:tc>
          <w:tcPr>
            <w:tcW w:w="4120" w:type="dxa"/>
            <w:vAlign w:val="bottom"/>
          </w:tcPr>
          <w:p>
            <w:pPr>
              <w:jc w:val="center"/>
              <w:ind w:right="170"/>
              <w:spacing w:after="0" w:line="216" w:lineRule="exact"/>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White Cliffs Pipeline, LLC</w:t>
            </w:r>
          </w:p>
        </w:tc>
        <w:tc>
          <w:tcPr>
            <w:tcW w:w="41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2"/>
              </w:rPr>
              <w:t>Crude Oil Pipeline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Butte Pipe Line Company</w:t>
            </w:r>
          </w:p>
        </w:tc>
        <w:tc>
          <w:tcPr>
            <w:tcW w:w="4120" w:type="dxa"/>
            <w:vAlign w:val="bottom"/>
          </w:tcPr>
          <w:p>
            <w:pPr>
              <w:jc w:val="center"/>
              <w:ind w:right="170"/>
              <w:spacing w:after="0"/>
              <w:rPr>
                <w:sz w:val="20"/>
                <w:szCs w:val="20"/>
                <w:color w:val="auto"/>
              </w:rPr>
            </w:pPr>
            <w:r>
              <w:rPr>
                <w:rFonts w:ascii="Arial" w:cs="Arial" w:eastAsia="Arial" w:hAnsi="Arial"/>
                <w:sz w:val="18"/>
                <w:szCs w:val="18"/>
                <w:color w:val="auto"/>
                <w:w w:val="92"/>
              </w:rPr>
              <w:t>Crude Oil Pipeline</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Our initial investment in the entity occurred in 2015.</w:t>
      </w:r>
    </w:p>
    <w:p>
      <w:pPr>
        <w:spacing w:after="0" w:line="167"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108"/>
        </w:numPr>
        <w:rPr>
          <w:rFonts w:ascii="Arial" w:cs="Arial" w:eastAsia="Arial" w:hAnsi="Arial"/>
          <w:sz w:val="23"/>
          <w:szCs w:val="23"/>
          <w:color w:val="auto"/>
          <w:vertAlign w:val="superscript"/>
        </w:rPr>
      </w:pPr>
      <w:r>
        <w:rPr>
          <w:rFonts w:ascii="Arial" w:cs="Arial" w:eastAsia="Arial" w:hAnsi="Arial"/>
          <w:sz w:val="18"/>
          <w:szCs w:val="18"/>
          <w:color w:val="auto"/>
        </w:rPr>
        <w:t>Asset is currently under construction by the entity and has not yet been placed in service.</w:t>
      </w:r>
    </w:p>
    <w:p>
      <w:pPr>
        <w:spacing w:after="0" w:line="20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In November 2014, we acquired a 50% interest in BridgeTex from Oxy. BridgeTex owns a 300,000 barrel-per-day crude oil pipeline that extends from Colorado City in West Texas to a crude oil terminal in East Houston, which we believe is complementary to our existing West Texas assets. We paid cash of $1.088 billion, including working capital adjustments of $13 million, for our interest in BridgeTex.</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consider distributions received from unconsolidated entities as returns on investment in those entities to the extent of cumulative net operating cash flows, and therefore classify these distributions as cash flows from operating activities in our Consolidated Statement of Cash Flows. We define cumulative net operating cash flows as cumulative net income adjusted for certain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41"/>
        <w:spacing w:after="0" w:line="277" w:lineRule="auto"/>
        <w:rPr>
          <w:sz w:val="20"/>
          <w:szCs w:val="20"/>
          <w:color w:val="auto"/>
        </w:rPr>
      </w:pPr>
      <w:r>
        <w:rPr>
          <w:rFonts w:ascii="Arial" w:cs="Arial" w:eastAsia="Arial" w:hAnsi="Arial"/>
          <w:sz w:val="18"/>
          <w:szCs w:val="18"/>
          <w:color w:val="auto"/>
        </w:rPr>
        <w:t>non-cash items such as depreciation and amortization expense. Other distributions received from unconsolidated entities would be considered a return of the investment and classified as cash flows from investing activities on the Consolidated Statement of Cash Flows.</w:t>
      </w:r>
    </w:p>
    <w:p>
      <w:pPr>
        <w:spacing w:after="0" w:line="17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2015, 2014 and 2013, we made cash contributions of $253 million, $158 million and $133 million, respectively, to certain of our equity method investees. </w:t>
      </w:r>
      <w:r>
        <w:rPr>
          <w:rFonts w:ascii="Arial" w:cs="Arial" w:eastAsia="Arial" w:hAnsi="Arial"/>
          <w:sz w:val="17"/>
          <w:szCs w:val="17"/>
          <w:color w:val="auto"/>
        </w:rPr>
        <w:t>The contributions amount for 2015 is net of $53 million of cash received as a</w:t>
      </w:r>
      <w:r>
        <w:rPr>
          <w:rFonts w:ascii="Arial" w:cs="Arial" w:eastAsia="Arial" w:hAnsi="Arial"/>
          <w:sz w:val="18"/>
          <w:szCs w:val="18"/>
          <w:color w:val="auto"/>
        </w:rPr>
        <w:t xml:space="preserve"> </w:t>
      </w:r>
      <w:r>
        <w:rPr>
          <w:rFonts w:ascii="Arial" w:cs="Arial" w:eastAsia="Arial" w:hAnsi="Arial"/>
          <w:sz w:val="17"/>
          <w:szCs w:val="17"/>
          <w:color w:val="auto"/>
        </w:rPr>
        <w:t>return of our investment. We anticipate that we will make additional contributions related to ongoing projects at Diamond, Saddlehorn, Eagle Ford Terminals and Caddo over the next several years.</w:t>
      </w:r>
    </w:p>
    <w:p>
      <w:pPr>
        <w:spacing w:after="0" w:line="19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Our investments in unconsolidated entities exceeded our share of the underlying equity in the net assets of such entities by $760 million and $763 million at December 31, 2015 and 2014,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basis difference is primarily related to our acquisition of an interest in BridgeTex.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Noncurrent assets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r>
      <w:tr>
        <w:trPr>
          <w:trHeight w:val="350"/>
        </w:trPr>
        <w:tc>
          <w:tcPr>
            <w:tcW w:w="6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52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52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Long-Term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as of the dates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Fair value of derivative instruments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0"/>
        </w:trPr>
        <w:tc>
          <w:tcPr>
            <w:tcW w:w="5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Amortization expense for finite-lived intangible assets for the years ended December 31, 2015, 2014 and 2013 was $49 million, $57 million and $85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27" w:gutter="0" w:footer="0" w:header="0"/>
        </w:sectPr>
      </w:pPr>
    </w:p>
    <w:bookmarkStart w:id="123" w:name="page124"/>
    <w:bookmarkEnd w:id="123"/>
    <w:p>
      <w:pPr>
        <w:spacing w:after="0" w:line="7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Our intangible assets that have finite lives consisted of the following as of the dates indicated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December 31, 2015</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December 31, 2014</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Customer contracts and</w:t>
            </w:r>
          </w:p>
        </w:tc>
        <w:tc>
          <w:tcPr>
            <w:tcW w:w="1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 20</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Property tax abatement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7 – 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agreements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880" w:type="dxa"/>
            <w:vAlign w:val="bottom"/>
          </w:tcPr>
          <w:p>
            <w:pPr>
              <w:spacing w:after="0" w:line="216" w:lineRule="exact"/>
              <w:rPr>
                <w:sz w:val="20"/>
                <w:szCs w:val="20"/>
                <w:color w:val="auto"/>
              </w:rPr>
            </w:pPr>
            <w:r>
              <w:rPr>
                <w:rFonts w:ascii="Arial" w:cs="Arial" w:eastAsia="Arial" w:hAnsi="Arial"/>
                <w:sz w:val="18"/>
                <w:szCs w:val="18"/>
                <w:color w:val="auto"/>
              </w:rPr>
              <w:t xml:space="preserve">Emission reduction credits </w:t>
            </w:r>
            <w:r>
              <w:rPr>
                <w:rFonts w:ascii="Arial" w:cs="Arial" w:eastAsia="Arial" w:hAnsi="Arial"/>
                <w:sz w:val="23"/>
                <w:szCs w:val="23"/>
                <w:color w:val="auto"/>
                <w:vertAlign w:val="superscript"/>
              </w:rPr>
              <w:t>(1)</w:t>
            </w: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Emission reduction credits, once surrendered in exchange for environmental permits, are finite-lived.</w:t>
      </w:r>
    </w:p>
    <w:p>
      <w:pPr>
        <w:spacing w:after="0" w:line="20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We estimate that our amortization expense related to finite-lived intangible assets for the next five years will be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2017</w:t>
            </w: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2019</w:t>
            </w:r>
          </w:p>
        </w:tc>
        <w:tc>
          <w:tcPr>
            <w:tcW w:w="6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tcPr>
          <w:p>
            <w:pPr>
              <w:ind w:left="4260"/>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5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Note 9—Debt</w:t>
            </w:r>
          </w:p>
        </w:tc>
        <w:tc>
          <w:tcPr>
            <w:tcW w:w="6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80" w:type="dxa"/>
            <w:vAlign w:val="bottom"/>
            <w:gridSpan w:val="2"/>
          </w:tcPr>
          <w:p>
            <w:pPr>
              <w:ind w:left="640"/>
              <w:spacing w:after="0"/>
              <w:rPr>
                <w:sz w:val="20"/>
                <w:szCs w:val="20"/>
                <w:color w:val="auto"/>
              </w:rPr>
            </w:pPr>
            <w:r>
              <w:rPr>
                <w:rFonts w:ascii="Arial" w:cs="Arial" w:eastAsia="Arial" w:hAnsi="Arial"/>
                <w:sz w:val="18"/>
                <w:szCs w:val="18"/>
                <w:color w:val="auto"/>
              </w:rPr>
              <w:t>Debt consisted of the following as of the dates indicated (in millions):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line="216" w:lineRule="exact"/>
              <w:rPr>
                <w:sz w:val="20"/>
                <w:szCs w:val="20"/>
                <w:color w:val="auto"/>
              </w:rPr>
            </w:pPr>
            <w:r>
              <w:rPr>
                <w:rFonts w:ascii="Arial" w:cs="Arial" w:eastAsia="Arial" w:hAnsi="Arial"/>
                <w:sz w:val="18"/>
                <w:szCs w:val="18"/>
                <w:color w:val="auto"/>
                <w:w w:val="95"/>
              </w:rPr>
              <w:t xml:space="preserve">Commercial paper notes, bearing a weighted-average interest rate of 1.1% and 0.46%, respectively </w:t>
            </w:r>
            <w:r>
              <w:rPr>
                <w:rFonts w:ascii="Arial" w:cs="Arial" w:eastAsia="Arial" w:hAnsi="Arial"/>
                <w:sz w:val="23"/>
                <w:szCs w:val="23"/>
                <w:color w:val="auto"/>
                <w:w w:val="95"/>
                <w:vertAlign w:val="superscript"/>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Senior secured hedged inventory facility, bearing a weighted-average interest rate of 1.4% </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5.25% senior notes due June 2015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3.95% senior notes due September 2015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tcPr>
          <w:p>
            <w:pPr>
              <w:ind w:left="360"/>
              <w:spacing w:after="0"/>
              <w:rPr>
                <w:sz w:val="20"/>
                <w:szCs w:val="20"/>
                <w:color w:val="auto"/>
              </w:rPr>
            </w:pPr>
            <w:r>
              <w:rPr>
                <w:rFonts w:ascii="Arial" w:cs="Arial" w:eastAsia="Arial" w:hAnsi="Arial"/>
                <w:sz w:val="18"/>
                <w:szCs w:val="18"/>
                <w:color w:val="auto"/>
              </w:rPr>
              <w:t>Total short-term debt</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5.88% senior notes due August 2016 </w:t>
            </w:r>
            <w:r>
              <w:rPr>
                <w:rFonts w:ascii="Arial" w:cs="Arial" w:eastAsia="Arial" w:hAnsi="Arial"/>
                <w:sz w:val="23"/>
                <w:szCs w:val="23"/>
                <w:color w:val="auto"/>
                <w:vertAlign w:val="superscript"/>
              </w:rPr>
              <w:t>(2)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6.50% senior notes due May 2018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8.75% senior notes due May 2019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2.60% senior notes due December 2019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5.75% senior notes due January 2020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5.00% senior notes due February 2021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3.65% senior notes due June 2022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2.85% senior notes due January 2023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3.85% senior notes due October 2023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3.60% senior notes due November 2024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4.65% senior notes due October 2025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6.70% senior notes due May 2036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6.65% senior notes due January 2037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5.15% senior notes due June 2042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4.30% senior notes due January 2043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4.70% senior notes due June 2044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4.90% senior notes due February 2045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80"/>
              <w:spacing w:after="0"/>
              <w:rPr>
                <w:sz w:val="20"/>
                <w:szCs w:val="20"/>
                <w:color w:val="auto"/>
              </w:rPr>
            </w:pPr>
            <w:r>
              <w:rPr>
                <w:rFonts w:ascii="Arial" w:cs="Arial" w:eastAsia="Arial" w:hAnsi="Arial"/>
                <w:sz w:val="18"/>
                <w:szCs w:val="18"/>
                <w:color w:val="auto"/>
              </w:rPr>
              <w:t>Unamortized discounts and debt issuance costs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Commercial paper notes, bearing a weighted-average interest rate of 1.1% </w:t>
            </w:r>
            <w:r>
              <w:rPr>
                <w:rFonts w:ascii="Arial" w:cs="Arial" w:eastAsia="Arial" w:hAnsi="Arial"/>
                <w:sz w:val="23"/>
                <w:szCs w:val="23"/>
                <w:color w:val="auto"/>
                <w:vertAlign w:val="superscript"/>
              </w:rPr>
              <w:t>(2)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long-term debt</w:t>
            </w:r>
          </w:p>
        </w:tc>
        <w:tc>
          <w:tcPr>
            <w:tcW w:w="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gridSpan w:val="2"/>
            <w:shd w:val="clear" w:color="auto" w:fill="CCEEFF"/>
          </w:tcPr>
          <w:p>
            <w:pPr>
              <w:ind w:left="54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-6124575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-6124575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60" w:hanging="652"/>
        <w:spacing w:after="0" w:line="234" w:lineRule="auto"/>
        <w:tabs>
          <w:tab w:leader="none" w:pos="648"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color w:val="auto"/>
        </w:rPr>
        <w:t>We classified these commercial paper notes and credit facility borrowings as short-term at December 31, 2015 and 2014, as these notes and borrowings were primarily designated as working capital borrowings, were required to be repaid within one year and were primarily for hedged NGL and crude oil inventory and NYMEX and ICE margin deposits.</w:t>
      </w:r>
    </w:p>
    <w:p>
      <w:pPr>
        <w:sectPr>
          <w:pgSz w:w="11900" w:h="16910" w:orient="portrait"/>
          <w:cols w:equalWidth="0" w:num="1">
            <w:col w:w="11460"/>
          </w:cols>
          <w:pgMar w:left="240" w:top="125" w:right="199" w:bottom="0" w:gutter="0" w:footer="0" w:header="0"/>
        </w:sectPr>
      </w:pPr>
    </w:p>
    <w:bookmarkStart w:id="124" w:name="page125"/>
    <w:bookmarkEnd w:id="124"/>
    <w:p>
      <w:pPr>
        <w:spacing w:after="0" w:line="8" w:lineRule="exact"/>
        <w:rPr>
          <w:sz w:val="20"/>
          <w:szCs w:val="20"/>
          <w:color w:val="auto"/>
        </w:rPr>
      </w:pPr>
    </w:p>
    <w:p>
      <w:pPr>
        <w:ind w:left="20"/>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ind w:left="20" w:right="80" w:hanging="12"/>
        <w:spacing w:after="0" w:line="277" w:lineRule="auto"/>
        <w:rPr>
          <w:sz w:val="20"/>
          <w:szCs w:val="20"/>
          <w:color w:val="auto"/>
        </w:rPr>
      </w:pPr>
      <w:r>
        <w:rPr>
          <w:rFonts w:ascii="Arial" w:cs="Arial" w:eastAsia="Arial" w:hAnsi="Arial"/>
          <w:sz w:val="18"/>
          <w:szCs w:val="18"/>
          <w:color w:val="auto"/>
        </w:rPr>
        <w:t>As of December 31, 2015, we have classified our $175 million, 5.88% senior notes due August 2016 and a portion of our commercial paper notes as long-term based on our ability and intent to refinance such amounts on a long-term basis under our credit agreements.</w:t>
      </w:r>
    </w:p>
    <w:p>
      <w:pPr>
        <w:spacing w:after="0" w:line="170" w:lineRule="exact"/>
        <w:rPr>
          <w:sz w:val="20"/>
          <w:szCs w:val="20"/>
          <w:color w:val="auto"/>
        </w:rPr>
      </w:pPr>
    </w:p>
    <w:p>
      <w:pPr>
        <w:ind w:left="20" w:right="80" w:hanging="12"/>
        <w:spacing w:after="0" w:line="255" w:lineRule="auto"/>
        <w:rPr>
          <w:sz w:val="20"/>
          <w:szCs w:val="20"/>
          <w:color w:val="auto"/>
        </w:rPr>
      </w:pPr>
      <w:r>
        <w:rPr>
          <w:rFonts w:ascii="Arial" w:cs="Arial" w:eastAsia="Arial" w:hAnsi="Arial"/>
          <w:sz w:val="18"/>
          <w:szCs w:val="18"/>
          <w:color w:val="auto"/>
        </w:rPr>
        <w:t>Our fixed-rate senior notes (including current maturities) had a face value of approximately $9.8 billion and $9.3 billion as of December 31, 2015 and 2014, respectively. We estimated the aggregate fair value of these notes as of December 31, 2015 and 2014 to be approximately $8.6 billion and $9.9 billion, respectively. Our fixed-rate senior notes are traded among institutions, and these trades are routinely published by a reporting service. Our determination of fair value is based on reported trading activity near year end.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18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341"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have a commercial paper program under which we may issue (and have outstanding at any time) up to $3.0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Senior secured hedged inventory facility</w:t>
      </w:r>
      <w:r>
        <w:rPr>
          <w:rFonts w:ascii="Arial" w:cs="Arial" w:eastAsia="Arial" w:hAnsi="Arial"/>
          <w:sz w:val="17"/>
          <w:szCs w:val="17"/>
          <w:color w:val="auto"/>
        </w:rPr>
        <w:t>. Our senior secured hedged inventory facility has a committed borrowing capacity of $1.4 billion,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$400 million is available for the issuance of letters of credit. Subject to obtaining additional or increased lender commitments, the committed amount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either the Eurocurrency Rate or the Base Rate, in each case plus a margin based on our credit rating at the applicable time. The agreement also provides for one or more one-year extensions, subject to applicable approval. In August 2015, we extended the maturity date of the facility to August 2018.</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Senior unsecured revolving credit facility. </w:t>
      </w:r>
      <w:r>
        <w:rPr>
          <w:rFonts w:ascii="Arial" w:cs="Arial" w:eastAsia="Arial" w:hAnsi="Arial"/>
          <w:sz w:val="16"/>
          <w:szCs w:val="16"/>
          <w:color w:val="auto"/>
        </w:rPr>
        <w:t>Our senior unsecured revolving credit facility has a committed borrowing capacity of $1.6 billion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an accordion feature that enables us to increase the committed capacity to $2.1 billion, subject to obtaining additional or increased lender commitments. The credit agreement also provides for the issuance of letters of credit. Borrowings accrue interest based, at our election, on the Eurocurrency Rate, the Base Rate or the Canadian Prime Rate, in each case plus a margin based on our credit rating at the applicable time. The agreement also provides for one or more one-year extensions, subject to applicable approval. In August 2015, we extended the maturity date of the facility to August 2020.</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Senior unsecured 364-day revolving credit facility. </w:t>
      </w:r>
      <w:r>
        <w:rPr>
          <w:rFonts w:ascii="Arial" w:cs="Arial" w:eastAsia="Arial" w:hAnsi="Arial"/>
          <w:sz w:val="18"/>
          <w:szCs w:val="18"/>
          <w:color w:val="auto"/>
        </w:rPr>
        <w:t>In January 2015, we entered into an agreement for a 364-day senior unsecured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borrowing capacity of $1.0 billion. In August 2015, we amended this agreement to extend the maturity date to August 2016. Borrowings accrue interest based, at our election, on either the Eurocurrency Rate or the Base Rate, as defined in the agreement, in each case plus a margin based on our credit rating at the applicable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Notes Issuances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issuances of senior unsecured notes during 2015, 2014 and 2013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4860" w:type="dxa"/>
            <w:vAlign w:val="bottom"/>
            <w:gridSpan w:val="2"/>
          </w:tcPr>
          <w:p>
            <w:pPr>
              <w:ind w:left="19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Payment 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4.65% Senior Notes issued at 99.846% of face value</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April 15 and October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2.60% Senior Notes issued at 99.813% of face value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and December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2014</w:t>
            </w:r>
          </w:p>
        </w:tc>
        <w:tc>
          <w:tcPr>
            <w:tcW w:w="5160" w:type="dxa"/>
            <w:vAlign w:val="bottom"/>
            <w:gridSpan w:val="3"/>
          </w:tcPr>
          <w:p>
            <w:pPr>
              <w:ind w:left="300"/>
              <w:spacing w:after="0"/>
              <w:rPr>
                <w:sz w:val="20"/>
                <w:szCs w:val="20"/>
                <w:color w:val="auto"/>
              </w:rPr>
            </w:pPr>
            <w:r>
              <w:rPr>
                <w:rFonts w:ascii="Arial" w:cs="Arial" w:eastAsia="Arial" w:hAnsi="Arial"/>
                <w:sz w:val="18"/>
                <w:szCs w:val="18"/>
                <w:color w:val="auto"/>
              </w:rPr>
              <w:t>4.90% Senior Notes issued at 99.876% of face value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February 2045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650</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February 15 and August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3.60% Senior Notes issued at 99.842% of face value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1 and November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2014</w:t>
            </w:r>
          </w:p>
        </w:tc>
        <w:tc>
          <w:tcPr>
            <w:tcW w:w="5160" w:type="dxa"/>
            <w:vAlign w:val="bottom"/>
            <w:gridSpan w:val="3"/>
          </w:tcPr>
          <w:p>
            <w:pPr>
              <w:ind w:left="300"/>
              <w:spacing w:after="0"/>
              <w:rPr>
                <w:sz w:val="20"/>
                <w:szCs w:val="20"/>
                <w:color w:val="auto"/>
              </w:rPr>
            </w:pPr>
            <w:r>
              <w:rPr>
                <w:rFonts w:ascii="Arial" w:cs="Arial" w:eastAsia="Arial" w:hAnsi="Arial"/>
                <w:sz w:val="18"/>
                <w:szCs w:val="18"/>
                <w:color w:val="auto"/>
              </w:rPr>
              <w:t>4.70% Senior Notes issued at 99.734% of face value</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2044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June 15 and December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2013</w:t>
            </w:r>
          </w:p>
        </w:tc>
        <w:tc>
          <w:tcPr>
            <w:tcW w:w="5160" w:type="dxa"/>
            <w:vAlign w:val="bottom"/>
            <w:gridSpan w:val="3"/>
          </w:tcPr>
          <w:p>
            <w:pPr>
              <w:ind w:left="300"/>
              <w:spacing w:after="0"/>
              <w:rPr>
                <w:sz w:val="20"/>
                <w:szCs w:val="20"/>
                <w:color w:val="auto"/>
              </w:rPr>
            </w:pPr>
            <w:r>
              <w:rPr>
                <w:rFonts w:ascii="Arial" w:cs="Arial" w:eastAsia="Arial" w:hAnsi="Arial"/>
                <w:sz w:val="18"/>
                <w:szCs w:val="18"/>
                <w:color w:val="auto"/>
              </w:rPr>
              <w:t>3.85% Senior Notes issued at 99.792% of face value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2023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April 15 and October 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Note Repayments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$150 million, 5.25% senior notes and $400 million, 3.95% senior notes were repaid in June 2015 and September 2015, respectively. We utilized cash on hand and available capacity under our commercial paper program to repay these notes.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December 13, 2013, we repaid our $250 million, 5.63% senior notes. We utilized cash on hand and available capacity under our commercial paper program to repay these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weighted average maturity of our long-term debt outstanding at December 31, 2015 was approximately 11 years. The following table presents the aggregate contractually scheduled maturities for the next five years and thereafter. The amounts presented exclude unamortized discounts and debt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Year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71"/>
        </w:trPr>
        <w:tc>
          <w:tcPr>
            <w:tcW w:w="9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credit agreements (which impact our ability to access our commercial paper program because they provide the backstop that supports our short-term credit ratings)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187" w:lineRule="exact"/>
        <w:rPr>
          <w:sz w:val="20"/>
          <w:szCs w:val="20"/>
          <w:color w:val="auto"/>
        </w:rPr>
      </w:pPr>
    </w:p>
    <w:p>
      <w:pPr>
        <w:ind w:left="1060" w:hanging="287"/>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incur indebtedness, including capital leases;</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1060" w:hanging="287"/>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credit agreements for our senior unsecured revolving credit facility, senior secured hedged inventory facility and senior unsecured 364-day revolving credit facility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 default under our credit facilities would permit the lenders to accelerate the maturity of the outstanding debt. As long as we are in compliance with our credit agreements, our ability to make distributions of available cash is not restricted. As of December 31, 2015, we were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borrowings under our credit agreements and commercial paper program for the years ended December 31, 2015, 2014 and 2013 were approximately $62.2 billion, $70.9 billion and $31.0 billion, respectively. Total repayments under our credit agreements and commercial paper program were approximately $61.3 billion, $71.3 billion and $31.0 billion for the years ended December 31, 2015, 2014 and 2013,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and construction activities. At December 31, 2015 and 2014, we had outstanding letters of credit of $46 million and $87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10—Partners’ Capital and Distributions</w:t>
      </w:r>
    </w:p>
    <w:p>
      <w:pPr>
        <w:sectPr>
          <w:pgSz w:w="11900" w:h="16838" w:orient="portrait"/>
          <w:cols w:equalWidth="0" w:num="1">
            <w:col w:w="11420"/>
          </w:cols>
          <w:pgMar w:left="240" w:top="368" w:right="239" w:bottom="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 December 31, 2015, Partners’ capital consisted of 397,727,624 common units outstanding, representing a 98% effective aggregate ownership interest in the Partnership and its subsidiaries after giving effect to the 2% general partner interest.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January 2016, we completed the private placement of a newly authorized series of preferred units. See “Equity Offerings” below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distribute 100% of our available cash within 45 days following the end of each quarter to unitholders of record and to our general partner. Available cash is generally defined as all of our cash and cash equivalents on hand at the end of each quarter, less reserves established in the discretion of our general partner for future requirements.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General Partner Distributions</w:t>
      </w:r>
      <w:r>
        <w:rPr>
          <w:rFonts w:ascii="Arial" w:cs="Arial" w:eastAsia="Arial" w:hAnsi="Arial"/>
          <w:sz w:val="18"/>
          <w:szCs w:val="18"/>
          <w:color w:val="auto"/>
        </w:rPr>
        <w:t>. Our general partner is entitled to receive (i) distributions representing its 2% general partner interest and (ii)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if the amount we distribute with respect to any quarter exceeds levels specified in our partnership agreement. Under the quarterly distribution provisions, the general partner is entitled, without duplication and except for the agreed upon adjustments discussed below, to 2% of amounts we distribute up to $0.2250 per unit, referred to as our MQD, 15% of amounts we distribute in excess of $0.2250 per unit, 25% of the amounts we distribute in excess of $0.2475 per unit and 50% of amounts we distribute in excess of $0.3375 per unit.</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Per unit cash distributions on our outstanding common units and the portion of the distributions representing an excess over the MQD were as follows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ind w:right="45"/>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17"/>
                <w:szCs w:val="17"/>
                <w:b w:val="1"/>
                <w:bCs w:val="1"/>
                <w:color w:val="auto"/>
                <w:vertAlign w:val="superscript"/>
              </w:rPr>
              <w:t>(1)</w:t>
            </w:r>
          </w:p>
        </w:tc>
        <w:tc>
          <w:tcPr>
            <w:tcW w:w="180" w:type="dxa"/>
            <w:vAlign w:val="bottom"/>
          </w:tcPr>
          <w:p>
            <w:pPr>
              <w:spacing w:after="0"/>
              <w:rPr>
                <w:sz w:val="10"/>
                <w:szCs w:val="10"/>
                <w:color w:val="auto"/>
              </w:rPr>
            </w:pPr>
          </w:p>
        </w:tc>
        <w:tc>
          <w:tcPr>
            <w:tcW w:w="980" w:type="dxa"/>
            <w:vAlign w:val="bottom"/>
          </w:tcPr>
          <w:p>
            <w:pPr>
              <w:jc w:val="right"/>
              <w:ind w:right="297"/>
              <w:spacing w:after="0" w:line="119" w:lineRule="exact"/>
              <w:rPr>
                <w:sz w:val="20"/>
                <w:szCs w:val="20"/>
                <w:color w:val="auto"/>
              </w:rPr>
            </w:pPr>
            <w:r>
              <w:rPr>
                <w:rFonts w:ascii="Arial" w:cs="Arial" w:eastAsia="Arial" w:hAnsi="Arial"/>
                <w:sz w:val="13"/>
                <w:szCs w:val="13"/>
                <w:b w:val="1"/>
                <w:bCs w:val="1"/>
                <w:color w:val="auto"/>
              </w:rPr>
              <w:t>Excess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 xml:space="preserve">Distribution </w:t>
            </w:r>
            <w:r>
              <w:rPr>
                <w:rFonts w:ascii="Arial" w:cs="Arial" w:eastAsia="Arial" w:hAnsi="Arial"/>
                <w:sz w:val="17"/>
                <w:szCs w:val="17"/>
                <w:b w:val="1"/>
                <w:bCs w:val="1"/>
                <w:color w:val="auto"/>
                <w:w w:val="93"/>
                <w:vertAlign w:val="superscript"/>
              </w:rPr>
              <w:t>(1)</w:t>
            </w:r>
          </w:p>
        </w:tc>
        <w:tc>
          <w:tcPr>
            <w:tcW w:w="16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89"/>
              </w:rPr>
              <w:t>Excess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 xml:space="preserve">Distribution </w:t>
            </w:r>
            <w:r>
              <w:rPr>
                <w:rFonts w:ascii="Arial" w:cs="Arial" w:eastAsia="Arial" w:hAnsi="Arial"/>
                <w:sz w:val="17"/>
                <w:szCs w:val="17"/>
                <w:b w:val="1"/>
                <w:bCs w:val="1"/>
                <w:color w:val="auto"/>
                <w:w w:val="91"/>
                <w:vertAlign w:val="superscript"/>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89"/>
              </w:rPr>
              <w:t>Excess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over MQD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over MQD</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over MQD</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0.6850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0.4600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0.6300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0.5750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0.3500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0.5875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0.3625</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0.7000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0.4750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0.6600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0.4350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Distributions represent those declared and paid in the applicable period shown.</w:t>
      </w:r>
    </w:p>
    <w:p>
      <w:pPr>
        <w:spacing w:after="0" w:line="202"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During the years ended December 31, 2015, 2014 and 2013, our general partner’s incentive distributions were reduced by approximately $22 million, $23 million and $15 million, respectively. These reductions were agreed to in connection with the BP NGL Acquisition and the PNG Merger. In addition, our general partner has agreed to reduce the amount of its incentive distribution by $5.0 million per quarter in 2016 and $3.75 million per quarter thereafter. In connection with our January 2016 private placement of preferred units, as discussed further in “Equity Offerings” below, our general partner agreed to further modify its IDRs such that when the preferred units convert into common units, the IDRs associated with the resulting common units will only participate in distribution growth above an annualized distribution level of $2.80 per converted common unit.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details distributions, net of reductions in our general partner’s incentive distributions, paid during the periods indicated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Distributions Paid</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Distributions per</w:t>
            </w:r>
          </w:p>
        </w:tc>
      </w:tr>
      <w:tr>
        <w:trPr>
          <w:trHeight w:val="142"/>
        </w:trPr>
        <w:tc>
          <w:tcPr>
            <w:tcW w:w="2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Year</w:t>
            </w:r>
          </w:p>
        </w:tc>
        <w:tc>
          <w:tcPr>
            <w:tcW w:w="1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Common Unitholders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ind w:left="380"/>
              <w:spacing w:after="0" w:line="142" w:lineRule="exact"/>
              <w:rPr>
                <w:sz w:val="20"/>
                <w:szCs w:val="20"/>
                <w:color w:val="auto"/>
              </w:rPr>
            </w:pPr>
            <w:r>
              <w:rPr>
                <w:rFonts w:ascii="Arial" w:cs="Arial" w:eastAsia="Arial" w:hAnsi="Arial"/>
                <w:sz w:val="14"/>
                <w:szCs w:val="14"/>
                <w:b w:val="1"/>
                <w:bCs w:val="1"/>
                <w:color w:val="auto"/>
                <w:w w:val="98"/>
              </w:rPr>
              <w:t>General Partner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common unit</w:t>
            </w: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69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3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18"/>
                <w:szCs w:val="18"/>
                <w:color w:val="auto"/>
              </w:rPr>
            </w:pPr>
          </w:p>
        </w:tc>
        <w:tc>
          <w:tcPr>
            <w:tcW w:w="1880" w:type="dxa"/>
            <w:vAlign w:val="bottom"/>
          </w:tcPr>
          <w:p>
            <w:pPr>
              <w:jc w:val="right"/>
              <w:ind w:right="1694"/>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934</w:t>
            </w: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473</w:t>
            </w:r>
          </w:p>
        </w:tc>
        <w:tc>
          <w:tcPr>
            <w:tcW w:w="1360" w:type="dxa"/>
            <w:vAlign w:val="bottom"/>
            <w:gridSpan w:val="2"/>
          </w:tcPr>
          <w:p>
            <w:pPr>
              <w:jc w:val="right"/>
              <w:ind w:right="999"/>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1,407</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2.550</w:t>
            </w: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694"/>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791</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369</w:t>
            </w:r>
          </w:p>
        </w:tc>
        <w:tc>
          <w:tcPr>
            <w:tcW w:w="1360" w:type="dxa"/>
            <w:vAlign w:val="bottom"/>
            <w:gridSpan w:val="2"/>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1,160</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w:t>
            </w: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On January 12, 2016, we declared a cash distribution of $0.70 per unit on our outstanding common units. The distribution was paid on February 12, 2016 to unitholders of record on January 29, 2016, for the period October 1, 2015 through December 31, 2015. The total distribution paid was $433 million, with $278 million paid to our common unitholders and $155 million paid to our general partner for its 2% general partner and incentive distribution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Common Unit Issuances</w:t>
      </w:r>
      <w:r>
        <w:rPr>
          <w:rFonts w:ascii="Arial" w:cs="Arial" w:eastAsia="Arial" w:hAnsi="Arial"/>
          <w:sz w:val="18"/>
          <w:szCs w:val="18"/>
          <w:color w:val="auto"/>
        </w:rPr>
        <w:t>. We have entered into several equity distribution agreements under our Continuous Offering Program, pursuant to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may offer and sell, through sales agents, common units representing limited partner interests. In addition to our Continuous Offering Program, we may sell common units through overnight or underwritten offerings.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our issuance of common units in connection with our Continuous Offering Program and underwritten offerings during the periods indicated (net proceeds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Type of Offering</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Units Issued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right"/>
              <w:ind w:right="502"/>
              <w:spacing w:after="0"/>
              <w:rPr>
                <w:sz w:val="20"/>
                <w:szCs w:val="20"/>
                <w:color w:val="auto"/>
              </w:rPr>
            </w:pPr>
            <w:r>
              <w:rPr>
                <w:rFonts w:ascii="Arial" w:cs="Arial" w:eastAsia="Arial" w:hAnsi="Arial"/>
                <w:sz w:val="14"/>
                <w:szCs w:val="14"/>
                <w:b w:val="1"/>
                <w:bCs w:val="1"/>
                <w:color w:val="auto"/>
                <w:w w:val="90"/>
              </w:rPr>
              <w:t xml:space="preserve">Net Proceeds </w:t>
            </w:r>
            <w:r>
              <w:rPr>
                <w:rFonts w:ascii="Arial" w:cs="Arial" w:eastAsia="Arial" w:hAnsi="Arial"/>
                <w:sz w:val="17"/>
                <w:szCs w:val="17"/>
                <w:b w:val="1"/>
                <w:bCs w:val="1"/>
                <w:color w:val="auto"/>
                <w:w w:val="90"/>
                <w:vertAlign w:val="superscript"/>
              </w:rPr>
              <w:t>(1)(2)</w:t>
            </w:r>
          </w:p>
        </w:tc>
      </w:tr>
      <w:tr>
        <w:trPr>
          <w:trHeight w:val="210"/>
        </w:trPr>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Continuous Offering Program</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w w:val="81"/>
              </w:rPr>
              <w:t>(3)</w:t>
            </w: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8"/>
                <w:szCs w:val="18"/>
                <w:color w:val="auto"/>
              </w:rPr>
            </w:pPr>
          </w:p>
        </w:tc>
        <w:tc>
          <w:tcPr>
            <w:tcW w:w="48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Underwritten Offering</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21,000,000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222"/>
              <w:spacing w:after="0"/>
              <w:rPr>
                <w:sz w:val="20"/>
                <w:szCs w:val="20"/>
                <w:color w:val="auto"/>
              </w:rPr>
            </w:pPr>
            <w:r>
              <w:rPr>
                <w:rFonts w:ascii="Arial" w:cs="Arial" w:eastAsia="Arial" w:hAnsi="Arial"/>
                <w:sz w:val="18"/>
                <w:szCs w:val="18"/>
                <w:color w:val="auto"/>
              </w:rPr>
              <w:t>1,062</w:t>
            </w:r>
          </w:p>
        </w:tc>
      </w:tr>
      <w:tr>
        <w:trPr>
          <w:trHeight w:val="210"/>
        </w:trPr>
        <w:tc>
          <w:tcPr>
            <w:tcW w:w="2820" w:type="dxa"/>
            <w:vAlign w:val="bottom"/>
            <w:tcBorders>
              <w:top w:val="single" w:sz="8" w:color="CCEEFF"/>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2015 Total</w:t>
            </w: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22,133,904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2014 Total</w:t>
            </w:r>
          </w:p>
        </w:tc>
        <w:tc>
          <w:tcPr>
            <w:tcW w:w="4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Continuous Offering Program</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15,375,810</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866</w:t>
            </w:r>
            <w:r>
              <w:rPr>
                <w:rFonts w:ascii="Arial" w:cs="Arial" w:eastAsia="Arial" w:hAnsi="Arial"/>
                <w:sz w:val="11"/>
                <w:szCs w:val="11"/>
                <w:color w:val="auto"/>
              </w:rPr>
              <w:t>(3)</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r>
        <w:trPr>
          <w:trHeight w:val="197"/>
        </w:trPr>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2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2013 Total</w:t>
            </w:r>
          </w:p>
        </w:tc>
        <w:tc>
          <w:tcPr>
            <w:tcW w:w="4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Continuous Offering Program</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8,644,807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CCEEFF"/>
          </w:tcPr>
          <w:p>
            <w:pPr>
              <w:jc w:val="right"/>
              <w:ind w:right="82"/>
              <w:spacing w:after="0" w:line="216" w:lineRule="exact"/>
              <w:rPr>
                <w:sz w:val="20"/>
                <w:szCs w:val="20"/>
                <w:color w:val="auto"/>
              </w:rPr>
            </w:pPr>
            <w:r>
              <w:rPr>
                <w:rFonts w:ascii="Arial" w:cs="Arial" w:eastAsia="Arial" w:hAnsi="Arial"/>
                <w:sz w:val="18"/>
                <w:szCs w:val="18"/>
                <w:b w:val="1"/>
                <w:bCs w:val="1"/>
                <w:color w:val="auto"/>
              </w:rPr>
              <w:t>477</w:t>
            </w:r>
            <w:r>
              <w:rPr>
                <w:rFonts w:ascii="Arial" w:cs="Arial" w:eastAsia="Arial" w:hAnsi="Arial"/>
                <w:sz w:val="23"/>
                <w:szCs w:val="23"/>
                <w:color w:val="auto"/>
                <w:vertAlign w:val="superscript"/>
              </w:rPr>
              <w:t>(3)</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27" w:name="page128"/>
    <w:bookmarkEnd w:id="127"/>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-198755</wp:posOffset>
            </wp:positionV>
            <wp:extent cx="1826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Amounts include our general partner’s proportionate capital contributions of $22 million, $18 million and $9 million during 2015, 2014 and 2013, respectively.</w:t>
      </w:r>
    </w:p>
    <w:p>
      <w:pPr>
        <w:spacing w:after="0" w:line="17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We pay commissions to our sales agents in connection with common unit issuances under our Continuous Offering Program. We paid $1 million, $9 million and $5 million of such commissions during 2015, 2014 and 2013, respectively.</w:t>
      </w:r>
    </w:p>
    <w:p>
      <w:pPr>
        <w:spacing w:after="0" w:line="170" w:lineRule="exact"/>
        <w:rPr>
          <w:sz w:val="20"/>
          <w:szCs w:val="20"/>
          <w:color w:val="auto"/>
        </w:rPr>
      </w:pPr>
    </w:p>
    <w:p>
      <w:pPr>
        <w:sectPr>
          <w:pgSz w:w="11900" w:h="16838" w:orient="portrait"/>
          <w:cols w:equalWidth="0" w:num="2">
            <w:col w:w="140" w:space="500"/>
            <w:col w:w="10780"/>
          </w:cols>
          <w:pgMar w:left="240" w:top="571" w:right="239" w:bottom="0" w:gutter="0" w:footer="0" w:header="0"/>
        </w:sectPr>
      </w:pPr>
    </w:p>
    <w:p>
      <w:pPr>
        <w:ind w:right="200" w:firstLine="648"/>
        <w:spacing w:after="0" w:line="302" w:lineRule="auto"/>
        <w:rPr>
          <w:sz w:val="20"/>
          <w:szCs w:val="20"/>
          <w:color w:val="auto"/>
        </w:rPr>
      </w:pPr>
      <w:r>
        <w:rPr>
          <w:rFonts w:ascii="Arial" w:cs="Arial" w:eastAsia="Arial" w:hAnsi="Arial"/>
          <w:sz w:val="16"/>
          <w:szCs w:val="16"/>
          <w:i w:val="1"/>
          <w:iCs w:val="1"/>
          <w:color w:val="auto"/>
        </w:rPr>
        <w:t>Preferred Unit Issuance</w:t>
      </w:r>
      <w:r>
        <w:rPr>
          <w:rFonts w:ascii="Arial" w:cs="Arial" w:eastAsia="Arial" w:hAnsi="Arial"/>
          <w:sz w:val="16"/>
          <w:szCs w:val="16"/>
          <w:color w:val="auto"/>
        </w:rPr>
        <w:t>. In January 2016, we completed the private placement of approximately 61.0 million Series A Convertible Preferred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limited partner interests in us (the “preferred units”), for a cash purchase price of $26.25 per unit (the “Issue Price”), resulting in total net proceeds to us, after deducting offering expenses and the 2% transaction fee due to the purchasers and including our general partner’s proportionate capital contribution, of approximately $1.6 billion. Certain of the purchasers or their affiliates are related parties. See Note 14 for additional information.</w:t>
      </w:r>
    </w:p>
    <w:p>
      <w:pPr>
        <w:spacing w:after="0" w:line="154" w:lineRule="exact"/>
        <w:rPr>
          <w:sz w:val="20"/>
          <w:szCs w:val="20"/>
          <w:color w:val="auto"/>
        </w:rPr>
      </w:pPr>
    </w:p>
    <w:p>
      <w:pPr>
        <w:ind w:right="20" w:firstLine="648"/>
        <w:spacing w:after="0" w:line="282" w:lineRule="auto"/>
        <w:rPr>
          <w:sz w:val="20"/>
          <w:szCs w:val="20"/>
          <w:color w:val="auto"/>
        </w:rPr>
      </w:pPr>
      <w:r>
        <w:rPr>
          <w:rFonts w:ascii="Arial" w:cs="Arial" w:eastAsia="Arial" w:hAnsi="Arial"/>
          <w:sz w:val="17"/>
          <w:szCs w:val="17"/>
          <w:color w:val="auto"/>
        </w:rPr>
        <w:t xml:space="preserve">The preferred units are a new class of equity security that ranks senior to all classes or series of our equity securities with respect to distribution rights and rights upon liquidation. </w:t>
      </w:r>
      <w:r>
        <w:rPr>
          <w:rFonts w:ascii="Arial" w:cs="Arial" w:eastAsia="Arial" w:hAnsi="Arial"/>
          <w:sz w:val="16"/>
          <w:szCs w:val="16"/>
          <w:color w:val="auto"/>
        </w:rPr>
        <w:t>The holders of the preferred units will receive quarterly distributions, subject to customary anti-dilution adjustments, equal to</w:t>
      </w:r>
      <w:r>
        <w:rPr>
          <w:rFonts w:ascii="Arial" w:cs="Arial" w:eastAsia="Arial" w:hAnsi="Arial"/>
          <w:sz w:val="17"/>
          <w:szCs w:val="17"/>
          <w:color w:val="auto"/>
        </w:rPr>
        <w:t xml:space="preserve"> </w:t>
      </w:r>
      <w:r>
        <w:rPr>
          <w:rFonts w:ascii="Arial" w:cs="Arial" w:eastAsia="Arial" w:hAnsi="Arial"/>
          <w:sz w:val="16"/>
          <w:szCs w:val="16"/>
          <w:color w:val="auto"/>
        </w:rPr>
        <w:t>an annual rate of 8% of the Issue Price ($2.10 per unit annualized). Our general partner will be entitled to participate in distributions on the preferred units equal to its 2% interest. For a period of 30 days following (a) the fifth anniversary of the issue date of the preferred units and (b) each subsequent anniversary of the issue date, the holders of preferred units, acting by majority vote, may make a one-time election to reset the preferred unit distribution rate (the “Distribution Rate Reset”). If the holders of the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purchasers may convert their preferred units, generally on a one-for-one basis and subject to customary anti-dilution adjustments, at any time after the second anniversary of the issuance date (or prior to a liquidation), in whole or in part, subject to certain minimum conversion amounts. We may convert the preferred units at any time (but not more often than once per quarter) after the third anniversary of the issuance date, in whole or in part, subject to certain minimum conversion amounts, if the closing price of our common units is greater than 150% of the Issue Price for the preceding 20 trading days. The preferred units will vote on an as-converted basis with our common units and will have certain other class voting rights with respect to any amendment to our partnership agreement that would adversely affect any rights, preferences or privileges of the preferred units. In addition, upon certain events involving a change of control, the holders of the preferred units may elect, among other potential elections, to convert the preferred units to common units at the then applicable conversion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noncontrolling interests in our subsidiaries consisted of a 25% interest in SLC Pipeline LLC.</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PNG Merger</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Prior to the PNG Merger, which was completed on December 31, 2013, we owned 100% of the outstanding subordinated units of PNG and approximately 46% of the 61.2 million outstanding common units of PNG. Under the terms of the PNG Merger Agreement, we issued 0.445 PAA common units for each outstanding PNG common unit (the “Merger Exchange Ratio”) held by unitholders other than us, plus cash in lieu of any fractional PAA common units otherwise issuable in the PNG Merger. Also in conjunction with the PNG Merger, our general partner agreed to reduce the amount of its incentive distributions. See “Distributions” above.</w:t>
      </w:r>
    </w:p>
    <w:p>
      <w:pPr>
        <w:spacing w:after="0" w:line="18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a result of the PNG Merger, we purchased the noncontrolling interests in PNG for consideration of approximately 14.7 million PAA common units valued at $760 million. Such purchase resulted in an equity-classified loss of $290 million, which we recorded as a decrease to our partners’ capital. In addition, in conjunction with the PNG Merger, our general partner made a proportional contribution of $16 million associated with our issuance of PAA common units and we incurred transaction costs of $4 million resulting in a net increase in partners’ capital associated with the PNG Merger of $12 million.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 of PNG Common Units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PNG issued approximately 1.9 million common units during the year ended December 31, 2013. As a result of PNG’s common unit issuances, we recorded an increase in noncontrolling interest of $32 million and an increase to our partners’ capital of $8 million in 2013. These increases represent the portion of the proceeds attributable to the respective ownership interests in PNG, adjusted for the impact of the dilution of our ownership interest.</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as required by GAAP sets forth the impact on net income attributable to PAA giving effect to the changes in our ownership interest in PNG during 2013 discussed above, which was recognized in partners’ capital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December 31, 2013</w:t>
            </w: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9620" w:type="dxa"/>
            <w:vAlign w:val="bottom"/>
          </w:tcPr>
          <w:p>
            <w:pPr>
              <w:spacing w:after="0" w:line="196" w:lineRule="exact"/>
              <w:rPr>
                <w:sz w:val="20"/>
                <w:szCs w:val="20"/>
                <w:color w:val="auto"/>
              </w:rPr>
            </w:pPr>
            <w:r>
              <w:rPr>
                <w:rFonts w:ascii="Arial" w:cs="Arial" w:eastAsia="Arial" w:hAnsi="Arial"/>
                <w:sz w:val="18"/>
                <w:szCs w:val="18"/>
                <w:color w:val="auto"/>
              </w:rPr>
              <w:t>Transfers to/from noncontrolling interests: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capital from sale of PNG common units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9620" w:type="dxa"/>
            <w:vAlign w:val="bottom"/>
          </w:tcPr>
          <w:p>
            <w:pPr>
              <w:ind w:left="200"/>
              <w:spacing w:after="0"/>
              <w:rPr>
                <w:sz w:val="20"/>
                <w:szCs w:val="20"/>
                <w:color w:val="auto"/>
              </w:rPr>
            </w:pPr>
            <w:r>
              <w:rPr>
                <w:rFonts w:ascii="Arial" w:cs="Arial" w:eastAsia="Arial" w:hAnsi="Arial"/>
                <w:sz w:val="18"/>
                <w:szCs w:val="18"/>
                <w:color w:val="auto"/>
              </w:rPr>
              <w:t>Decrease in capital from purchase of PNG common units in conjunction with the PNG Merger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(290)</w:t>
            </w:r>
          </w:p>
        </w:tc>
      </w:tr>
      <w:tr>
        <w:trPr>
          <w:trHeight w:val="210"/>
        </w:trPr>
        <w:tc>
          <w:tcPr>
            <w:tcW w:w="9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transfers to/from noncontrolling interests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9620" w:type="dxa"/>
            <w:vAlign w:val="bottom"/>
          </w:tcPr>
          <w:p>
            <w:pPr>
              <w:spacing w:after="0"/>
              <w:rPr>
                <w:sz w:val="20"/>
                <w:szCs w:val="20"/>
                <w:color w:val="auto"/>
              </w:rPr>
            </w:pPr>
            <w:r>
              <w:rPr>
                <w:rFonts w:ascii="Arial" w:cs="Arial" w:eastAsia="Arial" w:hAnsi="Arial"/>
                <w:sz w:val="18"/>
                <w:szCs w:val="18"/>
                <w:color w:val="auto"/>
              </w:rPr>
              <w:t>Change from net income attributable to PAA and transfers to/from noncontrolling interests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11—Derivatives and Risk Management Activities</w:t>
      </w:r>
    </w:p>
    <w:p>
      <w:pPr>
        <w:sectPr>
          <w:pgSz w:w="11900" w:h="16838" w:orient="portrait"/>
          <w:cols w:equalWidth="0" w:num="1">
            <w:col w:w="11420"/>
          </w:cols>
          <w:pgMar w:left="240" w:top="571" w:right="239" w:bottom="0" w:gutter="0" w:footer="0" w:header="0"/>
          <w:type w:val="continuous"/>
        </w:sectPr>
      </w:pPr>
    </w:p>
    <w:bookmarkStart w:id="128" w:name="page129"/>
    <w:bookmarkEnd w:id="128"/>
    <w:p>
      <w:pPr>
        <w:ind w:right="60" w:firstLine="648"/>
        <w:spacing w:after="0" w:line="293"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2015, net derivative positions related to these activities included:</w:t>
      </w:r>
    </w:p>
    <w:p>
      <w:pPr>
        <w:spacing w:after="0" w:line="147" w:lineRule="exact"/>
        <w:rPr>
          <w:sz w:val="20"/>
          <w:szCs w:val="20"/>
          <w:color w:val="auto"/>
        </w:rPr>
      </w:pPr>
    </w:p>
    <w:p>
      <w:pPr>
        <w:ind w:left="980" w:right="60" w:hanging="324"/>
        <w:spacing w:after="0" w:line="277" w:lineRule="auto"/>
        <w:tabs>
          <w:tab w:leader="none" w:pos="9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average of 92,100 barrels per day net long position (total of 2.9 million barrels) associated with our crude oil purchases, which was unwound ratably during January 2016 to match monthly average pricing.</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short time spread position averaging 11,500 barrels per day (total of 5.6 million barrels), which hedges a portion of our anticipated crude oil lease gathering purchases through April 2017.</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average of 8,000 barrels per day (total of 3.7 million barrels) of crude oil grade spread positions through December 2016. These derivatives allow us to lock in grade basis differentials.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short position of 18.9 Bcf through May 2016 related to anticipated sales of natural gas inventory and base gas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net short position of 29.7 million barrels through January 2018 related to anticipated net sales of our crude oil and NGL inventory.</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allowance oil that is to be collected under our tariffs. As of December 31, 2015, our material PLA hedges included a long call option position of approximately 1.6 million barrels through December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we had a long natural gas position of 5.7 Bcf through December 2016, a short propane position of 1.2 million barrels through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0.4 million barrels through December 2016 and a short WTI position of 0.1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natural gas processing and fractionation plants through December 2018.</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December 31, 2015, AOCI includes deferred losses of $183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December 31, 2015 (notional amounts in millions):</w:t>
      </w:r>
    </w:p>
    <w:p>
      <w:pPr>
        <w:sectPr>
          <w:pgSz w:w="11900" w:h="16838" w:orient="portrait"/>
          <w:cols w:equalWidth="0" w:num="1">
            <w:col w:w="11420"/>
          </w:cols>
          <w:pgMar w:left="240" w:top="125" w:right="239" w:bottom="0" w:gutter="0" w:footer="0" w:header="0"/>
        </w:sectPr>
      </w:pPr>
    </w:p>
    <w:p>
      <w:pPr>
        <w:spacing w:after="0" w:line="116" w:lineRule="exact"/>
        <w:rPr>
          <w:sz w:val="20"/>
          <w:szCs w:val="20"/>
          <w:color w:val="auto"/>
        </w:rPr>
      </w:pPr>
    </w:p>
    <w:p>
      <w:pPr>
        <w:spacing w:after="0"/>
        <w:tabs>
          <w:tab w:leader="none" w:pos="3180" w:val="left"/>
          <w:tab w:leader="none" w:pos="5580" w:val="left"/>
          <w:tab w:leader="none" w:pos="7080" w:val="left"/>
          <w:tab w:leader="none" w:pos="8480" w:val="left"/>
          <w:tab w:leader="none" w:pos="10180" w:val="left"/>
        </w:tabs>
        <w:rPr>
          <w:sz w:val="20"/>
          <w:szCs w:val="20"/>
          <w:color w:val="auto"/>
        </w:rPr>
      </w:pPr>
      <w:r>
        <w:rPr>
          <w:rFonts w:ascii="Arial" w:cs="Arial" w:eastAsia="Arial" w:hAnsi="Arial"/>
          <w:sz w:val="14"/>
          <w:szCs w:val="14"/>
          <w:b w:val="1"/>
          <w:bCs w:val="1"/>
          <w:color w:val="auto"/>
        </w:rPr>
        <w:t>Hedged Transaction</w:t>
      </w:r>
      <w:r>
        <w:rPr>
          <w:sz w:val="20"/>
          <w:szCs w:val="20"/>
          <w:color w:val="auto"/>
        </w:rPr>
        <w:tab/>
      </w:r>
      <w:r>
        <w:rPr>
          <w:rFonts w:ascii="Arial" w:cs="Arial" w:eastAsia="Arial" w:hAnsi="Arial"/>
          <w:sz w:val="14"/>
          <w:szCs w:val="14"/>
          <w:b w:val="1"/>
          <w:bCs w:val="1"/>
          <w:color w:val="auto"/>
        </w:rPr>
        <w:t>Number and Types of</w:t>
      </w:r>
      <w:r>
        <w:rPr>
          <w:sz w:val="20"/>
          <w:szCs w:val="20"/>
          <w:color w:val="auto"/>
        </w:rPr>
        <w:tab/>
      </w:r>
      <w:r>
        <w:rPr>
          <w:rFonts w:ascii="Arial" w:cs="Arial" w:eastAsia="Arial" w:hAnsi="Arial"/>
          <w:sz w:val="14"/>
          <w:szCs w:val="14"/>
          <w:b w:val="1"/>
          <w:bCs w:val="1"/>
          <w:color w:val="auto"/>
        </w:rPr>
        <w:t>Notional</w:t>
      </w:r>
      <w:r>
        <w:rPr>
          <w:sz w:val="20"/>
          <w:szCs w:val="20"/>
          <w:color w:val="auto"/>
        </w:rPr>
        <w:tab/>
      </w:r>
      <w:r>
        <w:rPr>
          <w:rFonts w:ascii="Arial" w:cs="Arial" w:eastAsia="Arial" w:hAnsi="Arial"/>
          <w:sz w:val="14"/>
          <w:szCs w:val="14"/>
          <w:b w:val="1"/>
          <w:bCs w:val="1"/>
          <w:color w:val="auto"/>
        </w:rPr>
        <w:t>Expected</w:t>
      </w:r>
      <w:r>
        <w:rPr>
          <w:sz w:val="20"/>
          <w:szCs w:val="20"/>
          <w:color w:val="auto"/>
        </w:rPr>
        <w:tab/>
      </w:r>
      <w:r>
        <w:rPr>
          <w:rFonts w:ascii="Arial" w:cs="Arial" w:eastAsia="Arial" w:hAnsi="Arial"/>
          <w:sz w:val="14"/>
          <w:szCs w:val="14"/>
          <w:b w:val="1"/>
          <w:bCs w:val="1"/>
          <w:color w:val="auto"/>
        </w:rPr>
        <w:t>Average Rate</w:t>
      </w:r>
      <w:r>
        <w:rPr>
          <w:sz w:val="20"/>
          <w:szCs w:val="20"/>
          <w:color w:val="auto"/>
        </w:rPr>
        <w:tab/>
      </w:r>
      <w:r>
        <w:rPr>
          <w:rFonts w:ascii="Arial" w:cs="Arial" w:eastAsia="Arial" w:hAnsi="Arial"/>
          <w:sz w:val="12"/>
          <w:szCs w:val="12"/>
          <w:b w:val="1"/>
          <w:bCs w:val="1"/>
          <w:color w:val="auto"/>
        </w:rPr>
        <w:t>Accounting</w:t>
      </w:r>
    </w:p>
    <w:p>
      <w:pPr>
        <w:sectPr>
          <w:pgSz w:w="11900" w:h="16838" w:orient="portrait"/>
          <w:cols w:equalWidth="0" w:num="1">
            <w:col w:w="11420"/>
          </w:cols>
          <w:pgMar w:left="240" w:top="125" w:right="239" w:bottom="0" w:gutter="0" w:footer="0" w:header="0"/>
          <w:type w:val="continuous"/>
        </w:sectPr>
      </w:pPr>
    </w:p>
    <w:bookmarkStart w:id="129" w:name="page130"/>
    <w:bookmarkEnd w:id="1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Derivatives Employed</w:t>
            </w:r>
          </w:p>
        </w:tc>
        <w:tc>
          <w:tcPr>
            <w:tcW w:w="22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Termination Date</w:t>
            </w:r>
          </w:p>
        </w:tc>
        <w:tc>
          <w:tcPr>
            <w:tcW w:w="142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Locked</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r>
      <w:tr>
        <w:trPr>
          <w:trHeight w:val="195"/>
        </w:trPr>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28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 forward starting swaps (30-</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200</w:t>
            </w:r>
          </w:p>
        </w:tc>
        <w:tc>
          <w:tcPr>
            <w:tcW w:w="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6/15/2016</w:t>
            </w: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3.06</w:t>
            </w:r>
          </w:p>
        </w:tc>
        <w:tc>
          <w:tcPr>
            <w:tcW w:w="300" w:type="dxa"/>
            <w:vAlign w:val="bottom"/>
            <w:tcBorders>
              <w:top w:val="single" w:sz="8" w:color="CCEEFF"/>
            </w:tcBorders>
            <w:shd w:val="clear" w:color="auto" w:fill="CCEEFF"/>
          </w:tcPr>
          <w:p>
            <w:pPr>
              <w:jc w:val="right"/>
              <w:ind w:right="50"/>
              <w:spacing w:after="0" w:line="195" w:lineRule="exact"/>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Cash flow hedge</w:t>
            </w: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year)</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6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6/15/2017</w:t>
            </w:r>
          </w:p>
        </w:tc>
        <w:tc>
          <w:tcPr>
            <w:tcW w:w="14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3.14%</w:t>
            </w:r>
          </w:p>
        </w:tc>
        <w:tc>
          <w:tcPr>
            <w:tcW w:w="16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220" w:type="dxa"/>
            <w:vAlign w:val="bottom"/>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6/15/2018</w:t>
            </w:r>
          </w:p>
        </w:tc>
        <w:tc>
          <w:tcPr>
            <w:tcW w:w="1420" w:type="dxa"/>
            <w:vAlign w:val="bottom"/>
            <w:gridSpan w:val="2"/>
            <w:shd w:val="clear" w:color="auto" w:fill="CCEEFF"/>
          </w:tcPr>
          <w:p>
            <w:pPr>
              <w:jc w:val="right"/>
              <w:ind w:right="50"/>
              <w:spacing w:after="0" w:line="201" w:lineRule="exact"/>
              <w:rPr>
                <w:sz w:val="20"/>
                <w:szCs w:val="20"/>
                <w:color w:val="auto"/>
              </w:rPr>
            </w:pPr>
            <w:r>
              <w:rPr>
                <w:rFonts w:ascii="Arial" w:cs="Arial" w:eastAsia="Arial" w:hAnsi="Arial"/>
                <w:sz w:val="18"/>
                <w:szCs w:val="18"/>
                <w:color w:val="auto"/>
              </w:rPr>
              <w:t>3.20%</w:t>
            </w:r>
          </w:p>
        </w:tc>
        <w:tc>
          <w:tcPr>
            <w:tcW w:w="16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year)</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8 forward starting swaps (30-</w:t>
            </w: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200</w:t>
            </w:r>
          </w:p>
        </w:tc>
        <w:tc>
          <w:tcPr>
            <w:tcW w:w="16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6/14/2019</w:t>
            </w:r>
          </w:p>
        </w:tc>
        <w:tc>
          <w:tcPr>
            <w:tcW w:w="14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2.83%</w:t>
            </w:r>
          </w:p>
        </w:tc>
        <w:tc>
          <w:tcPr>
            <w:tcW w:w="16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Cash flow hedge</w:t>
            </w:r>
          </w:p>
        </w:tc>
      </w:tr>
      <w:tr>
        <w:trPr>
          <w:trHeight w:val="230"/>
        </w:trPr>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year)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activity related to terminated interest rate derivatives (all of which were designated as cash flow hedges) for the years ended December 31, 2015, 2014 and 2013 (notional amounts and cash received/(paid)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80" w:type="dxa"/>
            <w:vAlign w:val="bottom"/>
            <w:vMerge w:val="restart"/>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and Types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Cash</w:t>
            </w: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Average Rate</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Terminated</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Received/(Paid)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August 2015 senior note issuance</w:t>
            </w: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forward starting swaps (30-year)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August 2015 senior note issuance</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7 forward starting swaps (30-year)</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2014 senior note issuance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treasury lock agreements</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August 2013 senior note issuance</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5 forward starting swaps (30-year)</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2015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jc w:val="right"/>
              <w:ind w:right="20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$1.00 - $1.38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jc w:val="right"/>
              <w:ind w:right="20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Consolidated Statements of Cash Flows.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Year Ended December 31, 2015</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90"/>
              <w:spacing w:after="0" w:line="119" w:lineRule="exact"/>
              <w:rPr>
                <w:sz w:val="20"/>
                <w:szCs w:val="20"/>
                <w:color w:val="auto"/>
              </w:rPr>
            </w:pPr>
            <w:r>
              <w:rPr>
                <w:rFonts w:ascii="Arial" w:cs="Arial" w:eastAsia="Arial" w:hAnsi="Arial"/>
                <w:sz w:val="13"/>
                <w:szCs w:val="13"/>
                <w:b w:val="1"/>
                <w:bCs w:val="1"/>
                <w:color w:val="auto"/>
              </w:rPr>
              <w:t>Derivatives in</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300" w:type="dxa"/>
            <w:vAlign w:val="bottom"/>
          </w:tcPr>
          <w:p>
            <w:pPr>
              <w:spacing w:after="0"/>
              <w:rPr>
                <w:sz w:val="12"/>
                <w:szCs w:val="12"/>
                <w:color w:val="auto"/>
              </w:rPr>
            </w:pPr>
          </w:p>
        </w:tc>
        <w:tc>
          <w:tcPr>
            <w:tcW w:w="112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92"/>
              </w:rPr>
              <w:t>Hedging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70"/>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42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130" w:name="page131"/>
    <w:bookmarkEnd w:id="13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256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Year Ended December 31, 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90"/>
              <w:spacing w:after="0" w:line="119" w:lineRule="exact"/>
              <w:rPr>
                <w:sz w:val="20"/>
                <w:szCs w:val="20"/>
                <w:color w:val="auto"/>
              </w:rPr>
            </w:pPr>
            <w:r>
              <w:rPr>
                <w:rFonts w:ascii="Arial" w:cs="Arial" w:eastAsia="Arial" w:hAnsi="Arial"/>
                <w:sz w:val="13"/>
                <w:szCs w:val="13"/>
                <w:b w:val="1"/>
                <w:bCs w:val="1"/>
                <w:color w:val="auto"/>
              </w:rPr>
              <w:t>Derivatives in</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92"/>
              </w:rPr>
              <w:t>Hedging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70"/>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256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256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60" w:type="dxa"/>
            <w:vAlign w:val="bottom"/>
            <w:gridSpan w:val="3"/>
          </w:tcPr>
          <w:p>
            <w:pPr>
              <w:jc w:val="right"/>
              <w:ind w:right="1650"/>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Year Ended December 31, 2013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left="190"/>
              <w:spacing w:after="0" w:line="119" w:lineRule="exact"/>
              <w:rPr>
                <w:sz w:val="20"/>
                <w:szCs w:val="20"/>
                <w:color w:val="auto"/>
              </w:rPr>
            </w:pPr>
            <w:r>
              <w:rPr>
                <w:rFonts w:ascii="Arial" w:cs="Arial" w:eastAsia="Arial" w:hAnsi="Arial"/>
                <w:sz w:val="13"/>
                <w:szCs w:val="13"/>
                <w:b w:val="1"/>
                <w:bCs w:val="1"/>
                <w:color w:val="auto"/>
              </w:rPr>
              <w:t>Derivatives in</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Derivatives</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left="170"/>
              <w:spacing w:after="0" w:line="149" w:lineRule="exact"/>
              <w:rPr>
                <w:sz w:val="20"/>
                <w:szCs w:val="20"/>
                <w:color w:val="auto"/>
              </w:rPr>
            </w:pPr>
            <w:r>
              <w:rPr>
                <w:rFonts w:ascii="Arial" w:cs="Arial" w:eastAsia="Arial" w:hAnsi="Arial"/>
                <w:sz w:val="14"/>
                <w:szCs w:val="14"/>
                <w:b w:val="1"/>
                <w:bCs w:val="1"/>
                <w:color w:val="auto"/>
                <w:w w:val="92"/>
              </w:rPr>
              <w:t>Hedging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300" w:type="dxa"/>
            <w:vAlign w:val="bottom"/>
          </w:tcPr>
          <w:p>
            <w:pPr>
              <w:spacing w:after="0"/>
              <w:rPr>
                <w:sz w:val="12"/>
                <w:szCs w:val="12"/>
                <w:color w:val="auto"/>
              </w:rPr>
            </w:pP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left="170"/>
              <w:spacing w:after="0"/>
              <w:rPr>
                <w:sz w:val="20"/>
                <w:szCs w:val="20"/>
                <w:color w:val="auto"/>
              </w:rPr>
            </w:pPr>
            <w:r>
              <w:rPr>
                <w:rFonts w:ascii="Arial" w:cs="Arial" w:eastAsia="Arial" w:hAnsi="Arial"/>
                <w:sz w:val="14"/>
                <w:szCs w:val="14"/>
                <w:b w:val="1"/>
                <w:bCs w:val="1"/>
                <w:color w:val="auto"/>
                <w:w w:val="91"/>
              </w:rPr>
              <w:t>Relationships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as a Hedge</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56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revenues</w:t>
            </w:r>
          </w:p>
        </w:tc>
        <w:tc>
          <w:tcPr>
            <w:tcW w:w="256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Facilities segment revenues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Gain/(Loss) on Derivatives Recognized in Net Income</w:t>
            </w:r>
          </w:p>
        </w:tc>
        <w:tc>
          <w:tcPr>
            <w:tcW w:w="256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-3303270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-3303270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Sheets on a gross basis as of December 31, 2015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w w:val="89"/>
              </w:rPr>
              <w:t>Asset Derivatives</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4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4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Other long-term assets,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long-term liabilities and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 hedging</w:t>
            </w: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6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0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b w:val="1"/>
                <w:bCs w:val="1"/>
                <w:color w:val="auto"/>
              </w:rPr>
              <w:t>instruments:</w:t>
            </w: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Other long-term assets,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10</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Other long-term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6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long-term liabilities and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4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140" w:right="199" w:bottom="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3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Sheets on a gross basis as of December 31,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w w:val="89"/>
              </w:rPr>
              <w:t>Asset Derivatives</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30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0" w:type="dxa"/>
            <w:vAlign w:val="bottom"/>
          </w:tcPr>
          <w:p>
            <w:pPr>
              <w:spacing w:after="0"/>
              <w:rPr>
                <w:sz w:val="10"/>
                <w:szCs w:val="10"/>
                <w:color w:val="auto"/>
              </w:rPr>
            </w:pPr>
          </w:p>
        </w:tc>
        <w:tc>
          <w:tcPr>
            <w:tcW w:w="72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4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4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Other current assets</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long-term assets, net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7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2"/>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designated as hedging</w:t>
            </w:r>
          </w:p>
        </w:tc>
        <w:tc>
          <w:tcPr>
            <w:tcW w:w="4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spacing w:after="0"/>
              <w:rPr>
                <w:sz w:val="15"/>
                <w:szCs w:val="15"/>
                <w:color w:val="auto"/>
              </w:rPr>
            </w:pPr>
          </w:p>
        </w:tc>
        <w:tc>
          <w:tcPr>
            <w:tcW w:w="640" w:type="dxa"/>
            <w:vAlign w:val="bottom"/>
            <w:vMerge w:val="restart"/>
            <w:shd w:val="clear" w:color="auto" w:fill="CCEEFF"/>
          </w:tcPr>
          <w:p>
            <w:pPr>
              <w:jc w:val="right"/>
              <w:ind w:right="46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50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Derivatives not designated as hedging</w:t>
            </w:r>
          </w:p>
        </w:tc>
        <w:tc>
          <w:tcPr>
            <w:tcW w:w="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4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80" w:type="dxa"/>
            <w:vAlign w:val="bottom"/>
            <w:gridSpan w:val="2"/>
          </w:tcPr>
          <w:p>
            <w:pPr>
              <w:ind w:left="400"/>
              <w:spacing w:after="0"/>
              <w:rPr>
                <w:sz w:val="20"/>
                <w:szCs w:val="20"/>
                <w:color w:val="auto"/>
              </w:rPr>
            </w:pPr>
            <w:r>
              <w:rPr>
                <w:rFonts w:ascii="Arial" w:cs="Arial" w:eastAsia="Arial" w:hAnsi="Arial"/>
                <w:sz w:val="18"/>
                <w:szCs w:val="18"/>
                <w:color w:val="auto"/>
              </w:rPr>
              <w:t>Other current assets</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439</w:t>
            </w: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long-term assets, net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76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long-term liabilities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640" w:type="dxa"/>
            <w:vAlign w:val="bottom"/>
            <w:vMerge w:val="restart"/>
          </w:tcPr>
          <w:p>
            <w:pPr>
              <w:jc w:val="right"/>
              <w:ind w:right="46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w w:val="79"/>
              </w:rPr>
              <w:t>462</w:t>
            </w: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0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500" w:type="dxa"/>
            <w:vAlign w:val="bottom"/>
            <w:tcBorders>
              <w:right w:val="single" w:sz="8" w:color="auto"/>
            </w:tcBorders>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derivatives</w:t>
            </w:r>
          </w:p>
        </w:tc>
        <w:tc>
          <w:tcPr>
            <w:tcW w:w="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79"/>
              </w:rPr>
              <w:t>493</w:t>
            </w:r>
          </w:p>
        </w:tc>
        <w:tc>
          <w:tcPr>
            <w:tcW w:w="2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also offset derivative assets and liabilities with amounts associated with cash margin. Our exchange-traded derivatives are transacted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 clearing brokerage accounts and are subject to margin requirements as established by the respective exchange. On a daily basis, our account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the sum of our cash balance and the fair value of our open derivatives) is compared to our initial margin requirement resulting in the payment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return of variation margin. As of December 31, 2015, we had a net broker payable of $156 million (consisting of initial margin of $91 million reduced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$247 million of variation margin that had been returned to us). As of December 31, 2014, we had a net broker payable of $133 million (consisting of initial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margin of $126 million reduced by $259 million of variation margin that had been returned to 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6"/>
          </w:tcPr>
          <w:p>
            <w:pPr>
              <w:ind w:left="86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4"/>
                <w:szCs w:val="14"/>
                <w:color w:val="auto"/>
              </w:rPr>
            </w:pPr>
          </w:p>
        </w:tc>
        <w:tc>
          <w:tcPr>
            <w:tcW w:w="306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Derivative</w:t>
            </w: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Derivative</w:t>
            </w:r>
          </w:p>
        </w:tc>
        <w:tc>
          <w:tcPr>
            <w:tcW w:w="440" w:type="dxa"/>
            <w:vAlign w:val="bottom"/>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Asset Positions</w:t>
            </w:r>
          </w:p>
        </w:tc>
        <w:tc>
          <w:tcPr>
            <w:tcW w:w="140" w:type="dxa"/>
            <w:vAlign w:val="bottom"/>
          </w:tcPr>
          <w:p>
            <w:pPr>
              <w:spacing w:after="0"/>
              <w:rPr>
                <w:sz w:val="14"/>
                <w:szCs w:val="14"/>
                <w:color w:val="auto"/>
              </w:rPr>
            </w:pPr>
          </w:p>
        </w:tc>
        <w:tc>
          <w:tcPr>
            <w:tcW w:w="18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right w:val="single" w:sz="8" w:color="auto"/>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76" w:gutter="0" w:footer="0" w:header="0"/>
        </w:sectPr>
      </w:pPr>
    </w:p>
    <w:bookmarkStart w:id="132" w:name="page133"/>
    <w:bookmarkEnd w:id="132"/>
    <w:p>
      <w:pPr>
        <w:spacing w:after="0" w:line="5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2015, there was a net loss of $203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December 31, 2015, we expect to reclassify a net loss of $3 million to earnings in the next twelve months. The remaining deferred loss of $200 million is expected to be reclassified to earnings through 2049. A portion of these amounts is based on market prices as of December 31, 2015; thus, actual amounts to be reclassified will differ and could vary materially as a result of changes in market conditions.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ectPr>
          <w:pgSz w:w="11900" w:h="16897"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Commodity derivatives,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derivatives,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derivatives,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r>
      <w:tr>
        <w:trPr>
          <w:trHeight w:val="195"/>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6"/>
                <w:szCs w:val="16"/>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30"/>
        </w:trPr>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-599440</wp:posOffset>
            </wp:positionV>
            <wp:extent cx="724662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-316865</wp:posOffset>
            </wp:positionV>
            <wp:extent cx="72466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97" w:orient="portrait"/>
          <w:cols w:equalWidth="0" w:num="2">
            <w:col w:w="5920" w:space="720"/>
            <w:col w:w="4780"/>
          </w:cols>
          <w:pgMar w:left="240" w:top="125" w:right="239" w:bottom="0" w:gutter="0" w:footer="0" w:header="0"/>
          <w:type w:val="continuous"/>
        </w:sectPr>
      </w:pPr>
    </w:p>
    <w:p>
      <w:pPr>
        <w:spacing w:after="0" w:line="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At December 31,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85"/>
              <w:spacing w:after="0"/>
              <w:rPr>
                <w:sz w:val="20"/>
                <w:szCs w:val="20"/>
                <w:color w:val="auto"/>
              </w:rPr>
            </w:pPr>
            <w:r>
              <w:rPr>
                <w:rFonts w:ascii="Arial" w:cs="Arial" w:eastAsia="Arial" w:hAnsi="Arial"/>
                <w:sz w:val="14"/>
                <w:szCs w:val="14"/>
                <w:b w:val="1"/>
                <w:bCs w:val="1"/>
                <w:color w:val="auto"/>
              </w:rPr>
              <w:t>Fair Value as of December 31, 2015</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ind w:right="45"/>
              <w:spacing w:after="0"/>
              <w:rPr>
                <w:sz w:val="20"/>
                <w:szCs w:val="20"/>
                <w:color w:val="auto"/>
              </w:rPr>
            </w:pPr>
            <w:r>
              <w:rPr>
                <w:rFonts w:ascii="Arial" w:cs="Arial" w:eastAsia="Arial" w:hAnsi="Arial"/>
                <w:sz w:val="14"/>
                <w:szCs w:val="14"/>
                <w:b w:val="1"/>
                <w:bCs w:val="1"/>
                <w:color w:val="auto"/>
              </w:rPr>
              <w:t>Fair Value as of December 31, 2014</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Level 1</w:t>
            </w: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2560" w:hanging="5532"/>
        <w:spacing w:after="0" w:line="461" w:lineRule="auto"/>
        <w:tabs>
          <w:tab w:leader="none" w:pos="640"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Consolidated Statements of Operations as Supply and Logistics segment revenues.</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Gains for the period included in earnings</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Derivatives entered into during the period</w:t>
            </w:r>
          </w:p>
        </w:tc>
        <w:tc>
          <w:tcPr>
            <w:tcW w:w="2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97" w:orient="portrait"/>
          <w:cols w:equalWidth="0" w:num="1">
            <w:col w:w="11420"/>
          </w:cols>
          <w:pgMar w:left="240" w:top="125" w:right="239" w:bottom="0" w:gutter="0" w:footer="0" w:header="0"/>
          <w:type w:val="continuous"/>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5422900</wp:posOffset>
            </wp:positionH>
            <wp:positionV relativeFrom="page">
              <wp:posOffset>88900</wp:posOffset>
            </wp:positionV>
            <wp:extent cx="19126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12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20"/>
                <w:szCs w:val="20"/>
                <w:color w:val="auto"/>
              </w:rPr>
            </w:pPr>
            <w:r>
              <w:rPr>
                <w:rFonts w:ascii="Arial" w:cs="Arial" w:eastAsia="Arial" w:hAnsi="Arial"/>
                <w:sz w:val="18"/>
                <w:szCs w:val="18"/>
                <w:color w:val="auto"/>
                <w:w w:val="95"/>
              </w:rPr>
              <w:t>Change in unrealized gains included in earnings relating to Level 3 derivatives still held at the end of the</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period</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2015 and 2014, we had not recognized any material amounts in connection with uncertainty in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As an MLP, we are not subject to U.S. federal income taxes; rather the tax effect of our operations is passed through to our unitholders. Although we are subject to state income taxes in some states, the impact to the years ended December 31, 2015, 2014, and 2013 was immaterial.</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for the periods indicated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State income tax</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expense</w:t>
            </w: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income tax expense/(benefit):</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Canadian federal and provincial income tax</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Total deferred income tax expense/(benefit)</w:t>
            </w: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for the periods indicated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Partnership earnings not subject to current Canadian tax</w:t>
            </w: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Canadian federal and provincial corporate tax rate</w:t>
            </w: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18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Canadian withholding tax</w:t>
            </w:r>
          </w:p>
        </w:tc>
        <w:tc>
          <w:tcPr>
            <w:tcW w:w="272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Canadian permanent differences and rate changes</w:t>
            </w: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w:t>
            </w:r>
          </w:p>
        </w:tc>
        <w:tc>
          <w:tcPr>
            <w:tcW w:w="1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18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720" w:type="dxa"/>
            <w:vAlign w:val="bottom"/>
            <w:gridSpan w:val="2"/>
          </w:tcPr>
          <w:p>
            <w:pPr>
              <w:jc w:val="right"/>
              <w:ind w:right="1566"/>
              <w:spacing w:after="0"/>
              <w:rPr>
                <w:sz w:val="20"/>
                <w:szCs w:val="20"/>
                <w:color w:val="auto"/>
              </w:rPr>
            </w:pPr>
            <w:r>
              <w:rPr>
                <w:rFonts w:ascii="Arial" w:cs="Arial" w:eastAsia="Arial" w:hAnsi="Arial"/>
                <w:sz w:val="18"/>
                <w:szCs w:val="18"/>
                <w:color w:val="auto"/>
              </w:rPr>
              <w:t>F-35</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Deferred tax assets and liabilities are aggregated by the applicable tax paying entity and jurisdiction and result from the following as of the dates indicated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04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60"/>
          </w:cols>
          <w:pgMar w:left="240" w:top="355" w:right="199" w:bottom="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Book accruals in excess of current tax deductions</w:t>
            </w:r>
          </w:p>
        </w:tc>
        <w:tc>
          <w:tcPr>
            <w:tcW w:w="24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19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Property and equipment in excess of tax values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9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classification of deferred tax assets/(liabilities):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Other long-term assets, net</w:t>
            </w:r>
          </w:p>
        </w:tc>
        <w:tc>
          <w:tcPr>
            <w:tcW w:w="24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5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we had foreign net operating loss carryforwards of $11 million, which will expire beginning in 2034.</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2008 through 2015. Our U.S. and state tax years are generally open to examination from 2012 to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13—Major Customers and Concentration of Credit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Marathon Petroleum Corporation and its subsidiaries accounted for 17%, 17% and 15% of our revenues for the years ended December 31, 2015, 2014 and 2013, respectively. ExxonMobil Corporation and its subsidiaries accounted for 13%, 15% and 13% of our revenues for the years ended December 31, 2015, 2014 and 2013, respectively. Phillips 66 and its subsidiaries accounted for 11% of our revenues for the year ended December 31, 2013. No other customers accounted for 10% or more of our revenues during any of the three years ended December 31, 2015.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and natural gas.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 of Our General Partner and its Affiliates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AAP Management Units). We record these costs on the accrual basis in the period in which our general partner incurs them. Our partnership agreement provides that our general partner will determine the expenses that are allocable to us in any reasonable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manner determined by our general partner in its sole discretion. Total costs reimbursed by us to our general partner for the years ended December 31, 2015, 2014 and 2013 were $648 million, $598 million and $567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December 31, 2015, Oxy owned approximately 13% of the limited partner interests in our general partner and had a representative on the board of directors of GP LLC. During the three years ended December 31, 2015, we recognized sales and transportation revenues and purchased petroleum products from Oxy. These transactions were conducted at posted tariff rates or prices that we believe approximate market. A portion of these transactions was conducted under a crude oil buy/sell agreement that includes a multi-year minimum volume commitment. The impact to our Consolidated Statements of Operations from those transactions is included below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60" w:hanging="652"/>
        <w:spacing w:after="0" w:line="227" w:lineRule="auto"/>
        <w:tabs>
          <w:tab w:leader="none" w:pos="648"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Consolidated Statements of Operations.</w:t>
      </w:r>
    </w:p>
    <w:p>
      <w:pPr>
        <w:sectPr>
          <w:pgSz w:w="11900" w:h="16838" w:orient="portrait"/>
          <w:cols w:equalWidth="0" w:num="1">
            <w:col w:w="11420"/>
          </w:cols>
          <w:pgMar w:left="240" w:top="140" w:right="239" w:bottom="0" w:gutter="0" w:footer="0" w:header="0"/>
        </w:sectPr>
      </w:pPr>
    </w:p>
    <w:bookmarkStart w:id="135" w:name="page136"/>
    <w:bookmarkEnd w:id="135"/>
    <w:p>
      <w:pPr>
        <w:ind w:right="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Consolidated Balance Sheets were as follows as of the dates indicated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405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November 2014, we purchased Oxy’s 50% interest in BridgeTex. See Note 7 for further discussion. Also in November 2014, Oxy exchanged a portion of its interest in our general partner for Class A shares of PAGP and immediately sold such shares through a secondary public offering completed by PAGP.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also have transactions with companies in which we hold an investment accounted for under the equity method of accounting (see Note 7 for information related to these investments). We recorded revenues of $17 million, $3 million and $33 million during the years ended December 31, 2015, 2014 and 2013, respectively. During the three years ended December 31, 2015, we utilized transportation services and purchased petroleum products provided by these companies. Costs related to these services totaled $164 million, $75 million and $79 million for the years ended December 31, 2015, 2014 and 2013, respectively. These transactions were conducted at posted tariff rates or contracted rates or prices that we believe approximate market. Receivables from our equity method investees totaled $14 million at December 31, 2015 and less than $1 million at December 31, 2014. Accounts payable to our equity method investees were $25 million and $6 million at December 31, 2015 and 2014, respectively.</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 Issuance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January 2016, we completed a private placement of preferred units. Certain of the purchasers of the preferred units or their affiliates are related parties. Kayne Anderson Capital Advisors, L.P. and certain of its affiliates and an affiliate of The Energy Minerals Group hold ownership interests in our general partner. In addition, certain of the current directors of our general partner are affiliated with certain of the purchasers. See Note 10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15—Equity-Indexed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Long-Term Incentive Plan Awards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Plains All American 2013 Long-Term Incentive Plan</w:t>
      </w:r>
      <w:r>
        <w:rPr>
          <w:rFonts w:ascii="Arial" w:cs="Arial" w:eastAsia="Arial" w:hAnsi="Arial"/>
          <w:sz w:val="16"/>
          <w:szCs w:val="16"/>
          <w:color w:val="auto"/>
        </w:rPr>
        <w:t>. In November 2013, our common unitholders approved the Plains All American 2013 Long-Term Incentive Plan (the “PAA 2013 LTIP”), which consolidated our three previous long-term incentive plans (the Plains All American GP LLC 1998 Long-Term Incentive Plan, as amended, the Plains All American 2005 Long-Term Incentive Plan, as amended, and the Plains All American PPX Successor Long-Term Incentive Plan, as amended) into a single plan. The PAA 2013 LTIP authorizes the issuance of an aggregate of approximately 13.1 million PAA common units deliverable upon vesting. Although other types of awards are contemplated under the PAA 2013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Plains All American PNG Successor Long-Term Incentive Plan</w:t>
      </w:r>
      <w:r>
        <w:rPr>
          <w:rFonts w:ascii="Arial" w:cs="Arial" w:eastAsia="Arial" w:hAnsi="Arial"/>
          <w:sz w:val="18"/>
          <w:szCs w:val="18"/>
          <w:color w:val="auto"/>
        </w:rPr>
        <w:t>. In conjunction with the PNG Merger on December 31, 2013,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and assumed the PAA Natural Gas Storage, L.P. 2010 Long-Term Incentive Plan (the “PNG 2010 LTIP”) and changed the plan name to the Plains All American PNG Successor Long-Term Incentive Plan (the “PNG Successor LTIP”). Additionally, as a result of the PNG Merger, outstanding awards of PNG phantom units issued under the PNG 2010 LTIP were converted into comparable awards of phantom units representing the right to receive PAA common units by applying the Merger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Exchange Ratio to each outstanding phantom unit and rounding down to the nearest PAA phantom unit for any fractions. See Note 10 for further discussion of the PNG Merger. The PNG Successor LTIP authorizes the issuance of an aggregate of 1.3 million PAA common units deliverable upon vesting. Although other types of awards are contemplated under the PNG Successor LTIP, currently outstanding awards are limited to “phantom units,” which mature into the right to receive common units of PAA (or cash equivalent) upon vesting. Some awards also include DERs, which, subject to applicable vesting criteria, entitle the grantee to a cash payment equal to the cash distribution paid on an outstanding PAA common unit.</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Plains All American GP LLC 2006 Long-Term Incentive Tracking Unit Plan. </w:t>
      </w:r>
      <w:r>
        <w:rPr>
          <w:rFonts w:ascii="Arial" w:cs="Arial" w:eastAsia="Arial" w:hAnsi="Arial"/>
          <w:sz w:val="18"/>
          <w:szCs w:val="18"/>
          <w:color w:val="auto"/>
        </w:rPr>
        <w:t>Our general partner has adopted the Plains All American GP LLC 2006</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Tracking Unit Plan (the “2006 Plan”) for non-officer employees. The 2006 Plan authorizes the grant of approximately 4.2 million “tracking units” which, upon vesting, represent the right to receive a cash payment in an amount based upon the market value of a PAA common unit at the time of vesting.</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general partner is entitled to reimbursement by us for any costs incurred in settling obligations under the PAA 2013 LTIP, the PNG Successor LTIP or the 2006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the following LTIP awards, denominated in PAA units, were outstanding (units in millions):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jc w:val="center"/>
              <w:ind w:right="508"/>
              <w:spacing w:after="0"/>
              <w:rPr>
                <w:sz w:val="20"/>
                <w:szCs w:val="20"/>
                <w:color w:val="auto"/>
              </w:rPr>
            </w:pPr>
            <w:r>
              <w:rPr>
                <w:rFonts w:ascii="Arial" w:cs="Arial" w:eastAsia="Arial" w:hAnsi="Arial"/>
                <w:sz w:val="14"/>
                <w:szCs w:val="14"/>
                <w:b w:val="1"/>
                <w:bCs w:val="1"/>
                <w:color w:val="auto"/>
                <w:w w:val="94"/>
              </w:rPr>
              <w:t>PAA</w:t>
            </w:r>
          </w:p>
        </w:tc>
        <w:tc>
          <w:tcPr>
            <w:tcW w:w="20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PAA</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Probable Awards</w:t>
            </w: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Not Yet</w:t>
            </w:r>
          </w:p>
        </w:tc>
      </w:tr>
      <w:tr>
        <w:trPr>
          <w:trHeight w:val="171"/>
        </w:trPr>
        <w:tc>
          <w:tcPr>
            <w:tcW w:w="1620" w:type="dxa"/>
            <w:vAlign w:val="bottom"/>
          </w:tcPr>
          <w:p>
            <w:pPr>
              <w:jc w:val="center"/>
              <w:ind w:right="508"/>
              <w:spacing w:after="0"/>
              <w:rPr>
                <w:sz w:val="20"/>
                <w:szCs w:val="20"/>
                <w:color w:val="auto"/>
              </w:rPr>
            </w:pPr>
            <w:r>
              <w:rPr>
                <w:rFonts w:ascii="Arial" w:cs="Arial" w:eastAsia="Arial" w:hAnsi="Arial"/>
                <w:sz w:val="14"/>
                <w:szCs w:val="14"/>
                <w:b w:val="1"/>
                <w:bCs w:val="1"/>
                <w:color w:val="auto"/>
                <w:w w:val="98"/>
              </w:rPr>
              <w:t>LTIP Units</w:t>
            </w:r>
          </w:p>
        </w:tc>
        <w:tc>
          <w:tcPr>
            <w:tcW w:w="204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Distribution</w:t>
            </w:r>
          </w:p>
        </w:tc>
        <w:tc>
          <w:tcPr>
            <w:tcW w:w="9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3"/>
              </w:rPr>
              <w:t>Estimated Unit Vesting Date</w:t>
            </w: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Probable</w:t>
            </w:r>
          </w:p>
        </w:tc>
      </w:tr>
      <w:tr>
        <w:trPr>
          <w:trHeight w:val="157"/>
        </w:trPr>
        <w:tc>
          <w:tcPr>
            <w:tcW w:w="1620" w:type="dxa"/>
            <w:vAlign w:val="bottom"/>
          </w:tcPr>
          <w:p>
            <w:pPr>
              <w:jc w:val="center"/>
              <w:ind w:right="508"/>
              <w:spacing w:after="0" w:line="158" w:lineRule="exact"/>
              <w:rPr>
                <w:sz w:val="20"/>
                <w:szCs w:val="20"/>
                <w:color w:val="auto"/>
              </w:rPr>
            </w:pPr>
            <w:r>
              <w:rPr>
                <w:rFonts w:ascii="Arial" w:cs="Arial" w:eastAsia="Arial" w:hAnsi="Arial"/>
                <w:sz w:val="14"/>
                <w:szCs w:val="14"/>
                <w:b w:val="1"/>
                <w:bCs w:val="1"/>
                <w:color w:val="auto"/>
                <w:w w:val="88"/>
              </w:rPr>
              <w:t xml:space="preserve">Outstanding </w:t>
            </w:r>
            <w:r>
              <w:rPr>
                <w:rFonts w:ascii="Arial" w:cs="Arial" w:eastAsia="Arial" w:hAnsi="Arial"/>
                <w:sz w:val="17"/>
                <w:szCs w:val="17"/>
                <w:b w:val="1"/>
                <w:bCs w:val="1"/>
                <w:color w:val="auto"/>
                <w:w w:val="88"/>
                <w:vertAlign w:val="superscript"/>
              </w:rPr>
              <w:t>(1) (2)</w:t>
            </w:r>
          </w:p>
        </w:tc>
        <w:tc>
          <w:tcPr>
            <w:tcW w:w="204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1"/>
              </w:rPr>
              <w:t xml:space="preserve">Required </w:t>
            </w:r>
            <w:r>
              <w:rPr>
                <w:rFonts w:ascii="Arial" w:cs="Arial" w:eastAsia="Arial" w:hAnsi="Arial"/>
                <w:sz w:val="17"/>
                <w:szCs w:val="17"/>
                <w:b w:val="1"/>
                <w:bCs w:val="1"/>
                <w:color w:val="auto"/>
                <w:w w:val="91"/>
                <w:vertAlign w:val="superscript"/>
              </w:rPr>
              <w:t>(3)</w:t>
            </w:r>
          </w:p>
        </w:tc>
        <w:tc>
          <w:tcPr>
            <w:tcW w:w="940" w:type="dxa"/>
            <w:vAlign w:val="bottom"/>
          </w:tcPr>
          <w:p>
            <w:pPr>
              <w:jc w:val="right"/>
              <w:ind w:right="308"/>
              <w:spacing w:after="0" w:line="157" w:lineRule="exact"/>
              <w:rPr>
                <w:sz w:val="20"/>
                <w:szCs w:val="20"/>
                <w:color w:val="auto"/>
              </w:rPr>
            </w:pPr>
            <w:r>
              <w:rPr>
                <w:rFonts w:ascii="Arial" w:cs="Arial" w:eastAsia="Arial" w:hAnsi="Arial"/>
                <w:sz w:val="14"/>
                <w:szCs w:val="14"/>
                <w:b w:val="1"/>
                <w:bCs w:val="1"/>
                <w:color w:val="auto"/>
              </w:rPr>
              <w:t>2016</w:t>
            </w:r>
          </w:p>
        </w:tc>
        <w:tc>
          <w:tcPr>
            <w:tcW w:w="940" w:type="dxa"/>
            <w:vAlign w:val="bottom"/>
          </w:tcPr>
          <w:p>
            <w:pPr>
              <w:jc w:val="right"/>
              <w:ind w:right="208"/>
              <w:spacing w:after="0" w:line="157" w:lineRule="exact"/>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308"/>
              <w:spacing w:after="0" w:line="157" w:lineRule="exact"/>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348"/>
              <w:spacing w:after="0" w:line="157" w:lineRule="exact"/>
              <w:rPr>
                <w:sz w:val="20"/>
                <w:szCs w:val="20"/>
                <w:color w:val="auto"/>
              </w:rPr>
            </w:pPr>
            <w:r>
              <w:rPr>
                <w:rFonts w:ascii="Arial" w:cs="Arial" w:eastAsia="Arial" w:hAnsi="Arial"/>
                <w:sz w:val="14"/>
                <w:szCs w:val="14"/>
                <w:b w:val="1"/>
                <w:bCs w:val="1"/>
                <w:color w:val="auto"/>
              </w:rPr>
              <w:t>2019</w:t>
            </w:r>
          </w:p>
        </w:tc>
        <w:tc>
          <w:tcPr>
            <w:tcW w:w="1120" w:type="dxa"/>
            <w:vAlign w:val="bottom"/>
          </w:tcPr>
          <w:p>
            <w:pPr>
              <w:ind w:left="180"/>
              <w:spacing w:after="0" w:line="157" w:lineRule="exact"/>
              <w:rPr>
                <w:sz w:val="20"/>
                <w:szCs w:val="20"/>
                <w:color w:val="auto"/>
              </w:rPr>
            </w:pPr>
            <w:r>
              <w:rPr>
                <w:rFonts w:ascii="Arial" w:cs="Arial" w:eastAsia="Arial" w:hAnsi="Arial"/>
                <w:sz w:val="14"/>
                <w:szCs w:val="14"/>
                <w:b w:val="1"/>
                <w:bCs w:val="1"/>
                <w:color w:val="auto"/>
              </w:rPr>
              <w:t>Thereafter</w:t>
            </w:r>
          </w:p>
        </w:tc>
        <w:tc>
          <w:tcPr>
            <w:tcW w:w="860" w:type="dxa"/>
            <w:vAlign w:val="bottom"/>
          </w:tcPr>
          <w:p>
            <w:pPr>
              <w:ind w:left="300"/>
              <w:spacing w:after="0" w:line="157" w:lineRule="exact"/>
              <w:rPr>
                <w:sz w:val="20"/>
                <w:szCs w:val="20"/>
                <w:color w:val="auto"/>
              </w:rPr>
            </w:pPr>
            <w:r>
              <w:rPr>
                <w:rFonts w:ascii="Arial" w:cs="Arial" w:eastAsia="Arial" w:hAnsi="Arial"/>
                <w:sz w:val="14"/>
                <w:szCs w:val="14"/>
                <w:b w:val="1"/>
                <w:bCs w:val="1"/>
                <w:color w:val="auto"/>
              </w:rPr>
              <w:t>Total</w:t>
            </w:r>
          </w:p>
        </w:tc>
        <w:tc>
          <w:tcPr>
            <w:tcW w:w="96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87"/>
              </w:rPr>
              <w:t xml:space="preserve">Awards </w:t>
            </w:r>
            <w:r>
              <w:rPr>
                <w:rFonts w:ascii="Arial" w:cs="Arial" w:eastAsia="Arial" w:hAnsi="Arial"/>
                <w:sz w:val="17"/>
                <w:szCs w:val="17"/>
                <w:b w:val="1"/>
                <w:bCs w:val="1"/>
                <w:color w:val="auto"/>
                <w:w w:val="87"/>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ind w:left="1720"/>
        <w:spacing w:after="0"/>
        <w:tabs>
          <w:tab w:leader="none" w:pos="2500" w:val="left"/>
          <w:tab w:leader="none" w:pos="4700" w:val="left"/>
          <w:tab w:leader="none" w:pos="5740" w:val="left"/>
          <w:tab w:leader="none" w:pos="6780" w:val="left"/>
          <w:tab w:leader="none" w:pos="7820" w:val="left"/>
          <w:tab w:leader="none" w:pos="8940" w:val="left"/>
          <w:tab w:leader="none" w:pos="9940" w:val="left"/>
          <w:tab w:leader="none" w:pos="110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$2.075-$3.300</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0.8</w:t>
      </w:r>
      <w:r>
        <w:rPr>
          <w:sz w:val="20"/>
          <w:szCs w:val="20"/>
          <w:color w:val="auto"/>
        </w:rPr>
        <w:tab/>
      </w: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780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6" w:name="page137"/>
    <w:bookmarkEnd w:id="136"/>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0" w:right="120" w:hanging="11"/>
        <w:spacing w:after="0" w:line="277" w:lineRule="auto"/>
        <w:rPr>
          <w:sz w:val="20"/>
          <w:szCs w:val="20"/>
          <w:color w:val="auto"/>
        </w:rPr>
      </w:pPr>
      <w:r>
        <w:rPr>
          <w:rFonts w:ascii="Arial" w:cs="Arial" w:eastAsia="Arial" w:hAnsi="Arial"/>
          <w:sz w:val="18"/>
          <w:szCs w:val="18"/>
          <w:color w:val="auto"/>
        </w:rPr>
        <w:t>Approximately 2.7 million of the 6.9 million outstanding PAA LTIP awards also include DERs, of which 2.4 million had vested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-370840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LTIP units outstanding do not include AAP Management Units.</w:t>
      </w:r>
    </w:p>
    <w:p>
      <w:pPr>
        <w:spacing w:after="0" w:line="225" w:lineRule="exact"/>
        <w:rPr>
          <w:sz w:val="20"/>
          <w:szCs w:val="20"/>
          <w:color w:val="auto"/>
        </w:rPr>
      </w:pPr>
    </w:p>
    <w:p>
      <w:pPr>
        <w:ind w:left="20" w:right="20" w:hanging="11"/>
        <w:spacing w:after="0" w:line="255" w:lineRule="auto"/>
        <w:rPr>
          <w:sz w:val="20"/>
          <w:szCs w:val="20"/>
          <w:color w:val="auto"/>
        </w:rPr>
      </w:pPr>
      <w:r>
        <w:rPr>
          <w:rFonts w:ascii="Arial" w:cs="Arial" w:eastAsia="Arial" w:hAnsi="Arial"/>
          <w:sz w:val="18"/>
          <w:szCs w:val="18"/>
          <w:color w:val="auto"/>
        </w:rPr>
        <w:t>These LTIP awards have performance conditions requiring the attainment of an annualized PAA distribution of between $2.075 and $3.30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vesting dates are based on an estimate of future distribution levels and assume that all grantees remain employed by us through the vesting date. As of December 31, 2015, a distribution of $2.90 per unit was deemed probable of occurring in the reasonably foreseeable future (and was initially determined to be probable in the fourth quarter of 2014).</w:t>
      </w:r>
    </w:p>
    <w:p>
      <w:pPr>
        <w:spacing w:after="0" w:line="193" w:lineRule="exact"/>
        <w:rPr>
          <w:sz w:val="20"/>
          <w:szCs w:val="20"/>
          <w:color w:val="auto"/>
        </w:rPr>
      </w:pPr>
    </w:p>
    <w:p>
      <w:pPr>
        <w:sectPr>
          <w:pgSz w:w="11900" w:h="16871" w:orient="portrait"/>
          <w:cols w:equalWidth="0" w:num="2">
            <w:col w:w="140" w:space="500"/>
            <w:col w:w="10780"/>
          </w:cols>
          <w:pgMar w:left="240" w:top="571" w:right="239" w:bottom="0" w:gutter="0" w:footer="0" w:header="0"/>
        </w:sectPr>
      </w:pPr>
    </w:p>
    <w:p>
      <w:pPr>
        <w:ind w:left="660" w:right="860" w:hanging="652"/>
        <w:spacing w:after="0" w:line="227" w:lineRule="auto"/>
        <w:tabs>
          <w:tab w:leader="none" w:pos="64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The achievement of the applicable performance conditions (distributions greater than $2.90 per unit) was not deemed to be probable as of December 31, 2015 and, therefore, no expense has been recognized related to these awards.</w:t>
      </w:r>
    </w:p>
    <w:p>
      <w:pPr>
        <w:spacing w:after="0" w:line="20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of equity-classified LTIP awards is calculated based on the closing market price of the underlying PAA unit on the respective grant dates and adjusted for the present value of any distributions that are estimated to occur on the underlying units over the vesting period that will not be received by the award recipient. This fair value is recognized as compensation expense over the service period.</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LTIP awards typically contain performance conditions based on the attainment of certain annualized distribution levels and vest upon the later of a certain date or the attainment of such levels. For awards with performance conditions (such as distribution targets),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 DER awards typically contain performance conditions based on the attainment of certain annualized distribution levels and become earned upon the attainment of such levels. The DERs terminate with the vesting or forfeiture of the underlying LTIP award. For liability-classified awards, we recognize DER payments in the period the payment is earned as compensation expense. For equity-classified awards, we recognize DER payments in the period they are paid as a reduction of partners’ capital.</w:t>
      </w:r>
    </w:p>
    <w:p>
      <w:pPr>
        <w:spacing w:after="0" w:line="19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accrued liability at December 31, 2015 related to all outstanding liability-classified LTIP awards and DERs was $33 million, of which $20 million was classified as short-term and $13 million was classified as long-term. These short- and long-term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accrued LTIP liabilities are reflected in “Accounts payable and accrued liabilities” and “Other long-term liabilities and deferred credits,” respectively, on our Consolidated Balance Sheets. These liabilities include accruals associated with our assessment that an annualized distribution of $2.90 per unit is probable of occurring in the reasonably foreseeable future (which was initially determined to be probable in the fourth quarter of 2014). At December 31, 2014, the accrued liability was $101 million, of which $57 million was classified as short-term and $44 million was classified as long-term.</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and PNG units is summarized in the following table for the periods indicated (units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w w:val="87"/>
              </w:rPr>
              <w:t xml:space="preserve">PAA Units </w:t>
            </w:r>
            <w:r>
              <w:rPr>
                <w:rFonts w:ascii="Arial" w:cs="Arial" w:eastAsia="Arial" w:hAnsi="Arial"/>
                <w:sz w:val="17"/>
                <w:szCs w:val="17"/>
                <w:b w:val="1"/>
                <w:bCs w:val="1"/>
                <w:color w:val="auto"/>
                <w:w w:val="87"/>
                <w:vertAlign w:val="superscript"/>
              </w:rPr>
              <w:t>(1) (2)</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6"/>
          </w:tcPr>
          <w:p>
            <w:pPr>
              <w:ind w:left="1240"/>
              <w:spacing w:after="0"/>
              <w:rPr>
                <w:sz w:val="20"/>
                <w:szCs w:val="20"/>
                <w:color w:val="auto"/>
              </w:rPr>
            </w:pPr>
            <w:r>
              <w:rPr>
                <w:rFonts w:ascii="Arial" w:cs="Arial" w:eastAsia="Arial" w:hAnsi="Arial"/>
                <w:sz w:val="14"/>
                <w:szCs w:val="14"/>
                <w:b w:val="1"/>
                <w:bCs w:val="1"/>
                <w:color w:val="auto"/>
              </w:rPr>
              <w:t>PNG Units</w:t>
            </w: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2"/>
                <w:szCs w:val="12"/>
                <w:color w:val="auto"/>
              </w:rPr>
            </w:pPr>
          </w:p>
        </w:tc>
        <w:tc>
          <w:tcPr>
            <w:tcW w:w="15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Fair Value per Unit</w:t>
            </w:r>
          </w:p>
        </w:tc>
        <w:tc>
          <w:tcPr>
            <w:tcW w:w="2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ind w:left="180"/>
              <w:spacing w:after="0" w:line="196" w:lineRule="exact"/>
              <w:rPr>
                <w:sz w:val="20"/>
                <w:szCs w:val="20"/>
                <w:color w:val="auto"/>
              </w:rPr>
            </w:pPr>
            <w:r>
              <w:rPr>
                <w:rFonts w:ascii="Arial" w:cs="Arial" w:eastAsia="Arial" w:hAnsi="Arial"/>
                <w:sz w:val="18"/>
                <w:szCs w:val="18"/>
                <w:color w:val="auto"/>
                <w:w w:val="79"/>
              </w:rPr>
              <w:t>4.1</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60" w:type="dxa"/>
            <w:vAlign w:val="bottom"/>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47.60</w:t>
            </w:r>
          </w:p>
        </w:tc>
        <w:tc>
          <w:tcPr>
            <w:tcW w:w="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17.51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(3)</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0"/>
              <w:spacing w:after="0" w:line="216" w:lineRule="exact"/>
              <w:rPr>
                <w:sz w:val="20"/>
                <w:szCs w:val="20"/>
                <w:color w:val="auto"/>
              </w:rPr>
            </w:pPr>
            <w:r>
              <w:rPr>
                <w:rFonts w:ascii="Arial" w:cs="Arial" w:eastAsia="Arial" w:hAnsi="Arial"/>
                <w:sz w:val="18"/>
                <w:szCs w:val="18"/>
                <w:color w:val="auto"/>
              </w:rPr>
              <w:t xml:space="preserve">Cancelled or forfeited </w:t>
            </w:r>
            <w:r>
              <w:rPr>
                <w:rFonts w:ascii="Arial" w:cs="Arial" w:eastAsia="Arial" w:hAnsi="Arial"/>
                <w:sz w:val="23"/>
                <w:szCs w:val="23"/>
                <w:color w:val="auto"/>
                <w:vertAlign w:val="superscript"/>
              </w:rPr>
              <w:t>(4)</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(0.3)</w:t>
            </w:r>
          </w:p>
        </w:tc>
        <w:tc>
          <w:tcPr>
            <w:tcW w:w="380" w:type="dxa"/>
            <w:vAlign w:val="bottom"/>
            <w:gridSpan w:val="2"/>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36.70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Conversion of PNG unit-denominated awards into</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380"/>
              <w:spacing w:after="0" w:line="231" w:lineRule="exact"/>
              <w:rPr>
                <w:sz w:val="20"/>
                <w:szCs w:val="20"/>
                <w:color w:val="auto"/>
              </w:rPr>
            </w:pPr>
            <w:r>
              <w:rPr>
                <w:rFonts w:ascii="Arial" w:cs="Arial" w:eastAsia="Arial" w:hAnsi="Arial"/>
                <w:sz w:val="18"/>
                <w:szCs w:val="18"/>
                <w:color w:val="auto"/>
              </w:rPr>
              <w:t xml:space="preserve">PAA unit-denominated awards </w:t>
            </w:r>
            <w:r>
              <w:rPr>
                <w:rFonts w:ascii="Arial" w:cs="Arial" w:eastAsia="Arial" w:hAnsi="Arial"/>
                <w:sz w:val="23"/>
                <w:szCs w:val="23"/>
                <w:color w:val="auto"/>
                <w:vertAlign w:val="superscript"/>
              </w:rPr>
              <w:t>(5)</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40.54</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2013</w:t>
            </w:r>
          </w:p>
        </w:tc>
        <w:tc>
          <w:tcPr>
            <w:tcW w:w="9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8.4</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1.2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(1.9)</w:t>
            </w:r>
          </w:p>
        </w:tc>
        <w:tc>
          <w:tcPr>
            <w:tcW w:w="380" w:type="dxa"/>
            <w:vAlign w:val="bottom"/>
            <w:gridSpan w:val="2"/>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25.49</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2014</w:t>
            </w:r>
          </w:p>
        </w:tc>
        <w:tc>
          <w:tcPr>
            <w:tcW w:w="9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7.3</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2.1</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28.76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Cancelled or forfeited</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(0.4)</w:t>
            </w:r>
          </w:p>
        </w:tc>
        <w:tc>
          <w:tcPr>
            <w:tcW w:w="380" w:type="dxa"/>
            <w:vAlign w:val="bottom"/>
            <w:gridSpan w:val="2"/>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Outstanding at December 31, 2015</w:t>
            </w:r>
          </w:p>
        </w:tc>
        <w:tc>
          <w:tcPr>
            <w:tcW w:w="9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6.9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1" w:orient="portrait"/>
          <w:cols w:equalWidth="0" w:num="1">
            <w:col w:w="11420"/>
          </w:cols>
          <w:pgMar w:left="240" w:top="571"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AAP Management Units.</w:t>
      </w:r>
    </w:p>
    <w:p>
      <w:pPr>
        <w:spacing w:after="0" w:line="225" w:lineRule="exact"/>
        <w:rPr>
          <w:sz w:val="20"/>
          <w:szCs w:val="20"/>
          <w:color w:val="auto"/>
        </w:rPr>
      </w:pPr>
    </w:p>
    <w:p>
      <w:pPr>
        <w:jc w:val="both"/>
        <w:ind w:left="20" w:right="360" w:hanging="11"/>
        <w:spacing w:after="0" w:line="312" w:lineRule="auto"/>
        <w:rPr>
          <w:sz w:val="20"/>
          <w:szCs w:val="20"/>
          <w:color w:val="auto"/>
        </w:rPr>
      </w:pPr>
      <w:r>
        <w:rPr>
          <w:rFonts w:ascii="Arial" w:cs="Arial" w:eastAsia="Arial" w:hAnsi="Arial"/>
          <w:sz w:val="16"/>
          <w:szCs w:val="16"/>
          <w:color w:val="auto"/>
        </w:rPr>
        <w:t>Approximately 0.5 million, 0.6 million and 0.5 million PAA common units were issued, net of tax withholding of approximately 0.3 million, 0.3 million and 0.3 million units during 2015, 2014 and 2013, respectively, in connection with the settlement of vested awards. The remaining PAA awards (approximately 1.3 million, 1.0 million and 1.0 million units) that vested during 2015, 2014 and 2013, respectively, were settled in cash.</w:t>
      </w:r>
    </w:p>
    <w:p>
      <w:pPr>
        <w:sectPr>
          <w:pgSz w:w="11900" w:h="16871" w:orient="portrait"/>
          <w:cols w:equalWidth="0" w:num="2">
            <w:col w:w="140" w:space="500"/>
            <w:col w:w="10780"/>
          </w:cols>
          <w:pgMar w:left="240" w:top="571" w:right="239" w:bottom="0" w:gutter="0" w:footer="0" w:header="0"/>
          <w:type w:val="continuous"/>
        </w:sectPr>
      </w:pPr>
    </w:p>
    <w:bookmarkStart w:id="137" w:name="page138"/>
    <w:bookmarkEnd w:id="137"/>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0.1 million PNG units vested during the year ended December 31, 2013.</w:t>
      </w:r>
    </w:p>
    <w:p>
      <w:pPr>
        <w:spacing w:after="0" w:line="225" w:lineRule="exact"/>
        <w:rPr>
          <w:sz w:val="20"/>
          <w:szCs w:val="20"/>
          <w:color w:val="auto"/>
        </w:rPr>
      </w:pPr>
    </w:p>
    <w:p>
      <w:pPr>
        <w:ind w:left="20" w:right="200" w:hanging="11"/>
        <w:spacing w:after="0" w:line="277" w:lineRule="auto"/>
        <w:rPr>
          <w:sz w:val="20"/>
          <w:szCs w:val="20"/>
          <w:color w:val="auto"/>
        </w:rPr>
      </w:pPr>
      <w:r>
        <w:rPr>
          <w:rFonts w:ascii="Arial" w:cs="Arial" w:eastAsia="Arial" w:hAnsi="Arial"/>
          <w:sz w:val="18"/>
          <w:szCs w:val="18"/>
          <w:color w:val="auto"/>
        </w:rPr>
        <w:t>The unvested portion of grants of PNG phantom unit awards other than those granted under the PNG 2010 LTIP was surrendered on December 31, 2013 in connection with the closing of the PNG Merger.</w:t>
      </w:r>
    </w:p>
    <w:p>
      <w:pPr>
        <w:spacing w:after="0" w:line="170" w:lineRule="exact"/>
        <w:rPr>
          <w:sz w:val="20"/>
          <w:szCs w:val="20"/>
          <w:color w:val="auto"/>
        </w:rPr>
      </w:pPr>
    </w:p>
    <w:p>
      <w:pPr>
        <w:jc w:val="both"/>
        <w:ind w:left="20" w:right="120" w:hanging="11"/>
        <w:spacing w:after="0" w:line="286" w:lineRule="auto"/>
        <w:rPr>
          <w:sz w:val="20"/>
          <w:szCs w:val="20"/>
          <w:color w:val="auto"/>
        </w:rPr>
      </w:pPr>
      <w:r>
        <w:rPr>
          <w:rFonts w:ascii="Arial" w:cs="Arial" w:eastAsia="Arial" w:hAnsi="Arial"/>
          <w:sz w:val="17"/>
          <w:szCs w:val="17"/>
          <w:color w:val="auto"/>
        </w:rPr>
        <w:t>As a result of the PNG Merger on December 31, 2013, outstanding awards of PNG phantom units issued under the PNG 2010 LTIP were converted into comparable awards of PAA phantom units representing the right to receive PAA common units by applying the Merger Exchange Ratio to each outstanding PNG phantom unit and rounding down to the nearest PAA phantom unit for any fractions.</w:t>
      </w:r>
    </w:p>
    <w:p>
      <w:pPr>
        <w:spacing w:after="0" w:line="166" w:lineRule="exact"/>
        <w:rPr>
          <w:sz w:val="20"/>
          <w:szCs w:val="20"/>
          <w:color w:val="auto"/>
        </w:rPr>
      </w:pPr>
    </w:p>
    <w:p>
      <w:pPr>
        <w:sectPr>
          <w:pgSz w:w="11900" w:h="16838" w:orient="portrait"/>
          <w:cols w:equalWidth="0" w:num="2">
            <w:col w:w="140" w:space="500"/>
            <w:col w:w="10780"/>
          </w:cols>
          <w:pgMar w:left="240" w:top="341" w:right="239" w:bottom="0" w:gutter="0" w:footer="0" w:header="0"/>
        </w:sect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August 2007, the owners of our general partner authorized the issuance of AAP Management Units (a profits interest) in order to provide additional long-term incentives and encourage retention for certain members of our senior management. AAP Management Units become earned in various increments upon the achievement of certain performance thresholds related to achievement of targeted distribution levels. As of December 31, 2015, 2.2 million AAP Management Units were unearned; however, these unearned AAP Management Units will become earned in 25% increments upon or 180 days after the achievement of annualized PAA distribution levels of between $2.85 and $3.50. When earned, the AAP Management Units are entitled to participate in distributions paid by our general partner in excess of $11 million (as adjusted for debt service costs and excluding special distributions funded by debt) per quarter. Up to approximately 52.1 million AAP Management Units are authorized for issuance. Assuming all 52.1 million AAP Management Units were granted and earned, the maximum participation would be approximately 8% of our general partner’s distribution in excess of $11 million (as adjusted) each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activity of AAP Management Units for the periods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Reserved for</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Outstanding</w:t>
            </w: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Fair Value of Outstanding</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Future Grants</w:t>
            </w:r>
          </w:p>
        </w:tc>
        <w:tc>
          <w:tcPr>
            <w:tcW w:w="1660" w:type="dxa"/>
            <w:vAlign w:val="bottom"/>
            <w:gridSpan w:val="2"/>
            <w:vMerge w:val="continue"/>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Units Earned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93"/>
              </w:rPr>
              <w:t xml:space="preserve">AAP Management Units </w:t>
            </w:r>
            <w:r>
              <w:rPr>
                <w:rFonts w:ascii="Arial" w:cs="Arial" w:eastAsia="Arial" w:hAnsi="Arial"/>
                <w:sz w:val="17"/>
                <w:szCs w:val="17"/>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3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0.5</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Earned</w:t>
            </w:r>
          </w:p>
        </w:tc>
        <w:tc>
          <w:tcPr>
            <w:tcW w:w="16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2014</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CCEEFF"/>
              <w:right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0"/>
              <w:spacing w:after="0"/>
              <w:rPr>
                <w:sz w:val="20"/>
                <w:szCs w:val="20"/>
                <w:color w:val="auto"/>
              </w:rPr>
            </w:pPr>
            <w:r>
              <w:rPr>
                <w:rFonts w:ascii="Arial" w:cs="Arial" w:eastAsia="Arial" w:hAnsi="Arial"/>
                <w:sz w:val="18"/>
                <w:szCs w:val="18"/>
                <w:color w:val="auto"/>
              </w:rPr>
              <w:t>Earned</w:t>
            </w:r>
          </w:p>
        </w:tc>
        <w:tc>
          <w:tcPr>
            <w:tcW w:w="168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5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0" w:hanging="652"/>
        <w:spacing w:after="0" w:line="267" w:lineRule="auto"/>
        <w:tabs>
          <w:tab w:leader="none" w:pos="648" w:val="left"/>
        </w:tabs>
        <w:numPr>
          <w:ilvl w:val="0"/>
          <w:numId w:val="117"/>
        </w:numPr>
        <w:rPr>
          <w:rFonts w:ascii="Arial" w:cs="Arial" w:eastAsia="Arial" w:hAnsi="Arial"/>
          <w:sz w:val="21"/>
          <w:szCs w:val="21"/>
          <w:color w:val="auto"/>
          <w:vertAlign w:val="superscript"/>
        </w:rPr>
      </w:pPr>
      <w:r>
        <w:rPr>
          <w:rFonts w:ascii="Arial" w:cs="Arial" w:eastAsia="Arial" w:hAnsi="Arial"/>
          <w:sz w:val="16"/>
          <w:szCs w:val="16"/>
          <w:color w:val="auto"/>
        </w:rPr>
        <w:t>Of the $88 million grant date fair value, $56 million had been recognized through December 31, 2015 on a cumulative basis. Of this amount, $1 million, $7 million and $5 million was recognized as expense during the years ended December 31, 2015, 2014 and 2013, respectively.</w:t>
      </w:r>
    </w:p>
    <w:p>
      <w:pPr>
        <w:spacing w:after="0" w:line="17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entire economic burden of the AAP Management Units, which are equity classified, is borne solely by AAP and does not impact our cash or units outstanding. However, because the intent of the AAP Management Units is to provide a performance incentive and encourage retention for certain members of our senior management, we recognize the grant date fair value of the AAP Management Units as compensation expense over the service period. The expense is also reflected as a capital contribution and thus, results in a corresponding credit to partners’ capital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refer to all of the LTIPs and AAP Management Units collectively as our “equity-indexed compensation plans.” The table below summarizes the expense recognized and the value of vested LTIP awards (settled both in common units and cash) under our equity-indexed compensation plans and includes both liability-classified and equity-classified awards for the periods indicated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Equity-indexed compensation expense</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LTIP unit-settled vestings</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LTIP cash-settled vestings</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DER cash payments</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Based on the December 31, 2015 fair value measurement and probability assessment regarding future distributions, we expect to recognize $73 million of additional expense over the life of our outstanding awards related to the remaining unrecognized fair value. Actual amounts may differ materially as a result of a change in the market price of our units and/or probability assessments regarding future distributions. We estimate that the remaining fair value will be recognized in expense as shown below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49"/>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71"/>
        </w:trPr>
        <w:tc>
          <w:tcPr>
            <w:tcW w:w="8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center"/>
              <w:ind w:right="320"/>
              <w:spacing w:after="0" w:line="172" w:lineRule="exact"/>
              <w:rPr>
                <w:sz w:val="20"/>
                <w:szCs w:val="20"/>
                <w:color w:val="auto"/>
              </w:rPr>
            </w:pPr>
            <w:r>
              <w:rPr>
                <w:rFonts w:ascii="Arial" w:cs="Arial" w:eastAsia="Arial" w:hAnsi="Arial"/>
                <w:sz w:val="14"/>
                <w:szCs w:val="14"/>
                <w:b w:val="1"/>
                <w:bCs w:val="1"/>
                <w:color w:val="auto"/>
                <w:w w:val="89"/>
              </w:rPr>
              <w:t xml:space="preserve">Amortization </w:t>
            </w:r>
            <w:r>
              <w:rPr>
                <w:rFonts w:ascii="Arial" w:cs="Arial" w:eastAsia="Arial" w:hAnsi="Arial"/>
                <w:sz w:val="17"/>
                <w:szCs w:val="17"/>
                <w:b w:val="1"/>
                <w:bCs w:val="1"/>
                <w:color w:val="auto"/>
                <w:w w:val="89"/>
                <w:vertAlign w:val="superscript"/>
              </w:rPr>
              <w:t>(1) (2)</w:t>
            </w:r>
          </w:p>
        </w:tc>
        <w:tc>
          <w:tcPr>
            <w:tcW w:w="0" w:type="dxa"/>
            <w:vAlign w:val="bottom"/>
          </w:tcPr>
          <w:p>
            <w:pPr>
              <w:spacing w:after="0"/>
              <w:rPr>
                <w:sz w:val="1"/>
                <w:szCs w:val="1"/>
                <w:color w:val="auto"/>
              </w:rPr>
            </w:pPr>
          </w:p>
        </w:tc>
      </w:tr>
      <w:tr>
        <w:trPr>
          <w:trHeight w:val="210"/>
        </w:trPr>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bookmarkStart w:id="138" w:name="page139"/>
    <w:bookmarkEnd w:id="138"/>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ind w:left="20" w:right="200" w:hanging="11"/>
        <w:spacing w:after="0" w:line="277" w:lineRule="auto"/>
        <w:rPr>
          <w:sz w:val="20"/>
          <w:szCs w:val="20"/>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Includes unamortized fair value associated with AAP Management Units.</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2015, are summarized below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33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line="216"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6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150</w:t>
            </w: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127</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380" w:hanging="11"/>
        <w:spacing w:after="0" w:line="277" w:lineRule="auto"/>
        <w:rPr>
          <w:sz w:val="20"/>
          <w:szCs w:val="20"/>
          <w:color w:val="auto"/>
        </w:rPr>
      </w:pPr>
      <w:r>
        <w:rPr>
          <w:rFonts w:ascii="Arial" w:cs="Arial" w:eastAsia="Arial" w:hAnsi="Arial"/>
          <w:sz w:val="18"/>
          <w:szCs w:val="18"/>
          <w:color w:val="auto"/>
        </w:rPr>
        <w:t>Includes capital and operating leases as defined by FASB guidance. Lease expense for 2015, 2014 and 2013 was $164 million, $145 million and $132 million, respectively.</w:t>
      </w:r>
    </w:p>
    <w:p>
      <w:pPr>
        <w:spacing w:after="0" w:line="170" w:lineRule="exact"/>
        <w:rPr>
          <w:sz w:val="20"/>
          <w:szCs w:val="20"/>
          <w:color w:val="auto"/>
        </w:rPr>
      </w:pPr>
    </w:p>
    <w:p>
      <w:pPr>
        <w:ind w:right="200" w:hanging="11"/>
        <w:spacing w:after="0" w:line="312" w:lineRule="auto"/>
        <w:rPr>
          <w:sz w:val="20"/>
          <w:szCs w:val="20"/>
          <w:color w:val="auto"/>
        </w:rPr>
      </w:pPr>
      <w:r>
        <w:rPr>
          <w:rFonts w:ascii="Arial" w:cs="Arial" w:eastAsia="Arial" w:hAnsi="Arial"/>
          <w:sz w:val="16"/>
          <w:szCs w:val="16"/>
          <w:color w:val="auto"/>
        </w:rPr>
        <w:t>Primarily includes third-party storage and transportation agreements and pipeline throughput agreements, as well as approximately $930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147" w:lineRule="exact"/>
        <w:rPr>
          <w:sz w:val="20"/>
          <w:szCs w:val="20"/>
          <w:color w:val="auto"/>
        </w:rPr>
      </w:pPr>
    </w:p>
    <w:p>
      <w:pPr>
        <w:sectPr>
          <w:pgSz w:w="11900" w:h="16838" w:orient="portrait"/>
          <w:cols w:equalWidth="0" w:num="2">
            <w:col w:w="140" w:space="520"/>
            <w:col w:w="1076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ectPr>
          <w:pgSz w:w="11900" w:h="16838" w:orient="portrait"/>
          <w:cols w:equalWidth="0" w:num="1">
            <w:col w:w="11420"/>
          </w:cols>
          <w:pgMar w:left="240" w:top="125" w:right="239" w:bottom="0" w:gutter="0" w:footer="0" w:header="0"/>
          <w:type w:val="continuous"/>
        </w:sectPr>
      </w:pPr>
    </w:p>
    <w:bookmarkStart w:id="139" w:name="page140"/>
    <w:bookmarkEnd w:id="139"/>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2015, our estimated undiscounted reserve for environmental liabilities (including liabilities related to the Line 901 incident, as discussed further below) totaled $185 million, of which $81 million was classified as short-term and $104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Consolidated Balance Sheets. At December 31, 2015 and 2014, we had recorded receivables totaling $161 million and $8 million, respectively, for amounts probable of recovery under insurance and from third parties under indemnification agreements, which are predominantly reflected in “Trade accounts receivable and other receivables, net” on our Consolidated Balance Sheets.</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93"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w:t>
      </w:r>
    </w:p>
    <w:p>
      <w:pPr>
        <w:sectPr>
          <w:pgSz w:w="11900" w:h="16838" w:orient="portrait"/>
          <w:cols w:equalWidth="0" w:num="1">
            <w:col w:w="11420"/>
          </w:cols>
          <w:pgMar w:left="240" w:top="125" w:right="239" w:bottom="0" w:gutter="0" w:footer="0" w:header="0"/>
        </w:sectPr>
      </w:pPr>
    </w:p>
    <w:bookmarkStart w:id="140" w:name="page141"/>
    <w:bookmarkEnd w:id="140"/>
    <w:p>
      <w:pPr>
        <w:spacing w:after="0" w:line="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seven class action lawsuits filed against us, all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Taking the foregoing into account, as of December 31, 2015,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have accrued such estimate of aggregate total costs to “Field operating costs” on our Consolidated Statement of Operations. As of December 31, 2015, we had a remaining undiscounted gross liability of $116 million related to this event, the majority of which is presented as a current liability in “Accounts payable and accrued liabilities” on our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2015, we had collected, subject to customary reservations, $31 million out of the approximate $186 million of release costs that we believe are probable of recovery from insurance carriers, net of deductibles. We recovered an additional $69 million of proceeds from insurance carriers in January 2016. As of December 31, 2015, we have recognized a receivable of approximately $155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Consolidated Balance Sheets with the offset reducing “Field operating costs” on our Consolidated Statement of Operations. We have</w:t>
      </w:r>
    </w:p>
    <w:p>
      <w:pPr>
        <w:sectPr>
          <w:pgSz w:w="11900" w:h="16859" w:orient="portrait"/>
          <w:cols w:equalWidth="0" w:num="1">
            <w:col w:w="11420"/>
          </w:cols>
          <w:pgMar w:left="240" w:top="125" w:right="239" w:bottom="0" w:gutter="0" w:footer="0" w:header="0"/>
        </w:sectPr>
      </w:pPr>
    </w:p>
    <w:bookmarkStart w:id="141" w:name="page142"/>
    <w:bookmarkEnd w:id="141"/>
    <w:p>
      <w:pPr>
        <w:ind w:right="420"/>
        <w:spacing w:after="0" w:line="264" w:lineRule="auto"/>
        <w:rPr>
          <w:sz w:val="20"/>
          <w:szCs w:val="20"/>
          <w:color w:val="auto"/>
        </w:rPr>
      </w:pPr>
      <w:r>
        <w:rPr>
          <w:rFonts w:ascii="Arial" w:cs="Arial" w:eastAsia="Arial" w:hAnsi="Arial"/>
          <w:sz w:val="18"/>
          <w:szCs w:val="18"/>
          <w:color w:val="auto"/>
        </w:rPr>
        <w:t>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associated with this release will be less than $10 million.</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 of Probable Violation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 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i w:val="1"/>
          <w:iCs w:val="1"/>
          <w:color w:val="auto"/>
        </w:rPr>
        <w:t xml:space="preserve">National Energy Board Audit. </w:t>
      </w:r>
      <w:r>
        <w:rPr>
          <w:rFonts w:ascii="Arial" w:cs="Arial" w:eastAsia="Arial" w:hAnsi="Arial"/>
          <w:sz w:val="16"/>
          <w:szCs w:val="16"/>
          <w:color w:val="auto"/>
        </w:rPr>
        <w:t>In the third quarter of 2014, the National Energy Board (“NEB”) of Canada notified PMC that various corrective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from a 2010 audit had not been completed to the satisfaction of the NEB. The NEB initiated a process to assess PMC’s approach to compliance with the NEB’s Onshore Pipeline Regulations, which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16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Kemp River Pipeline Releases. </w:t>
      </w:r>
      <w:r>
        <w:rPr>
          <w:rFonts w:ascii="Arial" w:cs="Arial" w:eastAsia="Arial" w:hAnsi="Arial"/>
          <w:sz w:val="17"/>
          <w:szCs w:val="17"/>
          <w:color w:val="auto"/>
        </w:rPr>
        <w:t>In May and June 2013, two separate releases were discovered on our Kemp River pipeline in Northern Alberta,</w:t>
      </w:r>
      <w:r>
        <w:rPr>
          <w:rFonts w:ascii="Arial" w:cs="Arial" w:eastAsia="Arial" w:hAnsi="Arial"/>
          <w:sz w:val="17"/>
          <w:szCs w:val="17"/>
          <w:i w:val="1"/>
          <w:iCs w:val="1"/>
          <w:color w:val="auto"/>
        </w:rPr>
        <w:t xml:space="preserve"> </w:t>
      </w:r>
      <w:r>
        <w:rPr>
          <w:rFonts w:ascii="Arial" w:cs="Arial" w:eastAsia="Arial" w:hAnsi="Arial"/>
          <w:sz w:val="17"/>
          <w:szCs w:val="17"/>
          <w:color w:val="auto"/>
        </w:rPr>
        <w:t>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December 31, 2015, we spent $9 million in connection with clean-up and remediation activities.</w:t>
      </w:r>
    </w:p>
    <w:p>
      <w:pPr>
        <w:spacing w:after="0" w:line="17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In February 2013, we experienced a crude oil release of approximately 120 barrels on a portion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w:t>
      </w:r>
    </w:p>
    <w:p>
      <w:pPr>
        <w:sectPr>
          <w:pgSz w:w="11900" w:h="16838" w:orient="portrait"/>
          <w:cols w:equalWidth="0" w:num="1">
            <w:col w:w="11400"/>
          </w:cols>
          <w:pgMar w:left="240" w:top="125" w:right="259" w:bottom="0" w:gutter="0" w:footer="0" w:header="0"/>
        </w:sectPr>
      </w:pPr>
    </w:p>
    <w:bookmarkStart w:id="142" w:name="page143"/>
    <w:bookmarkEnd w:id="142"/>
    <w:p>
      <w:pPr>
        <w:ind w:right="280"/>
        <w:spacing w:after="0" w:line="342" w:lineRule="auto"/>
        <w:rPr>
          <w:sz w:val="20"/>
          <w:szCs w:val="20"/>
          <w:color w:val="auto"/>
        </w:rPr>
      </w:pPr>
      <w:r>
        <w:rPr>
          <w:rFonts w:ascii="Arial" w:cs="Arial" w:eastAsia="Arial" w:hAnsi="Arial"/>
          <w:sz w:val="16"/>
          <w:szCs w:val="16"/>
          <w:color w:val="auto"/>
        </w:rPr>
        <w:t>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likely will experience releases of crude oil into the environment from our pipeline and storage operations. We also may discover environmental impacts from past releases that were previously unidentified.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various types of insurance that we consider adequate to cover our operations and certain assets. The insurance policies are subject to deductibles or self-insured retentions that we consider reasonable. Our insurance does not cover every potential risk associated with operating pipelines, terminals and other facilities, including the potential loss of significant revenues.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third-party liability and property damage with respect to our operations. In the future, we may not be able to maintain insurance at levels that we consider adequate for rates we consider reasonable. As a result, we may elect to self-insure or utilize higher deductibles in certain insurance programs. For example, the market for hurricane- or windstorm-related property damage coverage has remained difficult the last few years. The amount of coverage available has been limited, costs have increased substantially and deductibles have increased as well.</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assessment of the current availability of coverage and associated rates for hurricane insurance has led us to the decision to self-insure this risk. This decision does not affect our third-party liability insurance, which still covers hurricane-related liability claims and which we have maintained at our historic coverage levels. In addition, although we believe that we have established adequate reserves to the extent such risks are not insured, costs incurred in excess of these reserves may be higher and may potentially have a material adverse effect on our financial conditions,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4"/>
                <w:szCs w:val="14"/>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4"/>
                <w:szCs w:val="14"/>
                <w:color w:val="auto"/>
              </w:rPr>
            </w:pPr>
          </w:p>
        </w:tc>
        <w:tc>
          <w:tcPr>
            <w:tcW w:w="1080" w:type="dxa"/>
            <w:vAlign w:val="bottom"/>
          </w:tcPr>
          <w:p>
            <w:pPr>
              <w:jc w:val="center"/>
              <w:ind w:right="272"/>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4"/>
                <w:szCs w:val="14"/>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4"/>
                <w:szCs w:val="14"/>
                <w:color w:val="auto"/>
              </w:rPr>
            </w:pPr>
          </w:p>
        </w:tc>
        <w:tc>
          <w:tcPr>
            <w:tcW w:w="1080" w:type="dxa"/>
            <w:vAlign w:val="bottom"/>
          </w:tcPr>
          <w:p>
            <w:pPr>
              <w:jc w:val="center"/>
              <w:ind w:right="252"/>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Pr>
          <w:p>
            <w:pPr>
              <w:spacing w:after="0"/>
              <w:rPr>
                <w:sz w:val="14"/>
                <w:szCs w:val="14"/>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Quarter</w:t>
            </w:r>
          </w:p>
        </w:tc>
        <w:tc>
          <w:tcPr>
            <w:tcW w:w="3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
          </w:tcPr>
          <w:p>
            <w:pPr>
              <w:jc w:val="center"/>
              <w:ind w:left="593"/>
              <w:spacing w:after="0" w:line="142" w:lineRule="exact"/>
              <w:rPr>
                <w:sz w:val="20"/>
                <w:szCs w:val="20"/>
                <w:color w:val="auto"/>
              </w:rPr>
            </w:pPr>
            <w:r>
              <w:rPr>
                <w:rFonts w:ascii="Arial" w:cs="Arial" w:eastAsia="Arial" w:hAnsi="Arial"/>
                <w:sz w:val="14"/>
                <w:szCs w:val="14"/>
                <w:b w:val="1"/>
                <w:bCs w:val="1"/>
                <w:color w:val="auto"/>
                <w:w w:val="93"/>
              </w:rPr>
              <w:t>(in millions, except per unit data)</w:t>
            </w:r>
          </w:p>
        </w:tc>
        <w:tc>
          <w:tcPr>
            <w:tcW w:w="10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2015</w:t>
            </w:r>
          </w:p>
        </w:tc>
        <w:tc>
          <w:tcPr>
            <w:tcW w:w="3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5,942</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6,663</w:t>
            </w:r>
          </w:p>
        </w:tc>
        <w:tc>
          <w:tcPr>
            <w:tcW w:w="3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5,551</w:t>
            </w:r>
          </w:p>
        </w:tc>
        <w:tc>
          <w:tcPr>
            <w:tcW w:w="3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4,996</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b w:val="1"/>
                <w:bCs w:val="1"/>
                <w:color w:val="auto"/>
                <w:vertAlign w:val="superscript"/>
              </w:rPr>
              <w:t>(2)(3)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b w:val="1"/>
                <w:bCs w:val="1"/>
                <w:color w:val="auto"/>
                <w:vertAlign w:val="superscript"/>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372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211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335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344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283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Diluted net income/(loss) per common unit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0.35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0.24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b w:val="1"/>
                <w:bCs w:val="1"/>
                <w:color w:val="auto"/>
                <w:vertAlign w:val="superscript"/>
              </w:rPr>
              <w:t>(4)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0.6750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0.6850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0.6950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0.7000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2014</w:t>
            </w:r>
          </w:p>
        </w:tc>
        <w:tc>
          <w:tcPr>
            <w:tcW w:w="3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11,684</w:t>
            </w:r>
          </w:p>
        </w:tc>
        <w:tc>
          <w:tcPr>
            <w:tcW w:w="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11,195</w:t>
            </w:r>
          </w:p>
        </w:tc>
        <w:tc>
          <w:tcPr>
            <w:tcW w:w="3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11,127</w:t>
            </w:r>
          </w:p>
        </w:tc>
        <w:tc>
          <w:tcPr>
            <w:tcW w:w="3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9,459</w:t>
            </w:r>
          </w:p>
        </w:tc>
        <w:tc>
          <w:tcPr>
            <w:tcW w:w="3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b w:val="1"/>
                <w:bCs w:val="1"/>
                <w:color w:val="auto"/>
                <w:vertAlign w:val="superscript"/>
              </w:rPr>
              <w:t>(2)(3)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b w:val="1"/>
                <w:bCs w:val="1"/>
                <w:color w:val="auto"/>
                <w:vertAlign w:val="superscript"/>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495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367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406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532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Net income attributable to PAA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287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389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0.73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0.45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0.52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Cash distributions per common unit </w:t>
            </w:r>
            <w:r>
              <w:rPr>
                <w:rFonts w:ascii="Arial" w:cs="Arial" w:eastAsia="Arial" w:hAnsi="Arial"/>
                <w:sz w:val="23"/>
                <w:szCs w:val="23"/>
                <w:b w:val="1"/>
                <w:bCs w:val="1"/>
                <w:color w:val="auto"/>
                <w:vertAlign w:val="superscript"/>
              </w:rPr>
              <w:t>(4)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0.6150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0.6300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0.6450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0.6600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(2)</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and (iii) Depreciation and amortization.</w:t>
      </w:r>
    </w:p>
    <w:p>
      <w:pPr>
        <w:spacing w:after="0" w:line="248" w:lineRule="exact"/>
        <w:rPr>
          <w:sz w:val="20"/>
          <w:szCs w:val="20"/>
          <w:color w:val="auto"/>
        </w:rPr>
      </w:pPr>
    </w:p>
    <w:p>
      <w:pPr>
        <w:ind w:left="20" w:right="480" w:hanging="12"/>
        <w:spacing w:after="0" w:line="277" w:lineRule="auto"/>
        <w:rPr>
          <w:sz w:val="20"/>
          <w:szCs w:val="20"/>
          <w:color w:val="auto"/>
        </w:rPr>
      </w:pPr>
      <w:r>
        <w:rPr>
          <w:rFonts w:ascii="Arial" w:cs="Arial" w:eastAsia="Arial" w:hAnsi="Arial"/>
          <w:sz w:val="18"/>
          <w:szCs w:val="18"/>
          <w:color w:val="auto"/>
        </w:rPr>
        <w:t>Amounts reported in prior periods have been retroactively restated to reflect the impact of our adoption of revised debt issuance costs guidance issued by the FASB. See Note 2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Represents cash distributions declared and paid in the period presented.</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 w:space="48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Note 18—Operating Segments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“Revenue Recognition” in Note 2 for a summary of the types of products and services from which each segment derives its revenues.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6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profit or in maintenance capital, depending on the nature of the cost. 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2015</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b w:val="1"/>
                <w:bCs w:val="1"/>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b w:val="1"/>
                <w:bCs w:val="1"/>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10,345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4,613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b w:val="1"/>
                <w:bCs w:val="1"/>
                <w:color w:val="auto"/>
                <w:vertAlign w:val="superscript"/>
              </w:rPr>
              <w:t>(1)</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b w:val="1"/>
                <w:bCs w:val="1"/>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b w:val="1"/>
                <w:bCs w:val="1"/>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b w:val="1"/>
                <w:bCs w:val="1"/>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2,483</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9,579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6,843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5,776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F-47</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2013</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b w:val="1"/>
                <w:bCs w:val="1"/>
                <w:color w:val="auto"/>
                <w:vertAlign w:val="superscript"/>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2"/>
                <w:szCs w:val="22"/>
                <w:b w:val="1"/>
                <w:bCs w:val="1"/>
                <w:color w:val="auto"/>
                <w:vertAlign w:val="superscript"/>
              </w:rPr>
              <w:t>(3) (4)</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b w:val="1"/>
                <w:bCs w:val="1"/>
                <w:color w:val="auto"/>
                <w:vertAlign w:val="superscript"/>
              </w:rPr>
              <w:t>(5)</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w:t>
            </w:r>
          </w:p>
        </w:tc>
        <w:tc>
          <w:tcPr>
            <w:tcW w:w="2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7,181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6,555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6,584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Investments in unconsolidated entities</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-2591435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-2591435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44" w:name="page145"/>
    <w:bookmarkEnd w:id="144"/>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340" w:hanging="11"/>
        <w:spacing w:after="0" w:line="342" w:lineRule="auto"/>
        <w:rPr>
          <w:sz w:val="20"/>
          <w:szCs w:val="20"/>
          <w:color w:val="auto"/>
        </w:rPr>
      </w:pPr>
      <w:r>
        <w:rPr>
          <w:rFonts w:ascii="Arial" w:cs="Arial" w:eastAsia="Arial" w:hAnsi="Arial"/>
          <w:sz w:val="16"/>
          <w:szCs w:val="16"/>
          <w:color w:val="auto"/>
        </w:rPr>
        <w:t>Effective January 1, 2014, our natural gas sales and costs, primarily attributable to the activities performed by our natural gas storage commercial optimization group, are reported in the Supply and Logistics segment. Such items were previously reported in the Facilities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-400050</wp:posOffset>
            </wp:positionV>
            <wp:extent cx="18268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104" w:lineRule="exact"/>
        <w:rPr>
          <w:sz w:val="20"/>
          <w:szCs w:val="20"/>
          <w:color w:val="auto"/>
        </w:rPr>
      </w:pPr>
    </w:p>
    <w:p>
      <w:pPr>
        <w:ind w:right="400" w:hanging="11"/>
        <w:spacing w:after="0" w:line="264" w:lineRule="auto"/>
        <w:rPr>
          <w:sz w:val="20"/>
          <w:szCs w:val="20"/>
          <w:color w:val="auto"/>
        </w:rPr>
      </w:pPr>
      <w:r>
        <w:rPr>
          <w:rFonts w:ascii="Arial" w:cs="Arial" w:eastAsia="Arial" w:hAnsi="Arial"/>
          <w:sz w:val="18"/>
          <w:szCs w:val="18"/>
          <w:color w:val="auto"/>
        </w:rPr>
        <w:t>Segment revenues include intersegment amounts that are eliminated in Purchases and related costs and Field operating costs in our Consolidated Statements of Operations. Intersegment sales are conducted at posted tariff rates, rates similar to those charged to third parties or rates that we believe approximate market at the time the agreement is executed or renegotiated.</w:t>
      </w:r>
    </w:p>
    <w:p>
      <w:pPr>
        <w:spacing w:after="0" w:line="181" w:lineRule="exact"/>
        <w:rPr>
          <w:sz w:val="20"/>
          <w:szCs w:val="20"/>
          <w:color w:val="auto"/>
        </w:rPr>
      </w:pPr>
    </w:p>
    <w:p>
      <w:pPr>
        <w:sectPr>
          <w:pgSz w:w="11900" w:h="16911" w:orient="portrait"/>
          <w:cols w:equalWidth="0" w:num="2">
            <w:col w:w="140" w:space="520"/>
            <w:col w:w="10800"/>
          </w:cols>
          <w:pgMar w:left="240" w:top="247" w:right="199" w:bottom="0" w:gutter="0" w:footer="0" w:header="0"/>
        </w:sectPr>
      </w:pPr>
    </w:p>
    <w:p>
      <w:pPr>
        <w:ind w:left="660" w:right="120" w:hanging="652"/>
        <w:spacing w:after="0" w:line="227" w:lineRule="auto"/>
        <w:tabs>
          <w:tab w:leader="none" w:pos="648" w:val="left"/>
        </w:tabs>
        <w:numPr>
          <w:ilvl w:val="0"/>
          <w:numId w:val="118"/>
        </w:numPr>
        <w:rPr>
          <w:rFonts w:ascii="Arial" w:cs="Arial" w:eastAsia="Arial" w:hAnsi="Arial"/>
          <w:sz w:val="23"/>
          <w:szCs w:val="23"/>
          <w:b w:val="1"/>
          <w:bCs w:val="1"/>
          <w:color w:val="auto"/>
          <w:vertAlign w:val="superscript"/>
        </w:rPr>
      </w:pPr>
      <w:r>
        <w:rPr>
          <w:rFonts w:ascii="Arial" w:cs="Arial" w:eastAsia="Arial" w:hAnsi="Arial"/>
          <w:sz w:val="18"/>
          <w:szCs w:val="18"/>
          <w:color w:val="auto"/>
        </w:rPr>
        <w:t>Supply and Logistics segment profit includes interest expense (related to hedged inventory purchases) of $6 million, $12 million and $30 million for the years ended December 31, 2015, 2014 and 2013, respectively.</w:t>
      </w:r>
    </w:p>
    <w:p>
      <w:pPr>
        <w:spacing w:after="0" w:line="168" w:lineRule="exact"/>
        <w:rPr>
          <w:rFonts w:ascii="Arial" w:cs="Arial" w:eastAsia="Arial" w:hAnsi="Arial"/>
          <w:sz w:val="23"/>
          <w:szCs w:val="23"/>
          <w:b w:val="1"/>
          <w:bCs w:val="1"/>
          <w:color w:val="auto"/>
          <w:vertAlign w:val="superscript"/>
        </w:rPr>
      </w:pPr>
    </w:p>
    <w:p>
      <w:pPr>
        <w:ind w:left="640" w:hanging="632"/>
        <w:spacing w:after="0"/>
        <w:tabs>
          <w:tab w:leader="none" w:pos="640" w:val="left"/>
        </w:tabs>
        <w:numPr>
          <w:ilvl w:val="0"/>
          <w:numId w:val="118"/>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following table reconciles segment profit to net income attributable to PAA (in millions):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0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ind w:left="680" w:hanging="672"/>
        <w:spacing w:after="0"/>
        <w:tabs>
          <w:tab w:leader="none" w:pos="680" w:val="left"/>
        </w:tabs>
        <w:numPr>
          <w:ilvl w:val="0"/>
          <w:numId w:val="119"/>
        </w:numPr>
        <w:rPr>
          <w:rFonts w:ascii="Arial" w:cs="Arial" w:eastAsia="Arial" w:hAnsi="Arial"/>
          <w:sz w:val="23"/>
          <w:szCs w:val="23"/>
          <w:b w:val="1"/>
          <w:bCs w:val="1"/>
          <w:color w:val="auto"/>
          <w:vertAlign w:val="superscript"/>
        </w:rPr>
      </w:pPr>
      <w:r>
        <w:rPr>
          <w:rFonts w:ascii="Arial" w:cs="Arial" w:eastAsia="Arial" w:hAnsi="Arial"/>
          <w:sz w:val="18"/>
          <w:szCs w:val="18"/>
          <w:color w:val="auto"/>
        </w:rPr>
        <w:t>Expenditures for acquisition capital and expansion capital, including investments in unconsolidated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40" w:right="2460" w:hanging="5532"/>
        <w:spacing w:after="0" w:line="461" w:lineRule="auto"/>
        <w:tabs>
          <w:tab w:leader="none" w:pos="640" w:val="left"/>
        </w:tabs>
        <w:numPr>
          <w:ilvl w:val="0"/>
          <w:numId w:val="120"/>
        </w:numPr>
        <w:rPr>
          <w:rFonts w:ascii="Arial" w:cs="Arial" w:eastAsia="Arial" w:hAnsi="Arial"/>
          <w:sz w:val="23"/>
          <w:szCs w:val="23"/>
          <w:b w:val="1"/>
          <w:bCs w:val="1"/>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17"/>
                <w:szCs w:val="17"/>
                <w:b w:val="1"/>
                <w:bCs w:val="1"/>
                <w:color w:val="auto"/>
                <w:vertAlign w:val="superscript"/>
              </w:rPr>
              <w:t>(1)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3,368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23"/>
          <w:szCs w:val="23"/>
          <w:b w:val="1"/>
          <w:bCs w:val="1"/>
          <w:color w:val="auto"/>
          <w:vertAlign w:val="superscript"/>
        </w:rPr>
      </w:pPr>
      <w:r>
        <w:rPr>
          <w:rFonts w:ascii="Arial" w:cs="Arial" w:eastAsia="Arial" w:hAnsi="Arial"/>
          <w:sz w:val="18"/>
          <w:szCs w:val="18"/>
          <w:color w:val="auto"/>
        </w:rPr>
        <w:t>Excludes long-term derivative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880"/>
              <w:spacing w:after="0"/>
              <w:rPr>
                <w:sz w:val="20"/>
                <w:szCs w:val="20"/>
                <w:color w:val="auto"/>
              </w:rPr>
            </w:pPr>
            <w:r>
              <w:rPr>
                <w:rFonts w:ascii="Arial" w:cs="Arial" w:eastAsia="Arial" w:hAnsi="Arial"/>
                <w:sz w:val="18"/>
                <w:szCs w:val="18"/>
                <w:color w:val="auto"/>
              </w:rPr>
              <w:t>F-49</w:t>
            </w:r>
          </w:p>
        </w:tc>
      </w:tr>
      <w:tr>
        <w:trPr>
          <w:trHeight w:val="132"/>
        </w:trPr>
        <w:tc>
          <w:tcPr>
            <w:tcW w:w="1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0" w:type="dxa"/>
            <w:vAlign w:val="bottom"/>
            <w:tcBorders>
              <w:bottom w:val="single" w:sz="8" w:color="808080"/>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33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Share Purchase Agreement dated December 1, 2011 by and among Amoco Canada International Holdings B.V. and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Midstream Canada ULC (the schedules and exhibits have been omitted pursuant to Item 601(b)(2) of Regulation S-K) (incorporated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by reference to Exhibit 2.1 to our Annual Report on Form 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Agreement and Plan of Merger dated as of October 21, 2013, by and among Plains All American Pipeline, L.P., PAA Acquisition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Company LLC, PAA Natural Gas Storage, L.P. and PNGS GP LLC (incorporated by reference to Exhibit 2.1 to our Current Report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on Form 8-K filed October 24,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Fifth Amended and Restated Agreement of Limited Partnership of Plains All American Pipeline, L.P. dated as of January 28, 2016</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3.2 to our Current Report on Form 8-K filed February 2,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3.2 to our Quarterly Report on Form 10-Q for the quarter ended March 31, 2004).</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Amendment No. 1 dated December 31, 2010 to the Third Amended and Restated Agreement of Limited Partnership of Plains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1" w:orient="portrait"/>
          <w:cols w:equalWidth="0" w:num="1">
            <w:col w:w="11460"/>
          </w:cols>
          <w:pgMar w:left="240" w:top="247" w:right="199" w:bottom="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Marketing, L.P. (incorporated by reference to Exhibit 3.9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Amendment No. 2 dated January 1, 2011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Marketing, L.P. (incorporated by reference to Exhibit 3.10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Amendment No. 3 dated June 30, 2011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Marketing, L.P. (incorporated by reference to Exhibit 3.7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Amendment No. 4 dated January 1, 2013 to the Third Amended and Restated Agreement of Limited Partnership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Marketing, L.P (incorporated by reference to Exhibit 3.8 to our Annual Report on Form 10-K for the year ended December 31,</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Third Amended and Restated Agreement of Limited Partnership of Plains Pipeline, L.P. dated as of April 1, 2004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Amendment No. 1 dated January 1, 2013 to the Third Amended and Restated Agreement of Limited Partnership of Plains Pipeline,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L.P. (incorporated by reference to Exhibit 3.10 to our Annual Report on Form 10-K for the year 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Sixth Amended and Restated Limited Liability Company Agreement of Plains All American GP LLC dated October 21, 2013</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Amendment No. 1 dated January 28, 2016 to the Sixth Amended and Restated Limited Liability Company Agreement of Plains All</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American GP LLC (incorporated by reference to Exhibit 3.1 to our Current Report on Form 8-K filed February 2,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Seventh Amended and Restated Limited Partnership Agreement of Plains AAP, L.P. dated October 21, 2013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3.1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Amendment No. 1 dated December 31, 2013 to the Seventh Amended and Restated Limited Partnership Agreement of Plains AAP,</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L.P. (incorporated by reference to Exhibit 3.2 to our Current Report on Form 8-K filed December 31, 2013).</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Certificate of Incorporation of PAA Finance Corp (f/k/a Pacific Energy Finance Corporation, successor-by-</w:t>
            </w:r>
          </w:p>
        </w:tc>
      </w:tr>
      <w:tr>
        <w:trPr>
          <w:trHeight w:val="348"/>
        </w:trPr>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merger to PAA Finance Corp.) (incorporated by reference to Exhibit 3.10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Bylaws of PAA Finance Corp (f/k/a Pacific Energy Finance Corporation, successor-by-merger to PAA Finance Corp.) (incorporated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by reference to Exhibit 3.11 to our Annual Report on 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Limited Liability Company Agreement of PAA GP LLC dated December 28, 2007 (incorporated by reference to Exhibit 3.3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Indenture dated September 25, 2002 among Plains All American Pipeline, L.P., PAA Finance Corp. and Wachovia Bank, National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Association, as trustee (incorporated by reference to Exhibit 4.1 to our Quarterly Report on Form 10-Q for the quarter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September 30,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Fourth Supplemental Indenture (Series A and Series B 5.875% Senior Notes due 2016) dated August 12, 2004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trustee (incorporated by reference to Exhibit 4.5 to our Registration Statement on Form S-4, File No. 333-121168).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our Current Report on Form 8-K filed May 12,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Ninth Supplemental Indenture (Series A and Series B 6.125% Senior Notes due 2017) dated October 30, 2006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Thirteenth Supplemental Indenture (Series A and Series B 6.50% Senior Notes due 2018) dated April 23, 2008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American Pipeline, L.P., PAA Finance Corp., the Subsidiary Guarantors named therein and U.S. Bank National Association, as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Fifteenth Supplemental Indenture (8.75% Senior Notes due 2019) dated April 20, 2009 among Plains All American Pipeline,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4.1 to our Current Report on Form 8-K filed September 4, 2009).</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Nineteenth Supplemental Indenture (5.00% Senior Notes due 2021) dated January 14, 2011 among Plains All American Pipeline,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L.P., PAA Finance Corp., the Subsidiary Guarantors named therein and U.S. Bank National Association, as trustee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PAA Finance Corp. and U.S. Bank National Association, as trustee (incorporated by reference to Exhibit 4.1 to our Current Report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on Form 8-K filed March 26, 2012).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Twenty-First Supplemental Indenture (5.15% Senior Notes due 2042) dated March 22, 2012 among Plains All</w:t>
            </w:r>
          </w:p>
        </w:tc>
      </w:tr>
      <w:tr>
        <w:trPr>
          <w:trHeight w:val="348"/>
        </w:trPr>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Exhibit 4.3 to our Current Report on Form 8-K filed March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Twenty-Second Supplemental Indenture (2.85% Senior Notes due 2023) dated December 10, 2012, by and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Twenty-Third Supplemental Indenture (4.30% Senior Notes due 2043) dated December 10, 2012,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Twenty-Fourth Supplemental Indenture (3.85% Senior Notes due 2023) dated August 15, 2013,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Twenty-Fifth Supplemental Indenture (4.70% Senior Notes due 2044) dated April 23,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Twenty-Sixth Supplemental Indenture (3.60% Senior Notes due 2024) dated September 9,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September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Twenty-Seventh Supplemental Indenture (2.60% Senior Notes due 2019) dated December 9, 2014, by and among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and U.S. Bank National Association, as trustee (incorporated by reference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Twenty-Eighth Supplemental Indenture (4.90% Senior Notes due 2045) dated December 9, 2014,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Twenty-Ninth Supplemental Indenture (4.65% Senior Notes due 2025) dated August 24, 2015, by and among Plains All American</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August 26,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Registration Rights Agreement dated September 3, 2009 by and between Plains All American Pipeline, L.P. and Vulcan Gas Storage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LLC (incorporated by reference to Exhibit 4.1 to our Registration Statement on Form S-3, File No. 333-162477).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Registration Rights Agreement, dated as of January 28, 2016 among Plains All American Pipeline, L.P. and the Purchasers named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Credit Agreement dated as of August 19, 2011 among Plains All American Pipeline, L.P., as Borrower; certain subsidiaries of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All American Pipeline, L.P. from time to time party thereto, as Designated Borrowers; Bank of America, N.A., as Administrative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Agent; and the other Lenders party thereto (incorporated by reference to Exhibit 10.1 to our Current Report on Form 8-K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First Amendment to Credit Agreement dated as of June 27, 2012, among Plains All American Pipeline, L.P. and Plains Midstream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Canada ULC, as Borrowers; Bank of America, N.A., as Administrative Agent, Swing Line Lender and L/C Issuer; Wells Fargo</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Bank, National Association, as an L/C Issuer; and the other Lenders party thereto (incorporated by reference to Exhibit 10.2 to our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Second Amendment to Credit Agreement dated as of August 16, 2013, among Plains All American Pipeline, L.P. and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Midstream Canada ULC, as Borrowers; Bank of America, N.A., as Administrative Agent, Swing Line Lender and L/C Issuer; Wells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Fargo Bank, National Association, as an L/C Issuer; and the other Lenders party thereto (incorporated by reference to Exhibit 10.2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our Current Report on Form 8-K filed August 20, 2013).</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Contribution, Assignment and Amendment Agreement dated as of June 27, 2001, among Plains All American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-8345805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-8345805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7" w:name="page148"/>
    <w:bookmarkEnd w:id="147"/>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17"/>
                <w:szCs w:val="17"/>
                <w:color w:val="auto"/>
              </w:rPr>
            </w:pPr>
          </w:p>
        </w:tc>
        <w:tc>
          <w:tcPr>
            <w:tcW w:w="9800" w:type="dxa"/>
            <w:vAlign w:val="bottom"/>
          </w:tcPr>
          <w:p>
            <w:pPr>
              <w:spacing w:after="0"/>
              <w:rPr>
                <w:sz w:val="17"/>
                <w:szCs w:val="17"/>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Pipeline, L.P., Plains Marketing, L.P., All American Pipeline, L.P., Plains AAP, L.P., Plains All American GP LLC and Plains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Marketing GP Inc. (incorporated by reference to Exhibit 10.1 to our Current Report on Form 8-K filed June 27,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Contribution, Assignment and Amendment Agreement dated as of June 8, 2001, among Plains All American Inc., Plains AAP, L.P.</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and Plains All American GP LLC (incorporated by reference to Exhibit 10.1 to our Current Report 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Separation Agreement dated as of June 8, 2001 among Plains Resources Inc., Plains All American Inc.,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American GP LLC, Plains AAP, L.P. and Plains All American Pipeline, L.P. (incorporated by reference to Exhibit 10.2 to our Current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Report on Form 8-K 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0"/>
              </w:rPr>
              <w:t>Pension and Employee Benefits Assumption and Transition Agreement dated as of June 8, 2001 among Plains Resources Inc.,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All American Inc. and Plains All American GP LLC (incorporated by reference to Exhibit 10.3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filed June 11,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Plains All American GP LLC 2005 Long-Term Incentive Plan (incorporated by reference to Exhibit 10.1 to our Current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8-K filed January 26,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Plains All American GP LLC 1998 Long-Term Incentive Plan (incorporated by reference to Exhibit 99.1 to Registration Statement</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on Form S-8, File No. 333-74920) as amended June 27, 2003 (incorporated by reference to Exhibit 10.1 to our Quarterly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Amended and Restated Employment Agreement between Plains All American GP LLC and Greg L. Armstrong dated as of June 30,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2001 (incorporated by reference to Exhibit 10.1 to our Quarterly Report on Form 10-Q for the quarter ended 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Amended and Restated Employment Agreement between Plains All American GP LLC and Harry N. Pefanis dated as of June 30,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2001 (incorporated by reference to Exhibit 10.2 to our Quarterly Report on Form 10-Q for the quarter ended September 30,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0"/>
              </w:rPr>
              <w:t>Asset Purchase and Sale Agreement dated February 28, 2001 between Murphy Oil Company Ltd. and Plains Marketing Canada, L.P.</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(incorporated by reference to Exhibit 99.1 to our Current Report on Form 8-K filed May 10, 2001).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Transportation Agreement dated July 30, 1993, between All American Pipeline Company and Exxon Company, U.S.A. (incorporated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by reference to Exhibit 10.9 to our Registration Statement on Form S-1 filed September 23, 1998, File 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Transportation Agreement dated August 2, 1993, among All American Pipeline Company, Texaco Trading and Transportation Inc.,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Chevron U.S.A. and Sun Operating Limited Partnership (incorporated by reference to Exhibit 10.10 to our Registration Statement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S-1 filed September 23, 1998, File No. 333-64107).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Contribution, Conveyance and Assumption Agreement among Plains All American Pipeline, L.P. and certain other parties dated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of November 23, 1998 (incorporated by reference to Exhibit 10.3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First Amendment to Contribution, Conveyance and Assumption Agreement dated as of December 15, 1998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10.13 to our Annual Report on Form 10-K for the 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Agreement for Purchase and Sale of Membership Interest in Scurlock Permian LLC between Marathon Ashland LLC and Plains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Marketing, L.P. dated as of March 17, 1999 (incorporated by reference to Exhibit 10.16 to our Annual Report on Form 10-K for the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year ended December 31, 1998).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PMC (Nova Scotia) Company Bonus Program (incorporated by reference to Exhibit 10.20 to our Annual Report on Form 10-K for</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the year ended December 31, 2004).</w:t>
            </w:r>
          </w:p>
        </w:tc>
      </w:tr>
      <w:tr>
        <w:trPr>
          <w:trHeight w:val="514"/>
        </w:trPr>
        <w:tc>
          <w:tcPr>
            <w:tcW w:w="128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Quarterly Bonus Program Summary (incorporated by reference to Exhibit 10.21 to our Annual Report on</w:t>
            </w:r>
          </w:p>
        </w:tc>
      </w:tr>
      <w:tr>
        <w:trPr>
          <w:trHeight w:val="266"/>
        </w:trPr>
        <w:tc>
          <w:tcPr>
            <w:tcW w:w="12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360" w:type="dxa"/>
            <w:vAlign w:val="bottom"/>
            <w:tcBorders>
              <w:bottom w:val="single" w:sz="8" w:color="808080"/>
            </w:tcBorders>
          </w:tcPr>
          <w:p>
            <w:pPr>
              <w:spacing w:after="0"/>
              <w:rPr>
                <w:sz w:val="23"/>
                <w:szCs w:val="23"/>
                <w:color w:val="auto"/>
              </w:rPr>
            </w:pPr>
          </w:p>
        </w:tc>
        <w:tc>
          <w:tcPr>
            <w:tcW w:w="9800" w:type="dxa"/>
            <w:vAlign w:val="bottom"/>
            <w:tcBorders>
              <w:bottom w:val="single" w:sz="8" w:color="808080"/>
            </w:tcBorders>
          </w:tcPr>
          <w:p>
            <w:pPr>
              <w:spacing w:after="0"/>
              <w:rPr>
                <w:sz w:val="23"/>
                <w:szCs w:val="23"/>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10-K for the 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Form of LTIP Grant Letter (independent directors) (incorporated by reference to Exhibit 10.3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filed 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Form of LTIP Grant Letter (designated directors) (incorporated by reference to Exhibit 10.4 to our Current Report on Form 8-K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February 23,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Membership Interest Purchase Agreement by and between Sempra Energy Trading Corporation and PAA/Vulcan Gas Storage, LLC</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dated August 19, 2005 (incorporated by reference to Exhibit 1.2 to our Current Report on Form 8-K filed September 19,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Waiver Agreement dated as of December 23, 2010 between Plains All American GP LLC and Greg L. Armstrong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10.31 to our Annual Report on Form 10-K for the year ended December 31, 2010).</w:t>
            </w:r>
          </w:p>
        </w:tc>
      </w:tr>
      <w:tr>
        <w:trPr>
          <w:trHeight w:val="514"/>
        </w:trPr>
        <w:tc>
          <w:tcPr>
            <w:tcW w:w="128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Waiver Agreement dated as of December 23, 2010 between Plains All American GP LLC and Harry N. Pefanis (incorporated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-2635250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1" w:orient="portrait"/>
          <w:cols w:equalWidth="0" w:num="1">
            <w:col w:w="11460"/>
          </w:cols>
          <w:pgMar w:left="240" w:top="500" w:right="199" w:bottom="0" w:gutter="0" w:footer="0" w:header="0"/>
        </w:sectPr>
      </w:pPr>
    </w:p>
    <w:bookmarkStart w:id="148" w:name="page149"/>
    <w:bookmarkEnd w:id="148"/>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10.32 to our Annual Report on Form 10-K for the year ended 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Employment Agreement between Plains All American GP LLC and John P. vonBerg dated December 18, 2001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10.40 to our Annual Report on Form 10-K for the year ended December 31, 2005).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Form of LTIP Grant Letter (audit committee members) (incorporated by reference to Exhibit 10.1 to our Current Report on Form 8-K</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filed August 23,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Plains All American PPX Successor Long-Term Incentive Plan (incorporated by reference to Exhibit 10.45 to our Annual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10-K for the year ended December 31, 2006).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Form of Plains AAP, L.P. Class B Restricted Units Agreement (incorporated by reference to Exhibit 10.1 to our Current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Third Amended and Restated Credit Agreement dated as of August 19, 2011 by and among Plains Marketing, L.P., as Borrower,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Plains All American Pipeline, L.P., as Guarantor, Bank of America, N.A., as Administrative Agent, and the other Lenders party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thereto (incorporated by reference to Exhibit 10.2 to our Current Report on Form 8-K filed August 25,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First Amendment to Third Amended and Restated Credit Agreement dated as of June 27, 2012, among Plains Marketing, L.P. and</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Administrative Agent, Swing Line Lender and L/C Issuer; and the other Lenders and L/C Issuers party thereto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10.1 to our Current Report on Form 8-K filed July 3,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Second Amendment to Third Amended and Restated Credit Agreement dated as of August 16, 2013, among Plains Marketing, L.P.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and Plains Midstream Canada ULC, as Borrowers; Plains All American Pipeline, L.P., as Guarantor; Bank of America, N.A., as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Administrative Agent, Swing Line Lender and L/C Issuer; Wells Fargo Bank, National Association, as an L/C Issuer; and the other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Lenders and L/C Issuers party thereto (incorporated by reference to Exhibit 10.1 to our Current Report on Form 8-K filed August 20,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Contribution and Assumption Agreement dated December 28, 2007, by and between Plains AAP, L.P. and PAA GP LLC</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(incorporated by reference to Exhibit 10.2 to our Current Report on Form 8-K filed January 4,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First Amendment to Amended and Restated Employment Agreement dated December 4, 2008 between Plains All American GP LLC</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9"/>
              </w:rPr>
              <w:t>and Greg L. Armstrong (incorporated by reference to Exhibit 10.49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December 31, 2008).</w:t>
            </w:r>
          </w:p>
        </w:tc>
      </w:tr>
      <w:tr>
        <w:trPr>
          <w:trHeight w:val="514"/>
        </w:trPr>
        <w:tc>
          <w:tcPr>
            <w:tcW w:w="1280" w:type="dxa"/>
            <w:vAlign w:val="bottom"/>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First Amendment to Amended and Restated Employment Agreement dated December 4, 2008 between Plains All</w:t>
            </w:r>
          </w:p>
        </w:tc>
      </w:tr>
      <w:tr>
        <w:trPr>
          <w:trHeight w:val="266"/>
        </w:trPr>
        <w:tc>
          <w:tcPr>
            <w:tcW w:w="12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360" w:type="dxa"/>
            <w:vAlign w:val="bottom"/>
            <w:tcBorders>
              <w:bottom w:val="single" w:sz="8" w:color="808080"/>
            </w:tcBorders>
          </w:tcPr>
          <w:p>
            <w:pPr>
              <w:spacing w:after="0"/>
              <w:rPr>
                <w:sz w:val="23"/>
                <w:szCs w:val="23"/>
                <w:color w:val="auto"/>
              </w:rPr>
            </w:pPr>
          </w:p>
        </w:tc>
        <w:tc>
          <w:tcPr>
            <w:tcW w:w="9800" w:type="dxa"/>
            <w:vAlign w:val="bottom"/>
            <w:tcBorders>
              <w:bottom w:val="single" w:sz="8" w:color="808080"/>
            </w:tcBorders>
          </w:tcPr>
          <w:p>
            <w:pPr>
              <w:spacing w:after="0"/>
              <w:rPr>
                <w:sz w:val="23"/>
                <w:szCs w:val="23"/>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American GP LLC and Harry N. Pefanis (incorporated by reference to Exhibit 10.50 to our Annual Report on Form 10-K for the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First Amendment to Plains All American GP LLC 2005 Long-Term Incentive Plan dated December 4, 2008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10.51 to our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Second Amendment to Plains All American GP LLC 1998 Long-Term Incentive Plan dated December 4, 2008 (incorporated by</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reference to Exhibit 10.52 to our Annual Report on 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Form of Amendment to LTIP grant letters (executive officers) (incorporated by reference to Exhibit 10.53 to our Annual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10-K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Form of Amendment to LTIP grant letters (directors) (incorporated by reference to Exhibit 10.54 to our Annual Report on Form 10-</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K for the year ended December 31, 2008).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Contribution Agreement dated as of April 29, 2010 by and among PAA Natural Gas Storage, L.P., PNGS GP LLC,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American Pipeline, L.P., PAA Natural Gas Storage, LLC, PAA/Vulcan Gas Storage, LLC, Plains Marketing, L.P. and Plains</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Marketing GP Inc. (incorporated by reference to Exhibit 10.1 to PNG’s Current Report on Form 8-K filed May 4,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Omnibus Agreement dated May 5, 2010 by and among Plains All American GP LLC, Plains All American Pipeline, L.P., PNGS GP</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LLC and PAA Natural Gas Storage, L.P. (incorporated by reference to Exhibit 10.1 to PNG’s Current Report on Form 8-K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10.41</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Form of 2010 LTIP Grant Letters (incorporated by reference to Exhibit 10.58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December 31,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10.42</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Director Compensation Summary (incorporated by reference to Exhibit 10.45 to our Annual Report on Form 10-K for the year ended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6"/>
              </w:rPr>
              <w:t>Administrative Agreement dated October 21, 2013 by and among Plains GP Holdings, L.P., PAA GP Holdings LLC, Plains All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American Pipeline, L.P., PAA GP LLC, Plains AAP, L.P. and Plains All American GP LLC (incorporated by reference to</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Exhibit 10.1 to our Current Report on Form 8-K filed October 25, 2013).</w:t>
            </w:r>
          </w:p>
        </w:tc>
      </w:tr>
      <w:tr>
        <w:trPr>
          <w:trHeight w:val="514"/>
        </w:trPr>
        <w:tc>
          <w:tcPr>
            <w:tcW w:w="1280" w:type="dxa"/>
            <w:vAlign w:val="bottom"/>
          </w:tcPr>
          <w:p>
            <w:pPr>
              <w:spacing w:after="0"/>
              <w:rPr>
                <w:sz w:val="20"/>
                <w:szCs w:val="20"/>
                <w:color w:val="auto"/>
              </w:rPr>
            </w:pPr>
            <w:r>
              <w:rPr>
                <w:rFonts w:ascii="Arial" w:cs="Arial" w:eastAsia="Arial" w:hAnsi="Arial"/>
                <w:sz w:val="18"/>
                <w:szCs w:val="18"/>
                <w:color w:val="auto"/>
              </w:rPr>
              <w:t>10.44</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Waiver Agreement dated October 21, 2013 to the Amended and Restated Employment Agreement dated June 30, 2001 of Greg 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-5241925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-5241925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2" w:orient="portrait"/>
          <w:cols w:equalWidth="0" w:num="1">
            <w:col w:w="11460"/>
          </w:cols>
          <w:pgMar w:left="240" w:top="125" w:right="199" w:bottom="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Armstrong (incorporated by reference to Exhibit 10.2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10.45</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Waiver Agreement dated October 21, 2013 to the Amended and Restated Employment Agreement dated June 30, 2001 of Harry 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Pefanis (incorporated by reference to Exhibit 10.3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10.46</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1"/>
              </w:rPr>
              <w:t>Form of Amendment to the Plains AAP, L.P. Class B Restricted Units Agreement, dated October 18, 2013 (incorporated by reference</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to Exhibit 10.4 to our Current Report on Form 8-K filed October 25,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10.47</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Plains All American 2013 Long-Term Incentive Plan (incorporated by reference to Exhibit A to our Definitive Proxy Statement filed</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on October 3,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10.48</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8"/>
              </w:rPr>
              <w:t>Plains All American PNG Successor Long-Term Incentive Plan (incorporated by reference to Exhibit 4.4 to our Registration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Statement on Form S-8 (333-19319) filed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10.49</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2"/>
              </w:rPr>
              <w:t>PAA Natural Gas Storage, L.P. 2010 Long-Term Incentive Plan (incorporated by reference to Exhibit 10.2 to PNG’s Current Report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on Form 8-K filed May 11, 2010).</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10.50</w:t>
            </w:r>
            <w:r>
              <w:rPr>
                <w:rFonts w:ascii="Arial" w:cs="Arial" w:eastAsia="Arial" w:hAnsi="Arial"/>
                <w:sz w:val="23"/>
                <w:szCs w:val="23"/>
                <w:color w:val="auto"/>
                <w:vertAlign w:val="superscript"/>
              </w:rPr>
              <w:t>**</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4"/>
              </w:rPr>
              <w:t>Form of PAA LTIP Grant Letter for Officers (February 2013) (incorporated by reference to Exhibit 10.1 to our Quarterly Report on</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Form 10-Q for the quarter ended March 31, 2013).</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364-Day Credit Agreement dated January 16, 2015 among Plains All American Pipeline, L.P., as Borrower;</w:t>
            </w:r>
          </w:p>
        </w:tc>
      </w:tr>
      <w:tr>
        <w:trPr>
          <w:trHeight w:val="348"/>
        </w:trPr>
        <w:tc>
          <w:tcPr>
            <w:tcW w:w="1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360" w:type="dxa"/>
            <w:vAlign w:val="bottom"/>
          </w:tcPr>
          <w:p>
            <w:pPr>
              <w:spacing w:after="0"/>
              <w:rPr>
                <w:sz w:val="24"/>
                <w:szCs w:val="24"/>
                <w:color w:val="auto"/>
              </w:rPr>
            </w:pPr>
          </w:p>
        </w:tc>
        <w:tc>
          <w:tcPr>
            <w:tcW w:w="98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Bank of America, N.A., as Administrative Agent; Citibank, N.A., JPMorgan Chase Bank N.A. and Wells Fargo Bank, National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Association, as Co-Syndication Agents; DNB Bank ASA, New York Branch and Mizuho Bank, Ltd., as Co-Documentation Agents;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the other Lenders party thereto; and Merrill Lynch, Pierce, Fenner &amp; Smith Incorporated, Citigroup Global Markets Inc., DNB</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Markets, Inc., J.P. Morgan Securities LLC, Mizuho Bank, Ltd. and Wells Fargo Securities, LLC, as Joint Lead Arrangers and Joint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Bookrunners (incorporated by reference to Exhibit 10.1 to our Current Report on Form 8-K filed January 20,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w w:val="95"/>
              </w:rPr>
              <w:t>First Amendment to 364-Day Credit Agreement dated August 14, 2015 among Plains All American Pipeline, L.P., as Borrower;</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Bank of America, N.A., as Administrative Agent; Citibank, N.A., JPMorgan Chase Bank N.A. and Wells Fargo Bank, National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Association, as Co-Syndication Agents; DNB Bank ASA, New York Branch and Mizuho Bank, Ltd., as Co-Documentation Agents;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7"/>
              </w:rPr>
              <w:t>the other Lenders party thereto; and Merrill Lynch, Pierce, Fenner &amp; Smith Incorporated, Citigroup Global Markets Inc., DNB</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w w:val="93"/>
              </w:rPr>
              <w:t>Markets, Inc., J.P. Morgan Securities LLC, Mizuho Bank, Ltd. and Wells Fargo Securities, LLC, as Joint Lead Arrangers and Joint</w:t>
            </w: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40"/>
              <w:spacing w:after="0"/>
              <w:rPr>
                <w:sz w:val="20"/>
                <w:szCs w:val="20"/>
                <w:color w:val="auto"/>
              </w:rPr>
            </w:pPr>
            <w:r>
              <w:rPr>
                <w:rFonts w:ascii="Arial" w:cs="Arial" w:eastAsia="Arial" w:hAnsi="Arial"/>
                <w:sz w:val="18"/>
                <w:szCs w:val="18"/>
                <w:color w:val="auto"/>
              </w:rPr>
              <w:t>Bookrunners (incorporated by reference to Exhibit 10.1 to our Current Report on Form 8-K filed August 14, 2015).</w:t>
            </w:r>
          </w:p>
        </w:tc>
      </w:tr>
      <w:tr>
        <w:trPr>
          <w:trHeight w:val="514"/>
        </w:trPr>
        <w:tc>
          <w:tcPr>
            <w:tcW w:w="1300" w:type="dxa"/>
            <w:vAlign w:val="bottom"/>
            <w:gridSpan w:val="2"/>
          </w:tcPr>
          <w:p>
            <w:pPr>
              <w:spacing w:after="0"/>
              <w:rPr>
                <w:sz w:val="20"/>
                <w:szCs w:val="20"/>
                <w:color w:val="auto"/>
              </w:rPr>
            </w:pPr>
            <w:r>
              <w:rPr>
                <w:rFonts w:ascii="Arial" w:cs="Arial" w:eastAsia="Arial" w:hAnsi="Arial"/>
                <w:sz w:val="18"/>
                <w:szCs w:val="18"/>
                <w:color w:val="auto"/>
              </w:rPr>
              <w:t>10.53</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Employment Agreement between Plains All American GP LLC and Willie Chiang dated July 10, 2015.</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List of Subsidiaries of Plains All American Pipeline, L.P.</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 INS</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3"/>
                <w:szCs w:val="23"/>
                <w:color w:val="auto"/>
                <w:vertAlign w:val="superscript"/>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-6065520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-6065520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20" w:right="380" w:hanging="8"/>
        <w:spacing w:after="0" w:line="308" w:lineRule="auto"/>
        <w:rPr>
          <w:sz w:val="20"/>
          <w:szCs w:val="20"/>
          <w:color w:val="auto"/>
        </w:rPr>
      </w:pPr>
      <w:r>
        <w:rPr>
          <w:rFonts w:ascii="Arial" w:cs="Arial" w:eastAsia="Arial" w:hAnsi="Arial"/>
          <w:sz w:val="17"/>
          <w:szCs w:val="17"/>
          <w:color w:val="auto"/>
        </w:rPr>
        <w:t>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Management compensatory plan or arrangement.</w:t>
      </w:r>
    </w:p>
    <w:p>
      <w:pPr>
        <w:sectPr>
          <w:pgSz w:w="11900" w:h="16838" w:orient="portrait"/>
          <w:cols w:equalWidth="0" w:num="2">
            <w:col w:w="120" w:space="520"/>
            <w:col w:w="10820"/>
          </w:cols>
          <w:pgMar w:left="240" w:top="125" w:right="199" w:bottom="0" w:gutter="0" w:footer="0" w:header="0"/>
          <w:type w:val="continuous"/>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154940</wp:posOffset>
            </wp:positionV>
            <wp:extent cx="2907030" cy="823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0703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WCW (Willie) Chiang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Willie: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our discussions, the following shall set forth the employment agreement (this “Agreement”) between Plains All American GP LLC (the “Company”) and WCW (Willie) Chiang (“Executive”).</w:t>
      </w:r>
    </w:p>
    <w:p>
      <w:pPr>
        <w:spacing w:after="0" w:line="170" w:lineRule="exact"/>
        <w:rPr>
          <w:sz w:val="20"/>
          <w:szCs w:val="20"/>
          <w:color w:val="auto"/>
        </w:rPr>
      </w:pPr>
    </w:p>
    <w:p>
      <w:pPr>
        <w:ind w:right="100" w:firstLine="8"/>
        <w:spacing w:after="0" w:line="259" w:lineRule="auto"/>
        <w:tabs>
          <w:tab w:leader="none" w:pos="64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Title and Position.</w:t>
      </w:r>
      <w:r>
        <w:rPr>
          <w:rFonts w:ascii="Arial" w:cs="Arial" w:eastAsia="Arial" w:hAnsi="Arial"/>
          <w:sz w:val="18"/>
          <w:szCs w:val="18"/>
          <w:color w:val="auto"/>
        </w:rPr>
        <w:t xml:space="preserve"> (a) Executive’s title and position will be Executive Vice President and Chief Operating Officer - U.S. of the Company with primary responsibility for all U.S. operational and commercial activities with the responsibilities attendant to such position transitioned to Executive over an approximate one year period in stages. Executive will be a member of the Executive Committee and will report to the President and Chief Operating Officer (“COO”).</w:t>
      </w:r>
    </w:p>
    <w:p>
      <w:pPr>
        <w:spacing w:after="0" w:line="186" w:lineRule="exact"/>
        <w:rPr>
          <w:rFonts w:ascii="Arial" w:cs="Arial" w:eastAsia="Arial" w:hAnsi="Arial"/>
          <w:sz w:val="18"/>
          <w:szCs w:val="18"/>
          <w:color w:val="auto"/>
        </w:rPr>
      </w:pPr>
    </w:p>
    <w:p>
      <w:pPr>
        <w:ind w:right="40" w:firstLine="656"/>
        <w:spacing w:after="0" w:line="260" w:lineRule="auto"/>
        <w:tabs>
          <w:tab w:leader="none" w:pos="948"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Company has offered, and Executive has accepted, employment as contemplated hereunder with the expectation that he will be offered the top executive leadership position (excluding the position of Chairman, the “Executive Promotion”) of the Company no later than the last day (such date being referred to as the “Reference Date”) of the fortieth (40</w:t>
      </w:r>
      <w:r>
        <w:rPr>
          <w:rFonts w:ascii="Arial" w:cs="Arial" w:eastAsia="Arial" w:hAnsi="Arial"/>
          <w:sz w:val="22"/>
          <w:szCs w:val="22"/>
          <w:color w:val="auto"/>
          <w:vertAlign w:val="superscript"/>
        </w:rPr>
        <w:t>th</w:t>
      </w:r>
      <w:r>
        <w:rPr>
          <w:rFonts w:ascii="Arial" w:cs="Arial" w:eastAsia="Arial" w:hAnsi="Arial"/>
          <w:sz w:val="17"/>
          <w:szCs w:val="17"/>
          <w:color w:val="auto"/>
        </w:rPr>
        <w:t>) full calendar month following the Commencement Date as defined in Section 6 below, with a corresponding employment agreement and compensation package that is commensurate with the Chief Executive Officer title, scope and responsibilities and similar in terms and content to the employment agreement that is currently in place for the incumbent CEO (excluding any portions thereof that relate to such incumbent’s role as Chairman). Executive acknowledges that such promotion will be contingent on the evaluation of his performance and is not guaranteed; however, the provisions below are intended to protect Executive against certain events (all references below to “outstanding LTIPs and Class B Units” shall refer to LTIPs and Class B Units issued pursuant to the grants described in Sections 2(c) and (d) below):</w:t>
      </w:r>
    </w:p>
    <w:p>
      <w:pPr>
        <w:spacing w:after="0" w:line="188" w:lineRule="exact"/>
        <w:rPr>
          <w:rFonts w:ascii="Arial" w:cs="Arial" w:eastAsia="Arial" w:hAnsi="Arial"/>
          <w:sz w:val="17"/>
          <w:szCs w:val="17"/>
          <w:color w:val="auto"/>
        </w:rPr>
      </w:pPr>
    </w:p>
    <w:p>
      <w:pPr>
        <w:ind w:left="1220" w:right="80" w:hanging="645"/>
        <w:spacing w:after="0" w:line="312" w:lineRule="auto"/>
        <w:tabs>
          <w:tab w:leader="none" w:pos="12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Termination by the Company Other than for Cause — In the event Executive has not received the Executive Promotion and is terminated by the Company other than for Cause (as defined in the LTIP Grant and Class B Agreement described in Sections 2(c) and 2(d) below) prior to the Reference Date, Executive shall immediately vest in all outstanding LTIPs and Class B Units (both Restricted Units and earned Units).</w:t>
      </w:r>
    </w:p>
    <w:p>
      <w:pPr>
        <w:spacing w:after="0" w:line="146" w:lineRule="exact"/>
        <w:rPr>
          <w:rFonts w:ascii="Arial" w:cs="Arial" w:eastAsia="Arial" w:hAnsi="Arial"/>
          <w:sz w:val="16"/>
          <w:szCs w:val="16"/>
          <w:color w:val="auto"/>
        </w:rPr>
      </w:pPr>
    </w:p>
    <w:p>
      <w:pPr>
        <w:ind w:left="1220" w:right="400" w:hanging="564"/>
        <w:spacing w:after="0" w:line="264" w:lineRule="auto"/>
        <w:tabs>
          <w:tab w:leader="none" w:pos="1251" w:val="left"/>
        </w:tabs>
        <w:numPr>
          <w:ilvl w:val="2"/>
          <w:numId w:val="123"/>
        </w:numPr>
        <w:rPr>
          <w:rFonts w:ascii="Arial" w:cs="Arial" w:eastAsia="Arial" w:hAnsi="Arial"/>
          <w:sz w:val="18"/>
          <w:szCs w:val="18"/>
          <w:color w:val="auto"/>
        </w:rPr>
      </w:pPr>
      <w:r>
        <w:rPr>
          <w:rFonts w:ascii="Arial" w:cs="Arial" w:eastAsia="Arial" w:hAnsi="Arial"/>
          <w:sz w:val="18"/>
          <w:szCs w:val="18"/>
          <w:color w:val="auto"/>
        </w:rPr>
        <w:t>Resignation by Executive — If (a) Executive has not received the Executive Promotion by the Reference Date, Executive may, within a period beginning on the Reference Date and ending 90 days thereafter, tender his resignation to the Company, or (b) Executive has not received the Executive Promotion and terminates his employment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Clay Street, Suite 1600 · Houston, Texas 77002 · 713/646-4100 or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20" w:right="180"/>
        <w:spacing w:after="0" w:line="259" w:lineRule="auto"/>
        <w:rPr>
          <w:sz w:val="20"/>
          <w:szCs w:val="20"/>
          <w:color w:val="auto"/>
        </w:rPr>
      </w:pPr>
      <w:r>
        <w:rPr>
          <w:rFonts w:ascii="Arial" w:cs="Arial" w:eastAsia="Arial" w:hAnsi="Arial"/>
          <w:sz w:val="18"/>
          <w:szCs w:val="18"/>
          <w:color w:val="auto"/>
        </w:rPr>
        <w:t>for Good Reason (as defined in the Class B Agreement referenced in Section 2(d) below) prior to the Reference Date, then in either such case Executive shall immediately vest in all outstanding LTIPs and Class B Units (both Restricted Units and “earned” Units). The right set forth in clause (a) immediately preceding will not be affected by a termination of Executive’s employment during the 90 day period described therein by the Company other than for Cause.</w:t>
      </w:r>
    </w:p>
    <w:p>
      <w:pPr>
        <w:spacing w:after="0" w:line="187" w:lineRule="exact"/>
        <w:rPr>
          <w:sz w:val="20"/>
          <w:szCs w:val="20"/>
          <w:color w:val="auto"/>
        </w:rPr>
      </w:pPr>
    </w:p>
    <w:p>
      <w:pPr>
        <w:ind w:left="1220" w:right="20" w:hanging="564"/>
        <w:spacing w:after="0" w:line="279" w:lineRule="auto"/>
        <w:tabs>
          <w:tab w:leader="none" w:pos="12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Change of Control — In the event of a Change of Control (as defined in either the LTIP Grant and Class B Agreement described in paragraphs 2(c) and 2(d) below) prior to the Reference Date and in connection therewith Executive is not designated to receive the Executive Promotion, Executive may, within a period of 90 days following the Change of Control, terminate his employment whereupon Executive shall immediately vest in all outstanding LTIPs and Class B Units (both Restricted Units and “earned” Units).</w:t>
      </w:r>
    </w:p>
    <w:p>
      <w:pPr>
        <w:spacing w:after="0" w:line="171" w:lineRule="exact"/>
        <w:rPr>
          <w:rFonts w:ascii="Arial" w:cs="Arial" w:eastAsia="Arial" w:hAnsi="Arial"/>
          <w:sz w:val="17"/>
          <w:szCs w:val="17"/>
          <w:color w:val="auto"/>
        </w:rPr>
      </w:pPr>
    </w:p>
    <w:p>
      <w:pPr>
        <w:ind w:left="1220" w:hanging="564"/>
        <w:spacing w:after="0" w:line="293" w:lineRule="auto"/>
        <w:tabs>
          <w:tab w:leader="none" w:pos="123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Death or Disability. If prior to the second anniversary of the Commencement Date (A) Executive dies or Executive’s employment is terminated as a result of Executive’s “disability” (a physical or mental infirmity that impairs Executive’s ability substantially to perform his duties for a period of eighteen months or that the Company otherwise determines constitutes a “disability”), and (B) at such time the number of Class B Units that have become “earned” Units (and thus will become vested Units pursuant to the terms of the Class B Agreement) is less than 500,000, Executive shall immediately vest in such number of additional Class B Units as may be necessary to cause the total number of vested Class B Units of Executive as a result of the occurrence of the event described in clause (A) immediately preceding to equal 500,000.</w:t>
      </w:r>
    </w:p>
    <w:p>
      <w:pPr>
        <w:spacing w:after="0" w:line="164" w:lineRule="exact"/>
        <w:rPr>
          <w:rFonts w:ascii="Arial" w:cs="Arial" w:eastAsia="Arial" w:hAnsi="Arial"/>
          <w:sz w:val="16"/>
          <w:szCs w:val="16"/>
          <w:color w:val="auto"/>
        </w:rPr>
      </w:pPr>
    </w:p>
    <w:p>
      <w:pPr>
        <w:ind w:left="1220" w:right="280" w:hanging="564"/>
        <w:spacing w:after="0" w:line="264" w:lineRule="auto"/>
        <w:tabs>
          <w:tab w:leader="none" w:pos="122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Termination by Executive — If Executive’s employment is terminated before or after the Reference Date for any reason other than as described in clauses (i), (ii), (iii) and (iv) above, earning and vesting of any outstanding LTIPs and Class B Units shall be governed by the applicable LTIP Grant letter and the Class B Agreement, respectively.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Executive’s compensation will include:</w:t>
      </w:r>
    </w:p>
    <w:p>
      <w:pPr>
        <w:spacing w:after="0" w:line="225" w:lineRule="exact"/>
        <w:rPr>
          <w:sz w:val="20"/>
          <w:szCs w:val="20"/>
          <w:color w:val="auto"/>
        </w:rPr>
      </w:pPr>
    </w:p>
    <w:p>
      <w:pPr>
        <w:ind w:left="1300" w:right="180" w:hanging="644"/>
        <w:spacing w:after="0" w:line="264" w:lineRule="auto"/>
        <w:tabs>
          <w:tab w:leader="none" w:pos="129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A monthly salary of $20,833.33, payable semi-monthly in cash for so long as Executive is employed by the Company. This amount may be increased by the Company from time to time, but may not be decreased from this base level, or any future increased level, without Executive’s express written approval.</w:t>
      </w:r>
    </w:p>
    <w:p>
      <w:pPr>
        <w:spacing w:after="0" w:line="181" w:lineRule="exact"/>
        <w:rPr>
          <w:rFonts w:ascii="Arial" w:cs="Arial" w:eastAsia="Arial" w:hAnsi="Arial"/>
          <w:sz w:val="18"/>
          <w:szCs w:val="18"/>
          <w:color w:val="auto"/>
        </w:rPr>
      </w:pPr>
    </w:p>
    <w:p>
      <w:pPr>
        <w:ind w:left="1300" w:right="140" w:hanging="644"/>
        <w:spacing w:after="0" w:line="342" w:lineRule="auto"/>
        <w:tabs>
          <w:tab w:leader="none" w:pos="13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xml:space="preserve"> Executive will participate in the Company’s annual discretionary bonus program. The amount of bonus recommended to the Board annually with respect to Executive will be dependent upon the Chief Executive Officer’s (“CEO”) and COO’s assessments of both</w:t>
      </w:r>
    </w:p>
    <w:p>
      <w:pPr>
        <w:sectPr>
          <w:pgSz w:w="11900" w:h="16838" w:orient="portrait"/>
          <w:cols w:equalWidth="0" w:num="1">
            <w:col w:w="11420"/>
          </w:cols>
          <w:pgMar w:left="240" w:top="121" w:right="239" w:bottom="0" w:gutter="0" w:footer="0" w:header="0"/>
        </w:sectPr>
      </w:pPr>
    </w:p>
    <w:bookmarkStart w:id="152" w:name="page153"/>
    <w:bookmarkEnd w:id="152"/>
    <w:p>
      <w:pPr>
        <w:spacing w:after="0" w:line="72" w:lineRule="exact"/>
        <w:rPr>
          <w:sz w:val="20"/>
          <w:szCs w:val="20"/>
          <w:color w:val="auto"/>
        </w:rPr>
      </w:pPr>
    </w:p>
    <w:p>
      <w:pPr>
        <w:ind w:left="1300" w:right="420"/>
        <w:spacing w:after="0" w:line="277" w:lineRule="auto"/>
        <w:rPr>
          <w:sz w:val="20"/>
          <w:szCs w:val="20"/>
          <w:color w:val="auto"/>
        </w:rPr>
      </w:pPr>
      <w:r>
        <w:rPr>
          <w:rFonts w:ascii="Arial" w:cs="Arial" w:eastAsia="Arial" w:hAnsi="Arial"/>
          <w:sz w:val="18"/>
          <w:szCs w:val="18"/>
          <w:color w:val="auto"/>
        </w:rPr>
        <w:t>Executive’s individual contributions throughout the year and the overall partnership performance. With respect to calendar years 2015, 2016 and 2017, Executive’s annual bonuses will not be less than $500,000 with respect to</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20" w:right="40"/>
        <w:spacing w:after="0" w:line="255" w:lineRule="auto"/>
        <w:rPr>
          <w:sz w:val="20"/>
          <w:szCs w:val="20"/>
          <w:color w:val="auto"/>
        </w:rPr>
      </w:pPr>
      <w:r>
        <w:rPr>
          <w:rFonts w:ascii="Arial" w:cs="Arial" w:eastAsia="Arial" w:hAnsi="Arial"/>
          <w:sz w:val="18"/>
          <w:szCs w:val="18"/>
          <w:color w:val="auto"/>
        </w:rPr>
        <w:t>calendar year 2015 (no further proration for the fact of employment during less than the entire calendar year) and $1.25 million with respect to calendar years 2016 and 2017 (the “Minimum Annual Bonuses”). The Minimum Annual Bonuses shall be paid in cash on the date that the annual bonus payments are made to the other senior executive participants in the annual discretionary bonus program. The Company’s obligation to pay a Minimum Annual Bonus with respect to a given calendar year is contingent upon (i) Executive’s remaining employed by the Company through the date on which the applicable Minimum Annual Bonus payment is due and (ii) continued compliance with the terms of the Confidentiality Agreement, as defined in Section 5 below.</w:t>
      </w:r>
    </w:p>
    <w:p>
      <w:pPr>
        <w:spacing w:after="0" w:line="193" w:lineRule="exact"/>
        <w:rPr>
          <w:sz w:val="20"/>
          <w:szCs w:val="20"/>
          <w:color w:val="auto"/>
        </w:rPr>
      </w:pPr>
    </w:p>
    <w:p>
      <w:pPr>
        <w:ind w:left="1300" w:right="120" w:hanging="644"/>
        <w:spacing w:after="0" w:line="264" w:lineRule="auto"/>
        <w:tabs>
          <w:tab w:leader="none" w:pos="1303"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LTIP Grant.</w:t>
      </w:r>
      <w:r>
        <w:rPr>
          <w:rFonts w:ascii="Arial" w:cs="Arial" w:eastAsia="Arial" w:hAnsi="Arial"/>
          <w:sz w:val="18"/>
          <w:szCs w:val="18"/>
          <w:color w:val="auto"/>
        </w:rPr>
        <w:t xml:space="preserve"> On the Commencement Date (as defined in Section 6 below), Executive will receive an initial grant of 120,000 Phantom Units under the Company’s Long-Term Incentive Plan (LTIP) that vest upon the achievement of both performance and minimum service benchmarks as follows: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940" w:type="dxa"/>
            <w:vAlign w:val="bottom"/>
            <w:gridSpan w:val="2"/>
            <w:vMerge w:val="restart"/>
          </w:tcPr>
          <w:p>
            <w:pPr>
              <w:jc w:val="right"/>
              <w:ind w:right="850"/>
              <w:spacing w:after="0"/>
              <w:rPr>
                <w:sz w:val="20"/>
                <w:szCs w:val="20"/>
                <w:color w:val="auto"/>
              </w:rPr>
            </w:pPr>
            <w:r>
              <w:rPr>
                <w:rFonts w:ascii="Arial" w:cs="Arial" w:eastAsia="Arial" w:hAnsi="Arial"/>
                <w:sz w:val="14"/>
                <w:szCs w:val="14"/>
                <w:b w:val="1"/>
                <w:bCs w:val="1"/>
                <w:color w:val="auto"/>
              </w:rPr>
              <w:t>Vest</w:t>
            </w:r>
          </w:p>
        </w:tc>
        <w:tc>
          <w:tcPr>
            <w:tcW w:w="4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Performance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Qtrly distribution (Annual Rate)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Service</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$0.725/unit ($2.90/unit)</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8"/>
                <w:szCs w:val="18"/>
                <w:color w:val="auto"/>
                <w:w w:val="93"/>
              </w:rPr>
              <w:t>3</w:t>
            </w:r>
            <w:r>
              <w:rPr>
                <w:rFonts w:ascii="Arial" w:cs="Arial" w:eastAsia="Arial" w:hAnsi="Arial"/>
                <w:sz w:val="23"/>
                <w:szCs w:val="23"/>
                <w:color w:val="auto"/>
                <w:w w:val="93"/>
                <w:vertAlign w:val="superscript"/>
              </w:rPr>
              <w:t>rd</w:t>
            </w:r>
            <w:r>
              <w:rPr>
                <w:rFonts w:ascii="Arial" w:cs="Arial" w:eastAsia="Arial" w:hAnsi="Arial"/>
                <w:sz w:val="18"/>
                <w:szCs w:val="18"/>
                <w:color w:val="auto"/>
                <w:w w:val="93"/>
              </w:rPr>
              <w:t xml:space="preserve"> yr. Anniv.*</w:t>
            </w:r>
          </w:p>
        </w:tc>
        <w:tc>
          <w:tcPr>
            <w:tcW w:w="0" w:type="dxa"/>
            <w:vAlign w:val="bottom"/>
          </w:tcPr>
          <w:p>
            <w:pPr>
              <w:spacing w:after="0"/>
              <w:rPr>
                <w:sz w:val="1"/>
                <w:szCs w:val="1"/>
                <w:color w:val="auto"/>
              </w:rPr>
            </w:pPr>
          </w:p>
        </w:tc>
      </w:tr>
      <w:tr>
        <w:trPr>
          <w:trHeight w:val="216"/>
        </w:trPr>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$0.7625/unit ($3.05/unit)</w:t>
            </w:r>
          </w:p>
        </w:tc>
        <w:tc>
          <w:tcPr>
            <w:tcW w:w="1680" w:type="dxa"/>
            <w:vAlign w:val="bottom"/>
          </w:tcPr>
          <w:p>
            <w:pPr>
              <w:jc w:val="center"/>
              <w:spacing w:after="0" w:line="216" w:lineRule="exact"/>
              <w:rPr>
                <w:sz w:val="20"/>
                <w:szCs w:val="20"/>
                <w:color w:val="auto"/>
              </w:rPr>
            </w:pPr>
            <w:r>
              <w:rPr>
                <w:rFonts w:ascii="Arial" w:cs="Arial" w:eastAsia="Arial" w:hAnsi="Arial"/>
                <w:sz w:val="18"/>
                <w:szCs w:val="18"/>
                <w:color w:val="auto"/>
                <w:w w:val="94"/>
              </w:rPr>
              <w:t>4</w:t>
            </w:r>
            <w:r>
              <w:rPr>
                <w:rFonts w:ascii="Arial" w:cs="Arial" w:eastAsia="Arial" w:hAnsi="Arial"/>
                <w:sz w:val="23"/>
                <w:szCs w:val="23"/>
                <w:color w:val="auto"/>
                <w:w w:val="94"/>
                <w:vertAlign w:val="superscript"/>
              </w:rPr>
              <w:t>th</w:t>
            </w:r>
            <w:r>
              <w:rPr>
                <w:rFonts w:ascii="Arial" w:cs="Arial" w:eastAsia="Arial" w:hAnsi="Arial"/>
                <w:sz w:val="18"/>
                <w:szCs w:val="18"/>
                <w:color w:val="auto"/>
                <w:w w:val="94"/>
              </w:rPr>
              <w:t xml:space="preserve"> yr. Anniv.*</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$0.8125/unit ($3.25/unit)</w:t>
            </w:r>
          </w:p>
        </w:tc>
        <w:tc>
          <w:tcPr>
            <w:tcW w:w="168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94"/>
              </w:rPr>
              <w:t>5</w:t>
            </w:r>
            <w:r>
              <w:rPr>
                <w:rFonts w:ascii="Arial" w:cs="Arial" w:eastAsia="Arial" w:hAnsi="Arial"/>
                <w:sz w:val="23"/>
                <w:szCs w:val="23"/>
                <w:color w:val="auto"/>
                <w:w w:val="94"/>
                <w:vertAlign w:val="superscript"/>
              </w:rPr>
              <w:t>th</w:t>
            </w:r>
            <w:r>
              <w:rPr>
                <w:rFonts w:ascii="Arial" w:cs="Arial" w:eastAsia="Arial" w:hAnsi="Arial"/>
                <w:sz w:val="18"/>
                <w:szCs w:val="18"/>
                <w:color w:val="auto"/>
                <w:w w:val="94"/>
              </w:rPr>
              <w:t xml:space="preserve"> yr. Anniv.*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vesting will occur on the first distribution date following the applicable anniversary</w:t>
      </w:r>
    </w:p>
    <w:p>
      <w:pPr>
        <w:spacing w:after="0" w:line="225" w:lineRule="exact"/>
        <w:rPr>
          <w:sz w:val="20"/>
          <w:szCs w:val="20"/>
          <w:color w:val="auto"/>
        </w:rPr>
      </w:pPr>
    </w:p>
    <w:p>
      <w:pPr>
        <w:jc w:val="both"/>
        <w:ind w:left="660" w:right="320"/>
        <w:spacing w:after="0" w:line="264" w:lineRule="auto"/>
        <w:rPr>
          <w:sz w:val="20"/>
          <w:szCs w:val="20"/>
          <w:color w:val="auto"/>
        </w:rPr>
      </w:pPr>
      <w:r>
        <w:rPr>
          <w:rFonts w:ascii="Arial" w:cs="Arial" w:eastAsia="Arial" w:hAnsi="Arial"/>
          <w:sz w:val="18"/>
          <w:szCs w:val="18"/>
          <w:color w:val="auto"/>
        </w:rPr>
        <w:t>The LTIP Grant will include distribution equivalent rights (DERs) that will vest as follows: (i) 40% upon distribution by the Plains All American Pipeline, L.P. (the “Partnership”) of a quarterly distribution of $0.725, (ii) 30% upon distribution by the Partnership of a quarterly distribution of $0.7625, and (iii) 30% upon distribution by the Partnership of a quarterly distribution of $0.8125.</w:t>
      </w:r>
    </w:p>
    <w:p>
      <w:pPr>
        <w:spacing w:after="0" w:line="18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full terms of Executive’s initial grant of Phantom Units are set forth in the form of LTIP Grant letter that is attached hereto as Exhibit A (the “LTIP Grant”).</w:t>
      </w:r>
    </w:p>
    <w:p>
      <w:pPr>
        <w:spacing w:after="0" w:line="170" w:lineRule="exact"/>
        <w:rPr>
          <w:sz w:val="20"/>
          <w:szCs w:val="20"/>
          <w:color w:val="auto"/>
        </w:rPr>
      </w:pPr>
    </w:p>
    <w:p>
      <w:pPr>
        <w:jc w:val="both"/>
        <w:ind w:left="1300" w:right="100" w:hanging="644"/>
        <w:spacing w:after="0" w:line="264"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Class B Units.</w:t>
      </w:r>
      <w:r>
        <w:rPr>
          <w:rFonts w:ascii="Arial" w:cs="Arial" w:eastAsia="Arial" w:hAnsi="Arial"/>
          <w:sz w:val="18"/>
          <w:szCs w:val="18"/>
          <w:color w:val="auto"/>
        </w:rPr>
        <w:t xml:space="preserve"> On the Commencement Date, Executive will receive an initial grant of 1,000,000 Class B units in Plains AAP, L.P. pursuant to a Class B Restricted Units Agreement in the form attached hereto as Exhibit B (the “Class B Agreement”). The Class B Units granted to Executive thereunder will become “earned” units and “vested” units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700" w:type="dxa"/>
            <w:vAlign w:val="bottom"/>
            <w:gridSpan w:val="2"/>
            <w:vMerge w:val="restart"/>
          </w:tcPr>
          <w:p>
            <w:pPr>
              <w:jc w:val="right"/>
              <w:ind w:right="1250"/>
              <w:spacing w:after="0"/>
              <w:rPr>
                <w:sz w:val="20"/>
                <w:szCs w:val="20"/>
                <w:color w:val="auto"/>
              </w:rPr>
            </w:pPr>
            <w:r>
              <w:rPr>
                <w:rFonts w:ascii="Arial" w:cs="Arial" w:eastAsia="Arial" w:hAnsi="Arial"/>
                <w:sz w:val="14"/>
                <w:szCs w:val="14"/>
                <w:b w:val="1"/>
                <w:bCs w:val="1"/>
                <w:color w:val="auto"/>
              </w:rPr>
              <w:t>Earn</w:t>
            </w:r>
          </w:p>
        </w:tc>
        <w:tc>
          <w:tcPr>
            <w:tcW w:w="3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PAA Performance Benchmark</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Earning and</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3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Qtrly distribution (Annual Rate)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$0.725/unit ($2.90/unit)</w:t>
            </w:r>
          </w:p>
        </w:tc>
        <w:tc>
          <w:tcPr>
            <w:tcW w:w="1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0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34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$0.7875/unit ($3.15/unit)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4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$0.825/unit ($3.30/unit)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700" w:type="dxa"/>
            <w:vAlign w:val="bottom"/>
            <w:gridSpan w:val="2"/>
          </w:tcPr>
          <w:p>
            <w:pPr>
              <w:jc w:val="right"/>
              <w:ind w:right="50"/>
              <w:spacing w:after="0"/>
              <w:rPr>
                <w:sz w:val="20"/>
                <w:szCs w:val="20"/>
                <w:color w:val="auto"/>
              </w:rPr>
            </w:pPr>
            <w:r>
              <w:rPr>
                <w:rFonts w:ascii="Arial" w:cs="Arial" w:eastAsia="Arial" w:hAnsi="Arial"/>
                <w:sz w:val="18"/>
                <w:szCs w:val="18"/>
                <w:color w:val="auto"/>
              </w:rPr>
              <w:t>25%</w:t>
            </w:r>
          </w:p>
        </w:tc>
        <w:tc>
          <w:tcPr>
            <w:tcW w:w="34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$0.875/unit ($3.50/unit)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jc w:val="right"/>
              <w:ind w:right="1375"/>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1540" w:right="80" w:firstLine="8"/>
        <w:spacing w:after="0" w:line="259" w:lineRule="auto"/>
        <w:tabs>
          <w:tab w:leader="none" w:pos="211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Each tranche of units described will become “earned” (i.e., eligible to begin receiving distributions) upon achievement of the respective performance benchmarks set forth above. Earned units will become vested units as provided in the Class B Agreement, as modified by this Employment Letter. A “Restricted Unit” is, as of any date, a granted unit that is neither an “earned” unit nor a “vested” unit.</w:t>
      </w:r>
    </w:p>
    <w:p>
      <w:pPr>
        <w:spacing w:after="0" w:line="186" w:lineRule="exact"/>
        <w:rPr>
          <w:rFonts w:ascii="Arial" w:cs="Arial" w:eastAsia="Arial" w:hAnsi="Arial"/>
          <w:sz w:val="18"/>
          <w:szCs w:val="18"/>
          <w:color w:val="auto"/>
        </w:rPr>
      </w:pPr>
    </w:p>
    <w:p>
      <w:pPr>
        <w:ind w:right="740" w:firstLine="8"/>
        <w:spacing w:after="0" w:line="277"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xml:space="preserve"> Company shall reimburse Executive for all reasonable business expenses, including travel and entertainment, and membership dues at one country club or athletic club.</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Executive shall receive and be entitled to other employment benefits, including: (a) five weeks paid vacation, (b) up to 10 days sick leave with pay, (c) participation in the Company’s 401(K) Plan, and (d) all health and welfare benefits, including insurance, provided to other senior executives of the Company, on the same basis and terms as other senior executives of the Company.</w:t>
      </w:r>
    </w:p>
    <w:p>
      <w:pPr>
        <w:spacing w:after="0" w:line="181" w:lineRule="exact"/>
        <w:rPr>
          <w:rFonts w:ascii="Arial" w:cs="Arial" w:eastAsia="Arial" w:hAnsi="Arial"/>
          <w:sz w:val="18"/>
          <w:szCs w:val="18"/>
          <w:color w:val="auto"/>
        </w:rPr>
      </w:pPr>
    </w:p>
    <w:p>
      <w:pPr>
        <w:ind w:right="220" w:firstLine="8"/>
        <w:spacing w:after="0" w:line="264"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Confidentiality and Non-Solicitation.</w:t>
      </w:r>
      <w:r>
        <w:rPr>
          <w:rFonts w:ascii="Arial" w:cs="Arial" w:eastAsia="Arial" w:hAnsi="Arial"/>
          <w:sz w:val="18"/>
          <w:szCs w:val="18"/>
          <w:color w:val="auto"/>
        </w:rPr>
        <w:t xml:space="preserve"> Executive and the Company shall execute a Confidential Information and Non-Solicitation Agreement (the “Confidentiality Agreement”) substantially in the form of Exhibit “C” attached hereto. The rights and obligations set forth in the Confidentiality Agreement shall survive the termination of this Agreement.</w:t>
      </w:r>
    </w:p>
    <w:p>
      <w:pPr>
        <w:spacing w:after="0" w:line="181" w:lineRule="exact"/>
        <w:rPr>
          <w:rFonts w:ascii="Arial" w:cs="Arial" w:eastAsia="Arial" w:hAnsi="Arial"/>
          <w:sz w:val="18"/>
          <w:szCs w:val="18"/>
          <w:color w:val="auto"/>
        </w:rPr>
      </w:pPr>
    </w:p>
    <w:p>
      <w:pPr>
        <w:ind w:right="80" w:firstLine="8"/>
        <w:spacing w:after="0" w:line="279" w:lineRule="auto"/>
        <w:tabs>
          <w:tab w:leader="none" w:pos="648"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Commencement of Employment; Term and Termination.</w:t>
      </w:r>
      <w:r>
        <w:rPr>
          <w:rFonts w:ascii="Arial" w:cs="Arial" w:eastAsia="Arial" w:hAnsi="Arial"/>
          <w:sz w:val="17"/>
          <w:szCs w:val="17"/>
          <w:color w:val="auto"/>
        </w:rPr>
        <w:t xml:space="preserve"> This Agreement will become effective on the date hereof and the employment of Executive will commence on August 24, 2015 (the “Commencement Date”). Either party may terminate Executive’s employment at any time. However, notwithstanding the foregoing, termination of Executive’s employment shall not affect the obligations of the Company under the Agreement that arose prior to, or as a result of, such termination, including any such obligations under sections 1, 2 and 5 that create post-employment duties and rights.</w:t>
      </w:r>
    </w:p>
    <w:p>
      <w:pPr>
        <w:spacing w:after="0" w:line="171" w:lineRule="exact"/>
        <w:rPr>
          <w:rFonts w:ascii="Arial" w:cs="Arial" w:eastAsia="Arial" w:hAnsi="Arial"/>
          <w:sz w:val="17"/>
          <w:szCs w:val="17"/>
          <w:color w:val="auto"/>
        </w:rPr>
      </w:pPr>
    </w:p>
    <w:p>
      <w:pPr>
        <w:ind w:right="60" w:firstLine="8"/>
        <w:spacing w:after="0" w:line="257" w:lineRule="auto"/>
        <w:tabs>
          <w:tab w:leader="none" w:pos="58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Certain Representations of Executive.</w:t>
      </w:r>
      <w:r>
        <w:rPr>
          <w:rFonts w:ascii="Arial" w:cs="Arial" w:eastAsia="Arial" w:hAnsi="Arial"/>
          <w:sz w:val="18"/>
          <w:szCs w:val="18"/>
          <w:color w:val="auto"/>
        </w:rPr>
        <w:t xml:space="preserve"> Executive represents that: (a) his execution of this Agreement will not violate the terms of any agreement to which he is currently bound; and (b) he is not subject to an existing confidentiality, non-compete or similar type agreement that would prevent, limit or otherwise encumber Executive’s ability to perform his job with the Company. Executive undertakes to bring to the Company’s attention any change of job description or other circumstance that would potentially breach any confidentiality and/or non-compete obligation of Executive pursuant to any agreements or understandings with his prior employer or its affiliates.</w:t>
      </w:r>
    </w:p>
    <w:p>
      <w:pPr>
        <w:sectPr>
          <w:pgSz w:w="11900" w:h="16911" w:orient="portrait"/>
          <w:cols w:equalWidth="0" w:num="1">
            <w:col w:w="11460"/>
          </w:cols>
          <w:pgMar w:left="240" w:top="125" w:right="199" w:bottom="0" w:gutter="0" w:footer="0" w:header="0"/>
        </w:sectPr>
      </w:pPr>
    </w:p>
    <w:bookmarkStart w:id="153" w:name="page154"/>
    <w:bookmarkEnd w:id="153"/>
    <w:p>
      <w:pPr>
        <w:ind w:right="200" w:firstLine="8"/>
        <w:spacing w:after="0" w:line="308" w:lineRule="auto"/>
        <w:tabs>
          <w:tab w:leader="none" w:pos="648"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Return of Materials.</w:t>
      </w:r>
      <w:r>
        <w:rPr>
          <w:rFonts w:ascii="Arial" w:cs="Arial" w:eastAsia="Arial" w:hAnsi="Arial"/>
          <w:sz w:val="17"/>
          <w:szCs w:val="17"/>
          <w:color w:val="auto"/>
        </w:rPr>
        <w:t xml:space="preserve"> Upon termination of his employment for any reason, Executive shall promptly return to Company all copies of any Company data, records, or materials of whatever nature or kind, including all materials incorporating the proprietary information of the Company.</w:t>
      </w:r>
    </w:p>
    <w:p>
      <w:pPr>
        <w:spacing w:after="0" w:line="146" w:lineRule="exact"/>
        <w:rPr>
          <w:rFonts w:ascii="Arial" w:cs="Arial" w:eastAsia="Arial" w:hAnsi="Arial"/>
          <w:sz w:val="17"/>
          <w:szCs w:val="17"/>
          <w:color w:val="auto"/>
        </w:rPr>
      </w:pPr>
    </w:p>
    <w:p>
      <w:pPr>
        <w:ind w:right="200" w:firstLine="8"/>
        <w:spacing w:after="0" w:line="286" w:lineRule="auto"/>
        <w:tabs>
          <w:tab w:leader="none" w:pos="648"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If the parties determine, or the Internal Revenue Service asserts, that any payments or benefits to be made or provided to Executive hereunder do not comply with Section 409A of the Internal Revenue Code, then the parties agree to amend this Agreement or take such other ations as reasonably necessary or appropriate to comply with Section 409A while preserving the economic agreement of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8"/>
        <w:spacing w:after="0" w:line="257"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Background Check.</w:t>
      </w:r>
      <w:r>
        <w:rPr>
          <w:rFonts w:ascii="Arial" w:cs="Arial" w:eastAsia="Arial" w:hAnsi="Arial"/>
          <w:sz w:val="18"/>
          <w:szCs w:val="18"/>
          <w:color w:val="auto"/>
        </w:rPr>
        <w:t xml:space="preserve"> Notwithstanding the foregoing, this Agreement is subject to and contingent upon a satisfactory background check in which information that Executive has provided regarding items such as education, work experience, criminal record and professional credentials will be verified. Executive may be asked to provide additional information or assist in the process if Company encounters any difficulties in the verification of this information. If any of the information is found to be untrue or misrepresented, this offer may be withdrawn, or, if employed, Executive’s employment may be terminated.</w:t>
      </w:r>
    </w:p>
    <w:p>
      <w:pPr>
        <w:spacing w:after="0" w:line="188" w:lineRule="exact"/>
        <w:rPr>
          <w:rFonts w:ascii="Arial" w:cs="Arial" w:eastAsia="Arial" w:hAnsi="Arial"/>
          <w:sz w:val="18"/>
          <w:szCs w:val="18"/>
          <w:color w:val="auto"/>
        </w:rPr>
      </w:pPr>
    </w:p>
    <w:p>
      <w:pPr>
        <w:ind w:right="140" w:firstLine="8"/>
        <w:spacing w:after="0" w:line="277" w:lineRule="auto"/>
        <w:tabs>
          <w:tab w:leader="none" w:pos="637"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Certain Agreements of Executive.</w:t>
      </w:r>
      <w:r>
        <w:rPr>
          <w:rFonts w:ascii="Arial" w:cs="Arial" w:eastAsia="Arial" w:hAnsi="Arial"/>
          <w:sz w:val="18"/>
          <w:szCs w:val="18"/>
          <w:color w:val="auto"/>
        </w:rPr>
        <w:t xml:space="preserve"> Without amending, modifying or expanding the meaning of “Cause” as defined in the LTIP Grant or the Class B Agreement, as applicable, by accepting this offer, Executive agrees that he shall at all times: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adhere to the Company’s Trading and Risk Management Policies and Procedures,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adhere to the Company’s Code of Business Conduct, and</w:t>
      </w:r>
    </w:p>
    <w:p>
      <w:pPr>
        <w:spacing w:after="0" w:line="225" w:lineRule="exact"/>
        <w:rPr>
          <w:rFonts w:ascii="Arial" w:cs="Arial" w:eastAsia="Arial" w:hAnsi="Arial"/>
          <w:sz w:val="18"/>
          <w:szCs w:val="18"/>
          <w:color w:val="auto"/>
        </w:rPr>
      </w:pPr>
    </w:p>
    <w:p>
      <w:pPr>
        <w:ind w:left="1040" w:right="220" w:hanging="384"/>
        <w:spacing w:after="0" w:line="277" w:lineRule="auto"/>
        <w:tabs>
          <w:tab w:leader="none" w:pos="104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not misrepresent or conceal information regarding transactions from senior management or any person responsible for the accurate recording and reporting of each transaction.</w:t>
      </w:r>
    </w:p>
    <w:p>
      <w:pPr>
        <w:spacing w:after="0" w:line="170" w:lineRule="exact"/>
        <w:rPr>
          <w:sz w:val="20"/>
          <w:szCs w:val="20"/>
          <w:color w:val="auto"/>
        </w:rPr>
      </w:pPr>
    </w:p>
    <w:p>
      <w:pPr>
        <w:ind w:right="200" w:firstLine="8"/>
        <w:spacing w:after="0" w:line="277"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Executive will not be obligated to seek employment or otherwise mitigate any benefits provided hereunder. Payments provided hereunder will not be reduced by other compensation earned by Executive from another employer following 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foregoing meets with your understanding of our agreement, please execute, date and return one original Agreement for our files.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ALL AMERICAN GP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L. Armstrong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Greg L. Armstrong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July,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WCW (Willie) Chiang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WCW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List of Exhibits: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 Form of LTIP Grant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 Form of Class B Agreement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 Form of Confidentiality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LTIP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WCW (Willie) Chiang</w:t>
      </w:r>
    </w:p>
    <w:p>
      <w:pPr>
        <w:spacing w:after="0" w:line="200" w:lineRule="exact"/>
        <w:rPr>
          <w:sz w:val="20"/>
          <w:szCs w:val="20"/>
          <w:color w:val="auto"/>
        </w:rPr>
      </w:pPr>
    </w:p>
    <w:p>
      <w:pPr>
        <w:spacing w:after="0" w:line="241"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Grant of Phantom Units</w:t>
      </w:r>
    </w:p>
    <w:p>
      <w:pPr>
        <w:sectPr>
          <w:pgSz w:w="11900" w:h="16838" w:orient="portrait"/>
          <w:cols w:equalWidth="0" w:num="1">
            <w:col w:w="11420"/>
          </w:cols>
          <w:pgMar w:left="240" w:top="342" w:right="239" w:bottom="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Dear Willie: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 am pleased to inform you that you have been granted 120,000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54" w:lineRule="exact"/>
        <w:rPr>
          <w:sz w:val="20"/>
          <w:szCs w:val="20"/>
          <w:color w:val="auto"/>
        </w:rPr>
      </w:pPr>
    </w:p>
    <w:p>
      <w:pPr>
        <w:ind w:left="660" w:right="80" w:hanging="328"/>
        <w:spacing w:after="0" w:line="291"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Subject to the further provisions of this Agreement, your Phantom Units shall vest (become payable in the form of one Common Unit of PAA for each Phantom Unit) as follows: (i) forty percent (40%) shall vest upon the later to occur of the August 2018 Distribution Date and the date on which the Partnership pays a quarterly distribution of at least $0.725 per unit ($2.90 on an annualized basis); (ii) thirty percent (30%) shall vest upon the later to occur of the August 2019 Distribution Date and the date on which the Partnership pays a quarterly distribution of at least $0.775 per unit ($3.10 on an annualized basis) and (iii) thirty percent (30%) shall vest upon the later to occur of the August 2020 Distribution Date and the date on which the Partnership pays a quarterly distribution of at least $0.825 per unit ($3.30 on an annualized basis). Any remaining Phantom Units that are not vested by the August 2021 Distribution Date, and any tandem DERs associated with such Phantom Units, shall expire on such date.</w:t>
      </w:r>
    </w:p>
    <w:p>
      <w:pPr>
        <w:spacing w:after="0" w:line="16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be payable in cash substantially contemporaneously with each Distribution Date following the date hereof.</w:t>
      </w:r>
    </w:p>
    <w:p>
      <w:pPr>
        <w:spacing w:after="0" w:line="170"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number of Phantom Units subject to this award and any distribution level required for vesting under paragraph 1 above shall be proportionately reduced or increased for any split or reverse split, as applicable, of the Units, or any event or transaction having similar effect.</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vesting of any Phantom Units, an equivalent number of DERs will expire. Any such DERs shall be payable on such Distribution Date prior to their expiration.</w:t>
      </w:r>
    </w:p>
    <w:p>
      <w:pPr>
        <w:spacing w:after="0" w:line="170"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Except to the extent modified by either your Employment Letter with the Company dated effective as of July 10, 2015 (the “Employment Letter”) or paragraphs 6 and 7 below, in the event of the termination of your employment with the Company and its Affiliates, all of your then outstanding DERs and Phantom Units shall automatically be forfeited as of the date of termination; provided, however, that if the Company or its Affiliates terminate your employment other than as a result of a Termination for Cause: (i) any unvested Phantom Units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4 above; and (iii) any unvested Phantom Units that have satisfied none of the vesting criteria as of the date of termination, and any tandem DERs associated with such Phantom Units, shall automatically be forfeited as of the date of termination.</w:t>
      </w:r>
    </w:p>
    <w:p>
      <w:pPr>
        <w:spacing w:after="0" w:line="173" w:lineRule="exact"/>
        <w:rPr>
          <w:sz w:val="20"/>
          <w:szCs w:val="20"/>
          <w:color w:val="auto"/>
        </w:rPr>
      </w:pPr>
    </w:p>
    <w:p>
      <w:pPr>
        <w:ind w:left="660" w:right="20" w:hanging="328"/>
        <w:spacing w:after="0" w:line="270"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and tandem DERs shall not be forfeited on such date, and (i) such DERs shall expire in accordance with paragraph 1 or paragraph 4 above, as applicable, and (ii) such Phantom Units shall vest or expire in accordance with paragraph 1 above; provided, however, 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181"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of a Change in Status, all of your then outstanding Phantom Units and tandem DERs shall be deemed 100% nonforfeitable on such date, and such Phantom Units shall vest in full upon the next Distribution Date.</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(taking into account additional authority, responsibilities or duties associated with the initial transition of responsibilities to you,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overall growth of the Partnership or a promotion or lateral transfer accepted by you), or (ii) any other action or inaction that constitutes a material breach of this Agreement by the Company. A termination by you shall not be a Change in Status unless (1) you provide written notice to the Company of the condition in (B)(i) or (ii) that would constitute a Change in Status within 90 days of the initial existence of the condition, (2) the Company fails to remedy the condition within the 30-day period following such notice and (3) you terminate your employment within 10 days following the end of such 30-day period.</w:t>
      </w:r>
    </w:p>
    <w:p>
      <w:pPr>
        <w:sectPr>
          <w:pgSz w:w="11900" w:h="16838" w:orient="portrait"/>
          <w:cols w:equalWidth="0" w:num="1">
            <w:col w:w="11420"/>
          </w:cols>
          <w:pgMar w:left="240" w:top="341" w:right="239" w:bottom="0" w:gutter="0" w:footer="0" w:header="0"/>
        </w:sectPr>
      </w:pPr>
    </w:p>
    <w:bookmarkStart w:id="155" w:name="page156"/>
    <w:bookmarkEnd w:id="155"/>
    <w:p>
      <w:pPr>
        <w:ind w:firstLine="648"/>
        <w:spacing w:after="0" w:line="286" w:lineRule="auto"/>
        <w:rPr>
          <w:sz w:val="20"/>
          <w:szCs w:val="20"/>
          <w:color w:val="auto"/>
        </w:rPr>
      </w:pPr>
      <w:r>
        <w:rPr>
          <w:rFonts w:ascii="Arial" w:cs="Arial" w:eastAsia="Arial" w:hAnsi="Arial"/>
          <w:sz w:val="16"/>
          <w:szCs w:val="16"/>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PAGP GP beneficially owned, directly or indirectly, by the Owner Affiliates; (v) any Person (other than PAGP or its wholly owned subsidiaries),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172"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As used herein, the term “Owner Affiliates” shall mean KAFU Holdings, L.P. and its affiliates, EMG Investment, LLC and its affiliates, Oxy Holding Company (Pipeline), Inc. and its affiliates, Mark Strome and his affiliates, Windy, LLC and its affiliates, PAA Management, L.P. and its affiliates, PAGP and its affiliates, Jay Chernosky, Kipp PAA Trust, Paul Riddle, Russell Clingman, David Humphreys and Philip Trinder.</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phrase “Termination for Cause” shall mean severance of your employment with the Company or its Affiliates based on your (i) substantial failure to perform the duties and responsibilities of your position at an acceptable level as reasonably determined in good faith by the CEO and President-COO of the Company (or if you are the CEO of the Company, by vote of the Board of Directors of the Company excluding you if you are a member thereof) and after written notice specifying such failure in detail and after a reasonable period under the circumstances (determined by the CEO of the Company, or alternatively the Board of Directors, in good faith) such failure has continued without full correction by you, (ii) conviction of or guilty plea to the committing of an act or acts constituting a felony under the laws of the United States or any state thereof or any misdemeanor involving moral turpitude, or (iii) violation of the Company’s Code of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Conduct (unless waived in accordance with the terms thereof), in each case with the specific failure or violation described to you in writing.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Terms used herein that are not defined herein shall have the meanings set forth in the Plan or, if not defined in the Plan, in the Fourth Amended and Restated Agreement of Limited Partnership of Plains All American Pipeline, L.P., as amended (the “Partnership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award is intended to either (i) qualify as a “short-term deferral” under Section 409A of the Internal Revenue Code of 1986, as amended, or</w:t>
      </w:r>
    </w:p>
    <w:p>
      <w:pPr>
        <w:spacing w:after="0" w:line="35" w:lineRule="exact"/>
        <w:rPr>
          <w:sz w:val="20"/>
          <w:szCs w:val="20"/>
          <w:color w:val="auto"/>
        </w:rPr>
      </w:pPr>
    </w:p>
    <w:p>
      <w:pPr>
        <w:jc w:val="both"/>
        <w:ind w:right="500" w:firstLine="8"/>
        <w:spacing w:after="0" w:line="255"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19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By signing below, you agree that the Phantom Units and DERs granted hereunder are governed by the terms of the Plan. Copies of the Plan and the Partnership Agreement are available upon request. In the event any provisions of this award conflict with provisions in the Employment Letter, the Employment Letter shall control.</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execute and return a copy of this grant letter to me and retain a copy for your records.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PLAINS AAP, L.P.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PLAINS ALL AMERICAN GP LLC</w:t>
      </w:r>
    </w:p>
    <w:p>
      <w:pPr>
        <w:spacing w:after="0" w:line="200" w:lineRule="exact"/>
        <w:rPr>
          <w:sz w:val="20"/>
          <w:szCs w:val="20"/>
          <w:color w:val="auto"/>
        </w:rPr>
      </w:pPr>
    </w:p>
    <w:p>
      <w:pPr>
        <w:spacing w:after="0" w:line="227"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 &amp;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Beneficiary Designation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Primary Beneficiary Name</w:t>
            </w:r>
          </w:p>
        </w:tc>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Relationship</w:t>
            </w:r>
          </w:p>
        </w:tc>
        <w:tc>
          <w:tcPr>
            <w:tcW w:w="3640" w:type="dxa"/>
            <w:vAlign w:val="bottom"/>
          </w:tcPr>
          <w:p>
            <w:pPr>
              <w:ind w:left="1000"/>
              <w:spacing w:after="0"/>
              <w:rPr>
                <w:sz w:val="20"/>
                <w:szCs w:val="20"/>
                <w:color w:val="auto"/>
              </w:rPr>
            </w:pPr>
            <w:r>
              <w:rPr>
                <w:rFonts w:ascii="Arial" w:cs="Arial" w:eastAsia="Arial" w:hAnsi="Arial"/>
                <w:sz w:val="14"/>
                <w:szCs w:val="14"/>
                <w:b w:val="1"/>
                <w:bCs w:val="1"/>
                <w:color w:val="auto"/>
              </w:rPr>
              <w:t>Percent (Must total 100%)</w:t>
            </w:r>
          </w:p>
        </w:tc>
      </w:tr>
      <w:tr>
        <w:trPr>
          <w:trHeight w:val="142"/>
        </w:trPr>
        <w:tc>
          <w:tcPr>
            <w:tcW w:w="3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auto"/>
            </w:tcBorders>
            <w:shd w:val="clear" w:color="auto" w:fill="CCEEFF"/>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r>
      <w:tr>
        <w:trPr>
          <w:trHeight w:val="365"/>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Secondary Beneficiary Name</w:t>
            </w:r>
          </w:p>
        </w:tc>
        <w:tc>
          <w:tcPr>
            <w:tcW w:w="3880" w:type="dxa"/>
            <w:vAlign w:val="bottom"/>
            <w:gridSpan w:val="2"/>
          </w:tcPr>
          <w:p>
            <w:pPr>
              <w:ind w:left="1440"/>
              <w:spacing w:after="0"/>
              <w:rPr>
                <w:sz w:val="20"/>
                <w:szCs w:val="20"/>
                <w:color w:val="auto"/>
              </w:rPr>
            </w:pPr>
            <w:r>
              <w:rPr>
                <w:rFonts w:ascii="Arial" w:cs="Arial" w:eastAsia="Arial" w:hAnsi="Arial"/>
                <w:sz w:val="14"/>
                <w:szCs w:val="14"/>
                <w:b w:val="1"/>
                <w:bCs w:val="1"/>
                <w:color w:val="auto"/>
              </w:rPr>
              <w:t>Relationship</w:t>
            </w:r>
          </w:p>
        </w:tc>
        <w:tc>
          <w:tcPr>
            <w:tcW w:w="3640" w:type="dxa"/>
            <w:vAlign w:val="bottom"/>
          </w:tcPr>
          <w:p>
            <w:pPr>
              <w:ind w:left="1000"/>
              <w:spacing w:after="0"/>
              <w:rPr>
                <w:sz w:val="20"/>
                <w:szCs w:val="20"/>
                <w:color w:val="auto"/>
              </w:rPr>
            </w:pPr>
            <w:r>
              <w:rPr>
                <w:rFonts w:ascii="Arial" w:cs="Arial" w:eastAsia="Arial" w:hAnsi="Arial"/>
                <w:sz w:val="14"/>
                <w:szCs w:val="14"/>
                <w:b w:val="1"/>
                <w:bCs w:val="1"/>
                <w:color w:val="auto"/>
              </w:rPr>
              <w:t>Percent (Must total 100%)</w:t>
            </w:r>
          </w:p>
        </w:tc>
      </w:tr>
      <w:tr>
        <w:trPr>
          <w:trHeight w:val="142"/>
        </w:trPr>
        <w:tc>
          <w:tcPr>
            <w:tcW w:w="3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40" w:type="dxa"/>
            <w:vAlign w:val="bottom"/>
            <w:tcBorders>
              <w:top w:val="single" w:sz="8" w:color="auto"/>
            </w:tcBorders>
            <w:shd w:val="clear" w:color="auto" w:fill="CCEEFF"/>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r>
      <w:tr>
        <w:trPr>
          <w:trHeight w:val="149"/>
        </w:trPr>
        <w:tc>
          <w:tcPr>
            <w:tcW w:w="3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r>
    </w:tbl>
    <w:p>
      <w:pPr>
        <w:sectPr>
          <w:pgSz w:w="11900" w:h="16838" w:orient="portrait"/>
          <w:cols w:equalWidth="0" w:num="1">
            <w:col w:w="11420"/>
          </w:cols>
          <w:pgMar w:left="240" w:top="125" w:right="239" w:bottom="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o Check this box only if designation does not apply to prior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WCW (Willie) Chiang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Units:</w:t>
      </w:r>
      <w:r>
        <w:rPr>
          <w:sz w:val="20"/>
          <w:szCs w:val="20"/>
          <w:color w:val="auto"/>
        </w:rPr>
        <w:tab/>
      </w:r>
      <w:r>
        <w:rPr>
          <w:rFonts w:ascii="Arial" w:cs="Arial" w:eastAsia="Arial" w:hAnsi="Arial"/>
          <w:sz w:val="18"/>
          <w:szCs w:val="18"/>
          <w:color w:val="auto"/>
        </w:rPr>
        <w:t>120,000</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8/24/15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Class B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AAP, L.P. CLASS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UNITS AGREEMENT</w:t>
      </w:r>
    </w:p>
    <w:p>
      <w:pPr>
        <w:spacing w:after="0" w:line="207" w:lineRule="exact"/>
        <w:rPr>
          <w:sz w:val="20"/>
          <w:szCs w:val="20"/>
          <w:color w:val="auto"/>
        </w:rPr>
      </w:pPr>
    </w:p>
    <w:p>
      <w:pPr>
        <w:ind w:right="60" w:firstLine="648"/>
        <w:spacing w:after="0" w:line="313" w:lineRule="auto"/>
        <w:rPr>
          <w:sz w:val="20"/>
          <w:szCs w:val="20"/>
          <w:color w:val="auto"/>
        </w:rPr>
      </w:pPr>
      <w:r>
        <w:rPr>
          <w:rFonts w:ascii="Arial" w:cs="Arial" w:eastAsia="Arial" w:hAnsi="Arial"/>
          <w:sz w:val="17"/>
          <w:szCs w:val="17"/>
          <w:b w:val="1"/>
          <w:bCs w:val="1"/>
          <w:color w:val="auto"/>
        </w:rPr>
        <w:t xml:space="preserve">This PLAINS AAP, L.P. CLASS B RESTRICTED UNITS AGREEMENT (this </w:t>
      </w: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August 24, 2015 (the “</w:t>
      </w:r>
      <w:r>
        <w:rPr>
          <w:rFonts w:ascii="Arial" w:cs="Arial" w:eastAsia="Arial" w:hAnsi="Arial"/>
          <w:sz w:val="17"/>
          <w:szCs w:val="17"/>
          <w:b w:val="1"/>
          <w:bCs w:val="1"/>
          <w:i w:val="1"/>
          <w:iCs w:val="1"/>
          <w:color w:val="auto"/>
        </w:rPr>
        <w:t>Grant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by and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PLAINS AAP, L.P.</w:t>
      </w:r>
      <w:r>
        <w:rPr>
          <w:rFonts w:ascii="Arial" w:cs="Arial" w:eastAsia="Arial" w:hAnsi="Arial"/>
          <w:sz w:val="17"/>
          <w:szCs w:val="17"/>
          <w:color w:val="auto"/>
        </w:rPr>
        <w:t>,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and WCW (Willie) Chiang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w:t>
      </w:r>
    </w:p>
    <w:p>
      <w:pPr>
        <w:spacing w:after="0" w:line="13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to provide an incentive to Executive to enhance the profitability and growth of the Partnership and its Affiliates and to encourage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to remain employed by the Partnership or its Affiliates, the Partnership desires to grant to Executive 1,000,000 Class B Units (the “</w:t>
      </w:r>
      <w:r>
        <w:rPr>
          <w:rFonts w:ascii="Arial" w:cs="Arial" w:eastAsia="Arial" w:hAnsi="Arial"/>
          <w:sz w:val="16"/>
          <w:szCs w:val="16"/>
          <w:b w:val="1"/>
          <w:bCs w:val="1"/>
          <w:i w:val="1"/>
          <w:iCs w:val="1"/>
          <w:color w:val="auto"/>
        </w:rPr>
        <w:t>Granted Units</w:t>
      </w:r>
      <w:r>
        <w:rPr>
          <w:rFonts w:ascii="Arial" w:cs="Arial" w:eastAsia="Arial" w:hAnsi="Arial"/>
          <w:sz w:val="16"/>
          <w:szCs w:val="16"/>
          <w:color w:val="auto"/>
        </w:rPr>
        <w:t>”) on the Grant Date, which Granted Units shall have such rights, designations and preferences as are set forth in this Agreement and the Partnership Agreement;</w:t>
      </w:r>
    </w:p>
    <w:p>
      <w:pPr>
        <w:spacing w:after="0" w:line="14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the Partnership has 606,050,573 Class A Units outstanding and 52,125,935 Class B Units authorized for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Class B Units already issued and those being issued under this Agreement);</w:t>
      </w:r>
    </w:p>
    <w:p>
      <w:pPr>
        <w:spacing w:after="0" w:line="16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Partnership and Executive desire to enter into this Agreement to evidence certain terms and conditions that relate to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and transfer of the Granted Units; and</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set forth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Partnership and Executive 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CONSTRUCTION</w:t>
      </w:r>
    </w:p>
    <w:p>
      <w:pPr>
        <w:spacing w:after="0" w:line="20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i w:val="1"/>
          <w:iCs w:val="1"/>
          <w:color w:val="auto"/>
        </w:rPr>
        <w:t>Construction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requires otherwise: (a) the gender (or lack of gender) of all words used in this Agreement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masculine, feminine, and neuter; (b) references to Sections refer to sections of this Agreement; (c) references to Exhibits refer to the Exhibits attached to this Agreement, each of which is made a part hereof for all purposes; (d) references to money refer to legal currency of the United States of America; and (e) the word “including” means “including without limitation.”</w:t>
      </w:r>
    </w:p>
    <w:p>
      <w:pPr>
        <w:spacing w:after="0" w:line="18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terms used in this Agreement (including Exhibit A attached hereto) that are not defined in this Section 1.2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body of this Agreement shall have the meanings given to them in the Partnership Agreement.</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person controlling, controlled by, or under common control with such person. As used herein, the terms “controlling”, “controlled by” and “under common control with” mean the possession, directly or indirectly, of the power to direct or cause the direction of management or policies (whether through ownership of securities or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partnership or other ownership interest, by contract or otherwise) of a person. For the purposes of the preceding sentence, control shall be deemed to exist when a person possesses, directly or indirectly, through one or more intermediaries (a) in the case of a corporation, more than 50% of the outstanding voting securities thereof; (b) in the case of a limited liability company, partnership, limited partnership or venture, the right to more than 50% of the voting membership, general partner or equivalent interest therein; or (c) in the case of any other person, more than 50% of the economic or beneficial interest therein.</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Class B Units</w:t>
      </w:r>
      <w:r>
        <w:rPr>
          <w:rFonts w:ascii="Arial" w:cs="Arial" w:eastAsia="Arial" w:hAnsi="Arial"/>
          <w:sz w:val="18"/>
          <w:szCs w:val="18"/>
          <w:color w:val="auto"/>
        </w:rPr>
        <w:t>” means at a particular time, collectively, the Vested Units and the Earned Units then outstanding, and the “Earned Units” and “Vested Units” then outstanding under all Other Class B Restricted Unit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or governing board or committee of the Company.</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Call Event</w:t>
      </w:r>
      <w:r>
        <w:rPr>
          <w:rFonts w:ascii="Arial" w:cs="Arial" w:eastAsia="Arial" w:hAnsi="Arial"/>
          <w:sz w:val="16"/>
          <w:szCs w:val="16"/>
          <w:color w:val="auto"/>
        </w:rPr>
        <w:t>” means, with respect to an Earned Unit, the termination of Executive’s employment with the Company and its Affiliates for any reason prior to December 31, 2022, other than a termination of employment (i) by Executive for a Good Reason or under the circumstances described in Sections</w:t>
      </w:r>
    </w:p>
    <w:p>
      <w:pPr>
        <w:sectPr>
          <w:pgSz w:w="11900" w:h="16838" w:orient="portrait"/>
          <w:cols w:equalWidth="0" w:num="1">
            <w:col w:w="11420"/>
          </w:cols>
          <w:pgMar w:left="240" w:top="341" w:right="239" w:bottom="0" w:gutter="0" w:footer="0" w:header="0"/>
        </w:sectPr>
      </w:pPr>
    </w:p>
    <w:bookmarkStart w:id="157" w:name="page158"/>
    <w:bookmarkEnd w:id="157"/>
    <w:p>
      <w:pPr>
        <w:ind w:right="420"/>
        <w:spacing w:after="0" w:line="277" w:lineRule="auto"/>
        <w:rPr>
          <w:sz w:val="20"/>
          <w:szCs w:val="20"/>
          <w:color w:val="auto"/>
        </w:rPr>
      </w:pPr>
      <w:r>
        <w:rPr>
          <w:rFonts w:ascii="Arial" w:cs="Arial" w:eastAsia="Arial" w:hAnsi="Arial"/>
          <w:sz w:val="18"/>
          <w:szCs w:val="18"/>
          <w:color w:val="auto"/>
        </w:rPr>
        <w:t>1(b)(ii) or (iii) of the Employment Letter, (ii) by the Company and its Affiliates other than for Cause, including as contemplated by Section 1(b)(i) of the Employment Letter, or (iii) due to death or disability.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Option</w:t>
      </w:r>
      <w:r>
        <w:rPr>
          <w:rFonts w:ascii="Arial" w:cs="Arial" w:eastAsia="Arial" w:hAnsi="Arial"/>
          <w:sz w:val="18"/>
          <w:szCs w:val="18"/>
          <w:color w:val="auto"/>
        </w:rPr>
        <w:t>” means the Partnership’s option to repurchase Earned Units upon or following a Call Event, as provided in Exhibit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Call Value</w:t>
      </w:r>
      <w:r>
        <w:rPr>
          <w:rFonts w:ascii="Arial" w:cs="Arial" w:eastAsia="Arial" w:hAnsi="Arial"/>
          <w:sz w:val="18"/>
          <w:szCs w:val="18"/>
          <w:color w:val="auto"/>
        </w:rPr>
        <w:t>” of an Earned Unit means:</w:t>
      </w:r>
    </w:p>
    <w:p>
      <w:pPr>
        <w:spacing w:after="0" w:line="225" w:lineRule="exact"/>
        <w:rPr>
          <w:sz w:val="20"/>
          <w:szCs w:val="20"/>
          <w:color w:val="auto"/>
        </w:rPr>
      </w:pPr>
    </w:p>
    <w:p>
      <w:pPr>
        <w:ind w:left="660" w:right="100" w:firstLine="645"/>
        <w:spacing w:after="0" w:line="259" w:lineRule="auto"/>
        <w:tabs>
          <w:tab w:leader="none" w:pos="200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the Call Event occurs on or before December 31, 2018, an amount equal to 25% of the product of (i) the closing sales price of PAGP’s Class A shares on the date of the applicable Call Event, or if the Call Event occurs on a date that is not a trading day for PAGP’s Class A shares, the closing sales price on the first preceding day that is a trading day for PAGP’s Class A shares (for purposes of this definition, the “Closing Price”) and (ii) the Conversion Factor ;</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the Call Event occurs after December 31, 2018 but on or before December 31, 2019, an amount equal to 50% of the product of</w:t>
      </w:r>
    </w:p>
    <w:p>
      <w:pPr>
        <w:spacing w:after="0" w:line="46" w:lineRule="exact"/>
        <w:rPr>
          <w:rFonts w:ascii="Arial" w:cs="Arial" w:eastAsia="Arial" w:hAnsi="Arial"/>
          <w:sz w:val="16"/>
          <w:szCs w:val="16"/>
          <w:color w:val="auto"/>
        </w:rPr>
      </w:pPr>
    </w:p>
    <w:p>
      <w:pPr>
        <w:ind w:left="880" w:hanging="224"/>
        <w:spacing w:after="0"/>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Closing Price and (ii) the Conversion Factor; or</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the Call Event occurs after December 31, 2019 but on or before December 31, 2022, an amount equal to 75% of the product of</w:t>
      </w:r>
    </w:p>
    <w:p>
      <w:pPr>
        <w:spacing w:after="0" w:line="46" w:lineRule="exact"/>
        <w:rPr>
          <w:rFonts w:ascii="Arial" w:cs="Arial" w:eastAsia="Arial" w:hAnsi="Arial"/>
          <w:sz w:val="16"/>
          <w:szCs w:val="16"/>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Closing Price and (ii) the Conversion Factor.</w:t>
      </w:r>
    </w:p>
    <w:p>
      <w:pPr>
        <w:spacing w:after="0" w:line="211" w:lineRule="exact"/>
        <w:rPr>
          <w:sz w:val="20"/>
          <w:szCs w:val="20"/>
          <w:color w:val="auto"/>
        </w:rPr>
      </w:pPr>
    </w:p>
    <w:p>
      <w:pPr>
        <w:ind w:right="1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Call</w:t>
      </w:r>
      <w:r>
        <w:rPr>
          <w:rFonts w:ascii="Arial" w:cs="Arial" w:eastAsia="Arial" w:hAnsi="Arial"/>
          <w:sz w:val="18"/>
          <w:szCs w:val="18"/>
          <w:color w:val="auto"/>
        </w:rPr>
        <w:t>” means the occurrence of an event that requires the partners to make a cash contribution to the Partnership pursuant to Section 3.1(b) of the Partnership Agreement.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Call Amount</w:t>
      </w:r>
      <w:r>
        <w:rPr>
          <w:rFonts w:ascii="Arial" w:cs="Arial" w:eastAsia="Arial" w:hAnsi="Arial"/>
          <w:sz w:val="18"/>
          <w:szCs w:val="18"/>
          <w:color w:val="auto"/>
        </w:rPr>
        <w:t>” means, with respect to a particular Capital Call, the aggregate amount of the cash contributions required to be made to the Partnership by its partners in connection therewith.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the termination of Executive’s employment with the Partnership and its Affiliates by the Board upon (i) a finding by the CEO and President-COO of the Company (or if Executive is the CEO of the Company, by vote of the Board of Directors of the Company excluding Executive if he is a member thereof) that Executive has substantially failed to perform the duties and responsibilities of his position at an acceptable level and after written notice specifying such failure in detail and after a reasonable period under the circumstances (determined by the CEO of the Company, or alternatively the Board of Directors, in good faith) such failure has continued without full correction by Executive, (ii) Executive’s conviction of or guilty plea to the committing of an act or acts constituting a felony under the laws of the United States or any state thereof or any misdemeanor involving moral turpitude or (iii) Executive’s violation of the Company’s Code of Business Conduct (unless waived in accordance with the terms thereof), provided that Executive is provided written notice of the specific violation thereof.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determination by the Board that one of the following events has occurred:</w:t>
      </w:r>
    </w:p>
    <w:p>
      <w:pPr>
        <w:spacing w:after="0" w:line="225" w:lineRule="exact"/>
        <w:rPr>
          <w:sz w:val="20"/>
          <w:szCs w:val="20"/>
          <w:color w:val="auto"/>
        </w:rPr>
      </w:pPr>
    </w:p>
    <w:p>
      <w:pPr>
        <w:ind w:left="660" w:right="40" w:firstLine="645"/>
        <w:spacing w:after="0" w:line="264" w:lineRule="auto"/>
        <w:tabs>
          <w:tab w:leader="none" w:pos="15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Persons who own member interests in PAA GP Holdings LLC immediately following the closing of the GP IPO, including the IPO Entity, and the respective Affiliates of such Persons (such owners and Affiliates being referred to as the “Owner Affiliates”), cease to own directly or indirectly at least 50% of the membership interests of such entity;</w:t>
      </w:r>
    </w:p>
    <w:p>
      <w:pPr>
        <w:spacing w:after="0" w:line="181" w:lineRule="exact"/>
        <w:rPr>
          <w:rFonts w:ascii="Arial" w:cs="Arial" w:eastAsia="Arial" w:hAnsi="Arial"/>
          <w:sz w:val="18"/>
          <w:szCs w:val="18"/>
          <w:color w:val="auto"/>
        </w:rPr>
      </w:pPr>
    </w:p>
    <w:p>
      <w:pPr>
        <w:jc w:val="both"/>
        <w:ind w:left="660" w:right="220" w:firstLine="645"/>
        <w:spacing w:after="0" w:line="312" w:lineRule="auto"/>
        <w:tabs>
          <w:tab w:leader="none" w:pos="156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(x) a “person” or “group” other than the Owner Affiliates becomes the “beneficial owner” directly or indirectly of 25% or more of the member interest in the general partner of the IPO Entity,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the IPO Entity beneficially owned, directly or indirectly, by the Owner Affiliates; or</w:t>
      </w:r>
    </w:p>
    <w:p>
      <w:pPr>
        <w:spacing w:after="0" w:line="146" w:lineRule="exact"/>
        <w:rPr>
          <w:rFonts w:ascii="Arial" w:cs="Arial" w:eastAsia="Arial" w:hAnsi="Arial"/>
          <w:sz w:val="16"/>
          <w:szCs w:val="16"/>
          <w:color w:val="auto"/>
        </w:rPr>
      </w:pPr>
    </w:p>
    <w:p>
      <w:pPr>
        <w:ind w:left="660" w:firstLine="645"/>
        <w:spacing w:after="0" w:line="279" w:lineRule="auto"/>
        <w:tabs>
          <w:tab w:leader="none" w:pos="154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direct or indirect transfer, sale, exchange or other disposition in a single transaction or series of transaction (whether by merger or otherwise) of all or substantially all of the assets of the IPO Entity or the MLP to one or more Persons who are not Affiliates of the IPO Entity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w:t>
      </w:r>
      <w:r>
        <w:rPr>
          <w:rFonts w:ascii="Arial" w:cs="Arial" w:eastAsia="Arial" w:hAnsi="Arial"/>
          <w:sz w:val="18"/>
          <w:szCs w:val="18"/>
          <w:color w:val="auto"/>
        </w:rPr>
        <w:t>” means a Class A common unit of the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Unit</w:t>
      </w:r>
      <w:r>
        <w:rPr>
          <w:rFonts w:ascii="Arial" w:cs="Arial" w:eastAsia="Arial" w:hAnsi="Arial"/>
          <w:sz w:val="18"/>
          <w:szCs w:val="18"/>
          <w:color w:val="auto"/>
        </w:rPr>
        <w:t>” means a Class B common unit of the Partnership.</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Unit Majority</w:t>
      </w:r>
      <w:r>
        <w:rPr>
          <w:rFonts w:ascii="Arial" w:cs="Arial" w:eastAsia="Arial" w:hAnsi="Arial"/>
          <w:sz w:val="18"/>
          <w:szCs w:val="18"/>
          <w:color w:val="auto"/>
        </w:rPr>
        <w:t>” means the holders of the Applicable Class B Units (as a group), acting at the direction of the holders of at least a majority of the Applicable Class B Units outstanding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Plains All American GP LLC, a Delaware limited liability company and the general partner of the Partnership.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Factor</w:t>
      </w:r>
      <w:r>
        <w:rPr>
          <w:rFonts w:ascii="Arial" w:cs="Arial" w:eastAsia="Arial" w:hAnsi="Arial"/>
          <w:sz w:val="18"/>
          <w:szCs w:val="18"/>
          <w:color w:val="auto"/>
        </w:rPr>
        <w:t>” means, as of a particular time, a fraction, (a) the numerator of which is the most recent regular quarterly cash distribution paid with respect to any Class B Unit, and (b) the denominator of which is the most recent regular quarterly cash distribution paid with respect to an IPO Entity Class A Unit (excluding for this purpose any special or extraordinary cash distribution paid with respect to an IPO Entity Class A Unit that is funded by indebtedness).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Earned Unit</w:t>
      </w:r>
      <w:r>
        <w:rPr>
          <w:rFonts w:ascii="Arial" w:cs="Arial" w:eastAsia="Arial" w:hAnsi="Arial"/>
          <w:sz w:val="18"/>
          <w:szCs w:val="18"/>
          <w:color w:val="auto"/>
        </w:rPr>
        <w:t>” means, as of any date, a Granted Unit that has become “earned,” as provided in Section 2.2(b).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Employment Letter</w:t>
      </w:r>
      <w:r>
        <w:rPr>
          <w:rFonts w:ascii="Arial" w:cs="Arial" w:eastAsia="Arial" w:hAnsi="Arial"/>
          <w:sz w:val="18"/>
          <w:szCs w:val="18"/>
          <w:color w:val="auto"/>
        </w:rPr>
        <w:t>” means that certain Employment Letter dated July 10, 2015 between Executive and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ectPr>
          <w:pgSz w:w="11900" w:h="16838" w:orient="portrait"/>
          <w:cols w:equalWidth="0" w:num="1">
            <w:col w:w="11420"/>
          </w:cols>
          <w:pgMar w:left="240" w:top="125" w:right="239" w:bottom="0" w:gutter="0" w:footer="0" w:header="0"/>
        </w:sectPr>
      </w:pPr>
    </w:p>
    <w:bookmarkStart w:id="158" w:name="page159"/>
    <w:bookmarkEnd w:id="158"/>
    <w:p>
      <w:pPr>
        <w:spacing w:after="0" w:line="1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Forfeiture Event</w:t>
      </w:r>
      <w:r>
        <w:rPr>
          <w:rFonts w:ascii="Arial" w:cs="Arial" w:eastAsia="Arial" w:hAnsi="Arial"/>
          <w:sz w:val="18"/>
          <w:szCs w:val="18"/>
          <w:color w:val="auto"/>
        </w:rPr>
        <w:t>” means, with respect to a Restricted Unit, the termination of Executive’s employment with the Company and its Affiliates for any reason other than any of the circumstances described in Section 1(b)(i) —(iv) of the Employment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any one of the following acts or omissions by the Partnership or the Company (or any successor thereto):</w:t>
      </w:r>
    </w:p>
    <w:p>
      <w:pPr>
        <w:spacing w:after="0" w:line="225" w:lineRule="exact"/>
        <w:rPr>
          <w:sz w:val="20"/>
          <w:szCs w:val="20"/>
          <w:color w:val="auto"/>
        </w:rPr>
      </w:pPr>
    </w:p>
    <w:p>
      <w:pPr>
        <w:ind w:left="2000" w:hanging="695"/>
        <w:spacing w:after="0"/>
        <w:tabs>
          <w:tab w:leader="none" w:pos="20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material breach by the Partnership of this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failure of any successor to the Partnership to assume this Agreement; or</w:t>
      </w:r>
    </w:p>
    <w:p>
      <w:pPr>
        <w:spacing w:after="0" w:line="225" w:lineRule="exact"/>
        <w:rPr>
          <w:rFonts w:ascii="Arial" w:cs="Arial" w:eastAsia="Arial" w:hAnsi="Arial"/>
          <w:sz w:val="18"/>
          <w:szCs w:val="18"/>
          <w:color w:val="auto"/>
        </w:rPr>
      </w:pPr>
    </w:p>
    <w:p>
      <w:pPr>
        <w:ind w:left="660" w:right="80" w:firstLine="645"/>
        <w:spacing w:after="0" w:line="291" w:lineRule="auto"/>
        <w:tabs>
          <w:tab w:leader="none" w:pos="200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any material overall reduction in Executive’s authority, responsibilities, or duties (taking into account additional authority, responsibilities or duties associated with (i) the initial transition of responsibilities to Executive, (ii) the overall growth of the Partnership or MLP or</w:t>
      </w:r>
    </w:p>
    <w:p>
      <w:pPr>
        <w:ind w:left="1020" w:hanging="364"/>
        <w:spacing w:after="0"/>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promotion or lateral transfer accepted by Executive).</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Any such act or omission shall not constitute Good Reason unless (i) Executive gives written notice to the Board that an act or omission constitutes Good Reason within 30 days of the date Executive becomes aware of such act or omission, or reasonably should have become aware of such act or omission, and (ii) the Partnership or the Company fails to remedy the condition within the 30-day period following such notice.</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GP IPO</w:t>
      </w:r>
      <w:r>
        <w:rPr>
          <w:rFonts w:ascii="Arial" w:cs="Arial" w:eastAsia="Arial" w:hAnsi="Arial"/>
          <w:sz w:val="18"/>
          <w:szCs w:val="18"/>
          <w:color w:val="auto"/>
        </w:rPr>
        <w:t>” means the initial public offering of Class A shares by the IPO Entity as contemplated by that certain Registration Statement on Form S-1 filed with the Securities and Exchange Commission (Registration No. 333-190227),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Entity</w:t>
      </w:r>
      <w:r>
        <w:rPr>
          <w:rFonts w:ascii="Arial" w:cs="Arial" w:eastAsia="Arial" w:hAnsi="Arial"/>
          <w:sz w:val="18"/>
          <w:szCs w:val="18"/>
          <w:color w:val="auto"/>
        </w:rPr>
        <w:t>” means Plains GP Holdings,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Entity Class A Unit</w:t>
      </w:r>
      <w:r>
        <w:rPr>
          <w:rFonts w:ascii="Arial" w:cs="Arial" w:eastAsia="Arial" w:hAnsi="Arial"/>
          <w:sz w:val="18"/>
          <w:szCs w:val="18"/>
          <w:color w:val="auto"/>
        </w:rPr>
        <w:t>” means a Class A share of the IPO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MLP Quarterly Distribution</w:t>
      </w:r>
      <w:r>
        <w:rPr>
          <w:rFonts w:ascii="Arial" w:cs="Arial" w:eastAsia="Arial" w:hAnsi="Arial"/>
          <w:sz w:val="18"/>
          <w:szCs w:val="18"/>
          <w:color w:val="auto"/>
        </w:rPr>
        <w:t>” means the amount of the quarterly cash distribution made with respect to a common unit of the MLP on the relevant quarterly distribution date for the MLP.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Class B Restricted Unit Agreement</w:t>
      </w:r>
      <w:r>
        <w:rPr>
          <w:rFonts w:ascii="Arial" w:cs="Arial" w:eastAsia="Arial" w:hAnsi="Arial"/>
          <w:sz w:val="16"/>
          <w:szCs w:val="16"/>
          <w:color w:val="auto"/>
        </w:rPr>
        <w:t>” means any Class B Restricted Unit Agreement (other than this Agreement) entered into between the Partnership and any person on terms that are substantially similar to those set forth in this Agreement (other than as to (i) the number of “Granted Units” granted thereunder, which may differ from the number of Granted Units hereunder, (ii) any date set forth in such agreement, which may differ from the corresponding date set forth in this Agreement and (iii) the schedule set forth in Section 2.2(b), which may differ as to “MLP Quarterly Distribution per MLP Common Unit” and/or “Percentage of Initially Granted Units that Become Earned Units”), as such agreement may be amended or restated from time to time.</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Agreement</w:t>
      </w:r>
      <w:r>
        <w:rPr>
          <w:rFonts w:ascii="Arial" w:cs="Arial" w:eastAsia="Arial" w:hAnsi="Arial"/>
          <w:sz w:val="18"/>
          <w:szCs w:val="18"/>
          <w:color w:val="auto"/>
        </w:rPr>
        <w:t>” means that certain Seventh Amended and Restated Agreement of Limited Partnership of Plains AAP, L.P. dated as of the closing date of the GP IPO, as such agreement may be amended or restated from time to time.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Distribution</w:t>
      </w:r>
      <w:r>
        <w:rPr>
          <w:rFonts w:ascii="Arial" w:cs="Arial" w:eastAsia="Arial" w:hAnsi="Arial"/>
          <w:sz w:val="18"/>
          <w:szCs w:val="18"/>
          <w:color w:val="auto"/>
        </w:rPr>
        <w:t xml:space="preserve">” means, with respect to a particular fiscal quarter, the product of (i) that portion of the Partnership’s quarterly cash distributions, if any, during such quarter in excess of the Distribution Threshold Amount (as defined in </w:t>
      </w:r>
      <w:r>
        <w:rPr>
          <w:rFonts w:ascii="Arial" w:cs="Arial" w:eastAsia="Arial" w:hAnsi="Arial"/>
          <w:sz w:val="18"/>
          <w:szCs w:val="18"/>
          <w:u w:val="single" w:color="auto"/>
          <w:color w:val="auto"/>
        </w:rPr>
        <w:t>Schedule I</w:t>
      </w:r>
      <w:r>
        <w:rPr>
          <w:rFonts w:ascii="Arial" w:cs="Arial" w:eastAsia="Arial" w:hAnsi="Arial"/>
          <w:sz w:val="18"/>
          <w:szCs w:val="18"/>
          <w:color w:val="auto"/>
        </w:rPr>
        <w:t>) for such quarter, multiplied by (ii) 100% less the percentage (if any) of any such quarterly distributions payable to GP LLC in accordance with the Partnership Agreement; provided, that for purposes of this definition, the amount of a quarterly cash distribution shall exclude any cash distribution paid only with respect to a Class A Unit (and, if applicable, the General Partner) that is funded by indebtedness.</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Profits Percentage</w:t>
      </w:r>
      <w:r>
        <w:rPr>
          <w:rFonts w:ascii="Arial" w:cs="Arial" w:eastAsia="Arial" w:hAnsi="Arial"/>
          <w:sz w:val="18"/>
          <w:szCs w:val="18"/>
          <w:color w:val="auto"/>
        </w:rPr>
        <w:t>” means Executive’s share of Partnership Distributions calculated, at the time of the Partnership Distribution, as the percentage obtained by dividing (i) the total number of Executive’s Earned Units and Vested Units at such time by (ii) the sum of (A) the number of Class A Units outstanding at such time and (B) the total number of Applicable Class B Units at such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Unit</w:t>
      </w:r>
      <w:r>
        <w:rPr>
          <w:rFonts w:ascii="Arial" w:cs="Arial" w:eastAsia="Arial" w:hAnsi="Arial"/>
          <w:sz w:val="18"/>
          <w:szCs w:val="18"/>
          <w:color w:val="auto"/>
        </w:rPr>
        <w:t>” means, as of any date, a Granted Unit that is not an Earned Unit or a Vested Unit.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Surrender Obligation</w:t>
      </w:r>
      <w:r>
        <w:rPr>
          <w:rFonts w:ascii="Arial" w:cs="Arial" w:eastAsia="Arial" w:hAnsi="Arial"/>
          <w:sz w:val="18"/>
          <w:szCs w:val="18"/>
          <w:color w:val="auto"/>
        </w:rPr>
        <w:t>” means the obligation to surrender and transfer to the Partnership (i) Restricted Units upon a Forfeiture Event and (ii) Earned Units upon the exercise of a Call Option by the Partnership.</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any direct or indirect transfer, assignment, sale, gift, pledge, hypothecation or other encumbrance, or any other disposition (whether voluntary, involuntary or by operation of law other than to the estate of Executive in the event of death), of Restricted Units, Earned Units or Vested Units, including derivative or similar transactions or arrangements whereby a portion or all of the economic interest in, risk of loss or opportunity for gain with respect to, or voting or other rights, of such units are transferred or shifted to another person.</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Unit</w:t>
      </w:r>
      <w:r>
        <w:rPr>
          <w:rFonts w:ascii="Arial" w:cs="Arial" w:eastAsia="Arial" w:hAnsi="Arial"/>
          <w:sz w:val="18"/>
          <w:szCs w:val="18"/>
          <w:color w:val="auto"/>
        </w:rPr>
        <w:t>” means (i) an Earned Unit that is no longer subject to the Partnership’s Call Option or (ii) an Earned Unit or a Restricted Unit that becomes a “Vested Unit” pursuant to Section 2.2(c) below or Section 1(b)(i) — (iv) of the Employment Letter.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 FORFEITURE OF RESTRICTED UNITS AND EARNED UNITS;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Grant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Partnership hereby grants to Executive the Granted Units effective as of the Grant Date. Unless Class A Units are</w:t>
      </w:r>
      <w:r>
        <w:rPr>
          <w:rFonts w:ascii="Arial" w:cs="Arial" w:eastAsia="Arial" w:hAnsi="Arial"/>
          <w:sz w:val="16"/>
          <w:szCs w:val="16"/>
          <w:b w:val="1"/>
          <w:bCs w:val="1"/>
          <w:color w:val="auto"/>
        </w:rPr>
        <w:t xml:space="preserve"> </w:t>
      </w:r>
      <w:r>
        <w:rPr>
          <w:rFonts w:ascii="Arial" w:cs="Arial" w:eastAsia="Arial" w:hAnsi="Arial"/>
          <w:sz w:val="16"/>
          <w:szCs w:val="16"/>
          <w:color w:val="auto"/>
        </w:rPr>
        <w:t>uncertificated, the Partnership shall issue Executive a certificate representing the Granted Units, and such certificate shall bear such legends as provided for in the Partnership Agreement and such additional legends as may be determined by the Board to reflect the Surrender Obligation, the Call Option, and the other</w:t>
      </w:r>
    </w:p>
    <w:p>
      <w:pPr>
        <w:sectPr>
          <w:pgSz w:w="11900" w:h="16953" w:orient="portrait"/>
          <w:cols w:equalWidth="0" w:num="1">
            <w:col w:w="11400"/>
          </w:cols>
          <w:pgMar w:left="240" w:top="125" w:right="259" w:bottom="0" w:gutter="0" w:footer="0" w:header="0"/>
        </w:sectPr>
      </w:pPr>
    </w:p>
    <w:bookmarkStart w:id="159" w:name="page160"/>
    <w:bookmarkEnd w:id="159"/>
    <w:p>
      <w:pPr>
        <w:ind w:right="40"/>
        <w:spacing w:after="0" w:line="268" w:lineRule="auto"/>
        <w:rPr>
          <w:sz w:val="20"/>
          <w:szCs w:val="20"/>
          <w:color w:val="auto"/>
        </w:rPr>
      </w:pPr>
      <w:r>
        <w:rPr>
          <w:rFonts w:ascii="Arial" w:cs="Arial" w:eastAsia="Arial" w:hAnsi="Arial"/>
          <w:sz w:val="17"/>
          <w:szCs w:val="17"/>
          <w:color w:val="auto"/>
        </w:rPr>
        <w:t>terms and conditions of this Agreement and to comply with applicable securities laws. To insure the availability for delivery of Executive’s Restricted Units upon a Forfeiture Event, Executive hereby appoints the Secretary of the Company, or any other person designated by the Partnership as escrow agent, as Executive’s attorney-in-fact to sell, assign and transfer unto the Partnership such Restricted Units or Earned Units, if any, and upon execution of this Agreement, Executive delivers and deposits with the Secretary of the Company, or such other person designated by the Partnership, the certificates representing the Granted Units, together with the unit assignment duly endorsed in blank, attached hereto as Exhibit B. The Granted Units and unit assignment shall be held by the Secretary (or any other person designated by the Partnership as escrow agent) in escrow, pursuant to the Joint Escrow Instructions of the Partnership and Executive attached as Exhibit C hereto, until such time as the Surrender Obligation has lapsed with respect to the Granted Units. Without limiting the Executive’s rights under the Employment Letter to have Restricted Units become Earned Units, upon the lapse of the Surrender Obligation, Earned Units shall become Vested Units. Once the Surrender Obligation has lapsed with respect to any Granted Unit, unless Class A Units are uncertificated, the Partnership shall issue and deliver to Executive a new certificate or certificates evidencing the ownership of the Vested Units. Upon issuance of the new certificate evidencing the ownership of the Vested Units, the certificate deposited with the escrow agent shall be marked “Exchanged and Cancelled” and returned to the partnership unit transfer book of the Partnership and the Partnership shall deliver a replacement certificate to the escrow agent to reflect any remaining Restricted Units and Earned Units. Any new certificate issued to evidence the ownership of Vested Units shall bear such legends as may be determined by the Board to reflect the terms and conditions of this Agreement (other than the Surrender Obligation) and the Partnership Agreement and to comply with applicable securities laws.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i w:val="1"/>
          <w:iCs w:val="1"/>
          <w:color w:val="auto"/>
        </w:rPr>
        <w:t>Forfeitures and Calls of Restricted Units and Earned Units</w:t>
      </w:r>
      <w:r>
        <w:rPr>
          <w:rFonts w:ascii="Arial" w:cs="Arial" w:eastAsia="Arial" w:hAnsi="Arial"/>
          <w:sz w:val="15"/>
          <w:szCs w:val="15"/>
          <w:color w:val="auto"/>
        </w:rPr>
        <w:t>.</w:t>
      </w:r>
    </w:p>
    <w:p>
      <w:pPr>
        <w:spacing w:after="0" w:line="229" w:lineRule="exact"/>
        <w:rPr>
          <w:sz w:val="20"/>
          <w:szCs w:val="20"/>
          <w:color w:val="auto"/>
        </w:rPr>
      </w:pPr>
    </w:p>
    <w:p>
      <w:pPr>
        <w:ind w:right="20" w:firstLine="656"/>
        <w:spacing w:after="0" w:line="269" w:lineRule="auto"/>
        <w:tabs>
          <w:tab w:leader="none" w:pos="1343"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Forfeiture of Restricted Units</w:t>
      </w:r>
      <w:r>
        <w:rPr>
          <w:rFonts w:ascii="Arial" w:cs="Arial" w:eastAsia="Arial" w:hAnsi="Arial"/>
          <w:sz w:val="17"/>
          <w:szCs w:val="17"/>
          <w:color w:val="auto"/>
        </w:rPr>
        <w:t>. If a Forfeiture Event occurs, then Executive shall, for no consideration, automatically forfeit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Partnership as of the date such event occurs all then Restricted Units of Executive on such date, and neither the Executive nor any of his successors, heirs, assigns, or personal representatives shall thereafter have any further rights or interests in such Restricted Units or the certificates representing such Restricted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such Forfeiture Event is termination of Executive’s employment by the Company or any of its Affiliates without Cause, then for all purposes of this Agreement, such Forfeiture Event shall be suspended and shall not be deemed to occur until the 180th day after the date of such termination unless, during such 180-day period, (x) Executive shall breach in any material respect any confidentiality obligation to the Company or any of its Affiliates or (y) any of the events described in clause (ii) or (iii) of the definition of “Cause” shall occur, in which case (1) for all purposes of this Agreement, such Forfeiture Event shall be deemed to have occurred on the date of such termination (but after giving effect to any Earned Units becoming Vested Units as a result of such termination) and (2) any Granted Unit which otherwise would have become an Earned Unit or a Vested Unit during such suspension period shall be deemed to be a Restricted Unit for all purposes under this Agreement and, for the avoidance of doubt, shall (together with all other Restricted Units) be forfeited to the Partnership, for no consideration, effective as of such date of termination.</w:t>
      </w:r>
    </w:p>
    <w:p>
      <w:pPr>
        <w:spacing w:after="0" w:line="182" w:lineRule="exact"/>
        <w:rPr>
          <w:rFonts w:ascii="Arial" w:cs="Arial" w:eastAsia="Arial" w:hAnsi="Arial"/>
          <w:sz w:val="17"/>
          <w:szCs w:val="17"/>
          <w:color w:val="auto"/>
        </w:rPr>
      </w:pPr>
    </w:p>
    <w:p>
      <w:pPr>
        <w:ind w:right="520" w:firstLine="656"/>
        <w:spacing w:after="0" w:line="277" w:lineRule="auto"/>
        <w:tabs>
          <w:tab w:leader="none" w:pos="1353"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Earned Units</w:t>
      </w:r>
      <w:r>
        <w:rPr>
          <w:rFonts w:ascii="Arial" w:cs="Arial" w:eastAsia="Arial" w:hAnsi="Arial"/>
          <w:sz w:val="18"/>
          <w:szCs w:val="18"/>
          <w:color w:val="auto"/>
        </w:rPr>
        <w:t>. A percentage of Granted Units shall become Earned Units on the date on which MLP pays a quarterly distribution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following schedule:</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MLP Quarterly Distribution</w:t>
            </w:r>
          </w:p>
        </w:tc>
        <w:tc>
          <w:tcPr>
            <w:tcW w:w="3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Cumulative Percentage of Initially Granted</w:t>
            </w:r>
          </w:p>
        </w:tc>
      </w:tr>
      <w:tr>
        <w:trPr>
          <w:trHeight w:val="171"/>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MLP Common Unit</w:t>
            </w:r>
          </w:p>
        </w:tc>
        <w:tc>
          <w:tcPr>
            <w:tcW w:w="28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Units that Become Earned Units</w:t>
            </w:r>
          </w:p>
        </w:tc>
        <w:tc>
          <w:tcPr>
            <w:tcW w:w="16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than $0.725</w:t>
            </w: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Greater than or equal to $0.725, but less than $0.7875</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$0.7875, but less than $0.825</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Greater than or equal to $0.825, but less than $0.875</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$0.875 or greater</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Once a Granted Unit has become an Earned Unit pursuant to the above schedule, the Earned Unit shall remain an Earned Unit thereafter until it either becomes a Vested Unit or is purchased by the Partnership pursuant to the exercise of its Call Option.</w:t>
      </w:r>
    </w:p>
    <w:p>
      <w:pPr>
        <w:spacing w:after="0" w:line="170" w:lineRule="exact"/>
        <w:rPr>
          <w:sz w:val="20"/>
          <w:szCs w:val="20"/>
          <w:color w:val="auto"/>
        </w:rPr>
      </w:pPr>
    </w:p>
    <w:p>
      <w:pPr>
        <w:jc w:val="both"/>
        <w:ind w:right="20" w:firstLine="656"/>
        <w:spacing w:after="0" w:line="297" w:lineRule="auto"/>
        <w:tabs>
          <w:tab w:leader="none" w:pos="1343"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All Earned Units automatically shall become Vested Units upon a Change in Control. If prior to the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0% of the Granted Units have become Earned Units, then 25% of the Granted Units automatically shall become Vested Units upon the Change in Control. If prior to the Change in Control only 25% or 50% of the Granted Units have become Earned Units, then an additional 25% of the Granted Units automatically shall become Vested Units upon the Change in Control. If prior to the Change in Control only 75% of the Granted Units have become Earned Units, then all remaining Granted Units automatically shall become Vested Units upon the Change in Control. Unless and except to the extent contemplated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by Section 1(b)(iii) of the Employment Letter or as specifically provided otherwise by the Partnership upon or in connection with such Change in Control, Executive shall, for no consideration, automatically forfeit to the Partnership as of the date such Change in Control occurs all Restricted Units of Executive that do not vest upon such Change in Control as provided herein, and neither Executive nor any of his successors, heirs, assigns, or personal representatives shall thereafter have any further rights or interests in such Restricted Units or the certificates representing such Restricted Units.</w:t>
      </w:r>
    </w:p>
    <w:p>
      <w:pPr>
        <w:spacing w:after="0" w:line="154" w:lineRule="exact"/>
        <w:rPr>
          <w:sz w:val="20"/>
          <w:szCs w:val="20"/>
          <w:color w:val="auto"/>
        </w:rPr>
      </w:pPr>
    </w:p>
    <w:p>
      <w:pPr>
        <w:ind w:left="1360" w:hanging="704"/>
        <w:spacing w:after="0"/>
        <w:tabs>
          <w:tab w:leader="none" w:pos="1360"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Purchase of Earned Units</w:t>
      </w:r>
      <w:r>
        <w:rPr>
          <w:rFonts w:ascii="Arial" w:cs="Arial" w:eastAsia="Arial" w:hAnsi="Arial"/>
          <w:sz w:val="16"/>
          <w:szCs w:val="16"/>
          <w:color w:val="auto"/>
        </w:rPr>
        <w:t>. The Partnership shall have a Call Option with respect to Earned Units as provided in Section 2 of Exhibit A.</w:t>
      </w:r>
    </w:p>
    <w:p>
      <w:pPr>
        <w:spacing w:after="0" w:line="24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Partnership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be entitled to, and shall not receive, any Partnership Distributions with respect to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Units. Executive shall be entitled to receive his Profits Percentage of any Partnership Distributions made as of the relevant distribution date. Partnership Distributions, to the extent payable to Executive with respect to an Earned Unit or Vested Unit, shall be paid to Executive at the same time that such Partnership Distributions are paid to holders of Class A Units.</w:t>
      </w:r>
    </w:p>
    <w:p>
      <w:pPr>
        <w:spacing w:after="0" w:line="180" w:lineRule="exact"/>
        <w:rPr>
          <w:sz w:val="20"/>
          <w:szCs w:val="20"/>
          <w:color w:val="auto"/>
        </w:rPr>
      </w:pPr>
    </w:p>
    <w:p>
      <w:pPr>
        <w:ind w:right="700" w:firstLine="648"/>
        <w:spacing w:after="0" w:line="313"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Capital Calls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Capital Call, Executive shall be required to pay to the Partnership his or her allocable share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Capital Call Amount, which allocable share shall be determined in accordance with Section 3.1(b) of the Partnership Agreement.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RESTRICTIONS; ELECTIONS;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ANTI-DILUTION PROVISIONS</w:t>
      </w:r>
    </w:p>
    <w:p>
      <w:pPr>
        <w:sectPr>
          <w:pgSz w:w="11900" w:h="16838" w:orient="portrait"/>
          <w:cols w:equalWidth="0" w:num="1">
            <w:col w:w="11380"/>
          </w:cols>
          <w:pgMar w:left="240" w:top="125" w:right="279" w:bottom="0" w:gutter="0" w:footer="0" w:header="0"/>
        </w:sectPr>
      </w:pPr>
    </w:p>
    <w:bookmarkStart w:id="160" w:name="page161"/>
    <w:bookmarkEnd w:id="160"/>
    <w:p>
      <w:pPr>
        <w:jc w:val="both"/>
        <w:ind w:right="60" w:firstLine="648"/>
        <w:spacing w:after="0" w:line="289"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Acknowledgment; Conflicts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the Granted Units shall be subject to the Partnership Agreement. Executive (a)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accepts and adopts, and agrees to be bound by, the terms and provisions of the Certificate of Limited Partnership of the Partnership filed with the Secretary of State of Delaware, as amended or restated, and the Partnership Agreement to the same extent as if Executive had executed the Partnership Agreement and</w:t>
      </w:r>
    </w:p>
    <w:p>
      <w:pPr>
        <w:spacing w:after="0" w:line="2" w:lineRule="exact"/>
        <w:rPr>
          <w:sz w:val="20"/>
          <w:szCs w:val="20"/>
          <w:color w:val="auto"/>
        </w:rPr>
      </w:pPr>
    </w:p>
    <w:p>
      <w:pPr>
        <w:ind w:right="180" w:firstLine="8"/>
        <w:spacing w:after="0" w:line="255" w:lineRule="auto"/>
        <w:tabs>
          <w:tab w:leader="none" w:pos="2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agrees that the Granted Units shall be bound by the terms and conditions of such agreement, including, but not limited to, the transfer restrictions, if any, set forth therein, provided however, that in the event of any conflict between the provisions of such agreement and the provisions of this Agreement, the provisions of this Agreement as modified by the Employment Letter shall govern.</w:t>
      </w:r>
    </w:p>
    <w:p>
      <w:pPr>
        <w:spacing w:after="0" w:line="1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Company Acts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anti-dilution provisions set forth in Section 3.5, the existence of the Restricted Units, Earned Units or Vested</w:t>
      </w:r>
      <w:r>
        <w:rPr>
          <w:rFonts w:ascii="Arial" w:cs="Arial" w:eastAsia="Arial" w:hAnsi="Arial"/>
          <w:sz w:val="18"/>
          <w:szCs w:val="18"/>
          <w:b w:val="1"/>
          <w:bCs w:val="1"/>
          <w:color w:val="auto"/>
        </w:rPr>
        <w:t xml:space="preserve"> </w:t>
      </w:r>
      <w:r>
        <w:rPr>
          <w:rFonts w:ascii="Arial" w:cs="Arial" w:eastAsia="Arial" w:hAnsi="Arial"/>
          <w:sz w:val="18"/>
          <w:szCs w:val="18"/>
          <w:color w:val="auto"/>
        </w:rPr>
        <w:t>Units shall not affect in any way the right or power of the Board or the holders of Class A Units to make or authorize any adjustment, recapitalization, reorganization or other change in the Partnership’s capital structure or its business, any merger, consolidation, equity exchange or other business combination of the Partnership with or into any other entity (and, where necessary or appropriate (as determined by the Board in good faith), the conversion or exchange of Class A Units and Class B Units into other securities or interests in the Partnership or any other entity in connection therewith, provided that the relative economic rights and preferences of the Class A Units and the Class B Units are affected proportionately, taking into account their current terms), any issue of debt or equity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securities, the dissolution or liquidation of the Partnership or any sale, lease, exchange or other disposition of all or any part of its assets or business or any other act or proceeding.</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i w:val="1"/>
          <w:iCs w:val="1"/>
          <w:color w:val="auto"/>
        </w:rPr>
        <w:t>Transfer Restrictions; Call Options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Units and Earned Units shall be subject to the Transfer restrictions, Call Options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terms and conditions set forth or described in Exhibit A attached hereto, as applicable. Vested Units shall be subject only to the provisions of Sections 1, 3 and 4(b) of Exhibit A. Executive agrees that Executive will, at any time and from time to time as requested by the Partnership, execute and deliver to the Partnership such other documents and instruments, if any, as the Board, in its discretion, may require to evidence Executive’s agreement to be bound by the terms of Exhibit A. The terms and conditions of Exhibit A shall survive the termination of this Agreement. The restrictions set forth in Exhibit A shall not apply to the transfer of Restricted Units or Earned Units pursuant to a plan of reorganization of the Partnership, but the Class A Units, securities or other property received in exchange therefor shall also become subject to the Transfer restrictions, Call Options and Surrender Obligation to the same extent as the Restricted Units, Earned Units and Vested Units exchanged therefor and the certificates, if any, representing such Class A Units, securities or other property shall be legended to show such restrictions.</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i w:val="1"/>
          <w:iCs w:val="1"/>
          <w:color w:val="auto"/>
        </w:rPr>
        <w:t>Tax Withholding; §83(b) Election</w:t>
      </w:r>
      <w:r>
        <w:rPr>
          <w:rFonts w:ascii="Arial" w:cs="Arial" w:eastAsia="Arial" w:hAnsi="Arial"/>
          <w:sz w:val="15"/>
          <w:szCs w:val="15"/>
          <w:i w:val="1"/>
          <w:iCs w:val="1"/>
          <w:color w:val="auto"/>
        </w:rPr>
        <w:t>.</w:t>
      </w:r>
    </w:p>
    <w:p>
      <w:pPr>
        <w:spacing w:after="0" w:line="229" w:lineRule="exact"/>
        <w:rPr>
          <w:sz w:val="20"/>
          <w:szCs w:val="20"/>
          <w:color w:val="auto"/>
        </w:rPr>
      </w:pPr>
    </w:p>
    <w:p>
      <w:pPr>
        <w:ind w:right="40" w:firstLine="656"/>
        <w:spacing w:after="0" w:line="273" w:lineRule="auto"/>
        <w:tabs>
          <w:tab w:leader="none" w:pos="134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the extent that the receipt of the Restricted Units, Earned Units, Vested Units, the lapse of the Surrender Obligations, or any other event pursuant to this Agreement results in compensation income or wages to Executive for federal, state or local tax purposes, Executive shall deliver to the Partnership at the time of such receipt, lapse or event, as the case may be, such amount of money as the Partnership may require to meet its minimum withholding obligation under applicable tax laws, and if Executive fails to do so, the Partnership is authorized to withhold from any cash or other remuneration (including withholding and cancelling any Restricted Units, Earned Units or Vested Units distributable to Executive under this Agreement) then or thereafter payable to Executive any tax required to be withheld by reason of such resulting compensation income or wages.</w:t>
      </w:r>
    </w:p>
    <w:p>
      <w:pPr>
        <w:spacing w:after="0" w:line="178" w:lineRule="exact"/>
        <w:rPr>
          <w:rFonts w:ascii="Arial" w:cs="Arial" w:eastAsia="Arial" w:hAnsi="Arial"/>
          <w:sz w:val="17"/>
          <w:szCs w:val="17"/>
          <w:color w:val="auto"/>
        </w:rPr>
      </w:pPr>
    </w:p>
    <w:p>
      <w:pPr>
        <w:ind w:right="100" w:firstLine="656"/>
        <w:spacing w:after="0" w:line="312" w:lineRule="auto"/>
        <w:tabs>
          <w:tab w:leader="none" w:pos="135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Within 30 days after the date of issuance of the Restricted Units, Executive shall make an election authorized by section 83(b) of the Code with respect to such Restricted Units and Executive shall submit to the Partnership a copy of the statement filed by Executive to make such election. The form of such election shall be in such form as approved by the Partnership and delivered to the Executive following the issuance of the Restricted Units.</w:t>
      </w:r>
    </w:p>
    <w:p>
      <w:pPr>
        <w:spacing w:after="0" w:line="146" w:lineRule="exact"/>
        <w:rPr>
          <w:rFonts w:ascii="Arial" w:cs="Arial" w:eastAsia="Arial" w:hAnsi="Arial"/>
          <w:sz w:val="16"/>
          <w:szCs w:val="16"/>
          <w:color w:val="auto"/>
        </w:rPr>
      </w:pPr>
    </w:p>
    <w:p>
      <w:pPr>
        <w:ind w:right="200" w:firstLine="656"/>
        <w:spacing w:after="0" w:line="279" w:lineRule="auto"/>
        <w:tabs>
          <w:tab w:leader="none" w:pos="134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Executive acknowledges and agrees that he is not relying upon any written or oral statement or representation of the Partnership, its Affiliates, or any of their respective Executives, directors, officers, attorneys or agents regarding the tax effects associated with the Restricted Units, Earned Units, Vested Units or the execution of this Agreement. Executive acknowledges and agrees that in deciding to enter into this Agreement, Executive is relying on his own judgment and the judgment of the professionals of his choice with whom he has consulted.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i w:val="1"/>
          <w:iCs w:val="1"/>
          <w:color w:val="auto"/>
        </w:rPr>
        <w:t>Anti-Dilution Provisions</w:t>
      </w:r>
      <w:r>
        <w:rPr>
          <w:rFonts w:ascii="Arial" w:cs="Arial" w:eastAsia="Arial" w:hAnsi="Arial"/>
          <w:sz w:val="15"/>
          <w:szCs w:val="15"/>
          <w:color w:val="auto"/>
        </w:rPr>
        <w:t>.</w:t>
      </w:r>
    </w:p>
    <w:p>
      <w:pPr>
        <w:spacing w:after="0" w:line="229" w:lineRule="exact"/>
        <w:rPr>
          <w:sz w:val="20"/>
          <w:szCs w:val="20"/>
          <w:color w:val="auto"/>
        </w:rPr>
      </w:pPr>
    </w:p>
    <w:p>
      <w:pPr>
        <w:ind w:right="20" w:firstLine="656"/>
        <w:spacing w:after="0" w:line="302" w:lineRule="auto"/>
        <w:tabs>
          <w:tab w:leader="none" w:pos="134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after the date of this Agreement, the Class A Units shall be changed or proposed to be changed into a different number or class of units by reason of the occurrence of any reclassification, recapitalization, split-up, combination, exchange of shares or similar readjustment, or a unit dividend thereon shall be paid, appropriate proportional adjustments shall be made to the Class B Units, as determined by the Board in good faith. Notwithstanding the foregoing, no repurchase of Class A Units for fair value (as determined by the Board in good faith) shall require any adjustment under this Section 3.5(a).</w:t>
      </w:r>
    </w:p>
    <w:p>
      <w:pPr>
        <w:spacing w:after="0" w:line="15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i w:val="1"/>
          <w:iCs w:val="1"/>
          <w:color w:val="auto"/>
        </w:rPr>
        <w:t>Drag-Along Provisions</w:t>
      </w:r>
      <w:r>
        <w:rPr>
          <w:rFonts w:ascii="Arial" w:cs="Arial" w:eastAsia="Arial" w:hAnsi="Arial"/>
          <w:sz w:val="15"/>
          <w:szCs w:val="15"/>
          <w:color w:val="auto"/>
        </w:rPr>
        <w:t>.</w:t>
      </w:r>
    </w:p>
    <w:p>
      <w:pPr>
        <w:spacing w:after="0" w:line="229" w:lineRule="exact"/>
        <w:rPr>
          <w:sz w:val="20"/>
          <w:szCs w:val="20"/>
          <w:color w:val="auto"/>
        </w:rPr>
      </w:pPr>
    </w:p>
    <w:p>
      <w:pPr>
        <w:ind w:left="1360" w:hanging="704"/>
        <w:spacing w:after="0"/>
        <w:tabs>
          <w:tab w:leader="none" w:pos="1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225" w:lineRule="exact"/>
        <w:rPr>
          <w:rFonts w:ascii="Arial" w:cs="Arial" w:eastAsia="Arial" w:hAnsi="Arial"/>
          <w:sz w:val="18"/>
          <w:szCs w:val="18"/>
          <w:color w:val="auto"/>
        </w:rPr>
      </w:pPr>
    </w:p>
    <w:p>
      <w:pPr>
        <w:ind w:right="240" w:firstLine="656"/>
        <w:spacing w:after="0" w:line="259" w:lineRule="auto"/>
        <w:tabs>
          <w:tab w:leader="none" w:pos="13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of a sale of all or substantially all of the assets or equity of the IPO Entity, then the Board shall have the right to require Executive to transfer all of his Vested Units (including any Granted Units that vest pursuant to Section 2.2(c) hereof) in such transaction in exchange for consideration per transferred Class B Unit that is equal to the Conversion Factor times the consideration to be received per IPO Entity Class A Unit in such transaction.</w:t>
      </w:r>
    </w:p>
    <w:p>
      <w:pPr>
        <w:spacing w:after="0" w:line="186" w:lineRule="exact"/>
        <w:rPr>
          <w:rFonts w:ascii="Arial" w:cs="Arial" w:eastAsia="Arial" w:hAnsi="Arial"/>
          <w:sz w:val="18"/>
          <w:szCs w:val="18"/>
          <w:color w:val="auto"/>
        </w:rPr>
      </w:pPr>
    </w:p>
    <w:p>
      <w:pPr>
        <w:ind w:right="100" w:firstLine="656"/>
        <w:spacing w:after="0" w:line="286" w:lineRule="auto"/>
        <w:tabs>
          <w:tab w:leader="none" w:pos="134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connection with any transfer required pursuant to this Section 3.6, Executive shall deliver the certificates representing his Class B Units duly endorsed or accompanied by written instruments of transfer, in form and substance reasonably satisfactory to the Board, free and clear of any liens, together with any other documents reasonably required to be executed in connection with such transaction, as directed by the Board.</w:t>
      </w:r>
    </w:p>
    <w:p>
      <w:pPr>
        <w:sectPr>
          <w:pgSz w:w="11900" w:h="16838" w:orient="portrait"/>
          <w:cols w:equalWidth="0" w:num="1">
            <w:col w:w="11420"/>
          </w:cols>
          <w:pgMar w:left="240" w:top="337" w:right="239" w:bottom="0" w:gutter="0" w:footer="0" w:header="0"/>
        </w:sectPr>
      </w:pPr>
    </w:p>
    <w:bookmarkStart w:id="161" w:name="page162"/>
    <w:bookmarkEnd w:id="161"/>
    <w:p>
      <w:pPr>
        <w:ind w:right="20" w:firstLine="656"/>
        <w:spacing w:after="0" w:line="253" w:lineRule="auto"/>
        <w:tabs>
          <w:tab w:leader="none" w:pos="13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Class B Units subject to this Section 3.6 will be included in a proposed sale pursuant hereto and be subject to any agreement with the purchaser in such transaction relating thereto, on the same terms and subject to the same conditions applicable to the Class A Units or IPO Entity Class A Units, as the case may be. Such terms and conditions shall be determined in the sole discretion of the Board, and shall include (i) the consideration to be paid (including without limitation the form and the aggregate amount thereof) and (ii) the provision of information, representations, warranties, covenants and requisite indemnifications;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Executive shall not be required to make any representations and warranties, other than those relating specifically to Executive’s execution and delivery of any transaction agreement (including absence of conflicts), and title to the Class B Units, and any indemnification provided by Executive shall be on a several, not joint, basis and shall be based on (and shall not exceed) Executive’s pro rata share of the aggregate consideration paid in such transaction. For purposes of this Section 3.6 “Executive” includes any Permitted Transferee (as defined in the Partnership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i w:val="1"/>
          <w:iCs w:val="1"/>
          <w:color w:val="auto"/>
        </w:rPr>
        <w:t>Notices</w:t>
      </w:r>
      <w:r>
        <w:rPr>
          <w:rFonts w:ascii="Arial" w:cs="Arial" w:eastAsia="Arial" w:hAnsi="Arial"/>
          <w:sz w:val="18"/>
          <w:szCs w:val="18"/>
          <w:color w:val="auto"/>
        </w:rPr>
        <w:t>. For purposes of this Agreement, notices and all other communications provided for herein shall be given in the same manner as</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in the Partnership Agreement.</w:t>
      </w:r>
    </w:p>
    <w:p>
      <w:pPr>
        <w:spacing w:after="0" w:line="162"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Employment Relationship</w:t>
      </w:r>
      <w:r>
        <w:rPr>
          <w:rFonts w:ascii="Arial" w:cs="Arial" w:eastAsia="Arial" w:hAnsi="Arial"/>
          <w:sz w:val="16"/>
          <w:szCs w:val="16"/>
          <w:color w:val="auto"/>
        </w:rPr>
        <w:t>. For purposes of this Agreement (including Exhibit A attached hereto), Executive shall be considered to be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of the Partnership as long as Executive remains an employee of an Affiliate of the Partnership. Without limiting the scope of the preceding sentence, it is expressly provided that Executive shall be considered to have terminated employment with the Partnership at the time the entity or other organization that employs Executive is no longer an Affiliate of the Partnership. Any question as to whether and when there has been a termination of such employment or association, and the cause of such termination, shall be determined by the Board and its determination shall be final.</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Entire Agreement;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Partnership Agreement and the Employment Letter constitute the 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supersede all previous agreements and discussions relating to the same or similar subject matters between Executive and the Partnership or any Affiliate and constitute the entire agreement between Executive and the Partnership and any Affiliate with respect to the subject matter of this Agreement. Without limiting the scope of the preceding sentence, except for this Agreement, the Partnership Agreement and the Employment Letter, all prior and contemporaneous understandings and agreements, if any, among the parties hereto relating to the subject matter hereof are hereby null and void and of no further force and effect. In the event any provisions of this Agreement conflict with provisions in the Employment Letter, the Employment Letter shall control. Except as provided below, any modification of this Agreement shall be effective only if it is in writing and signed by both Executive and the Partnership as authorized by the Board. Notwithstanding the foregoing, the Partnership may unilaterally amend this Agreement in any manner that the Board determines in good faith is necessary or advisable to facilitate the consummation of the GP IPO, such amendment to become effective on the fifth business day after the day on which notice thereof is given to the holders of the Applicable Class B Units then outstanding, unless prior to such fifth business day, the holders of at least 75% of such Applicable Class B Units object in writing to such amendment, in which case such proposed amendment shall not become effective; provided, however, that the holders of the Applicable Class B Units shall not be entitled to object to any such amendment (and such amendment shall automatically become effective regardless of any purported objection by the holders of the Applicable Class B Units) if (i) all Other Class B Restricted Unit Agreements are amended in substantially the same way, (ii) the Class A Units and Class B Units are diluted proportionately (based on relative distributions) by any partnership interests or other equity securities issued to Persons (other than members of the Company (or Affiliates thereof)) in connection therewith and (iii) immediately after giving effect to the GP IPO, the economic interest in the Partnership or its successor or assign or (or the entity the securities or equity interests of which the Class B Units are converted into or exchanged for) represented by the Class B Units (and/or any securities or equity interests into which such Class B Units are converted or exchanged) is not diluted by any partnership interests or other equity securities issued to members of the Company (or any Affiliate thereof) in connection therewith. For the avoidance of doubt, notwithstanding anything in this Agreement to the contrary, in the event of a GP IPO, the Board shall be entitled (but not required) to make such adjustments as the Board shall determine in good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faith to be equitable, including without limitation causing all or a portion of the Class B Units not to be converted into or exchanged for similar equity interests in the IPO Entity, and to remain outstanding as Class B Units of the Partnership. Notwithstanding anything in this Agreement to the contrary, if the Board determines that (i) the provisions of section 409A of the Code apply to this Agreement or the Class B Units and that the terms of this Agreement or such units do not, in whole or in part, satisfy the requirements of such section, or (ii) any provision of this Agreement or the effect or operation thereof would produce material adverse tax consequences to Executive, then the Partnership, in the sole discretion of the Board, may unilaterally modify this Agreement in such manner as the Board deems appropriate to comply with such section 409A and any regulations or guidance issued thereunder or to mitigate or avoid such adverse tax consequences.</w:t>
      </w:r>
    </w:p>
    <w:p>
      <w:pPr>
        <w:spacing w:after="0" w:line="18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i w:val="1"/>
          <w:iCs w:val="1"/>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any successors to the Partnership and all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transferees of any Transfer made in compliance with Exhibit A and other persons lawfully claiming under Executive.</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Agreement is governed by and shall be construed in accordance with the laws of the State of Delaware,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conflict-of-laws rule or principle that might refer the governance or the construction of this Agreement to the laws of another jurisdiction.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8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Injunctive Relief</w:t>
      </w:r>
      <w:r>
        <w:rPr>
          <w:rFonts w:ascii="Arial" w:cs="Arial" w:eastAsia="Arial" w:hAnsi="Arial"/>
          <w:sz w:val="18"/>
          <w:szCs w:val="18"/>
          <w:color w:val="auto"/>
        </w:rPr>
        <w:t>. Executive acknowledges that a remedy at law for any breach or attempted breach of this Agreement will be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Partnership may be entitled to specific performance and injunctive and other equitable relief to be implemented by a court of competent jurisdiction in case of any such breach or attempted breach, and further agrees to waive any requirement for the securing or purchasing of any bond in connection with the obtaining of any such injunctive or any other equitable relief. Executive agrees that the Partnership’s right to injunctive relief will be in addition to any other rights the Partnership may have.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80"/>
          </w:cols>
          <w:pgMar w:left="240" w:top="125" w:right="279" w:bottom="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Agreement effective for all purposes as of the Grant 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 by its general partner,</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GP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WCW (Willie) Chiang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WCW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RELATING TO TRANSFERS;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OPTIONS; AND CONVERSIONS</w:t>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Capitalized terms used in this Exhibit that are not defined in this Exhibit shall have the meaning assigned to such terms in the Restricted Units Agreement to which this Exhibit is attached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Unless the context requires otherwise, all references in this Exhibit to Sections refer to the Sections of this Exhibit.</w:t>
      </w:r>
    </w:p>
    <w:p>
      <w:pPr>
        <w:spacing w:after="0" w:line="181" w:lineRule="exact"/>
        <w:rPr>
          <w:sz w:val="20"/>
          <w:szCs w:val="20"/>
          <w:color w:val="auto"/>
        </w:rPr>
      </w:pPr>
    </w:p>
    <w:p>
      <w:pPr>
        <w:ind w:right="160" w:firstLine="8"/>
        <w:spacing w:after="0" w:line="297"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No Transfers</w:t>
      </w:r>
      <w:r>
        <w:rPr>
          <w:rFonts w:ascii="Arial" w:cs="Arial" w:eastAsia="Arial" w:hAnsi="Arial"/>
          <w:sz w:val="16"/>
          <w:szCs w:val="16"/>
          <w:color w:val="auto"/>
        </w:rPr>
        <w:t>. Executive may not Transfer all or any portion of the Restricted Units or any Earned Units, and any attempted Transfer shall be, and is hereby declared, null and void for all purposes; provided, however that Executive shall be entitled to Transfer any Earned Units to a Permitted Transferee (as defined in the Partnership Agreement), by will or the laws of descent and distribution, provided that any such permitted Transfer shall be made in accordance with, and subject to, Section 7.3 of the Partnership Agreement. In addition to the other restrictions set forth herein, each Restricted Unit, Earned Unit and Vested Unit shall be subject to the restrictions on Transfer (as defined in the Partnership Agreement) set forth in the Partnership Agreement.</w:t>
      </w:r>
    </w:p>
    <w:p>
      <w:pPr>
        <w:spacing w:after="0" w:line="158" w:lineRule="exact"/>
        <w:rPr>
          <w:rFonts w:ascii="Arial" w:cs="Arial" w:eastAsia="Arial" w:hAnsi="Arial"/>
          <w:sz w:val="16"/>
          <w:szCs w:val="16"/>
          <w:color w:val="auto"/>
        </w:rPr>
      </w:pPr>
    </w:p>
    <w:p>
      <w:pPr>
        <w:ind w:right="60" w:firstLine="8"/>
        <w:spacing w:after="0" w:line="269" w:lineRule="auto"/>
        <w:tabs>
          <w:tab w:leader="none" w:pos="72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Partnership Call Option</w:t>
      </w:r>
      <w:r>
        <w:rPr>
          <w:rFonts w:ascii="Arial" w:cs="Arial" w:eastAsia="Arial" w:hAnsi="Arial"/>
          <w:sz w:val="17"/>
          <w:szCs w:val="17"/>
          <w:color w:val="auto"/>
        </w:rPr>
        <w:t>. Upon the occurrence of a Call Event, the Partnership, at its option (exercisable at any time during the 60-day period following the date of such Call Event), may (but the Partnership shall have no obligation to) purchase all (or any portion elected by the Partnership in its sole discretion) of the Earned Units held by Executive (or by Executive’s estate), for a purchase price per Earned Unit equal to the Call Value at the time of the Call Event. If the Partnership wishes to exercise the Call Option granted herein, it must provide written notice within such 60-day period to Executive (or his estate) specifying the number of such Earned Units it elects to purchase. Within 10 days after the exercise of the Call Option by the Partnership, the Executive (or estate) shall deliver the certificates, if any, representing the applicable Earned Units to the Partnership, duly endorsed and together with appropriate assignment and transfer instruments, free and clear of all adverse charges, liens, claims and encumbrances, in consideration for the purchase price specified above paid in the form of a single, lump sum cash payment from the Partnership. Delivery of the Earned Units and related transfer and assignment instruments by the holder shall constitute a representation to the Partnership that such Earned Units are free and clear of all adverse charges, liens, claims and encumbrances. If the Partnership does not timely exercise its Call Option, the Earned Units shall become Vested Units at the end of the period for exercising the Call Option.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8" w:lineRule="exact"/>
        <w:rPr>
          <w:rFonts w:ascii="Arial" w:cs="Arial" w:eastAsia="Arial" w:hAnsi="Arial"/>
          <w:sz w:val="17"/>
          <w:szCs w:val="17"/>
          <w:color w:val="auto"/>
        </w:rPr>
      </w:pPr>
    </w:p>
    <w:p>
      <w:pPr>
        <w:ind w:right="680" w:firstLine="8"/>
        <w:spacing w:after="0" w:line="277"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Executive Elective Exchange of Vested Units</w:t>
      </w:r>
      <w:r>
        <w:rPr>
          <w:rFonts w:ascii="Arial" w:cs="Arial" w:eastAsia="Arial" w:hAnsi="Arial"/>
          <w:sz w:val="18"/>
          <w:szCs w:val="18"/>
          <w:color w:val="auto"/>
        </w:rPr>
        <w:t>. Conversion rights attributable to the Granted Units shall be governed by Section 7.10 of the Partnership Agreement.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Unit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1305"/>
        <w:spacing w:after="0" w:line="277" w:lineRule="auto"/>
        <w:tabs>
          <w:tab w:leader="none" w:pos="199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 addition to any other legend that may be required by law, each certificate, if any, for Restricted Units and Earned Units shall bear a legend in substantially the following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-1367790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THE UNITS REPRESENTED BY THIS CERTIFICATE HAVE NOT BEEN REGISTERED UNDER THE SECURITIES ACT OF 1933, AS AMENDED (THE “SECURITIES ACT”), OR ANY STATE SECURITIES LAWS, AND MAY NOT BE OFFERED OR SOLD UNLESS THEY HAVE BEEN REGISTERED UNDER THE SECURITIES ACT AND APPLICABLE STATE SECURITIES LAWS OR UNLESS AN EXEMPTION FROM REGISTRATION IS AVAILABLE (AND IN SUCH CASE, AN OPINION OF COUNSEL REASONABLY SATISFACTORY TO THE PARTNERSHIP SHALL HAVE BEEN DELIVERED TO THE PARTNERSHIP TO THE EFFECT THAT SUCH OFFER OR SALE IS NOT REQUIRED TO BE REGISTERED UNDER THE SECURITIES ACT AND APPLICABLE STATE SECURITIES LAWS). THE UNITS REPRESENTED BY THIS CERTIFICATE ARE ALSO SUBJECT TO ADDITIONAL RESTRICTIONS ON TRANSFER AS SET FORTH IN THE RESTRICTED UNITS AGREEMENT DATED AS OF AUGUST 24, 2015, AS AMENDED OR RESTATED FROM TIME TO TIME, COPIES OF WHICH MAY BE OBTAINED UPON REQUEST FROM THE PARTNERSHIP. THE UNITS REPRESENTED BY THIS CERTIFICATE ARE ALSO SUBJECT UNDER CERTAIN CIRCUMSTANCES TO MANDATORY TRANSFER AS SET FORTH IN THE RESTRICTED UNITS AGREEMENT DATED AS OF AUGUST 24, 2015, AS AMENDED OR RESTATED FROM TIME TO TIME, COPIES OF WHICH MAY BE OBTAINED UPON REQUEST FROM THE PARTNERSHIP.</w:t>
      </w:r>
    </w:p>
    <w:p>
      <w:pPr>
        <w:sectPr>
          <w:pgSz w:w="11900" w:h="16838" w:orient="portrait"/>
          <w:cols w:equalWidth="0" w:num="1">
            <w:col w:w="11420"/>
          </w:cols>
          <w:pgMar w:left="240" w:top="125" w:right="239" w:bottom="0" w:gutter="0" w:footer="0" w:header="0"/>
        </w:sectPr>
      </w:pPr>
    </w:p>
    <w:bookmarkStart w:id="163" w:name="page164"/>
    <w:bookmarkEnd w:id="163"/>
    <w:p>
      <w:pPr>
        <w:spacing w:after="0" w:line="137" w:lineRule="exact"/>
        <w:rPr>
          <w:sz w:val="20"/>
          <w:szCs w:val="20"/>
          <w:color w:val="auto"/>
        </w:rPr>
      </w:pPr>
    </w:p>
    <w:p>
      <w:pPr>
        <w:ind w:right="640" w:firstLine="1305"/>
        <w:spacing w:after="0" w:line="277" w:lineRule="auto"/>
        <w:tabs>
          <w:tab w:leader="none" w:pos="20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addition to any other legend that may be required by law, each certificate, if any, for Vested Units shall bear a legend in substantially the following form:</w:t>
      </w:r>
    </w:p>
    <w:p>
      <w:pPr>
        <w:spacing w:after="0" w:line="170" w:lineRule="exact"/>
        <w:rPr>
          <w:sz w:val="20"/>
          <w:szCs w:val="20"/>
          <w:color w:val="auto"/>
        </w:rPr>
      </w:pPr>
    </w:p>
    <w:p>
      <w:pPr>
        <w:ind w:left="660" w:right="260"/>
        <w:spacing w:after="0" w:line="257" w:lineRule="auto"/>
        <w:rPr>
          <w:sz w:val="20"/>
          <w:szCs w:val="20"/>
          <w:color w:val="auto"/>
        </w:rPr>
      </w:pPr>
      <w:r>
        <w:rPr>
          <w:rFonts w:ascii="Arial" w:cs="Arial" w:eastAsia="Arial" w:hAnsi="Arial"/>
          <w:sz w:val="18"/>
          <w:szCs w:val="18"/>
          <w:color w:val="auto"/>
        </w:rPr>
        <w:t>THE UNITS REPRESENTED BY THIS CERTIFICATE HAVE NOT BEEN REGISTERED UNDER THE SECURITIES ACT OF 1933, AS AMENDED (THE “SECURITIES ACT”), OR ANY STATE SECURITIES LAWS, AND MAY NOT BE OFFERED OR SOLD UNLESS THEY HAVE BEEN REGISTERED UNDER THE SECURITIES ACT AND APPLICABLE STATE SECURITIES LAWS OR UNLESS AN EXEMPTION FROM REGISTRATION IS AVAILABLE (AND IN SUCH CASE, AN OPINION OF COUNSEL REASONABLY SATISFACTORY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PARTNERSHIP SHALL HAVE BEEN DELIVERED TO THE PARTNERSHIP TO THE EFFECT THAT SUCH OFFER OR SALE IS NOT REQUIRED TO BE REGISTERED UNDER THE SECURITIES ACT AND APPLICABLE STATE SECURITIES LAWS). THE UNITS REPRESENTED BY THIS CERTIFICATE ARE ALSO SUBJECT UNDER CERTAIN CIRCUMSTANCES TO MANDATORY TRANSFER AS SET FORTH IN THE RESTRICTED UNITS AGREEMENT DATED AS OF AUGUST 24, 2015, AS AMENDED OR RESTATED FROM TIME TO TIME, COPIES OF WHICH MAY BE OBTAINED UPON REQUEST FROM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UNITS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FOR VALUE RECEIVED, WCW (Willie) Chiang (“Executive”) hereby assigns and transfers unto Plains AAP, L.P., a Delaware limited partnership (the “Partnership”), 1,000,000 Class B common units in the Partnership (the “Class B Units”), standing in his name on the books of said Partnership</w:t>
      </w:r>
    </w:p>
    <w:p>
      <w:pPr>
        <w:ind w:right="240"/>
        <w:spacing w:after="0" w:line="261" w:lineRule="auto"/>
        <w:rPr>
          <w:sz w:val="20"/>
          <w:szCs w:val="20"/>
          <w:color w:val="auto"/>
        </w:rPr>
      </w:pPr>
      <w:r>
        <w:rPr>
          <w:rFonts w:ascii="Arial" w:cs="Arial" w:eastAsia="Arial" w:hAnsi="Arial"/>
          <w:sz w:val="18"/>
          <w:szCs w:val="18"/>
          <w:color w:val="auto"/>
        </w:rPr>
        <w:t>represented by Certificate No. herewith, and does hereby irrevocably constitute and appoint to transfer the said Class B Units on the books of the within named Partnership with full power of substitution in the premises.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Assignment Separate from Certificate may be used only in accordance with the Class B Restricted Units Agreement (the “Agreement”) between the Partnership and the undersigned dated August 24, 2015.</w:t>
      </w:r>
    </w:p>
    <w:p>
      <w:pPr>
        <w:spacing w:after="0" w:line="170" w:lineRule="exact"/>
        <w:rPr>
          <w:sz w:val="20"/>
          <w:szCs w:val="20"/>
          <w:color w:val="auto"/>
        </w:rPr>
      </w:pPr>
    </w:p>
    <w:p>
      <w:pPr>
        <w:spacing w:after="0"/>
        <w:tabs>
          <w:tab w:leader="none" w:pos="1100" w:val="left"/>
          <w:tab w:leader="none" w:pos="5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INSTRUCTIONS: </w:t>
      </w:r>
      <w:r>
        <w:rPr>
          <w:rFonts w:ascii="Arial" w:cs="Arial" w:eastAsia="Arial" w:hAnsi="Arial"/>
          <w:sz w:val="16"/>
          <w:szCs w:val="16"/>
          <w:b w:val="1"/>
          <w:bCs w:val="1"/>
          <w:i w:val="1"/>
          <w:iCs w:val="1"/>
          <w:color w:val="auto"/>
        </w:rPr>
        <w:t>Please do not fill in any blanks other than the signature line.</w:t>
      </w:r>
      <w:r>
        <w:rPr>
          <w:rFonts w:ascii="Arial" w:cs="Arial" w:eastAsia="Arial" w:hAnsi="Arial"/>
          <w:sz w:val="16"/>
          <w:szCs w:val="16"/>
          <w:color w:val="auto"/>
        </w:rPr>
        <w:t xml:space="preserve"> The purpose of this Assignment Separate from Certificate is to return the</w:t>
      </w:r>
    </w:p>
    <w:p>
      <w:pPr>
        <w:sectPr>
          <w:pgSz w:w="11900" w:h="16976" w:orient="portrait"/>
          <w:cols w:equalWidth="0" w:num="1">
            <w:col w:w="11420"/>
          </w:cols>
          <w:pgMar w:left="240" w:top="125" w:right="239" w:bottom="0" w:gutter="0" w:footer="0" w:header="0"/>
        </w:sectPr>
      </w:pPr>
    </w:p>
    <w:p>
      <w:pPr>
        <w:spacing w:after="0" w:line="46"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Class B Units to the Partnership in the event Executive forfeits any of such Class B Units as set forth in the Agreement, without requiring additional signatures on the part of Executive. This Assignment Separate from Certificate must be delivered to the Partnership with the above Certificate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32" w:lineRule="exact"/>
        <w:rPr>
          <w:sz w:val="20"/>
          <w:szCs w:val="20"/>
          <w:color w:val="auto"/>
        </w:rPr>
      </w:pPr>
    </w:p>
    <w:p>
      <w:pPr>
        <w:sectPr>
          <w:pgSz w:w="11900" w:h="16976" w:orient="portrait"/>
          <w:cols w:equalWidth="0" w:num="2">
            <w:col w:w="10680" w:space="360"/>
            <w:col w:w="380"/>
          </w:cols>
          <w:pgMar w:left="240" w:top="12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ESCROW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AAP,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Escrow Agent for both Plains AAP, L.P., a Delaware limited partnership (the “Partnership”), and WCW (Willie) Chiang (“Executive”), holder of 1,000,000 of the Partnership’s Class B common units (the “Class B Units”), you are hereby authorized and directed to hold the documents delivered to you pursuant to the terms of that certain Class B Restricted Units Agreement between the Partnership and Executive, dated August 24, 2015, (the “Agreement”), in accordance with the following instructions:</w:t>
      </w:r>
    </w:p>
    <w:p>
      <w:pPr>
        <w:spacing w:after="0" w:line="187" w:lineRule="exact"/>
        <w:rPr>
          <w:sz w:val="20"/>
          <w:szCs w:val="20"/>
          <w:color w:val="auto"/>
        </w:rPr>
      </w:pPr>
    </w:p>
    <w:p>
      <w:pPr>
        <w:ind w:left="660" w:right="100" w:hanging="652"/>
        <w:spacing w:after="0" w:line="259"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of a Forfeiture Event (as defined in the Agreement), the Partnership shall give to Executive and to you a written notice specifying the number of Class B Units to be transferred and delivered to the Partnership pursuant to Section 2.2(a) of the Agreement. Executive and the Partnership hereby irrevocably authorize and direct you to transfer and deliver such Class B Units to the Partnership in accordance with the terms of said notice.</w:t>
      </w:r>
    </w:p>
    <w:p>
      <w:pPr>
        <w:spacing w:after="0" w:line="186" w:lineRule="exact"/>
        <w:rPr>
          <w:rFonts w:ascii="Arial" w:cs="Arial" w:eastAsia="Arial" w:hAnsi="Arial"/>
          <w:sz w:val="18"/>
          <w:szCs w:val="18"/>
          <w:color w:val="auto"/>
        </w:rPr>
      </w:pPr>
    </w:p>
    <w:p>
      <w:pPr>
        <w:ind w:left="660" w:right="240" w:hanging="652"/>
        <w:spacing w:after="0" w:line="342" w:lineRule="auto"/>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connection with the transfer and delivery of Class B Units to the Partnership pursuant to paragraph 1 above, you are directed (a) to date the Assignment Separate From Certificate necessary for the transfer in question, (b) to fill in the number of Class B Units being transferred, and (c) to</w:t>
      </w:r>
    </w:p>
    <w:p>
      <w:pPr>
        <w:sectPr>
          <w:pgSz w:w="11900" w:h="16976" w:orient="portrait"/>
          <w:cols w:equalWidth="0" w:num="1">
            <w:col w:w="11420"/>
          </w:cols>
          <w:pgMar w:left="240" w:top="125" w:right="239" w:bottom="0" w:gutter="0" w:footer="0" w:header="0"/>
          <w:type w:val="continuous"/>
        </w:sectPr>
      </w:pPr>
    </w:p>
    <w:bookmarkStart w:id="164" w:name="page165"/>
    <w:bookmarkEnd w:id="164"/>
    <w:p>
      <w:pPr>
        <w:ind w:left="652"/>
        <w:spacing w:after="0"/>
        <w:rPr>
          <w:sz w:val="20"/>
          <w:szCs w:val="20"/>
          <w:color w:val="auto"/>
        </w:rPr>
      </w:pPr>
      <w:r>
        <w:rPr>
          <w:rFonts w:ascii="Arial" w:cs="Arial" w:eastAsia="Arial" w:hAnsi="Arial"/>
          <w:sz w:val="18"/>
          <w:szCs w:val="18"/>
          <w:color w:val="auto"/>
        </w:rPr>
        <w:t>deliver same, together with the certificate evidencing such Class B Units to be transferred, to the Partnership or its assignee.</w:t>
      </w:r>
    </w:p>
    <w:p>
      <w:pPr>
        <w:spacing w:after="0" w:line="225" w:lineRule="exact"/>
        <w:rPr>
          <w:sz w:val="20"/>
          <w:szCs w:val="20"/>
          <w:color w:val="auto"/>
        </w:rPr>
      </w:pPr>
    </w:p>
    <w:p>
      <w:pPr>
        <w:ind w:left="652" w:right="100" w:hanging="652"/>
        <w:spacing w:after="0" w:line="297" w:lineRule="auto"/>
        <w:tabs>
          <w:tab w:leader="none" w:pos="65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Executive hereby irrevocably authorizes the Partnership to deposit with you any certificates evidencing the Class B Units to be held by you hereunder and any additions and substitutions to said units as set forth in the Agreement. Executive does hereby irrevocably constitute and appoint you as Executive’s attorney-in-fact and agent for the term of this escrow to execute with respect to such Class B Units all documents necessary or appropriate to make such Class B Units negotiable and to complete any transaction herein contemplated, including but not limited to, the filing with any applicable state blue sky authority of any required applications for consent to, or notice of transfer of, the Class B Units.</w:t>
      </w:r>
    </w:p>
    <w:p>
      <w:pPr>
        <w:spacing w:after="0" w:line="158" w:lineRule="exact"/>
        <w:rPr>
          <w:rFonts w:ascii="Arial" w:cs="Arial" w:eastAsia="Arial" w:hAnsi="Arial"/>
          <w:sz w:val="16"/>
          <w:szCs w:val="16"/>
          <w:color w:val="auto"/>
        </w:rPr>
      </w:pPr>
    </w:p>
    <w:p>
      <w:pPr>
        <w:ind w:left="652" w:right="200" w:hanging="652"/>
        <w:spacing w:after="0" w:line="277"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at the time of termination of this escrow you should have in your possession any documents, securities or other property belonging to Executive, you shall deliver all of the same to Executive and shall be discharged of all further obligations hereunder.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52" w:hanging="652"/>
        <w:spacing w:after="0"/>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225" w:lineRule="exact"/>
        <w:rPr>
          <w:rFonts w:ascii="Arial" w:cs="Arial" w:eastAsia="Arial" w:hAnsi="Arial"/>
          <w:sz w:val="18"/>
          <w:szCs w:val="18"/>
          <w:color w:val="auto"/>
        </w:rPr>
      </w:pPr>
    </w:p>
    <w:p>
      <w:pPr>
        <w:ind w:left="652" w:hanging="652"/>
        <w:spacing w:after="0" w:line="257"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Executive while acting in good faith, and any act done or omitted by you pursuant to the advice of your own attorneys shall be conclusive evidence of such good faith.</w:t>
      </w:r>
    </w:p>
    <w:p>
      <w:pPr>
        <w:spacing w:after="0" w:line="188" w:lineRule="exact"/>
        <w:rPr>
          <w:rFonts w:ascii="Arial" w:cs="Arial" w:eastAsia="Arial" w:hAnsi="Arial"/>
          <w:sz w:val="18"/>
          <w:szCs w:val="18"/>
          <w:color w:val="auto"/>
        </w:rPr>
      </w:pPr>
    </w:p>
    <w:p>
      <w:pPr>
        <w:ind w:left="652" w:hanging="652"/>
        <w:spacing w:after="0" w:line="276" w:lineRule="auto"/>
        <w:tabs>
          <w:tab w:leader="none" w:pos="65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72" w:lineRule="exact"/>
        <w:rPr>
          <w:rFonts w:ascii="Arial" w:cs="Arial" w:eastAsia="Arial" w:hAnsi="Arial"/>
          <w:sz w:val="17"/>
          <w:szCs w:val="17"/>
          <w:color w:val="auto"/>
        </w:rPr>
      </w:pPr>
    </w:p>
    <w:p>
      <w:pPr>
        <w:ind w:left="652" w:right="60" w:hanging="652"/>
        <w:spacing w:after="0" w:line="277"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70" w:lineRule="exact"/>
        <w:rPr>
          <w:rFonts w:ascii="Arial" w:cs="Arial" w:eastAsia="Arial" w:hAnsi="Arial"/>
          <w:sz w:val="18"/>
          <w:szCs w:val="18"/>
          <w:color w:val="auto"/>
        </w:rPr>
      </w:pPr>
    </w:p>
    <w:p>
      <w:pPr>
        <w:ind w:left="652" w:right="680" w:hanging="652"/>
        <w:spacing w:after="0" w:line="277"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shall not be liable for the outlawing of any rights under the Statute of Limitations with respect to these Joint Escrow Instructions or any documents deposited with you.</w:t>
      </w:r>
    </w:p>
    <w:p>
      <w:pPr>
        <w:spacing w:after="0" w:line="170" w:lineRule="exact"/>
        <w:rPr>
          <w:rFonts w:ascii="Arial" w:cs="Arial" w:eastAsia="Arial" w:hAnsi="Arial"/>
          <w:sz w:val="18"/>
          <w:szCs w:val="18"/>
          <w:color w:val="auto"/>
        </w:rPr>
      </w:pPr>
    </w:p>
    <w:p>
      <w:pPr>
        <w:ind w:left="652" w:right="240" w:hanging="652"/>
        <w:spacing w:after="0" w:line="308" w:lineRule="auto"/>
        <w:tabs>
          <w:tab w:leader="none" w:pos="64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and proper to advise you in connection with your obligations hereunder, may rely upon the advice of such counsel, and may pay such counsel reasonable compensation therefor.</w:t>
      </w:r>
    </w:p>
    <w:p>
      <w:pPr>
        <w:spacing w:after="0" w:line="146" w:lineRule="exact"/>
        <w:rPr>
          <w:rFonts w:ascii="Arial" w:cs="Arial" w:eastAsia="Arial" w:hAnsi="Arial"/>
          <w:sz w:val="17"/>
          <w:szCs w:val="17"/>
          <w:color w:val="auto"/>
        </w:rPr>
      </w:pPr>
    </w:p>
    <w:p>
      <w:pPr>
        <w:jc w:val="both"/>
        <w:ind w:left="652" w:right="200" w:hanging="652"/>
        <w:spacing w:after="0" w:line="342" w:lineRule="auto"/>
        <w:tabs>
          <w:tab w:leader="none" w:pos="6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Your responsibilities as Escrow Agent hereunder shall terminate if you shall cease to be an officer or agent of the Partnership or its general partner, or if you shall resign by written notice to each party. In the event of any such termination, the Partnership shall appoint a successor Escrow Agent.</w:t>
      </w:r>
    </w:p>
    <w:p>
      <w:pPr>
        <w:spacing w:after="0" w:line="123" w:lineRule="exact"/>
        <w:rPr>
          <w:rFonts w:ascii="Arial" w:cs="Arial" w:eastAsia="Arial" w:hAnsi="Arial"/>
          <w:sz w:val="16"/>
          <w:szCs w:val="16"/>
          <w:color w:val="auto"/>
        </w:rPr>
      </w:pPr>
    </w:p>
    <w:p>
      <w:pPr>
        <w:ind w:left="652" w:right="660" w:hanging="652"/>
        <w:spacing w:after="0" w:line="277" w:lineRule="auto"/>
        <w:tabs>
          <w:tab w:leader="none" w:pos="6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70" w:lineRule="exact"/>
        <w:rPr>
          <w:rFonts w:ascii="Arial" w:cs="Arial" w:eastAsia="Arial" w:hAnsi="Arial"/>
          <w:sz w:val="18"/>
          <w:szCs w:val="18"/>
          <w:color w:val="auto"/>
        </w:rPr>
      </w:pPr>
    </w:p>
    <w:p>
      <w:pPr>
        <w:ind w:left="652" w:right="60" w:hanging="652"/>
        <w:spacing w:after="0" w:line="312" w:lineRule="auto"/>
        <w:tabs>
          <w:tab w:leader="none" w:pos="6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652" w:right="120"/>
        <w:spacing w:after="0" w:line="277" w:lineRule="auto"/>
        <w:rPr>
          <w:rFonts w:ascii="Arial" w:cs="Arial" w:eastAsia="Arial" w:hAnsi="Arial"/>
          <w:sz w:val="16"/>
          <w:szCs w:val="16"/>
          <w:color w:val="auto"/>
        </w:rPr>
      </w:pPr>
      <w:r>
        <w:rPr>
          <w:rFonts w:ascii="Arial" w:cs="Arial" w:eastAsia="Arial" w:hAnsi="Arial"/>
          <w:sz w:val="18"/>
          <w:szCs w:val="18"/>
          <w:color w:val="auto"/>
        </w:rPr>
        <w:t>competent jurisdiction after the time for appeal has expired and no appeal has been perfected, but you shall be under no duty whatsoever to institute or defend any such proceedings.</w:t>
      </w:r>
    </w:p>
    <w:p>
      <w:pPr>
        <w:spacing w:after="0" w:line="170" w:lineRule="exact"/>
        <w:rPr>
          <w:rFonts w:ascii="Arial" w:cs="Arial" w:eastAsia="Arial" w:hAnsi="Arial"/>
          <w:sz w:val="16"/>
          <w:szCs w:val="16"/>
          <w:color w:val="auto"/>
        </w:rPr>
      </w:pPr>
    </w:p>
    <w:p>
      <w:pPr>
        <w:ind w:left="652" w:right="40" w:hanging="652"/>
        <w:spacing w:after="0" w:line="259" w:lineRule="auto"/>
        <w:tabs>
          <w:tab w:leader="none" w:pos="647"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these Joint Escrow Instructions shall be in writing and shall be given by facsimile or first class mail, certified or registered with return receipt requested, and shall be deemed to have been duly given three days after mailing or 24 hours after transmission by facsimile to the respective parties named below at the following addresses or at such other addresses as a party may designate by ten day’s advance written notice to each of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-6313805</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-1339850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sectPr>
      </w:pPr>
    </w:p>
    <w:p>
      <w:pPr>
        <w:spacing w:after="0" w:line="187" w:lineRule="exact"/>
        <w:rPr>
          <w:sz w:val="20"/>
          <w:szCs w:val="20"/>
          <w:color w:val="auto"/>
        </w:rPr>
      </w:pPr>
    </w:p>
    <w:p>
      <w:pPr>
        <w:ind w:left="632"/>
        <w:spacing w:after="0"/>
        <w:rPr>
          <w:sz w:val="20"/>
          <w:szCs w:val="20"/>
          <w:color w:val="auto"/>
        </w:rPr>
      </w:pPr>
      <w:r>
        <w:rPr>
          <w:rFonts w:ascii="Arial" w:cs="Arial" w:eastAsia="Arial" w:hAnsi="Arial"/>
          <w:sz w:val="16"/>
          <w:szCs w:val="16"/>
          <w:color w:val="auto"/>
        </w:rPr>
        <w:t>If to the Partnership or</w:t>
      </w:r>
    </w:p>
    <w:p>
      <w:pPr>
        <w:spacing w:after="0" w:line="46" w:lineRule="exact"/>
        <w:rPr>
          <w:sz w:val="20"/>
          <w:szCs w:val="20"/>
          <w:color w:val="auto"/>
        </w:rPr>
      </w:pPr>
    </w:p>
    <w:p>
      <w:pPr>
        <w:ind w:left="632"/>
        <w:spacing w:after="0"/>
        <w:rPr>
          <w:sz w:val="20"/>
          <w:szCs w:val="20"/>
          <w:color w:val="auto"/>
        </w:rPr>
      </w:pPr>
      <w:r>
        <w:rPr>
          <w:rFonts w:ascii="Arial" w:cs="Arial" w:eastAsia="Arial" w:hAnsi="Arial"/>
          <w:sz w:val="18"/>
          <w:szCs w:val="18"/>
          <w:color w:val="auto"/>
        </w:rPr>
        <w:t>to Executive: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As provided in the Partnership Agreement</w:t>
      </w:r>
    </w:p>
    <w:p>
      <w:pPr>
        <w:spacing w:after="0" w:line="237" w:lineRule="exact"/>
        <w:rPr>
          <w:sz w:val="20"/>
          <w:szCs w:val="20"/>
          <w:color w:val="auto"/>
        </w:rPr>
      </w:pPr>
    </w:p>
    <w:p>
      <w:pPr>
        <w:sectPr>
          <w:pgSz w:w="11900" w:h="16838" w:orient="portrait"/>
          <w:cols w:equalWidth="0" w:num="2">
            <w:col w:w="4852" w:space="720"/>
            <w:col w:w="5840"/>
          </w:cols>
          <w:pgMar w:left="248" w:top="125" w:right="239" w:bottom="0" w:gutter="0" w:footer="0" w:header="0"/>
          <w:type w:val="continuous"/>
        </w:sectPr>
      </w:pPr>
    </w:p>
    <w:p>
      <w:pPr>
        <w:spacing w:after="0" w:line="11" w:lineRule="exact"/>
        <w:rPr>
          <w:sz w:val="20"/>
          <w:szCs w:val="20"/>
          <w:color w:val="auto"/>
        </w:rPr>
      </w:pPr>
    </w:p>
    <w:p>
      <w:pPr>
        <w:ind w:left="632"/>
        <w:spacing w:after="0"/>
        <w:rPr>
          <w:sz w:val="20"/>
          <w:szCs w:val="20"/>
          <w:color w:val="auto"/>
        </w:rPr>
      </w:pPr>
      <w:r>
        <w:rPr>
          <w:rFonts w:ascii="Arial" w:cs="Arial" w:eastAsia="Arial" w:hAnsi="Arial"/>
          <w:sz w:val="16"/>
          <w:szCs w:val="16"/>
          <w:color w:val="auto"/>
        </w:rPr>
        <w:t>If to the Escrow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Plains All American GP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333 Clay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00" w:lineRule="exact"/>
        <w:rPr>
          <w:sz w:val="20"/>
          <w:szCs w:val="20"/>
          <w:color w:val="auto"/>
        </w:rPr>
      </w:pPr>
    </w:p>
    <w:p>
      <w:pPr>
        <w:sectPr>
          <w:pgSz w:w="11900" w:h="16838" w:orient="portrait"/>
          <w:cols w:equalWidth="0" w:num="2">
            <w:col w:w="4852" w:space="720"/>
            <w:col w:w="5840"/>
          </w:cols>
          <w:pgMar w:left="248" w:top="125" w:right="239" w:bottom="0" w:gutter="0" w:footer="0" w:header="0"/>
          <w:type w:val="continuous"/>
        </w:sectPr>
      </w:pPr>
    </w:p>
    <w:p>
      <w:pPr>
        <w:spacing w:after="0" w:line="11"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Attn: Secretary</w:t>
      </w:r>
    </w:p>
    <w:p>
      <w:pPr>
        <w:spacing w:after="0" w:line="23" w:lineRule="exact"/>
        <w:rPr>
          <w:sz w:val="20"/>
          <w:szCs w:val="20"/>
          <w:color w:val="auto"/>
        </w:rPr>
      </w:pPr>
    </w:p>
    <w:p>
      <w:pPr>
        <w:ind w:left="5572"/>
        <w:spacing w:after="0"/>
        <w:rPr>
          <w:sz w:val="20"/>
          <w:szCs w:val="20"/>
          <w:color w:val="auto"/>
        </w:rPr>
      </w:pPr>
      <w:r>
        <w:rPr>
          <w:rFonts w:ascii="Arial" w:cs="Arial" w:eastAsia="Arial" w:hAnsi="Arial"/>
          <w:sz w:val="16"/>
          <w:szCs w:val="16"/>
          <w:color w:val="auto"/>
        </w:rPr>
        <w:t>Facsimile: 713-646-4313</w:t>
      </w:r>
    </w:p>
    <w:p>
      <w:pPr>
        <w:sectPr>
          <w:pgSz w:w="11900" w:h="16838" w:orient="portrait"/>
          <w:cols w:equalWidth="0" w:num="1">
            <w:col w:w="11412"/>
          </w:cols>
          <w:pgMar w:left="248" w:top="125" w:right="239" w:bottom="0" w:gutter="0" w:footer="0" w:header="0"/>
          <w:type w:val="continuous"/>
        </w:sectPr>
      </w:pPr>
    </w:p>
    <w:p>
      <w:pPr>
        <w:spacing w:after="0" w:line="234" w:lineRule="exact"/>
        <w:rPr>
          <w:sz w:val="20"/>
          <w:szCs w:val="20"/>
          <w:color w:val="auto"/>
        </w:rPr>
      </w:pPr>
    </w:p>
    <w:p>
      <w:pPr>
        <w:ind w:left="652" w:right="200" w:hanging="652"/>
        <w:spacing w:after="0" w:line="277" w:lineRule="auto"/>
        <w:tabs>
          <w:tab w:leader="none" w:pos="6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This instrument shall be binding upon and inure to the benefit of the parties hereto, and their respective successors and permitted assigns.</w:t>
      </w:r>
    </w:p>
    <w:p>
      <w:pPr>
        <w:spacing w:after="0" w:line="236" w:lineRule="exact"/>
        <w:rPr>
          <w:rFonts w:ascii="Arial" w:cs="Arial" w:eastAsia="Arial" w:hAnsi="Arial"/>
          <w:sz w:val="17"/>
          <w:szCs w:val="17"/>
          <w:color w:val="auto"/>
        </w:rPr>
      </w:pPr>
    </w:p>
    <w:p>
      <w:pPr>
        <w:ind w:left="652" w:hanging="652"/>
        <w:spacing w:after="0"/>
        <w:tabs>
          <w:tab w:leader="none" w:pos="65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These Joint Escrow Instructions shall be governed by the internal substantive laws, but not the choice of law rules, of the State of Delaware.</w:t>
      </w:r>
    </w:p>
    <w:p>
      <w:pPr>
        <w:sectPr>
          <w:pgSz w:w="11900" w:h="16838" w:orient="portrait"/>
          <w:cols w:equalWidth="0" w:num="1">
            <w:col w:w="11412"/>
          </w:cols>
          <w:pgMar w:left="248" w:top="125" w:right="239" w:bottom="0" w:gutter="0" w:footer="0" w:header="0"/>
          <w:type w:val="continuous"/>
        </w:sectPr>
      </w:pPr>
    </w:p>
    <w:bookmarkStart w:id="165" w:name="page166"/>
    <w:bookmarkEnd w:id="165"/>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GRANTEE:</w:t>
            </w:r>
          </w:p>
        </w:tc>
        <w:tc>
          <w:tcPr>
            <w:tcW w:w="4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PARTNERSHIP:</w:t>
            </w:r>
          </w:p>
        </w:tc>
      </w:tr>
      <w:tr>
        <w:trPr>
          <w:trHeight w:val="41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Plains AAP, L.P.</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   Plains All American GP LLC, its</w:t>
            </w:r>
          </w:p>
        </w:tc>
      </w:tr>
      <w:tr>
        <w:trPr>
          <w:trHeight w:val="230"/>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224"/>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418"/>
        </w:trPr>
        <w:tc>
          <w:tcPr>
            <w:tcW w:w="5320" w:type="dxa"/>
            <w:vAlign w:val="bottom"/>
            <w:gridSpan w:val="2"/>
          </w:tcPr>
          <w:p>
            <w:pPr>
              <w:spacing w:after="0"/>
              <w:rPr>
                <w:sz w:val="20"/>
                <w:szCs w:val="20"/>
                <w:color w:val="auto"/>
              </w:rPr>
            </w:pPr>
            <w:r>
              <w:rPr>
                <w:rFonts w:ascii="Arial" w:cs="Arial" w:eastAsia="Arial" w:hAnsi="Arial"/>
                <w:sz w:val="18"/>
                <w:szCs w:val="18"/>
                <w:color w:val="auto"/>
              </w:rPr>
              <w:t>WCW (Willie) Chiang</w:t>
            </w:r>
          </w:p>
        </w:tc>
        <w:tc>
          <w:tcPr>
            <w:tcW w:w="40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24"/>
        </w:trPr>
        <w:tc>
          <w:tcPr>
            <w:tcW w:w="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Richard McGee, Executive Vice President</w:t>
            </w:r>
          </w:p>
        </w:tc>
      </w:tr>
      <w:tr>
        <w:trPr>
          <w:trHeight w:val="418"/>
        </w:trPr>
        <w:tc>
          <w:tcPr>
            <w:tcW w:w="5320" w:type="dxa"/>
            <w:vAlign w:val="bottom"/>
            <w:gridSpan w:val="2"/>
          </w:tcPr>
          <w:p>
            <w:pPr>
              <w:spacing w:after="0"/>
              <w:rPr>
                <w:sz w:val="20"/>
                <w:szCs w:val="20"/>
                <w:color w:val="auto"/>
              </w:rPr>
            </w:pPr>
            <w:r>
              <w:rPr>
                <w:rFonts w:ascii="Arial" w:cs="Arial" w:eastAsia="Arial" w:hAnsi="Arial"/>
                <w:sz w:val="18"/>
                <w:szCs w:val="18"/>
                <w:color w:val="auto"/>
              </w:rPr>
              <w:t>Residence Address:</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160" w:type="dxa"/>
            <w:vAlign w:val="bottom"/>
          </w:tcPr>
          <w:p>
            <w:pPr>
              <w:spacing w:after="0"/>
              <w:rPr>
                <w:sz w:val="18"/>
                <w:szCs w:val="18"/>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ESCROW AGENT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Richard McGee,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UNITS AGREEMENT</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“Applicable Carryover Amount” </w:t>
      </w:r>
      <w:r>
        <w:rPr>
          <w:rFonts w:ascii="Arial" w:cs="Arial" w:eastAsia="Arial" w:hAnsi="Arial"/>
          <w:sz w:val="18"/>
          <w:szCs w:val="18"/>
          <w:color w:val="auto"/>
        </w:rPr>
        <w:t>means, with respect to a particular fiscal quarter, an amount of the Cumulative Carryover Amount equal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lesser of (i) the Unapplied Cumulative Carryover Amount for such quarter and (ii) the amount, if any, by which $11 million exceeds the Applicable Debt Service Amount for such quarter.</w:t>
      </w:r>
    </w:p>
    <w:p>
      <w:pPr>
        <w:spacing w:after="0" w:line="177" w:lineRule="exact"/>
        <w:rPr>
          <w:sz w:val="20"/>
          <w:szCs w:val="20"/>
          <w:color w:val="auto"/>
        </w:rPr>
      </w:pPr>
    </w:p>
    <w:p>
      <w:pPr>
        <w:ind w:right="440" w:firstLine="648"/>
        <w:spacing w:after="0" w:line="293"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Applicable Debt Service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any fiscal quarter, the aggregate amount, if any, of principal and interest paid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or any of its Subsidiaries in respect of any Distribution Loan or Distribution Loans during such quarter; provided, however, that</w:t>
      </w:r>
    </w:p>
    <w:p>
      <w:pPr>
        <w:spacing w:after="0" w:line="1" w:lineRule="exact"/>
        <w:rPr>
          <w:sz w:val="20"/>
          <w:szCs w:val="20"/>
          <w:color w:val="auto"/>
        </w:rPr>
      </w:pPr>
    </w:p>
    <w:p>
      <w:pPr>
        <w:ind w:right="40" w:firstLine="8"/>
        <w:spacing w:after="0" w:line="281" w:lineRule="auto"/>
        <w:tabs>
          <w:tab w:leader="none" w:pos="2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notwithstanding the foregoing, the “Applicable Debt Service Amount” shall not include that portion of any such payment that is funded with the proceeds of indebtedness incurred by the Partnership or any of its Subsidiaries (it being understood that any such indebtedness shall constitute a Distribution Loan) and</w:t>
      </w:r>
    </w:p>
    <w:p>
      <w:pPr>
        <w:spacing w:after="0" w:line="1"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avoidance of doubt, any principal or interest payment in respect of any Distribution Loan that is made by any Person other than the Partnership or any of its Subsidiaries shall not constitute “Applicable Debt Service Amount”.</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“Carryover Amount” </w:t>
      </w:r>
      <w:r>
        <w:rPr>
          <w:rFonts w:ascii="Arial" w:cs="Arial" w:eastAsia="Arial" w:hAnsi="Arial"/>
          <w:sz w:val="18"/>
          <w:szCs w:val="18"/>
          <w:color w:val="auto"/>
        </w:rPr>
        <w:t>means, for any particular fiscal quarter, the aggregate amount by which the Applicable Debt Service Amount for such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exceeds $11.0 million.</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“Distribution Loan” </w:t>
      </w:r>
      <w:r>
        <w:rPr>
          <w:rFonts w:ascii="Arial" w:cs="Arial" w:eastAsia="Arial" w:hAnsi="Arial"/>
          <w:sz w:val="17"/>
          <w:szCs w:val="17"/>
          <w:color w:val="auto"/>
        </w:rPr>
        <w:t>means a loan to the Partnership, the proceeds of which are distributed only with respect to the Class A Units (and, if applicable,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General Partner); provided, that if any proceeds of a loan are used for any purposes other than such a distribution, only the portion of such loan distributed with respect to the Class A Units (and, if applicable, the General Partner) shall be deemed to be a “Distribution Loan.”</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“Distribution Threshold Amount” </w:t>
      </w:r>
      <w:r>
        <w:rPr>
          <w:rFonts w:ascii="Arial" w:cs="Arial" w:eastAsia="Arial" w:hAnsi="Arial"/>
          <w:sz w:val="18"/>
          <w:szCs w:val="18"/>
          <w:color w:val="auto"/>
        </w:rPr>
        <w:t>means, with respect to any fiscal quarter, the amount by which (a) $11.0 million exceeds (b) the sum of (i)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Debt Service Amount for such quarter plus (ii) the Applicable Carryover Amount for such quarter.</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“Cumulative Carryover Amount” </w:t>
      </w:r>
      <w:r>
        <w:rPr>
          <w:rFonts w:ascii="Arial" w:cs="Arial" w:eastAsia="Arial" w:hAnsi="Arial"/>
          <w:sz w:val="18"/>
          <w:szCs w:val="18"/>
          <w:color w:val="auto"/>
        </w:rPr>
        <w:t>means, as of any particular fiscal quarter, an amount equal to the aggregate Carryover Amounts, if any, for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fiscal quarters.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“Unapplied Cumulative Carryover Amount” </w:t>
      </w:r>
      <w:r>
        <w:rPr>
          <w:rFonts w:ascii="Arial" w:cs="Arial" w:eastAsia="Arial" w:hAnsi="Arial"/>
          <w:sz w:val="17"/>
          <w:szCs w:val="17"/>
          <w:color w:val="auto"/>
        </w:rPr>
        <w:t>means, as of any particular fiscal quarter, that portion of the Cumulative Carryover Amount, if any,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included in the calculation of the Distribution Threshold Amount for any prior quarter. For the avoidance of doubt, with respect to any fiscal quarter, the aggregate amount of the Cumulative Carryover Amount that has been included in the calculation of the Distribution Threshold Amount for all preceding fiscal quarters shall equal the aggregate Applicable Carryover Amounts for all such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CONFIDENTIAL INFORMATION</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AND NON-SOLICITATION AGREEMENT</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AGREEMENT effective as of the 24th day of August, 2015, between Plains All American GP LLC for itself and on behalf of its affiliates (all referred to as the “Company”), and WCW (Willie) Chiang (the “Employee”).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ectPr>
          <w:pgSz w:w="11900" w:h="16838" w:orient="portrait"/>
          <w:cols w:equalWidth="0" w:num="1">
            <w:col w:w="11420"/>
          </w:cols>
          <w:pgMar w:left="240" w:top="733" w:right="239" w:bottom="0" w:gutter="0" w:footer="0" w:header="0"/>
        </w:sectPr>
      </w:pPr>
    </w:p>
    <w:bookmarkStart w:id="166" w:name="page167"/>
    <w:bookmarkEnd w:id="166"/>
    <w:p>
      <w:pPr>
        <w:ind w:right="100" w:firstLine="648"/>
        <w:spacing w:after="0" w:line="264" w:lineRule="auto"/>
        <w:rPr>
          <w:sz w:val="20"/>
          <w:szCs w:val="20"/>
          <w:color w:val="auto"/>
        </w:rPr>
      </w:pPr>
      <w:r>
        <w:rPr>
          <w:rFonts w:ascii="Arial" w:cs="Arial" w:eastAsia="Arial" w:hAnsi="Arial"/>
          <w:sz w:val="18"/>
          <w:szCs w:val="18"/>
          <w:color w:val="auto"/>
        </w:rPr>
        <w:t>WHEREAS, the Company’s business includes the transportation, storage, terminalling, purchase, sale, exchange and trading of liquid hydrocarbons (including crude oil and refined products) as well as natural gas storage and processing and related services, in the United States and Canada, including offshore production, and in Federal Waters in the Gulf of Mexico, (the “Region”); and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WHEREAS, the Company’s relationship with its shippers, customers and suppliers is special and unique and is based upon valuable and confidential information concerning the identity of such shippers, customers and suppliers, the decision processes used by such shippers, customers and suppliers, the authority of officers and employees of such shippers, customers and suppliers, the production and sales patterns of such shippers, customers and suppliers, special contract requirements of such shippers, customers and suppliers, the quality of crude oil produced by such shippers, customers and suppliers and marketing alternatives relating thereto trading strategies and practices and other special information concerning such shippers, customers and suppliers, all of which was developed by the Company over time and at substantial expense to the Company, and all of which constitute trade secrets of the Company (“Trade Secrets”); and</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WHEREAS, a core element of the business model and strategy to optimize the Company’s assets and their operational and financial performance includes the review, analysis, acquisition, integration and operation of assets and entities engaged in the transportation, storage, terminalling, purchase, sale, exchange and trading of liquid hydrocarbons (including crude oil and refined products) as well as natural gas storage and processing and related services, in the Region for which the Company has developed valuable and confidential methods and practices with respect to such review, analysis and integration activities (“Proprietary Practices”); and</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WHEREAS, on July 10, 2015, the Company entered into an employment letter (the “Employment Agreement”) with and for the benefit of the Employee;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Company entering into the Employment Agreement, the Employee and the Company agree as follows:</w:t>
      </w:r>
    </w:p>
    <w:p>
      <w:pPr>
        <w:spacing w:after="0" w:line="248" w:lineRule="exact"/>
        <w:rPr>
          <w:sz w:val="20"/>
          <w:szCs w:val="20"/>
          <w:color w:val="auto"/>
        </w:rPr>
      </w:pPr>
    </w:p>
    <w:p>
      <w:pPr>
        <w:ind w:right="240" w:firstLine="656"/>
        <w:spacing w:after="0" w:line="259" w:lineRule="auto"/>
        <w:tabs>
          <w:tab w:leader="none" w:pos="1296"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Recognizing that the success of the Company’s business will depend upon the protection of the Trade Secrets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Practices and that the Employee now has, and during the course of his employment may develop, Trade Secrets or Proprietary Practices for the benefit of the Company or other information and data of a secret or proprietary nature of the Company that the Company wishes to keep confidential, the Employee agrees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93" w:lineRule="auto"/>
        <w:tabs>
          <w:tab w:leader="none" w:pos="195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Employee acknowledges that the Company has exclusive property rights to all Trade Secrets and Proprietary Practices. Except as required in the performance of his duties to the Company, the Employee will not at any time during or after the term of his employment, directly or indirectly (i) communicate, disclose or disseminate any Trade Secrets, Proprietary Practices or any other information of a secret, proprietary, confidential or generally undisclosed nature relating to the Company, its customers, business methods and services (“Confidential Information”) to any person other than officers and employees of the Company who are authorized to receive such information or (ii) use any Trade Secrets, Proprietary Practices or Confidential Information other than as may be necessary for the Employee to perform his duties for the Company.</w:t>
      </w:r>
    </w:p>
    <w:p>
      <w:pPr>
        <w:spacing w:after="0" w:line="164" w:lineRule="exact"/>
        <w:rPr>
          <w:rFonts w:ascii="Arial" w:cs="Arial" w:eastAsia="Arial" w:hAnsi="Arial"/>
          <w:sz w:val="16"/>
          <w:szCs w:val="16"/>
          <w:color w:val="auto"/>
        </w:rPr>
      </w:pPr>
    </w:p>
    <w:p>
      <w:pPr>
        <w:jc w:val="both"/>
        <w:ind w:left="660" w:firstLine="645"/>
        <w:spacing w:after="0" w:line="259" w:lineRule="auto"/>
        <w:tabs>
          <w:tab w:leader="none" w:pos="19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With respect to Trade Secrets, Proprietary Practices and other Confidential Information, the Employee’s obligations under paragraph 1(a) shall continue until the earlier of two years after the Employee’s termination of employment (whether during the term of the Employment Agreement or thereafter) with the Company or such information has been made available generally to the public either by the Company or by a third party with the Company’s consent.</w:t>
      </w:r>
    </w:p>
    <w:p>
      <w:pPr>
        <w:spacing w:after="0" w:line="186" w:lineRule="exact"/>
        <w:rPr>
          <w:rFonts w:ascii="Arial" w:cs="Arial" w:eastAsia="Arial" w:hAnsi="Arial"/>
          <w:sz w:val="18"/>
          <w:szCs w:val="18"/>
          <w:color w:val="auto"/>
        </w:rPr>
      </w:pPr>
    </w:p>
    <w:p>
      <w:pPr>
        <w:ind w:left="660" w:right="80" w:firstLine="645"/>
        <w:spacing w:after="0" w:line="257" w:lineRule="auto"/>
        <w:tabs>
          <w:tab w:leader="none" w:pos="196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documents, records, notebooks, notes, memoranda and similar repositories of, or containing, Trade Secrets, Proprietary Practices or Confidential Information made or compiled by the Employee at any time or made available to him prior to or during the term of his employment by the Company, including any and all copies thereof, shall be the property of the Company, shall be held by the Employee in trust solely for the benefit of the Company, and shall be delivered to the Company by the Employee on the termination of his employment or at any other time on the request of the Company.</w:t>
      </w:r>
    </w:p>
    <w:p>
      <w:pPr>
        <w:spacing w:after="0" w:line="188" w:lineRule="exact"/>
        <w:rPr>
          <w:rFonts w:ascii="Arial" w:cs="Arial" w:eastAsia="Arial" w:hAnsi="Arial"/>
          <w:sz w:val="18"/>
          <w:szCs w:val="18"/>
          <w:color w:val="auto"/>
        </w:rPr>
      </w:pPr>
    </w:p>
    <w:p>
      <w:pPr>
        <w:ind w:left="660" w:right="520" w:firstLine="645"/>
        <w:spacing w:after="0" w:line="308" w:lineRule="auto"/>
        <w:tabs>
          <w:tab w:leader="none" w:pos="1964" w:val="left"/>
        </w:tabs>
        <w:numPr>
          <w:ilvl w:val="1"/>
          <w:numId w:val="158"/>
        </w:numPr>
        <w:rPr>
          <w:rFonts w:ascii="Arial" w:cs="Arial" w:eastAsia="Arial" w:hAnsi="Arial"/>
          <w:sz w:val="17"/>
          <w:szCs w:val="17"/>
          <w:color w:val="auto"/>
        </w:rPr>
      </w:pPr>
      <w:r>
        <w:rPr>
          <w:rFonts w:ascii="Arial" w:cs="Arial" w:eastAsia="Arial" w:hAnsi="Arial"/>
          <w:sz w:val="17"/>
          <w:szCs w:val="17"/>
          <w:color w:val="auto"/>
        </w:rPr>
        <w:t>Without limiting the foregoing, the Employee may, following the termination of his employment with the Company, use the general skills, knowledge and experience that he learned or developed during his employment by the Company.</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Non-solicitation.</w:t>
      </w:r>
    </w:p>
    <w:p>
      <w:pPr>
        <w:spacing w:after="0" w:line="225" w:lineRule="exact"/>
        <w:rPr>
          <w:rFonts w:ascii="Arial" w:cs="Arial" w:eastAsia="Arial" w:hAnsi="Arial"/>
          <w:sz w:val="18"/>
          <w:szCs w:val="18"/>
          <w:i w:val="1"/>
          <w:iCs w:val="1"/>
          <w:color w:val="auto"/>
        </w:rPr>
      </w:pPr>
    </w:p>
    <w:p>
      <w:pPr>
        <w:ind w:left="660" w:right="60" w:firstLine="645"/>
        <w:spacing w:after="0" w:line="255" w:lineRule="auto"/>
        <w:tabs>
          <w:tab w:leader="none" w:pos="195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the Employee’s employment with the Company is terminated for any reason, then the Employee will not for a period of two years following such termination, directly or indirectly, either as an employee, employer, consultant, agent, principal, partner, stockholder, corporate officer, director or in any other individual or representative capacity, purchase, or solicit or assist in the solicitation of (i) assets that have previously been pursued by the Company during the one year period preceding such termination, or (ii) business of the type conducted by the Company with or from any shipper, customer or supplier of any liquid hydrocarbons with which the Company conducted any such transactions during the one year period preceding such termination.</w:t>
      </w:r>
    </w:p>
    <w:p>
      <w:pPr>
        <w:spacing w:after="0" w:line="193" w:lineRule="exact"/>
        <w:rPr>
          <w:rFonts w:ascii="Arial" w:cs="Arial" w:eastAsia="Arial" w:hAnsi="Arial"/>
          <w:sz w:val="18"/>
          <w:szCs w:val="18"/>
          <w:color w:val="auto"/>
        </w:rPr>
      </w:pPr>
    </w:p>
    <w:p>
      <w:pPr>
        <w:ind w:left="660" w:right="340" w:firstLine="645"/>
        <w:spacing w:after="0" w:line="259" w:lineRule="auto"/>
        <w:tabs>
          <w:tab w:leader="none" w:pos="196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the Employee’s employment with the Company is terminated for any reason, then for a period of two years following such termination the Employee will not, without the prior written consent of the Company, solicit or cause to be solicited any person employed by the Company or its subsidiaries or affiliates at any time during such period or the six months prior to such period. Notwithstanding the foregoing, nothing herein will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construed to prevent the Employee, following such termination, from interviewing and/or offering employment to an employee of the Company who responds to a published general employment advertisement or to a “non-directed” executive search.</w:t>
      </w:r>
    </w:p>
    <w:p>
      <w:pPr>
        <w:sectPr>
          <w:pgSz w:w="11900" w:h="16838" w:orient="portrait"/>
          <w:cols w:equalWidth="0" w:num="1">
            <w:col w:w="11400"/>
          </w:cols>
          <w:pgMar w:left="240" w:top="341" w:right="259" w:bottom="0" w:gutter="0" w:footer="0" w:header="0"/>
        </w:sectPr>
      </w:pPr>
    </w:p>
    <w:bookmarkStart w:id="167" w:name="page168"/>
    <w:bookmarkEnd w:id="167"/>
    <w:p>
      <w:pPr>
        <w:ind w:left="660" w:firstLine="645"/>
        <w:spacing w:after="0" w:line="259" w:lineRule="auto"/>
        <w:tabs>
          <w:tab w:leader="none" w:pos="196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This paragraph 2 shall not limit the Employee, following the termination of his Employment with the Company, from engaging in any activity outside of the Region, or from soliciting or assisting in the solicitation of storage or transportation services for crude oil from facilities which were not part of any of the Company’s transactions during the one year period prior to the termination of the Employee’s employment with the Company.</w:t>
      </w:r>
    </w:p>
    <w:p>
      <w:pPr>
        <w:spacing w:after="0" w:line="186" w:lineRule="exact"/>
        <w:rPr>
          <w:rFonts w:ascii="Arial" w:cs="Arial" w:eastAsia="Arial" w:hAnsi="Arial"/>
          <w:sz w:val="18"/>
          <w:szCs w:val="18"/>
          <w:color w:val="auto"/>
        </w:rPr>
      </w:pPr>
    </w:p>
    <w:p>
      <w:pPr>
        <w:ind w:right="400" w:firstLine="656"/>
        <w:spacing w:after="0" w:line="264" w:lineRule="auto"/>
        <w:tabs>
          <w:tab w:leader="none" w:pos="1296"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Ancillary Agreement. </w:t>
      </w:r>
      <w:r>
        <w:rPr>
          <w:rFonts w:ascii="Arial" w:cs="Arial" w:eastAsia="Arial" w:hAnsi="Arial"/>
          <w:sz w:val="18"/>
          <w:szCs w:val="18"/>
          <w:color w:val="auto"/>
        </w:rPr>
        <w:t>The Employee acknowledges and represents to the Company that the agreement in paragraph 2 is ancillary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paragraph 1, and the restrictions contained in paragraph 2 do not impose a greater restraint than is necessary to protect the interest of the Company in securing its Trade Secrets and Confidential Information.</w:t>
      </w:r>
    </w:p>
    <w:p>
      <w:pPr>
        <w:spacing w:after="0" w:line="181" w:lineRule="exact"/>
        <w:rPr>
          <w:rFonts w:ascii="Arial" w:cs="Arial" w:eastAsia="Arial" w:hAnsi="Arial"/>
          <w:sz w:val="18"/>
          <w:szCs w:val="18"/>
          <w:i w:val="1"/>
          <w:iCs w:val="1"/>
          <w:color w:val="auto"/>
        </w:rPr>
      </w:pPr>
    </w:p>
    <w:p>
      <w:pPr>
        <w:jc w:val="both"/>
        <w:ind w:right="140" w:firstLine="656"/>
        <w:spacing w:after="0" w:line="259" w:lineRule="auto"/>
        <w:tabs>
          <w:tab w:leader="none" w:pos="1296"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Specific Enforcement; Legal Fees. </w:t>
      </w:r>
      <w:r>
        <w:rPr>
          <w:rFonts w:ascii="Arial" w:cs="Arial" w:eastAsia="Arial" w:hAnsi="Arial"/>
          <w:sz w:val="18"/>
          <w:szCs w:val="18"/>
          <w:color w:val="auto"/>
        </w:rPr>
        <w:t>The Employee acknowledges that a breach of this Agreement is likely to result in irreparable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unreasonable harm to the Company, and that injunctive relief, as well as damages, would be appropriate. In the event of litigation between the parties concerning this Agreement, the prevailing party shall be entitled (in addition to any other relief to which it may be entitled) to an award of costs of court and reasonable attorneys’ fees and expenses incurred in such litigation.</w:t>
      </w:r>
    </w:p>
    <w:p>
      <w:pPr>
        <w:spacing w:after="0" w:line="186" w:lineRule="exact"/>
        <w:rPr>
          <w:rFonts w:ascii="Arial" w:cs="Arial" w:eastAsia="Arial" w:hAnsi="Arial"/>
          <w:sz w:val="18"/>
          <w:szCs w:val="18"/>
          <w:i w:val="1"/>
          <w:iCs w:val="1"/>
          <w:color w:val="auto"/>
        </w:rPr>
      </w:pPr>
    </w:p>
    <w:p>
      <w:pPr>
        <w:ind w:right="140" w:firstLine="656"/>
        <w:spacing w:after="0" w:line="277" w:lineRule="auto"/>
        <w:tabs>
          <w:tab w:leader="none" w:pos="1296"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Successors and Assigns. </w:t>
      </w:r>
      <w:r>
        <w:rPr>
          <w:rFonts w:ascii="Arial" w:cs="Arial" w:eastAsia="Arial" w:hAnsi="Arial"/>
          <w:sz w:val="18"/>
          <w:szCs w:val="18"/>
          <w:color w:val="auto"/>
        </w:rPr>
        <w:t>This Agreement shall be binding upon, and shall inure to the benefit of the heirs, legal representatives,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of the parties hereto.</w:t>
      </w:r>
    </w:p>
    <w:p>
      <w:pPr>
        <w:spacing w:after="0" w:line="170" w:lineRule="exact"/>
        <w:rPr>
          <w:rFonts w:ascii="Arial" w:cs="Arial" w:eastAsia="Arial" w:hAnsi="Arial"/>
          <w:sz w:val="18"/>
          <w:szCs w:val="18"/>
          <w:i w:val="1"/>
          <w:iCs w:val="1"/>
          <w:color w:val="auto"/>
        </w:rPr>
      </w:pPr>
    </w:p>
    <w:p>
      <w:pPr>
        <w:ind w:right="20" w:firstLine="656"/>
        <w:spacing w:after="0" w:line="293" w:lineRule="auto"/>
        <w:tabs>
          <w:tab w:leader="none" w:pos="1296" w:val="left"/>
        </w:tabs>
        <w:numPr>
          <w:ilvl w:val="0"/>
          <w:numId w:val="16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Prior Agreements; Severability. </w:t>
      </w:r>
      <w:r>
        <w:rPr>
          <w:rFonts w:ascii="Arial" w:cs="Arial" w:eastAsia="Arial" w:hAnsi="Arial"/>
          <w:sz w:val="16"/>
          <w:szCs w:val="16"/>
          <w:color w:val="auto"/>
        </w:rPr>
        <w:t>This Agreement supersedes those provisions of any prior agreement which cover the same subject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as this Agreement. Wherever there is any conflict between any provision of this Agreement and any statute, law, regulation or judicial precedent, the latter shall prevail, but in such event the provisions of this Agreement thus affected shall be curtailed and limited only to the extent necessary to bring it within the requirement of the law. In the event that any paragraph or clause of this Agreement shall be held by a court of proper jurisdiction to be indefinite, invalid or otherwise unenforceable, the entire Agreement shall not fail on account thereof, but the balance of the Agreement shall continue in full force and effect unless such construction would clearly be contrary to the intention of the parties or would result in an unconscionable injustice.</w:t>
      </w:r>
    </w:p>
    <w:p>
      <w:pPr>
        <w:spacing w:after="0" w:line="164" w:lineRule="exact"/>
        <w:rPr>
          <w:rFonts w:ascii="Arial" w:cs="Arial" w:eastAsia="Arial" w:hAnsi="Arial"/>
          <w:sz w:val="16"/>
          <w:szCs w:val="16"/>
          <w:i w:val="1"/>
          <w:iCs w:val="1"/>
          <w:color w:val="auto"/>
        </w:rPr>
      </w:pPr>
    </w:p>
    <w:p>
      <w:pPr>
        <w:ind w:left="1300" w:hanging="644"/>
        <w:spacing w:after="0"/>
        <w:tabs>
          <w:tab w:leader="none" w:pos="1300" w:val="left"/>
        </w:tabs>
        <w:numPr>
          <w:ilvl w:val="0"/>
          <w:numId w:val="16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Activities. </w:t>
      </w:r>
      <w:r>
        <w:rPr>
          <w:rFonts w:ascii="Arial" w:cs="Arial" w:eastAsia="Arial" w:hAnsi="Arial"/>
          <w:sz w:val="17"/>
          <w:szCs w:val="17"/>
          <w:color w:val="auto"/>
        </w:rPr>
        <w:t>Employee shall not engage in any activity during the term hereof which is inimical to the best interest of Company.</w:t>
      </w:r>
    </w:p>
    <w:p>
      <w:pPr>
        <w:spacing w:after="0" w:line="236" w:lineRule="exact"/>
        <w:rPr>
          <w:rFonts w:ascii="Arial" w:cs="Arial" w:eastAsia="Arial" w:hAnsi="Arial"/>
          <w:sz w:val="17"/>
          <w:szCs w:val="17"/>
          <w:i w:val="1"/>
          <w:iCs w:val="1"/>
          <w:color w:val="auto"/>
        </w:rPr>
      </w:pPr>
    </w:p>
    <w:p>
      <w:pPr>
        <w:ind w:right="800" w:firstLine="656"/>
        <w:spacing w:after="0" w:line="277" w:lineRule="auto"/>
        <w:tabs>
          <w:tab w:leader="none" w:pos="1296"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shall be interpreted and enforced in accordance with the laws of the State of Texas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entered into and performed entirely by Texas by residents of Texas.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caused this Agreement to be executed and delivered as of the day and year first above written.</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N. Pefanis</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Harry N. Pefanis</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COO</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4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WCW (Willie) Chiang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WCW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EARNINGS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ind w:left="18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360"/>
              <w:spacing w:after="0"/>
              <w:rPr>
                <w:sz w:val="20"/>
                <w:szCs w:val="20"/>
                <w:color w:val="auto"/>
              </w:rPr>
            </w:pPr>
            <w:r>
              <w:rPr>
                <w:rFonts w:ascii="Arial" w:cs="Arial" w:eastAsia="Arial" w:hAnsi="Arial"/>
                <w:sz w:val="18"/>
                <w:szCs w:val="18"/>
                <w:color w:val="auto"/>
                <w:w w:val="96"/>
              </w:rPr>
              <w:t>noncontrolling interests and income from equity investees</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Earnings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3"/>
                <w:szCs w:val="23"/>
                <w:color w:val="auto"/>
                <w:vertAlign w:val="superscript"/>
              </w:rPr>
              <w:t>(2)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Charges</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0" w:type="dxa"/>
            <w:vAlign w:val="bottom"/>
            <w:vMerge w:val="continue"/>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3"/>
                <w:szCs w:val="23"/>
                <w:b w:val="1"/>
                <w:bCs w:val="1"/>
                <w:color w:val="auto"/>
                <w:vertAlign w:val="superscript"/>
              </w:rPr>
              <w:t>(3)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4.30x</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4.41x</w:t>
            </w: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4.13x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20" w:right="260" w:hanging="11"/>
        <w:spacing w:after="0" w:line="279" w:lineRule="auto"/>
        <w:rPr>
          <w:sz w:val="20"/>
          <w:szCs w:val="20"/>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71"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Includes interest costs attributable to borrowings for hedged inventory purchases of $6 million, $12 million, $30 million, $12 million and $20 million for the years ended December 31, 2015, 2014,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218440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40" w:space="500"/>
            <w:col w:w="10780"/>
          </w:cols>
          <w:pgMar w:left="240" w:top="121" w:right="239" w:bottom="1440" w:gutter="0" w:footer="0" w:header="0"/>
          <w:type w:val="continuous"/>
        </w:sectPr>
      </w:pPr>
    </w:p>
    <w:bookmarkStart w:id="169" w:name="page170"/>
    <w:bookmarkEnd w:id="169"/>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3"/>
          </w:tcPr>
          <w:p>
            <w:pPr>
              <w:jc w:val="center"/>
              <w:ind w:right="3690"/>
              <w:spacing w:after="0"/>
              <w:rPr>
                <w:sz w:val="20"/>
                <w:szCs w:val="20"/>
                <w:color w:val="auto"/>
              </w:rPr>
            </w:pPr>
            <w:r>
              <w:rPr>
                <w:rFonts w:ascii="Arial" w:cs="Arial" w:eastAsia="Arial" w:hAnsi="Arial"/>
                <w:sz w:val="18"/>
                <w:szCs w:val="18"/>
                <w:b w:val="1"/>
                <w:bCs w:val="1"/>
                <w:color w:val="auto"/>
                <w:w w:val="98"/>
              </w:rPr>
              <w:t>SUBSIDIARIES OF</w:t>
            </w:r>
          </w:p>
        </w:tc>
        <w:tc>
          <w:tcPr>
            <w:tcW w:w="40" w:type="dxa"/>
            <w:vAlign w:val="bottom"/>
          </w:tcPr>
          <w:p>
            <w:pPr>
              <w:spacing w:after="0"/>
              <w:rPr>
                <w:sz w:val="18"/>
                <w:szCs w:val="18"/>
                <w:color w:val="auto"/>
              </w:rPr>
            </w:pPr>
          </w:p>
        </w:tc>
      </w:tr>
      <w:tr>
        <w:trPr>
          <w:trHeight w:val="220"/>
        </w:trPr>
        <w:tc>
          <w:tcPr>
            <w:tcW w:w="3800" w:type="dxa"/>
            <w:vAlign w:val="bottom"/>
          </w:tcPr>
          <w:p>
            <w:pPr>
              <w:spacing w:after="0"/>
              <w:rPr>
                <w:sz w:val="19"/>
                <w:szCs w:val="19"/>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b w:val="1"/>
                <w:bCs w:val="1"/>
                <w:color w:val="auto"/>
              </w:rPr>
              <w:t>PLAINS ALL AMERICAN PIPELINE, L.P.</w:t>
            </w:r>
          </w:p>
        </w:tc>
        <w:tc>
          <w:tcPr>
            <w:tcW w:w="4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7620" w:type="dxa"/>
            <w:vAlign w:val="bottom"/>
            <w:gridSpan w:val="3"/>
          </w:tcPr>
          <w:p>
            <w:pPr>
              <w:jc w:val="center"/>
              <w:ind w:right="3710"/>
              <w:spacing w:after="0"/>
              <w:rPr>
                <w:sz w:val="20"/>
                <w:szCs w:val="20"/>
                <w:color w:val="auto"/>
              </w:rPr>
            </w:pPr>
            <w:r>
              <w:rPr>
                <w:rFonts w:ascii="Arial" w:cs="Arial" w:eastAsia="Arial" w:hAnsi="Arial"/>
                <w:sz w:val="18"/>
                <w:szCs w:val="18"/>
                <w:i w:val="1"/>
                <w:iCs w:val="1"/>
                <w:color w:val="auto"/>
                <w:w w:val="90"/>
              </w:rPr>
              <w:t>(As of 12/31/2015)</w:t>
            </w:r>
          </w:p>
        </w:tc>
        <w:tc>
          <w:tcPr>
            <w:tcW w:w="40" w:type="dxa"/>
            <w:vAlign w:val="bottom"/>
          </w:tcPr>
          <w:p>
            <w:pPr>
              <w:spacing w:after="0"/>
              <w:rPr>
                <w:sz w:val="20"/>
                <w:szCs w:val="20"/>
                <w:color w:val="auto"/>
              </w:rPr>
            </w:pPr>
          </w:p>
        </w:tc>
      </w:tr>
      <w:tr>
        <w:trPr>
          <w:trHeight w:val="36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34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c>
          <w:tcPr>
            <w:tcW w:w="40" w:type="dxa"/>
            <w:vAlign w:val="bottom"/>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5D Marketing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Aurora Pipeline Company Ltd.</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Bakersfield Crude Terminal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BGS Kimball Gas Storage,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Bluewater Gas Storage,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Bluewater Natural Gas Holding,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Eagle Ford Crude Terminal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Hawks Oil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Lone Star Trucking,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California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Mountain Ridge Resources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Niobrara Crude Terminal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Finance Corp.</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Luxembourg S.a.r.l.</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Midstream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Canada ULC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Alberta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 Natural Gas Storage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PAA Natural Gas Storage, L.P.</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PAA/Vulcan Gas Storage,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Pacific Energy Group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Pacific L.A. Marine Terminal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PACONO1,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PACONO3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PICSCO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Pine Prairie Energy Center,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7"/>
              </w:rPr>
              <w:t>Plains All American Emergency Relief Fund, Inc.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GP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Bondholder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Canada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Marketing GP Inc.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Marketing, L.P.</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6"/>
              </w:rPr>
              <w:t>British Columbia</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Midstream Luxembourg S.a.r.l.</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Luxembourg</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Midstream Superior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Mobile Pipeline Inc.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Alabama</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Pipeline, L.P.</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Products Terminals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Rail Holdings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South Texas Gathering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Southcap Inc.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Terminals North Dakota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Plains Towing LLC</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3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348"/>
        </w:trPr>
        <w:tc>
          <w:tcPr>
            <w:tcW w:w="380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PMC (Nova Scotia) Company</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Nova Scotia</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PMDSE, Inc.</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4"/>
              </w:rPr>
              <w:t>Mississippi</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PNGS GP LLC</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SG Resources Mississippi, L.L.C.</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SLC Pipeline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Southcap Pipe Line Company</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Sunrise Pipeline LLC</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Van Hook Crude Terminal LLC</w:t>
            </w:r>
          </w:p>
        </w:tc>
        <w:tc>
          <w:tcPr>
            <w:tcW w:w="552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2"/>
              </w:rPr>
              <w:t>Delaware</w:t>
            </w:r>
          </w:p>
        </w:tc>
        <w:tc>
          <w:tcPr>
            <w:tcW w:w="40" w:type="dxa"/>
            <w:vAlign w:val="bottom"/>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VirKel Backhoe Services LLLP</w:t>
            </w:r>
          </w:p>
        </w:tc>
        <w:tc>
          <w:tcPr>
            <w:tcW w:w="5520" w:type="dxa"/>
            <w:vAlign w:val="bottom"/>
          </w:tcPr>
          <w:p>
            <w:pPr>
              <w:jc w:val="center"/>
              <w:ind w:left="1450"/>
              <w:spacing w:after="0"/>
              <w:rPr>
                <w:sz w:val="20"/>
                <w:szCs w:val="20"/>
                <w:color w:val="auto"/>
              </w:rPr>
            </w:pPr>
            <w:r>
              <w:rPr>
                <w:rFonts w:ascii="Arial" w:cs="Arial" w:eastAsia="Arial" w:hAnsi="Arial"/>
                <w:sz w:val="18"/>
                <w:szCs w:val="18"/>
                <w:color w:val="auto"/>
                <w:w w:val="90"/>
              </w:rPr>
              <w:t>Colorado</w:t>
            </w:r>
          </w:p>
        </w:tc>
        <w:tc>
          <w:tcPr>
            <w:tcW w:w="40" w:type="dxa"/>
            <w:vAlign w:val="bottom"/>
          </w:tcPr>
          <w:p>
            <w:pPr>
              <w:spacing w:after="0"/>
              <w:rPr>
                <w:sz w:val="20"/>
                <w:szCs w:val="20"/>
                <w:color w:val="auto"/>
              </w:rPr>
            </w:pPr>
          </w:p>
        </w:tc>
      </w:tr>
      <w:tr>
        <w:trPr>
          <w:trHeight w:val="334"/>
        </w:trPr>
        <w:tc>
          <w:tcPr>
            <w:tcW w:w="590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94"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333-138888, 333-155673, 333-162477, 333-207139 and 333-207140) and on Form S-8 (No. 333-91141, 333-74920, 333-122806, 333-141185, 333-193139 and 333-193140) of Plains All American Pipeline, L.P. of our report dated February 25, 2016 relating to the financial statements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4" w:lineRule="auto"/>
        <w:tabs>
          <w:tab w:leader="none" w:pos="13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2015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o"/>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1)"/>
      <w:numFmt w:val="decimal"/>
    </w:lvl>
    <w:lvl w:ilvl="1">
      <w:lvlJc w:val="left"/>
      <w:lvlText w:val="$"/>
      <w:numFmt w:val="bullet"/>
      <w:start w:val="1"/>
    </w:lvl>
  </w:abstractNum>
  <w:abstractNum w:abstractNumId="9">
    <w:nsid w:val="2DF6D648"/>
    <w:multiLevelType w:val="hybridMultilevel"/>
    <w:lvl w:ilvl="0">
      <w:lvlJc w:val="left"/>
      <w:lvlText w:val="(%1)"/>
      <w:numFmt w:val="decimal"/>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1)"/>
      <w:numFmt w:val="lowerRoman"/>
      <w:start w:val="1"/>
    </w:lvl>
  </w:abstractNum>
  <w:abstractNum w:abstractNumId="13">
    <w:nsid w:val="57FC4FBB"/>
    <w:multiLevelType w:val="hybridMultilevel"/>
    <w:lvl w:ilvl="0">
      <w:lvlJc w:val="left"/>
      <w:lvlText w:val="(%1)"/>
      <w:numFmt w:val="lowerRoman"/>
      <w:start w:val="2"/>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1)"/>
      <w:numFmt w:val="lowerRoman"/>
      <w:start w:val="3"/>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1)"/>
      <w:numFmt w:val="lowerRoman"/>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lvl w:ilvl="1">
      <w:lvlJc w:val="left"/>
      <w:lvlText w:val="(%2)"/>
      <w:numFmt w:val="lowerRoman"/>
      <w:start w:val="2"/>
    </w:lvl>
  </w:abstractNum>
  <w:abstractNum w:abstractNumId="27">
    <w:nsid w:val="6FC75AF8"/>
    <w:multiLevelType w:val="hybridMultilevel"/>
    <w:lvl w:ilvl="0">
      <w:lvlJc w:val="left"/>
      <w:lvlText w:val="·"/>
      <w:numFmt w:val="bullet"/>
      <w:start w:val="1"/>
    </w:lvl>
    <w:lvl w:ilvl="1">
      <w:lvlJc w:val="left"/>
      <w:lvlText w:val="(%2)"/>
      <w:numFmt w:val="lowerRoman"/>
      <w:start w:val="5"/>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1)"/>
      <w:numFmt w:val="lowerRoman"/>
      <w:start w:val="1"/>
    </w:lvl>
  </w:abstractNum>
  <w:abstractNum w:abstractNumId="35">
    <w:nsid w:val="14FCE74E"/>
    <w:multiLevelType w:val="hybridMultilevel"/>
    <w:lvl w:ilvl="0">
      <w:lvlJc w:val="left"/>
      <w:lvlText w:val="(%1)"/>
      <w:numFmt w:val="decimal"/>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1)"/>
      <w:numFmt w:val="decimal"/>
      <w:start w:val="1"/>
    </w:lvl>
  </w:abstractNum>
  <w:abstractNum w:abstractNumId="40">
    <w:nsid w:val="1FBFE8E0"/>
    <w:multiLevelType w:val="hybridMultilevel"/>
    <w:lvl w:ilvl="0">
      <w:lvlJc w:val="left"/>
      <w:lvlText w:val="(%1)"/>
      <w:numFmt w:val="decimal"/>
      <w:start w:val="5"/>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1)"/>
      <w:numFmt w:val="decimal"/>
      <w:start w:val="3"/>
    </w:lvl>
  </w:abstractNum>
  <w:abstractNum w:abstractNumId="44">
    <w:nsid w:val="288F1A34"/>
    <w:multiLevelType w:val="hybridMultilevel"/>
    <w:lvl w:ilvl="0">
      <w:lvlJc w:val="left"/>
      <w:lvlText w:val="%1"/>
      <w:numFmt w:val="decimal"/>
      <w:start w:val="1"/>
    </w:lvl>
    <w:lvl w:ilvl="1">
      <w:lvlJc w:val="left"/>
      <w:lvlText w:val="(%2)"/>
      <w:numFmt w:val="decimal"/>
      <w:start w:val="10"/>
    </w:lvl>
  </w:abstractNum>
  <w:abstractNum w:abstractNumId="45">
    <w:nsid w:val="2A155DBC"/>
    <w:multiLevelType w:val="hybridMultilevel"/>
    <w:lvl w:ilvl="0">
      <w:lvlJc w:val="left"/>
      <w:lvlText w:val="(%1)"/>
      <w:numFmt w:val="decimal"/>
      <w:start w:val="11"/>
    </w:lvl>
    <w:lvl w:ilvl="1">
      <w:lvlJc w:val="left"/>
      <w:lvlText w:val="%2"/>
      <w:numFmt w:val="decimal"/>
      <w:start w:val="1"/>
    </w:lvl>
  </w:abstractNum>
  <w:abstractNum w:abstractNumId="46">
    <w:nsid w:val="1D9F6E5F"/>
    <w:multiLevelType w:val="hybridMultilevel"/>
    <w:lvl w:ilvl="0">
      <w:lvlJc w:val="left"/>
      <w:lvlText w:val="·"/>
      <w:numFmt w:val="bullet"/>
      <w:start w:val="1"/>
    </w:lvl>
    <w:lvl w:ilvl="1">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lvl w:ilvl="1">
      <w:lvlJc w:val="left"/>
      <w:lvlText w:val="·"/>
      <w:numFmt w:val="bullet"/>
      <w:start w:val="1"/>
    </w:lvl>
  </w:abstractNum>
  <w:abstractNum w:abstractNumId="51">
    <w:nsid w:val="415E286C"/>
    <w:multiLevelType w:val="hybridMultilevel"/>
    <w:lvl w:ilvl="0">
      <w:lvlJc w:val="left"/>
      <w:lvlText w:val="(%1)"/>
      <w:numFmt w:val="lowerRoman"/>
      <w:start w:val="2"/>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1)"/>
      <w:numFmt w:val="decimal"/>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1)"/>
      <w:numFmt w:val="decimal"/>
      <w:start w:val="4"/>
    </w:lvl>
  </w:abstractNum>
  <w:abstractNum w:abstractNumId="63">
    <w:nsid w:val="379E21B5"/>
    <w:multiLevelType w:val="hybridMultilevel"/>
    <w:lvl w:ilvl="0">
      <w:lvlJc w:val="left"/>
      <w:lvlText w:val="(%1)"/>
      <w:numFmt w:val="decimal"/>
      <w:start w:val="3"/>
    </w:lvl>
  </w:abstractNum>
  <w:abstractNum w:abstractNumId="64">
    <w:nsid w:val="69E373"/>
    <w:multiLevelType w:val="hybridMultilevel"/>
    <w:lvl w:ilvl="0">
      <w:lvlJc w:val="left"/>
      <w:lvlText w:val="(%1)"/>
      <w:numFmt w:val="decimal"/>
      <w:start w:val="4"/>
    </w:lvl>
  </w:abstractNum>
  <w:abstractNum w:abstractNumId="65">
    <w:nsid w:val="2C27173B"/>
    <w:multiLevelType w:val="hybridMultilevel"/>
    <w:lvl w:ilvl="0">
      <w:lvlJc w:val="left"/>
      <w:lvlText w:val="(%1)"/>
      <w:numFmt w:val="decimal"/>
      <w:start w:val="1"/>
    </w:lvl>
  </w:abstractNum>
  <w:abstractNum w:abstractNumId="66">
    <w:nsid w:val="4C9B0904"/>
    <w:multiLevelType w:val="hybridMultilevel"/>
    <w:lvl w:ilvl="0">
      <w:lvlJc w:val="left"/>
      <w:lvlText w:val="(%1)"/>
      <w:numFmt w:val="decimal"/>
      <w:start w:val="3"/>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1)"/>
      <w:numFmt w:val="lowerRoman"/>
      <w:start w:val="1"/>
    </w:lvl>
  </w:abstractNum>
  <w:abstractNum w:abstractNumId="73">
    <w:nsid w:val="5B25ACE2"/>
    <w:multiLevelType w:val="hybridMultilevel"/>
    <w:lvl w:ilvl="0">
      <w:lvlJc w:val="left"/>
      <w:lvlText w:val="%1."/>
      <w:numFmt w:val="decimal"/>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1)"/>
      <w:numFmt w:val="decimal"/>
      <w:start w:val="1"/>
    </w:lvl>
  </w:abstractNum>
  <w:abstractNum w:abstractNumId="78">
    <w:nsid w:val="5915FF32"/>
    <w:multiLevelType w:val="hybridMultilevel"/>
    <w:lvl w:ilvl="0">
      <w:lvlJc w:val="left"/>
      <w:lvlText w:val="(%1)"/>
      <w:numFmt w:val="decimal"/>
      <w:start w:val="2"/>
    </w:lvl>
  </w:abstractNum>
  <w:abstractNum w:abstractNumId="79">
    <w:nsid w:val="56438D15"/>
    <w:multiLevelType w:val="hybridMultilevel"/>
    <w:lvl w:ilvl="0">
      <w:lvlJc w:val="left"/>
      <w:lvlText w:val="(%1)"/>
      <w:numFmt w:val="decimal"/>
      <w:start w:val="1"/>
    </w:lvl>
  </w:abstractNum>
  <w:abstractNum w:abstractNumId="80">
    <w:nsid w:val="519E3149"/>
    <w:multiLevelType w:val="hybridMultilevel"/>
    <w:lvl w:ilvl="0">
      <w:lvlJc w:val="left"/>
      <w:lvlText w:val="(%1)"/>
      <w:numFmt w:val="decimal"/>
      <w:start w:val="1"/>
    </w:lvl>
  </w:abstractNum>
  <w:abstractNum w:abstractNumId="81">
    <w:nsid w:val="2C6E4AFD"/>
    <w:multiLevelType w:val="hybridMultilevel"/>
    <w:lvl w:ilvl="0">
      <w:lvlJc w:val="left"/>
      <w:lvlText w:val="(%1)"/>
      <w:numFmt w:val="decimal"/>
      <w:start w:val="1"/>
    </w:lvl>
  </w:abstractNum>
  <w:abstractNum w:abstractNumId="82">
    <w:nsid w:val="17A1B582"/>
    <w:multiLevelType w:val="hybridMultilevel"/>
    <w:lvl w:ilvl="0">
      <w:lvlJc w:val="left"/>
      <w:lvlText w:val="(%1)"/>
      <w:numFmt w:val="lowerRoman"/>
      <w:start w:val="2"/>
    </w:lvl>
  </w:abstractNum>
  <w:abstractNum w:abstractNumId="83">
    <w:nsid w:val="4DF72E4E"/>
    <w:multiLevelType w:val="hybridMultilevel"/>
    <w:lvl w:ilvl="0">
      <w:lvlJc w:val="left"/>
      <w:lvlText w:val="(%1)"/>
      <w:numFmt w:val="decimal"/>
      <w:start w:val="2"/>
    </w:lvl>
  </w:abstractNum>
  <w:abstractNum w:abstractNumId="84">
    <w:nsid w:val="5046B5A9"/>
    <w:multiLevelType w:val="hybridMultilevel"/>
    <w:lvl w:ilvl="0">
      <w:lvlJc w:val="left"/>
      <w:lvlText w:val="(%1)"/>
      <w:numFmt w:val="decimal"/>
      <w:start w:val="3"/>
    </w:lvl>
  </w:abstractNum>
  <w:abstractNum w:abstractNumId="85">
    <w:nsid w:val="5D888A08"/>
    <w:multiLevelType w:val="hybridMultilevel"/>
    <w:lvl w:ilvl="0">
      <w:lvlJc w:val="left"/>
      <w:lvlText w:val="(%1)"/>
      <w:numFmt w:val="lowerRoman"/>
      <w:start w:val="4"/>
    </w:lvl>
  </w:abstractNum>
  <w:abstractNum w:abstractNumId="86">
    <w:nsid w:val="2A082C70"/>
    <w:multiLevelType w:val="hybridMultilevel"/>
    <w:lvl w:ilvl="0">
      <w:lvlJc w:val="left"/>
      <w:lvlText w:val="(%1)"/>
      <w:numFmt w:val="decimal"/>
      <w:start w:val="6"/>
    </w:lvl>
    <w:lvl w:ilvl="1">
      <w:lvlJc w:val="left"/>
      <w:lvlText w:val="(%2)"/>
      <w:numFmt w:val="decimal"/>
      <w:start w:val="7"/>
    </w:lvl>
  </w:abstractNum>
  <w:abstractNum w:abstractNumId="87">
    <w:nsid w:val="5EC6AFD4"/>
    <w:multiLevelType w:val="hybridMultilevel"/>
    <w:lvl w:ilvl="0">
      <w:lvlJc w:val="left"/>
      <w:lvlText w:val="(%1)"/>
      <w:numFmt w:val="decimal"/>
      <w:start w:val="8"/>
    </w:lvl>
  </w:abstractNum>
  <w:abstractNum w:abstractNumId="88">
    <w:nsid w:val="19E21BB2"/>
    <w:multiLevelType w:val="hybridMultilevel"/>
    <w:lvl w:ilvl="0">
      <w:lvlJc w:val="left"/>
      <w:lvlText w:val="(%1)"/>
      <w:numFmt w:val="decimal"/>
      <w:start w:val="9"/>
    </w:lvl>
    <w:lvl w:ilvl="1">
      <w:lvlJc w:val="left"/>
      <w:lvlText w:val="(%2)"/>
      <w:numFmt w:val="lowerRoman"/>
      <w:start w:val="1"/>
    </w:lvl>
  </w:abstractNum>
  <w:abstractNum w:abstractNumId="89">
    <w:nsid w:val="75E0858A"/>
    <w:multiLevelType w:val="hybridMultilevel"/>
    <w:lvl w:ilvl="0">
      <w:lvlJc w:val="left"/>
      <w:lvlText w:val="%1"/>
      <w:numFmt w:val="decimal"/>
      <w:start w:val="1"/>
    </w:lvl>
    <w:lvl w:ilvl="1">
      <w:lvlJc w:val="left"/>
      <w:lvlText w:val="(%2)"/>
      <w:numFmt w:val="lowerRoman"/>
      <w:start w:val="1"/>
    </w:lvl>
  </w:abstractNum>
  <w:abstractNum w:abstractNumId="90">
    <w:nsid w:val="57A61A29"/>
    <w:multiLevelType w:val="hybridMultilevel"/>
    <w:lvl w:ilvl="0">
      <w:lvlJc w:val="left"/>
      <w:lvlText w:val="(%1)"/>
      <w:numFmt w:val="decimal"/>
      <w:start w:val="10"/>
    </w:lvl>
  </w:abstractNum>
  <w:abstractNum w:abstractNumId="91">
    <w:nsid w:val="5399C654"/>
    <w:multiLevelType w:val="hybridMultilevel"/>
    <w:lvl w:ilvl="0">
      <w:lvlJc w:val="left"/>
      <w:lvlText w:val="(%1)"/>
      <w:numFmt w:val="decimal"/>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1)"/>
      <w:numFmt w:val="decimal"/>
      <w:start w:val="1"/>
    </w:lvl>
  </w:abstractNum>
  <w:abstractNum w:abstractNumId="94">
    <w:nsid w:val="B37E80A"/>
    <w:multiLevelType w:val="hybridMultilevel"/>
    <w:lvl w:ilvl="0">
      <w:lvlJc w:val="left"/>
      <w:lvlText w:val="(%1)"/>
      <w:numFmt w:val="decimal"/>
      <w:start w:val="4"/>
    </w:lvl>
  </w:abstractNum>
  <w:abstractNum w:abstractNumId="95">
    <w:nsid w:val="2157F6BC"/>
    <w:multiLevelType w:val="hybridMultilevel"/>
    <w:lvl w:ilvl="0">
      <w:lvlJc w:val="left"/>
      <w:lvlText w:val="(%1)"/>
      <w:numFmt w:val="decimal"/>
      <w:start w:val="9"/>
    </w:lvl>
  </w:abstractNum>
  <w:abstractNum w:abstractNumId="96">
    <w:nsid w:val="704E1DD5"/>
    <w:multiLevelType w:val="hybridMultilevel"/>
    <w:lvl w:ilvl="0">
      <w:lvlJc w:val="left"/>
      <w:lvlText w:val="(%1)"/>
      <w:numFmt w:val="decimal"/>
      <w:start w:val="1"/>
    </w:lvl>
  </w:abstractNum>
  <w:abstractNum w:abstractNumId="97">
    <w:nsid w:val="57D2F10E"/>
    <w:multiLevelType w:val="hybridMultilevel"/>
    <w:lvl w:ilvl="0">
      <w:lvlJc w:val="left"/>
      <w:lvlText w:val="(%1)"/>
      <w:numFmt w:val="decimal"/>
      <w:start w:val="4"/>
    </w:lvl>
  </w:abstractNum>
  <w:abstractNum w:abstractNumId="98">
    <w:nsid w:val="BFFAE18"/>
    <w:multiLevelType w:val="hybridMultilevel"/>
    <w:lvl w:ilvl="0">
      <w:lvlJc w:val="left"/>
      <w:lvlText w:val="(%1)"/>
      <w:numFmt w:val="decimal"/>
      <w:start w:val="1"/>
    </w:lvl>
  </w:abstractNum>
  <w:abstractNum w:abstractNumId="99">
    <w:nsid w:val="E3E47A8"/>
    <w:multiLevelType w:val="hybridMultilevel"/>
    <w:lvl w:ilvl="0">
      <w:lvlJc w:val="left"/>
      <w:lvlText w:val="(%1)"/>
      <w:numFmt w:val="lowerLetter"/>
      <w:start w:val="1"/>
    </w:lvl>
    <w:lvl w:ilvl="1">
      <w:lvlJc w:val="left"/>
      <w:lvlText w:val="(%2)"/>
      <w:numFmt w:val="decimal"/>
      <w:start w:val="2"/>
    </w:lvl>
  </w:abstractNum>
  <w:abstractNum w:abstractNumId="100">
    <w:nsid w:val="2E48F044"/>
    <w:multiLevelType w:val="hybridMultilevel"/>
    <w:lvl w:ilvl="0">
      <w:lvlJc w:val="left"/>
      <w:lvlText w:val="(%1)"/>
      <w:numFmt w:val="decimal"/>
      <w:start w:val="3"/>
    </w:lvl>
  </w:abstractNum>
  <w:abstractNum w:abstractNumId="101">
    <w:nsid w:val="49D0FEAC"/>
    <w:multiLevelType w:val="hybridMultilevel"/>
    <w:lvl w:ilvl="0">
      <w:lvlJc w:val="left"/>
      <w:lvlText w:val="(%1)"/>
      <w:numFmt w:val="lowerRoman"/>
      <w:start w:val="5"/>
    </w:lvl>
  </w:abstractNum>
  <w:abstractNum w:abstractNumId="102">
    <w:nsid w:val="4BEE5A5B"/>
    <w:multiLevelType w:val="hybridMultilevel"/>
    <w:lvl w:ilvl="0">
      <w:lvlJc w:val="left"/>
      <w:lvlText w:val="(%1)"/>
      <w:numFmt w:val="lowerRoman"/>
      <w:start w:val="1"/>
    </w:lvl>
  </w:abstractNum>
  <w:abstractNum w:abstractNumId="103">
    <w:nsid w:val="5551B9F3"/>
    <w:multiLevelType w:val="hybridMultilevel"/>
    <w:lvl w:ilvl="0">
      <w:lvlJc w:val="left"/>
      <w:lvlText w:val="(%1)"/>
      <w:numFmt w:val="decimal"/>
      <w:start w:val="1"/>
    </w:lvl>
  </w:abstractNum>
  <w:abstractNum w:abstractNumId="104">
    <w:nsid w:val="24F6AB8E"/>
    <w:multiLevelType w:val="hybridMultilevel"/>
    <w:lvl w:ilvl="0">
      <w:lvlJc w:val="left"/>
      <w:lvlText w:val="(%1)"/>
      <w:numFmt w:val="decimal"/>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1)"/>
      <w:numFmt w:val="decimal"/>
      <w:start w:val="1"/>
    </w:lvl>
  </w:abstractNum>
  <w:abstractNum w:abstractNumId="107">
    <w:nsid w:val="2A31B62D"/>
    <w:multiLevelType w:val="hybridMultilevel"/>
    <w:lvl w:ilvl="0">
      <w:lvlJc w:val="left"/>
      <w:lvlText w:val="(%1)"/>
      <w:numFmt w:val="decimal"/>
      <w:start w:val="1"/>
    </w:lvl>
  </w:abstractNum>
  <w:abstractNum w:abstractNumId="108">
    <w:nsid w:val="1849C29B"/>
    <w:multiLevelType w:val="hybridMultilevel"/>
    <w:lvl w:ilvl="0">
      <w:lvlJc w:val="left"/>
      <w:lvlText w:val="(%1)"/>
      <w:numFmt w:val="decimal"/>
      <w:start w:val="1"/>
    </w:lvl>
  </w:abstractNum>
  <w:abstractNum w:abstractNumId="109">
    <w:nsid w:val="7DFF9D09"/>
    <w:multiLevelType w:val="hybridMultilevel"/>
    <w:lvl w:ilvl="0">
      <w:lvlJc w:val="left"/>
      <w:lvlText w:val="(%1)"/>
      <w:numFmt w:val="decimal"/>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1)"/>
      <w:numFmt w:val="decimal"/>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1)"/>
      <w:numFmt w:val="decimal"/>
      <w:start w:val="1"/>
    </w:lvl>
  </w:abstractNum>
  <w:abstractNum w:abstractNumId="114">
    <w:nsid w:val="37DF2233"/>
    <w:multiLevelType w:val="hybridMultilevel"/>
    <w:lvl w:ilvl="0">
      <w:lvlJc w:val="left"/>
      <w:lvlText w:val="(%1)"/>
      <w:numFmt w:val="decimal"/>
      <w:start w:val="1"/>
    </w:lvl>
  </w:abstractNum>
  <w:abstractNum w:abstractNumId="115">
    <w:nsid w:val="7AB49DAF"/>
    <w:multiLevelType w:val="hybridMultilevel"/>
    <w:lvl w:ilvl="0">
      <w:lvlJc w:val="left"/>
      <w:lvlText w:val="(%1)"/>
      <w:numFmt w:val="decimal"/>
      <w:start w:val="4"/>
    </w:lvl>
  </w:abstractNum>
  <w:abstractNum w:abstractNumId="116">
    <w:nsid w:val="759F82CD"/>
    <w:multiLevelType w:val="hybridMultilevel"/>
    <w:lvl w:ilvl="0">
      <w:lvlJc w:val="left"/>
      <w:lvlText w:val="(%1)"/>
      <w:numFmt w:val="decimal"/>
      <w:start w:val="1"/>
    </w:lvl>
  </w:abstractNum>
  <w:abstractNum w:abstractNumId="117">
    <w:nsid w:val="61E74EA3"/>
    <w:multiLevelType w:val="hybridMultilevel"/>
    <w:lvl w:ilvl="0">
      <w:lvlJc w:val="left"/>
      <w:lvlText w:val="(%1)"/>
      <w:numFmt w:val="decimal"/>
      <w:start w:val="3"/>
    </w:lvl>
  </w:abstractNum>
  <w:abstractNum w:abstractNumId="118">
    <w:nsid w:val="597B4D84"/>
    <w:multiLevelType w:val="hybridMultilevel"/>
    <w:lvl w:ilvl="0">
      <w:lvlJc w:val="left"/>
      <w:lvlText w:val="(%1)"/>
      <w:numFmt w:val="decimal"/>
      <w:start w:val="5"/>
    </w:lvl>
  </w:abstractNum>
  <w:abstractNum w:abstractNumId="119">
    <w:nsid w:val="F819E7F"/>
    <w:multiLevelType w:val="hybridMultilevel"/>
    <w:lvl w:ilvl="0">
      <w:lvlJc w:val="left"/>
      <w:lvlText w:val="(%1)"/>
      <w:numFmt w:val="decimal"/>
      <w:start w:val="1"/>
    </w:lvl>
  </w:abstractNum>
  <w:abstractNum w:abstractNumId="120">
    <w:nsid w:val="57C7D42D"/>
    <w:multiLevelType w:val="hybridMultilevel"/>
    <w:lvl w:ilvl="0">
      <w:lvlJc w:val="left"/>
      <w:lvlText w:val="(%1)"/>
      <w:numFmt w:val="decimal"/>
      <w:start w:val="1"/>
    </w:lvl>
  </w:abstractNum>
  <w:abstractNum w:abstractNumId="121">
    <w:nsid w:val="312167AD"/>
    <w:multiLevelType w:val="hybridMultilevel"/>
    <w:lvl w:ilvl="0">
      <w:lvlJc w:val="left"/>
      <w:lvlText w:val="%1."/>
      <w:numFmt w:val="decimal"/>
      <w:start w:val="1"/>
    </w:lvl>
    <w:lvl w:ilvl="1">
      <w:lvlJc w:val="left"/>
      <w:lvlText w:val="(%2)"/>
      <w:numFmt w:val="lowerRoman"/>
    </w:lvl>
    <w:lvl w:ilvl="2">
      <w:lvlJc w:val="left"/>
      <w:lvlText w:val="(%3)"/>
      <w:numFmt w:val="lowerLetter"/>
      <w:start w:val="2"/>
    </w:lvl>
  </w:abstractNum>
  <w:abstractNum w:abstractNumId="122">
    <w:nsid w:val="631B64D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23">
    <w:nsid w:val="78B5E776"/>
    <w:multiLevelType w:val="hybridMultilevel"/>
    <w:lvl w:ilvl="0">
      <w:lvlJc w:val="left"/>
      <w:lvlText w:val="%1"/>
      <w:numFmt w:val="decimal"/>
      <w:start w:val="1"/>
    </w:lvl>
    <w:lvl w:ilvl="1">
      <w:lvlJc w:val="left"/>
      <w:lvlText w:val="(%2)"/>
      <w:numFmt w:val="lowerRoman"/>
      <w:start w:val="3"/>
    </w:lvl>
  </w:abstractNum>
  <w:abstractNum w:abstractNumId="124">
    <w:nsid w:val="75486E47"/>
    <w:multiLevelType w:val="hybridMultilevel"/>
    <w:lvl w:ilvl="0">
      <w:lvlJc w:val="left"/>
      <w:lvlText w:val="%1."/>
      <w:numFmt w:val="decimal"/>
      <w:start w:val="2"/>
    </w:lvl>
    <w:lvl w:ilvl="1">
      <w:lvlJc w:val="left"/>
      <w:lvlText w:val="%2"/>
      <w:numFmt w:val="lowerRoman"/>
      <w:start w:val="1"/>
    </w:lvl>
  </w:abstractNum>
  <w:abstractNum w:abstractNumId="125">
    <w:nsid w:val="6E534CDE"/>
    <w:multiLevelType w:val="hybridMultilevel"/>
    <w:lvl w:ilvl="0">
      <w:lvlJc w:val="left"/>
      <w:lvlText w:val="%1."/>
      <w:numFmt w:val="lowerLetter"/>
      <w:start w:val="1"/>
    </w:lvl>
  </w:abstractNum>
  <w:abstractNum w:abstractNumId="126">
    <w:nsid w:val="1A0DDE32"/>
    <w:multiLevelType w:val="hybridMultilevel"/>
    <w:lvl w:ilvl="0">
      <w:lvlJc w:val="left"/>
      <w:lvlText w:val="%1."/>
      <w:numFmt w:val="lowerLetter"/>
      <w:start w:val="3"/>
    </w:lvl>
  </w:abstractNum>
  <w:abstractNum w:abstractNumId="127">
    <w:nsid w:val="65968C1C"/>
    <w:multiLevelType w:val="hybridMultilevel"/>
    <w:lvl w:ilvl="0">
      <w:lvlJc w:val="left"/>
      <w:lvlText w:val="%1."/>
      <w:numFmt w:val="lowerLetter"/>
      <w:start w:val="4"/>
    </w:lvl>
  </w:abstractNum>
  <w:abstractNum w:abstractNumId="128">
    <w:nsid w:val="46263DEC"/>
    <w:multiLevelType w:val="hybridMultilevel"/>
    <w:lvl w:ilvl="0">
      <w:lvlJc w:val="left"/>
      <w:lvlText w:val="%1"/>
      <w:numFmt w:val="decimal"/>
      <w:start w:val="1"/>
    </w:lvl>
    <w:lvl w:ilvl="1">
      <w:lvlJc w:val="left"/>
      <w:lvlText w:val="(%2)"/>
      <w:numFmt w:val="decimal"/>
      <w:start w:val="1"/>
    </w:lvl>
  </w:abstractNum>
  <w:abstractNum w:abstractNumId="129">
    <w:nsid w:val="260D8C4A"/>
    <w:multiLevelType w:val="hybridMultilevel"/>
    <w:lvl w:ilvl="0">
      <w:lvlJc w:val="left"/>
      <w:lvlText w:val="%1."/>
      <w:numFmt w:val="decimal"/>
      <w:start w:val="3"/>
    </w:lvl>
    <w:lvl w:ilvl="1">
      <w:lvlJc w:val="left"/>
      <w:lvlText w:val="%2"/>
      <w:numFmt w:val="decimal"/>
      <w:start w:val="1"/>
    </w:lvl>
  </w:abstractNum>
  <w:abstractNum w:abstractNumId="130">
    <w:nsid w:val="73D4D3C4"/>
    <w:multiLevelType w:val="hybridMultilevel"/>
    <w:lvl w:ilvl="0">
      <w:lvlJc w:val="left"/>
      <w:lvlText w:val="%1."/>
      <w:numFmt w:val="decimal"/>
      <w:start w:val="8"/>
    </w:lvl>
  </w:abstractNum>
  <w:abstractNum w:abstractNumId="131">
    <w:nsid w:val="746F2E30"/>
    <w:multiLevelType w:val="hybridMultilevel"/>
    <w:lvl w:ilvl="0">
      <w:lvlJc w:val="left"/>
      <w:lvlText w:val="%1."/>
      <w:numFmt w:val="decimal"/>
      <w:start w:val="10"/>
    </w:lvl>
    <w:lvl w:ilvl="1">
      <w:lvlJc w:val="left"/>
      <w:lvlText w:val="%2."/>
      <w:numFmt w:val="lowerLetter"/>
      <w:start w:val="1"/>
    </w:lvl>
  </w:abstractNum>
  <w:abstractNum w:abstractNumId="132">
    <w:nsid w:val="6FDE8AF6"/>
    <w:multiLevelType w:val="hybridMultilevel"/>
    <w:lvl w:ilvl="0">
      <w:lvlJc w:val="left"/>
      <w:lvlText w:val="%1."/>
      <w:numFmt w:val="decimal"/>
      <w:start w:val="14"/>
    </w:lvl>
  </w:abstractNum>
  <w:abstractNum w:abstractNumId="133">
    <w:nsid w:val="3FC32E20"/>
    <w:multiLevelType w:val="hybridMultilevel"/>
    <w:lvl w:ilvl="0">
      <w:lvlJc w:val="left"/>
      <w:lvlText w:val="%1."/>
      <w:numFmt w:val="decimal"/>
      <w:start w:val="1"/>
    </w:lvl>
  </w:abstractNum>
  <w:abstractNum w:abstractNumId="134">
    <w:nsid w:val="49C0E823"/>
    <w:multiLevelType w:val="hybridMultilevel"/>
    <w:lvl w:ilvl="0">
      <w:lvlJc w:val="left"/>
      <w:lvlText w:val="%1."/>
      <w:numFmt w:val="decimal"/>
      <w:start w:val="6"/>
    </w:lvl>
  </w:abstractNum>
  <w:abstractNum w:abstractNumId="135">
    <w:nsid w:val="14D53685"/>
    <w:multiLevelType w:val="hybridMultilevel"/>
    <w:lvl w:ilvl="0">
      <w:lvlJc w:val="left"/>
      <w:lvlText w:val="(%1)"/>
      <w:numFmt w:val="lowerRoman"/>
      <w:start w:val="2"/>
    </w:lvl>
  </w:abstractNum>
  <w:abstractNum w:abstractNumId="136">
    <w:nsid w:val="230F856C"/>
    <w:multiLevelType w:val="hybridMultilevel"/>
    <w:lvl w:ilvl="0">
      <w:lvlJc w:val="left"/>
      <w:lvlText w:val="%1"/>
      <w:numFmt w:val="lowerLetter"/>
      <w:start w:val="1"/>
    </w:lvl>
    <w:lvl w:ilvl="1">
      <w:lvlJc w:val="left"/>
      <w:lvlText w:val="(%2)"/>
      <w:numFmt w:val="lowerLetter"/>
      <w:start w:val="1"/>
    </w:lvl>
  </w:abstractNum>
  <w:abstractNum w:abstractNumId="137">
    <w:nsid w:val="6EAA85FB"/>
    <w:multiLevelType w:val="hybridMultilevel"/>
    <w:lvl w:ilvl="0">
      <w:lvlJc w:val="left"/>
      <w:lvlText w:val="(%1)"/>
      <w:numFmt w:val="lowerLetter"/>
      <w:start w:val="9"/>
    </w:lvl>
    <w:lvl w:ilvl="1">
      <w:lvlJc w:val="left"/>
      <w:lvlText w:val="(%2)"/>
      <w:numFmt w:val="lowerLetter"/>
      <w:start w:val="3"/>
    </w:lvl>
  </w:abstractNum>
  <w:abstractNum w:abstractNumId="138">
    <w:nsid w:val="3F06ECB2"/>
    <w:multiLevelType w:val="hybridMultilevel"/>
    <w:lvl w:ilvl="0">
      <w:lvlJc w:val="left"/>
      <w:lvlText w:val="(%1)"/>
      <w:numFmt w:val="lowerLetter"/>
      <w:start w:val="9"/>
    </w:lvl>
    <w:lvl w:ilvl="1">
      <w:lvlJc w:val="left"/>
      <w:lvlText w:val="%2"/>
      <w:numFmt w:val="lowerLetter"/>
      <w:start w:val="1"/>
    </w:lvl>
  </w:abstractNum>
  <w:abstractNum w:abstractNumId="139">
    <w:nsid w:val="3B594807"/>
    <w:multiLevelType w:val="hybridMultilevel"/>
    <w:lvl w:ilvl="0">
      <w:lvlJc w:val="left"/>
      <w:lvlText w:val="(%1)"/>
      <w:numFmt w:val="lowerLetter"/>
      <w:start w:val="1"/>
    </w:lvl>
  </w:abstractNum>
  <w:abstractNum w:abstractNumId="140">
    <w:nsid w:val="6CAA2304"/>
    <w:multiLevelType w:val="hybridMultilevel"/>
    <w:lvl w:ilvl="0">
      <w:lvlJc w:val="left"/>
      <w:lvlText w:val="%1"/>
      <w:numFmt w:val="lowerLetter"/>
      <w:start w:val="1"/>
    </w:lvl>
    <w:lvl w:ilvl="1">
      <w:lvlJc w:val="left"/>
      <w:lvlText w:val="(%2)"/>
      <w:numFmt w:val="lowerLetter"/>
      <w:start w:val="1"/>
    </w:lvl>
  </w:abstractNum>
  <w:abstractNum w:abstractNumId="141">
    <w:nsid w:val="3F7C2FF4"/>
    <w:multiLevelType w:val="hybridMultilevel"/>
    <w:lvl w:ilvl="0">
      <w:lvlJc w:val="left"/>
      <w:lvlText w:val="(%1)"/>
      <w:numFmt w:val="lowerLetter"/>
      <w:start w:val="61"/>
    </w:lvl>
    <w:lvl w:ilvl="1">
      <w:lvlJc w:val="left"/>
      <w:lvlText w:val="%2"/>
      <w:numFmt w:val="lowerLetter"/>
      <w:start w:val="1"/>
    </w:lvl>
  </w:abstractNum>
  <w:abstractNum w:abstractNumId="142">
    <w:nsid w:val="25413BEC"/>
    <w:multiLevelType w:val="hybridMultilevel"/>
    <w:lvl w:ilvl="0">
      <w:lvlJc w:val="left"/>
      <w:lvlText w:val="(%1)"/>
      <w:numFmt w:val="lowerLetter"/>
      <w:start w:val="1"/>
    </w:lvl>
  </w:abstractNum>
  <w:abstractNum w:abstractNumId="143">
    <w:nsid w:val="17180B0B"/>
    <w:multiLevelType w:val="hybridMultilevel"/>
    <w:lvl w:ilvl="0">
      <w:lvlJc w:val="left"/>
      <w:lvlText w:val="(%1)"/>
      <w:numFmt w:val="lowerLetter"/>
      <w:start w:val="3"/>
    </w:lvl>
  </w:abstractNum>
  <w:abstractNum w:abstractNumId="144">
    <w:nsid w:val="579328B9"/>
    <w:multiLevelType w:val="hybridMultilevel"/>
    <w:lvl w:ilvl="0">
      <w:lvlJc w:val="left"/>
      <w:lvlText w:val="(%1)"/>
      <w:numFmt w:val="lowerLetter"/>
      <w:start w:val="4"/>
    </w:lvl>
  </w:abstractNum>
  <w:abstractNum w:abstractNumId="145">
    <w:nsid w:val="5D205E20"/>
    <w:multiLevelType w:val="hybridMultilevel"/>
    <w:lvl w:ilvl="0">
      <w:lvlJc w:val="left"/>
      <w:lvlText w:val="(%1)"/>
      <w:numFmt w:val="lowerLetter"/>
      <w:start w:val="2"/>
    </w:lvl>
  </w:abstractNum>
  <w:abstractNum w:abstractNumId="146">
    <w:nsid w:val="11CCA8BA"/>
    <w:multiLevelType w:val="hybridMultilevel"/>
    <w:lvl w:ilvl="0">
      <w:lvlJc w:val="left"/>
      <w:lvlText w:val="(%1)"/>
      <w:numFmt w:val="lowerLetter"/>
      <w:start w:val="1"/>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1"/>
    </w:lvl>
  </w:abstractNum>
  <w:abstractNum w:abstractNumId="149">
    <w:nsid w:val="6B47F63E"/>
    <w:multiLevelType w:val="hybridMultilevel"/>
    <w:lvl w:ilvl="0">
      <w:lvlJc w:val="left"/>
      <w:lvlText w:val="(%1)"/>
      <w:numFmt w:val="lowerLetter"/>
      <w:start w:val="4"/>
    </w:lvl>
  </w:abstractNum>
  <w:abstractNum w:abstractNumId="150">
    <w:nsid w:val="5CB44A05"/>
    <w:multiLevelType w:val="hybridMultilevel"/>
    <w:lvl w:ilvl="0">
      <w:lvlJc w:val="left"/>
      <w:lvlText w:val="%1."/>
      <w:numFmt w:val="decimal"/>
      <w:start w:val="1"/>
    </w:lvl>
    <w:lvl w:ilvl="1">
      <w:lvlJc w:val="left"/>
      <w:lvlText w:val="(%2)"/>
      <w:numFmt w:val="lowerLetter"/>
      <w:start w:val="1"/>
    </w:lvl>
  </w:abstractNum>
  <w:abstractNum w:abstractNumId="151">
    <w:nsid w:val="16CF80F1"/>
    <w:multiLevelType w:val="hybridMultilevel"/>
    <w:lvl w:ilvl="0">
      <w:lvlJc w:val="left"/>
      <w:lvlText w:val="(%1)"/>
      <w:numFmt w:val="lowerLetter"/>
      <w:start w:val="2"/>
    </w:lvl>
  </w:abstractNum>
  <w:abstractNum w:abstractNumId="152">
    <w:nsid w:val="1C695DEC"/>
    <w:multiLevelType w:val="hybridMultilevel"/>
    <w:lvl w:ilvl="0">
      <w:lvlJc w:val="left"/>
      <w:lvlText w:val="%1."/>
      <w:numFmt w:val="decimal"/>
      <w:start w:val="1"/>
    </w:lvl>
  </w:abstractNum>
  <w:abstractNum w:abstractNumId="153">
    <w:nsid w:val="3FCFAED9"/>
    <w:multiLevelType w:val="hybridMultilevel"/>
    <w:lvl w:ilvl="0">
      <w:lvlJc w:val="left"/>
      <w:lvlText w:val="%1."/>
      <w:numFmt w:val="decimal"/>
      <w:start w:val="3"/>
    </w:lvl>
  </w:abstractNum>
  <w:abstractNum w:abstractNumId="154">
    <w:nsid w:val="F856867"/>
    <w:multiLevelType w:val="hybridMultilevel"/>
    <w:lvl w:ilvl="0">
      <w:lvlJc w:val="left"/>
      <w:lvlText w:val="%1."/>
      <w:numFmt w:val="decimal"/>
      <w:start w:val="15"/>
    </w:lvl>
  </w:abstractNum>
  <w:abstractNum w:abstractNumId="155">
    <w:nsid w:val="11B1CC33"/>
    <w:multiLevelType w:val="hybridMultilevel"/>
    <w:lvl w:ilvl="0">
      <w:lvlJc w:val="left"/>
      <w:lvlText w:val="(%1)"/>
      <w:numFmt w:val="lowerRoman"/>
      <w:start w:val="1"/>
    </w:lvl>
  </w:abstractNum>
  <w:abstractNum w:abstractNumId="156">
    <w:nsid w:val="2E22FBB7"/>
    <w:multiLevelType w:val="hybridMultilevel"/>
    <w:lvl w:ilvl="0">
      <w:lvlJc w:val="left"/>
      <w:lvlText w:val="%1."/>
      <w:numFmt w:val="decimal"/>
      <w:start w:val="1"/>
    </w:lvl>
  </w:abstractNum>
  <w:abstractNum w:abstractNumId="157">
    <w:nsid w:val="29934699"/>
    <w:multiLevelType w:val="hybridMultilevel"/>
    <w:lvl w:ilvl="0">
      <w:lvlJc w:val="left"/>
      <w:lvlText w:val="%1"/>
      <w:numFmt w:val="decimal"/>
      <w:start w:val="1"/>
    </w:lvl>
    <w:lvl w:ilvl="1">
      <w:lvlJc w:val="left"/>
      <w:lvlText w:val="(%2)"/>
      <w:numFmt w:val="lowerLetter"/>
      <w:start w:val="1"/>
    </w:lvl>
  </w:abstractNum>
  <w:abstractNum w:abstractNumId="158">
    <w:nsid w:val="77485850"/>
    <w:multiLevelType w:val="hybridMultilevel"/>
    <w:lvl w:ilvl="0">
      <w:lvlJc w:val="left"/>
      <w:lvlText w:val="%1."/>
      <w:numFmt w:val="decimal"/>
      <w:start w:val="2"/>
    </w:lvl>
    <w:lvl w:ilvl="1">
      <w:lvlJc w:val="left"/>
      <w:lvlText w:val="(%2)"/>
      <w:numFmt w:val="lowerLetter"/>
      <w:start w:val="1"/>
    </w:lvl>
  </w:abstractNum>
  <w:abstractNum w:abstractNumId="159">
    <w:nsid w:val="744939A3"/>
    <w:multiLevelType w:val="hybridMultilevel"/>
    <w:lvl w:ilvl="0">
      <w:lvlJc w:val="left"/>
      <w:lvlText w:val="%1"/>
      <w:numFmt w:val="decimal"/>
      <w:start w:val="1"/>
    </w:lvl>
    <w:lvl w:ilvl="1">
      <w:lvlJc w:val="left"/>
      <w:lvlText w:val="(%2)"/>
      <w:numFmt w:val="lowerLetter"/>
      <w:start w:val="3"/>
    </w:lvl>
  </w:abstractNum>
  <w:abstractNum w:abstractNumId="160">
    <w:nsid w:val="4FA0D2E3"/>
    <w:multiLevelType w:val="hybridMultilevel"/>
    <w:lvl w:ilvl="0">
      <w:lvlJc w:val="left"/>
      <w:lvlText w:val="%1."/>
      <w:numFmt w:val="decimal"/>
      <w:start w:val="3"/>
    </w:lvl>
    <w:lvl w:ilvl="1">
      <w:lvlJc w:val="left"/>
      <w:lvlText w:val="%2"/>
      <w:numFmt w:val="lowerLetter"/>
      <w:start w:val="1"/>
    </w:lvl>
  </w:abstractNum>
  <w:abstractNum w:abstractNumId="161">
    <w:nsid w:val="6B1D2C14"/>
    <w:multiLevelType w:val="hybridMultilevel"/>
    <w:lvl w:ilvl="0">
      <w:lvlJc w:val="left"/>
      <w:lvlText w:val="%1."/>
      <w:numFmt w:val="decimal"/>
      <w:start w:val="1"/>
    </w:lvl>
  </w:abstractNum>
  <w:abstractNum w:abstractNumId="162">
    <w:nsid w:val="68B867D3"/>
    <w:multiLevelType w:val="hybridMultilevel"/>
    <w:lvl w:ilvl="0">
      <w:lvlJc w:val="left"/>
      <w:lvlText w:val="(%1)"/>
      <w:numFmt w:val="lowerLetter"/>
      <w:start w:val="1"/>
    </w:lvl>
  </w:abstractNum>
  <w:abstractNum w:abstractNumId="163">
    <w:nsid w:val="3F7F5DD9"/>
    <w:multiLevelType w:val="hybridMultilevel"/>
    <w:lvl w:ilvl="0">
      <w:lvlJc w:val="left"/>
      <w:lvlText w:val="%1."/>
      <w:numFmt w:val="decimal"/>
      <w:start w:val="5"/>
    </w:lvl>
  </w:abstractNum>
  <w:abstractNum w:abstractNumId="164">
    <w:nsid w:val="2AE05A34"/>
    <w:multiLevelType w:val="hybridMultilevel"/>
    <w:lvl w:ilvl="0">
      <w:lvlJc w:val="left"/>
      <w:lvlText w:val="(%1)"/>
      <w:numFmt w:val="lowerLetter"/>
      <w:start w:val="1"/>
    </w:lvl>
  </w:abstractNum>
  <w:abstractNum w:abstractNumId="165">
    <w:nsid w:val="32794FF7"/>
    <w:multiLevelType w:val="hybridMultilevel"/>
    <w:lvl w:ilvl="0">
      <w:lvlJc w:val="left"/>
      <w:lvlText w:val="%1."/>
      <w:numFmt w:val="decimal"/>
      <w:start w:val="1"/>
    </w:lvl>
  </w:abstractNum>
  <w:abstractNum w:abstractNumId="166">
    <w:nsid w:val="5454945E"/>
    <w:multiLevelType w:val="hybridMultilevel"/>
    <w:lvl w:ilvl="0">
      <w:lvlJc w:val="left"/>
      <w:lvlText w:val="(%1)"/>
      <w:numFmt w:val="lowerLetter"/>
      <w:start w:val="1"/>
    </w:lvl>
  </w:abstractNum>
  <w:abstractNum w:abstractNumId="167">
    <w:nsid w:val="4DEFDFA0"/>
    <w:multiLevelType w:val="hybridMultilevel"/>
    <w:lvl w:ilvl="0">
      <w:lvlJc w:val="left"/>
      <w:lvlText w:val="%1."/>
      <w:numFmt w:val="decimal"/>
      <w:start w:val="5"/>
    </w:lvl>
  </w:abstractNum>
  <w:abstractNum w:abstractNumId="168">
    <w:nsid w:val="2123D5F2"/>
    <w:multiLevelType w:val="hybridMultilevel"/>
    <w:lvl w:ilvl="0">
      <w:lvlJc w:val="left"/>
      <w:lvlText w:val="(%1)"/>
      <w:numFmt w:val="lowerLetter"/>
      <w:start w:val="1"/>
    </w:lvl>
  </w:abstractNum>
  <w:abstractNum w:abstractNumId="169">
    <w:nsid w:val="135B8110"/>
    <w:multiLevelType w:val="hybridMultilevel"/>
    <w:lvl w:ilvl="0">
      <w:lvlJc w:val="left"/>
      <w:lvlText w:val="(%1)"/>
      <w:numFmt w:val="lowerRoman"/>
      <w:start w:val="1"/>
    </w:lvl>
  </w:abstractNum>
  <w:abstractNum w:abstractNumId="170">
    <w:nsid w:val="94927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2020-01-19T17:59:42Z</dcterms:created>
  <dcterms:modified xsi:type="dcterms:W3CDTF">2020-01-19T17:59:42Z</dcterms:modified>
</cp:coreProperties>
</file>