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288" w:before="0" w:after="0"/>
        <w:rPr/>
      </w:pPr>
      <w:hyperlink w:anchor="s3336AD8A685850CC9B7F2572CB2C0BC3">
        <w:bookmarkStart w:id="0" w:name="s6A4EE96C571B5ECAA5971E6BD1F430B3"/>
        <w:bookmarkStart w:id="1" w:name="paaq2201910-q.htm"/>
        <w:bookmarkStart w:id="2" w:name="kspaaq2201910q"/>
        <w:bookmarkEnd w:id="0"/>
        <w:bookmarkEnd w:id="1"/>
        <w:bookmarkEnd w:id="2"/>
        <w:r>
          <w:rPr>
            <w:rStyle w:val="InternetLink"/>
            <w:rFonts w:ascii="inherit" w:hAnsi="inherit"/>
            <w:sz w:val="17"/>
          </w:rPr>
          <w:t>Table of Contents</w:t>
        </w:r>
      </w:hyperlink>
      <w:r>
        <w:rPr>
          <w:sz w:val="17"/>
        </w:rPr>
        <w:t xml:space="preserve"> </w:t>
      </w:r>
    </w:p>
    <w:p>
      <w:pPr>
        <w:pStyle w:val="TextBody"/>
        <w:spacing w:before="0" w:after="0"/>
        <w:rPr/>
      </w:pPr>
      <w:r>
        <w:rPr/>
      </w:r>
    </w:p>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sz w:val="4"/>
                <w:szCs w:val="4"/>
              </w:rPr>
            </w:pPr>
            <w:r>
              <w:rPr>
                <w:sz w:val="4"/>
                <w:szCs w:val="4"/>
              </w:rPr>
            </w:r>
          </w:p>
        </w:tc>
      </w:tr>
      <w:tr>
        <w:trPr/>
        <w:tc>
          <w:tcPr>
            <w:tcW w:w="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 w:type="dxa"/>
            <w:tcBorders>
              <w:top w:val="single" w:sz="12" w:space="0" w:color="000000"/>
              <w:bottom w:val="single" w:sz="2" w:space="0" w:color="000000"/>
            </w:tcBorders>
            <w:shd w:fill="auto" w:val="clear"/>
            <w:tcMar>
              <w:top w:w="30" w:type="dxa"/>
              <w:bottom w:w="30" w:type="dxa"/>
            </w:tcMar>
            <w:vAlign w:val="center"/>
          </w:tcPr>
          <w:p>
            <w:pPr>
              <w:pStyle w:val="TableContents"/>
              <w:spacing w:before="0" w:after="0"/>
              <w:rPr/>
            </w:pPr>
            <w:r>
              <w:rPr/>
              <w:t> </w:t>
            </w:r>
          </w:p>
        </w:tc>
      </w:tr>
    </w:tbl>
    <w:p>
      <w:pPr>
        <w:pStyle w:val="TextBody"/>
        <w:spacing w:lineRule="auto" w:line="288" w:before="0" w:after="0"/>
        <w:jc w:val="center"/>
        <w:rPr>
          <w:rFonts w:ascii="inherit" w:hAnsi="inherit"/>
          <w:b/>
          <w:sz w:val="28"/>
        </w:rPr>
      </w:pPr>
      <w:r>
        <w:rPr>
          <w:rFonts w:ascii="inherit" w:hAnsi="inherit"/>
          <w:b/>
          <w:sz w:val="28"/>
        </w:rPr>
        <w:t>UNITED STATES</w:t>
      </w:r>
    </w:p>
    <w:p>
      <w:pPr>
        <w:pStyle w:val="TextBody"/>
        <w:spacing w:lineRule="auto" w:line="288" w:before="0" w:after="0"/>
        <w:jc w:val="center"/>
        <w:rPr>
          <w:rFonts w:ascii="inherit" w:hAnsi="inherit"/>
          <w:b/>
          <w:sz w:val="28"/>
        </w:rPr>
      </w:pPr>
      <w:r>
        <w:rPr>
          <w:rFonts w:ascii="inherit" w:hAnsi="inherit"/>
          <w:b/>
          <w:sz w:val="28"/>
        </w:rPr>
        <w:t>SECURITIES AND EXCHANGE COMMISSION</w:t>
      </w:r>
    </w:p>
    <w:p>
      <w:pPr>
        <w:pStyle w:val="TextBody"/>
        <w:spacing w:lineRule="auto" w:line="288" w:before="0" w:after="0"/>
        <w:jc w:val="center"/>
        <w:rPr>
          <w:rFonts w:ascii="inherit" w:hAnsi="inherit"/>
          <w:b/>
          <w:sz w:val="17"/>
        </w:rPr>
      </w:pPr>
      <w:r>
        <w:rPr>
          <w:rFonts w:ascii="inherit" w:hAnsi="inherit"/>
          <w:b/>
          <w:sz w:val="17"/>
        </w:rPr>
        <w:t>Washington, D.C. 20549</w:t>
      </w:r>
    </w:p>
    <w:p>
      <w:pPr>
        <w:pStyle w:val="TextBody"/>
        <w:spacing w:lineRule="auto" w:line="288" w:before="0" w:after="0"/>
        <w:jc w:val="center"/>
        <w:rPr>
          <w:rFonts w:ascii="inherit" w:hAnsi="inherit"/>
          <w:sz w:val="17"/>
        </w:rPr>
      </w:pPr>
      <w:r>
        <w:rPr>
          <w:rFonts w:ascii="inherit" w:hAnsi="inherit"/>
          <w:sz w:val="17"/>
        </w:rPr>
        <w:t>________________________________________________________________</w:t>
      </w:r>
    </w:p>
    <w:p>
      <w:pPr>
        <w:pStyle w:val="TextBody"/>
        <w:spacing w:lineRule="auto" w:line="288" w:before="0" w:after="0"/>
        <w:jc w:val="center"/>
        <w:rPr>
          <w:sz w:val="30"/>
        </w:rPr>
      </w:pPr>
      <w:r>
        <w:rPr>
          <w:rFonts w:ascii="inherit" w:hAnsi="inherit"/>
          <w:b/>
          <w:sz w:val="30"/>
        </w:rPr>
        <w:t>FORM </w:t>
      </w:r>
      <w:r>
        <w:rPr>
          <w:b/>
          <w:sz w:val="30"/>
        </w:rPr>
        <w:t>10-Q</w:t>
      </w:r>
    </w:p>
    <w:p>
      <w:pPr>
        <w:pStyle w:val="TextBody"/>
        <w:spacing w:lineRule="auto" w:line="288" w:before="0" w:after="0"/>
        <w:jc w:val="center"/>
        <w:rPr>
          <w:rFonts w:ascii="inherit" w:hAnsi="inherit"/>
          <w:b/>
          <w:sz w:val="8"/>
        </w:rPr>
      </w:pPr>
      <w:r>
        <w:rPr>
          <w:rFonts w:ascii="inherit" w:hAnsi="inherit"/>
          <w:b/>
          <w:sz w:val="8"/>
        </w:rPr>
        <w:t>________________________________________________________________________________________________________________________________</w:t>
      </w:r>
    </w:p>
    <w:p>
      <w:pPr>
        <w:pStyle w:val="TextBody"/>
        <w:spacing w:lineRule="auto" w:line="288" w:before="0" w:after="0"/>
        <w:rPr/>
      </w:pPr>
      <w:r>
        <w:rPr/>
        <w:t> </w:t>
      </w:r>
    </w:p>
    <w:p>
      <w:pPr>
        <w:pStyle w:val="TextBody"/>
        <w:spacing w:lineRule="auto" w:line="288" w:before="0" w:after="0"/>
        <w:rPr/>
      </w:pPr>
      <w:r>
        <w:rPr/>
        <w:t xml:space="preserve">☒      </w:t>
      </w:r>
      <w:r>
        <w:rPr>
          <w:rFonts w:ascii="inherit" w:hAnsi="inherit"/>
          <w:b/>
          <w:sz w:val="17"/>
        </w:rPr>
        <w:t>QUARTERLY REPORT PURSUANT TO SECTION 13 OR 15(d) OF THE SECURITIES EXCHANGE ACT OF 1934</w:t>
      </w:r>
    </w:p>
    <w:p>
      <w:pPr>
        <w:pStyle w:val="TextBody"/>
        <w:spacing w:lineRule="auto" w:line="288" w:before="0" w:after="0"/>
        <w:rPr/>
      </w:pPr>
      <w:r>
        <w:rPr/>
        <w:t> </w:t>
      </w:r>
    </w:p>
    <w:p>
      <w:pPr>
        <w:pStyle w:val="TextBody"/>
        <w:spacing w:lineRule="auto" w:line="288" w:before="0" w:after="0"/>
        <w:jc w:val="center"/>
        <w:rPr>
          <w:sz w:val="17"/>
        </w:rPr>
      </w:pPr>
      <w:r>
        <w:rPr>
          <w:rFonts w:ascii="inherit" w:hAnsi="inherit"/>
          <w:b/>
          <w:sz w:val="17"/>
        </w:rPr>
        <w:t>For the quarterly period ended June 30, 2019</w:t>
      </w:r>
      <w:r>
        <w:rPr>
          <w:sz w:val="17"/>
        </w:rPr>
        <w:t xml:space="preserve"> </w:t>
      </w:r>
    </w:p>
    <w:p>
      <w:pPr>
        <w:pStyle w:val="TextBody"/>
        <w:spacing w:lineRule="auto" w:line="288" w:before="0" w:after="0"/>
        <w:rPr/>
      </w:pPr>
      <w:r>
        <w:rPr/>
        <w:t> </w:t>
      </w:r>
    </w:p>
    <w:p>
      <w:pPr>
        <w:pStyle w:val="TextBody"/>
        <w:spacing w:lineRule="auto" w:line="288" w:before="0" w:after="0"/>
        <w:jc w:val="center"/>
        <w:rPr>
          <w:rFonts w:ascii="inherit" w:hAnsi="inherit"/>
          <w:b/>
          <w:sz w:val="17"/>
        </w:rPr>
      </w:pPr>
      <w:r>
        <w:rPr>
          <w:rFonts w:ascii="inherit" w:hAnsi="inherit"/>
          <w:b/>
          <w:sz w:val="17"/>
        </w:rPr>
        <w:t>or</w:t>
      </w:r>
    </w:p>
    <w:p>
      <w:pPr>
        <w:pStyle w:val="TextBody"/>
        <w:spacing w:lineRule="auto" w:line="288" w:before="0" w:after="0"/>
        <w:rPr/>
      </w:pPr>
      <w:r>
        <w:rPr/>
        <w:t> </w:t>
      </w:r>
    </w:p>
    <w:p>
      <w:pPr>
        <w:pStyle w:val="TextBody"/>
        <w:spacing w:lineRule="auto" w:line="288" w:before="0" w:after="0"/>
        <w:rPr/>
      </w:pPr>
      <w:r>
        <w:rPr/>
        <w:t>☐      </w:t>
      </w:r>
      <w:r>
        <w:rPr>
          <w:rFonts w:ascii="inherit" w:hAnsi="inherit"/>
          <w:b/>
          <w:sz w:val="17"/>
        </w:rPr>
        <w:t>TRANSITION REPORT PURSUANT TO SECTION 13 OR 15(d) OF THE SECURITIES EXCHANGE ACT OF 1934</w:t>
      </w:r>
    </w:p>
    <w:p>
      <w:pPr>
        <w:pStyle w:val="TextBody"/>
        <w:spacing w:lineRule="auto" w:line="288" w:before="0" w:after="0"/>
        <w:rPr/>
      </w:pPr>
      <w:r>
        <w:rPr/>
        <w:t> </w:t>
      </w:r>
    </w:p>
    <w:p>
      <w:pPr>
        <w:pStyle w:val="TextBody"/>
        <w:spacing w:lineRule="auto" w:line="288" w:before="0" w:after="0"/>
        <w:jc w:val="center"/>
        <w:rPr>
          <w:sz w:val="17"/>
        </w:rPr>
      </w:pPr>
      <w:r>
        <w:rPr>
          <w:rFonts w:ascii="inherit" w:hAnsi="inherit"/>
          <w:b/>
          <w:sz w:val="17"/>
        </w:rPr>
        <w:t xml:space="preserve">Commission File Number: </w:t>
      </w:r>
      <w:r>
        <w:rPr>
          <w:b/>
          <w:sz w:val="17"/>
        </w:rPr>
        <w:t>1-14569</w:t>
      </w:r>
      <w:r>
        <w:rPr>
          <w:sz w:val="17"/>
        </w:rPr>
        <w:t xml:space="preserve"> </w:t>
      </w:r>
    </w:p>
    <w:p>
      <w:pPr>
        <w:pStyle w:val="TextBody"/>
        <w:spacing w:lineRule="auto" w:line="288" w:before="0" w:after="0"/>
        <w:jc w:val="center"/>
        <w:rPr>
          <w:rFonts w:ascii="inherit" w:hAnsi="inherit"/>
          <w:sz w:val="17"/>
        </w:rPr>
      </w:pPr>
      <w:r>
        <w:rPr>
          <w:rFonts w:ascii="inherit" w:hAnsi="inherit"/>
          <w:sz w:val="17"/>
        </w:rPr>
        <w:t>________________________________________________________________</w:t>
      </w:r>
    </w:p>
    <w:p>
      <w:pPr>
        <w:pStyle w:val="TextBody"/>
        <w:spacing w:lineRule="auto" w:line="288" w:before="0" w:after="0"/>
        <w:jc w:val="center"/>
        <w:rPr>
          <w:rFonts w:ascii="inherit" w:hAnsi="inherit"/>
          <w:sz w:val="12"/>
        </w:rPr>
      </w:pPr>
      <w:r>
        <w:rPr>
          <w:rFonts w:ascii="inherit" w:hAnsi="inherit"/>
          <w:sz w:val="12"/>
        </w:rPr>
      </w:r>
    </w:p>
    <w:p>
      <w:pPr>
        <w:pStyle w:val="TextBody"/>
        <w:spacing w:lineRule="auto" w:line="288" w:before="0" w:after="0"/>
        <w:jc w:val="center"/>
        <w:rPr>
          <w:rFonts w:ascii="inherit" w:hAnsi="inherit"/>
          <w:b/>
          <w:sz w:val="30"/>
        </w:rPr>
      </w:pPr>
      <w:r>
        <w:rPr>
          <w:rFonts w:ascii="inherit" w:hAnsi="inherit"/>
          <w:b/>
          <w:sz w:val="30"/>
        </w:rPr>
        <w:t>PLAINS ALL AMERICAN PIPELINE, L.P.</w:t>
      </w:r>
    </w:p>
    <w:p>
      <w:pPr>
        <w:pStyle w:val="TextBody"/>
        <w:spacing w:lineRule="auto" w:line="288" w:before="0" w:after="0"/>
        <w:jc w:val="center"/>
        <w:rPr>
          <w:rFonts w:ascii="inherit" w:hAnsi="inherit"/>
          <w:sz w:val="17"/>
        </w:rPr>
      </w:pPr>
      <w:r>
        <w:rPr>
          <w:rFonts w:ascii="inherit" w:hAnsi="inherit"/>
          <w:sz w:val="17"/>
        </w:rPr>
        <w:t>(Exact name of registrant as specified in its charter)</w:t>
      </w:r>
    </w:p>
    <w:tbl>
      <w:tblPr>
        <w:tblW w:w="7090" w:type="dxa"/>
        <w:jc w:val="left"/>
        <w:tblInd w:w="0" w:type="dxa"/>
        <w:tblCellMar>
          <w:top w:w="0" w:type="dxa"/>
          <w:left w:w="0" w:type="dxa"/>
          <w:bottom w:w="0" w:type="dxa"/>
          <w:right w:w="0" w:type="dxa"/>
        </w:tblCellMar>
      </w:tblPr>
      <w:tblGrid>
        <w:gridCol w:w="4430"/>
        <w:gridCol w:w="90"/>
        <w:gridCol w:w="2570"/>
      </w:tblGrid>
      <w:tr>
        <w:trPr/>
        <w:tc>
          <w:tcPr>
            <w:tcW w:w="7090" w:type="dxa"/>
            <w:gridSpan w:val="3"/>
            <w:tcBorders/>
            <w:shd w:fill="auto" w:val="clear"/>
            <w:vAlign w:val="center"/>
          </w:tcPr>
          <w:p>
            <w:pPr>
              <w:pStyle w:val="TableContents"/>
              <w:spacing w:before="0" w:after="283"/>
              <w:rPr>
                <w:sz w:val="4"/>
                <w:szCs w:val="4"/>
              </w:rPr>
            </w:pPr>
            <w:r>
              <w:rPr>
                <w:sz w:val="4"/>
                <w:szCs w:val="4"/>
              </w:rPr>
            </w:r>
          </w:p>
        </w:tc>
      </w:tr>
      <w:tr>
        <w:trPr/>
        <w:tc>
          <w:tcPr>
            <w:tcW w:w="44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57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430"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Delaware</w:t>
            </w:r>
          </w:p>
        </w:tc>
        <w:tc>
          <w:tcPr>
            <w:tcW w:w="90" w:type="dxa"/>
            <w:tcBorders/>
            <w:shd w:fill="auto" w:val="clear"/>
            <w:vAlign w:val="center"/>
          </w:tcPr>
          <w:p>
            <w:pPr>
              <w:pStyle w:val="TableContents"/>
              <w:spacing w:before="0" w:after="0"/>
              <w:ind w:left="0" w:right="0" w:firstLine="30"/>
              <w:jc w:val="left"/>
              <w:rPr/>
            </w:pPr>
            <w:r>
              <w:rPr/>
              <w:t> </w:t>
            </w:r>
          </w:p>
        </w:tc>
        <w:tc>
          <w:tcPr>
            <w:tcW w:w="2570"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76-0582150</w:t>
            </w:r>
          </w:p>
        </w:tc>
      </w:tr>
      <w:tr>
        <w:trPr/>
        <w:tc>
          <w:tcPr>
            <w:tcW w:w="4430"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(State or other jurisdiction of incorporation or organization)</w:t>
            </w:r>
          </w:p>
        </w:tc>
        <w:tc>
          <w:tcPr>
            <w:tcW w:w="90" w:type="dxa"/>
            <w:tcBorders/>
            <w:shd w:fill="auto" w:val="clear"/>
            <w:vAlign w:val="center"/>
          </w:tcPr>
          <w:p>
            <w:pPr>
              <w:pStyle w:val="TableContents"/>
              <w:spacing w:before="0" w:after="0"/>
              <w:ind w:left="0" w:right="0" w:firstLine="30"/>
              <w:jc w:val="left"/>
              <w:rPr/>
            </w:pPr>
            <w:r>
              <w:rPr/>
              <w:t> </w:t>
            </w:r>
          </w:p>
        </w:tc>
        <w:tc>
          <w:tcPr>
            <w:tcW w:w="2570" w:type="dxa"/>
            <w:tcBorders/>
            <w:shd w:fill="auto" w:val="clear"/>
            <w:vAlign w:val="center"/>
          </w:tcPr>
          <w:p>
            <w:pPr>
              <w:pStyle w:val="TableContents"/>
              <w:spacing w:before="0" w:after="0"/>
              <w:jc w:val="center"/>
              <w:rPr>
                <w:rFonts w:ascii="inherit" w:hAnsi="inherit"/>
                <w:sz w:val="15"/>
              </w:rPr>
            </w:pPr>
            <w:r>
              <w:rPr>
                <w:rFonts w:ascii="inherit" w:hAnsi="inherit"/>
                <w:sz w:val="15"/>
              </w:rPr>
              <w:t>(I.R.S. Employer Identification No.)</w:t>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center"/>
        <w:rPr>
          <w:sz w:val="17"/>
        </w:rPr>
      </w:pPr>
      <w:r>
        <w:rPr>
          <w:b/>
          <w:sz w:val="17"/>
        </w:rPr>
        <w:t>333 Clay Street</w:t>
      </w:r>
      <w:r>
        <w:rPr>
          <w:rFonts w:ascii="inherit" w:hAnsi="inherit"/>
          <w:b/>
          <w:sz w:val="17"/>
        </w:rPr>
        <w:t xml:space="preserve">, </w:t>
      </w:r>
      <w:r>
        <w:rPr>
          <w:b/>
          <w:sz w:val="17"/>
        </w:rPr>
        <w:t>Suite 1600</w:t>
      </w:r>
      <w:r>
        <w:rPr>
          <w:sz w:val="17"/>
        </w:rPr>
        <w:t xml:space="preserve"> </w:t>
      </w:r>
    </w:p>
    <w:p>
      <w:pPr>
        <w:pStyle w:val="TextBody"/>
        <w:spacing w:lineRule="auto" w:line="288" w:before="0" w:after="0"/>
        <w:jc w:val="center"/>
        <w:rPr>
          <w:sz w:val="17"/>
        </w:rPr>
      </w:pPr>
      <w:r>
        <w:rPr>
          <w:b/>
          <w:sz w:val="17"/>
        </w:rPr>
        <w:t>Houston</w:t>
      </w:r>
      <w:r>
        <w:rPr>
          <w:rFonts w:ascii="inherit" w:hAnsi="inherit"/>
          <w:b/>
          <w:sz w:val="17"/>
        </w:rPr>
        <w:t xml:space="preserve">, </w:t>
      </w:r>
      <w:r>
        <w:rPr>
          <w:b/>
          <w:sz w:val="17"/>
        </w:rPr>
        <w:t>Texas</w:t>
      </w:r>
      <w:r>
        <w:rPr>
          <w:sz w:val="17"/>
        </w:rPr>
        <w:t xml:space="preserve"> </w:t>
      </w:r>
      <w:r>
        <w:rPr>
          <w:b/>
          <w:sz w:val="17"/>
        </w:rPr>
        <w:t>77002</w:t>
      </w:r>
      <w:r>
        <w:rPr>
          <w:sz w:val="17"/>
        </w:rPr>
        <w:t xml:space="preserve"> </w:t>
      </w:r>
    </w:p>
    <w:p>
      <w:pPr>
        <w:pStyle w:val="TextBody"/>
        <w:spacing w:lineRule="auto" w:line="288" w:before="0" w:after="0"/>
        <w:jc w:val="center"/>
        <w:rPr>
          <w:rFonts w:ascii="inherit" w:hAnsi="inherit"/>
          <w:sz w:val="15"/>
        </w:rPr>
      </w:pPr>
      <w:r>
        <w:rPr>
          <w:rFonts w:ascii="inherit" w:hAnsi="inherit"/>
          <w:sz w:val="15"/>
        </w:rPr>
        <w:t>(Address of principal executive offices) (Zip code)</w:t>
      </w:r>
    </w:p>
    <w:p>
      <w:pPr>
        <w:pStyle w:val="TextBody"/>
        <w:spacing w:lineRule="auto" w:line="288" w:before="0" w:after="0"/>
        <w:jc w:val="center"/>
        <w:rPr>
          <w:sz w:val="17"/>
        </w:rPr>
      </w:pPr>
      <w:r>
        <w:rPr>
          <w:rFonts w:ascii="inherit" w:hAnsi="inherit"/>
          <w:b/>
          <w:sz w:val="17"/>
        </w:rPr>
        <w:t>(</w:t>
      </w:r>
      <w:r>
        <w:rPr>
          <w:b/>
          <w:sz w:val="17"/>
        </w:rPr>
        <w:t>713</w:t>
      </w:r>
      <w:r>
        <w:rPr>
          <w:rFonts w:ascii="inherit" w:hAnsi="inherit"/>
          <w:b/>
          <w:sz w:val="17"/>
        </w:rPr>
        <w:t xml:space="preserve">) </w:t>
      </w:r>
      <w:r>
        <w:rPr>
          <w:b/>
          <w:sz w:val="17"/>
        </w:rPr>
        <w:t>646-4100</w:t>
      </w:r>
      <w:r>
        <w:rPr>
          <w:sz w:val="17"/>
        </w:rPr>
        <w:t xml:space="preserve"> </w:t>
      </w:r>
    </w:p>
    <w:p>
      <w:pPr>
        <w:pStyle w:val="TextBody"/>
        <w:spacing w:lineRule="auto" w:line="288" w:before="0" w:after="0"/>
        <w:jc w:val="center"/>
        <w:rPr>
          <w:rFonts w:ascii="inherit" w:hAnsi="inherit"/>
          <w:sz w:val="15"/>
        </w:rPr>
      </w:pPr>
      <w:r>
        <w:rPr>
          <w:rFonts w:ascii="inherit" w:hAnsi="inherit"/>
          <w:sz w:val="15"/>
        </w:rPr>
        <w:t>(Registrant’s telephone number, including area code)</w:t>
      </w:r>
    </w:p>
    <w:p>
      <w:pPr>
        <w:pStyle w:val="TextBody"/>
        <w:spacing w:lineRule="auto" w:line="288" w:before="0" w:after="0"/>
        <w:jc w:val="center"/>
        <w:rPr>
          <w:rFonts w:ascii="inherit" w:hAnsi="inherit"/>
          <w:sz w:val="17"/>
        </w:rPr>
      </w:pPr>
      <w:r>
        <w:rPr>
          <w:rFonts w:ascii="inherit" w:hAnsi="inherit"/>
          <w:sz w:val="17"/>
        </w:rPr>
        <w:t>________________________________________________________________</w:t>
      </w:r>
    </w:p>
    <w:p>
      <w:pPr>
        <w:pStyle w:val="TextBody"/>
        <w:spacing w:lineRule="auto" w:line="288" w:before="0" w:after="0"/>
        <w:jc w:val="left"/>
        <w:rPr>
          <w:rFonts w:ascii="inherit" w:hAnsi="inherit"/>
          <w:sz w:val="17"/>
        </w:rPr>
      </w:pPr>
      <w:r>
        <w:rPr>
          <w:rFonts w:ascii="inherit" w:hAnsi="inherit"/>
          <w:sz w:val="17"/>
        </w:rPr>
        <w:t>Securities registered pursuant to Section 12(b) of the Act:</w:t>
      </w:r>
    </w:p>
    <w:tbl>
      <w:tblPr>
        <w:tblW w:w="6915" w:type="dxa"/>
        <w:jc w:val="center"/>
        <w:tblInd w:w="0" w:type="dxa"/>
        <w:tblCellMar>
          <w:top w:w="0" w:type="dxa"/>
          <w:left w:w="0" w:type="dxa"/>
          <w:bottom w:w="0" w:type="dxa"/>
          <w:right w:w="0" w:type="dxa"/>
        </w:tblCellMar>
      </w:tblPr>
      <w:tblGrid>
        <w:gridCol w:w="1550"/>
        <w:gridCol w:w="1580"/>
        <w:gridCol w:w="3785"/>
      </w:tblGrid>
      <w:tr>
        <w:trPr/>
        <w:tc>
          <w:tcPr>
            <w:tcW w:w="6915" w:type="dxa"/>
            <w:gridSpan w:val="3"/>
            <w:tcBorders/>
            <w:shd w:fill="auto" w:val="clear"/>
            <w:vAlign w:val="center"/>
          </w:tcPr>
          <w:p>
            <w:pPr>
              <w:pStyle w:val="TableContents"/>
              <w:spacing w:before="0" w:after="283"/>
              <w:rPr>
                <w:sz w:val="4"/>
                <w:szCs w:val="4"/>
              </w:rPr>
            </w:pPr>
            <w:r>
              <w:rPr>
                <w:sz w:val="4"/>
                <w:szCs w:val="4"/>
              </w:rPr>
            </w:r>
          </w:p>
        </w:tc>
      </w:tr>
      <w:tr>
        <w:trPr/>
        <w:tc>
          <w:tcPr>
            <w:tcW w:w="1550" w:type="dxa"/>
            <w:tcBorders/>
            <w:shd w:fill="auto" w:val="clear"/>
            <w:vAlign w:val="center"/>
          </w:tcPr>
          <w:p>
            <w:pPr>
              <w:pStyle w:val="TableContents"/>
              <w:spacing w:before="0" w:after="283"/>
              <w:rPr>
                <w:sz w:val="4"/>
                <w:szCs w:val="4"/>
              </w:rPr>
            </w:pPr>
            <w:r>
              <w:rPr>
                <w:sz w:val="4"/>
                <w:szCs w:val="4"/>
              </w:rPr>
            </w:r>
          </w:p>
        </w:tc>
        <w:tc>
          <w:tcPr>
            <w:tcW w:w="1580" w:type="dxa"/>
            <w:tcBorders/>
            <w:shd w:fill="auto" w:val="clear"/>
            <w:vAlign w:val="center"/>
          </w:tcPr>
          <w:p>
            <w:pPr>
              <w:pStyle w:val="TableContents"/>
              <w:spacing w:before="0" w:after="283"/>
              <w:rPr>
                <w:sz w:val="4"/>
                <w:szCs w:val="4"/>
              </w:rPr>
            </w:pPr>
            <w:r>
              <w:rPr>
                <w:sz w:val="4"/>
                <w:szCs w:val="4"/>
              </w:rPr>
            </w:r>
          </w:p>
        </w:tc>
        <w:tc>
          <w:tcPr>
            <w:tcW w:w="378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550" w:type="dxa"/>
            <w:tcBorders>
              <w:top w:val="single" w:sz="2" w:space="0" w:color="000000"/>
              <w:left w:val="single" w:sz="2" w:space="0" w:color="000000"/>
              <w:bottom w:val="single" w:sz="2" w:space="0" w:color="000000"/>
            </w:tcBorders>
            <w:shd w:fill="auto" w:val="clear"/>
            <w:tcMar>
              <w:top w:w="30" w:type="dxa"/>
              <w:left w:w="28" w:type="dxa"/>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Title of each class</w:t>
            </w:r>
          </w:p>
        </w:tc>
        <w:tc>
          <w:tcPr>
            <w:tcW w:w="1580" w:type="dxa"/>
            <w:tcBorders>
              <w:top w:val="single" w:sz="2" w:space="0" w:color="000000"/>
              <w:left w:val="single" w:sz="2" w:space="0" w:color="000000"/>
              <w:bottom w:val="single" w:sz="2" w:space="0" w:color="000000"/>
              <w:right w:val="single" w:sz="2" w:space="0" w:color="000000"/>
            </w:tcBorders>
            <w:shd w:fill="auto" w:val="clear"/>
            <w:tcMar>
              <w:top w:w="30" w:type="dxa"/>
              <w:left w:w="28" w:type="dxa"/>
              <w:bottom w:w="30" w:type="dxa"/>
              <w:right w:w="30" w:type="dxa"/>
            </w:tcMar>
            <w:vAlign w:val="center"/>
          </w:tcPr>
          <w:p>
            <w:pPr>
              <w:pStyle w:val="TableContents"/>
              <w:spacing w:before="0" w:after="0"/>
              <w:ind w:left="0" w:right="0" w:firstLine="30"/>
              <w:jc w:val="center"/>
              <w:rPr>
                <w:rFonts w:ascii="inherit" w:hAnsi="inherit"/>
                <w:sz w:val="17"/>
              </w:rPr>
            </w:pPr>
            <w:r>
              <w:rPr>
                <w:rFonts w:ascii="inherit" w:hAnsi="inherit"/>
                <w:sz w:val="17"/>
              </w:rPr>
              <w:t>Trading Symbol(s)</w:t>
            </w:r>
          </w:p>
        </w:tc>
        <w:tc>
          <w:tcPr>
            <w:tcW w:w="3785" w:type="dxa"/>
            <w:tcBorders>
              <w:top w:val="single" w:sz="2" w:space="0" w:color="000000"/>
              <w:bottom w:val="single" w:sz="2" w:space="0" w:color="000000"/>
              <w:right w:val="single" w:sz="2" w:space="0" w:color="000000"/>
            </w:tcBorders>
            <w:shd w:fill="auto" w:val="clear"/>
            <w:tcMar>
              <w:top w:w="30" w:type="dxa"/>
              <w:bottom w:w="30" w:type="dxa"/>
              <w:right w:w="30" w:type="dxa"/>
            </w:tcMar>
            <w:vAlign w:val="center"/>
          </w:tcPr>
          <w:p>
            <w:pPr>
              <w:pStyle w:val="TableContents"/>
              <w:spacing w:before="0" w:after="0"/>
              <w:ind w:left="0" w:right="0" w:firstLine="30"/>
              <w:jc w:val="center"/>
              <w:rPr>
                <w:rFonts w:ascii="inherit" w:hAnsi="inherit"/>
                <w:sz w:val="17"/>
              </w:rPr>
            </w:pPr>
            <w:r>
              <w:rPr>
                <w:rFonts w:ascii="inherit" w:hAnsi="inherit"/>
                <w:sz w:val="17"/>
              </w:rPr>
              <w:t>Name of each exchange on which registered</w:t>
            </w:r>
          </w:p>
        </w:tc>
      </w:tr>
      <w:tr>
        <w:trPr/>
        <w:tc>
          <w:tcPr>
            <w:tcW w:w="1550" w:type="dxa"/>
            <w:tcBorders>
              <w:left w:val="single" w:sz="2" w:space="0" w:color="000000"/>
              <w:bottom w:val="single" w:sz="2" w:space="0" w:color="000000"/>
            </w:tcBorders>
            <w:shd w:fill="auto" w:val="clear"/>
            <w:tcMar>
              <w:left w:w="28" w:type="dxa"/>
              <w:bottom w:w="30" w:type="dxa"/>
            </w:tcMar>
            <w:vAlign w:val="center"/>
          </w:tcPr>
          <w:p>
            <w:pPr>
              <w:pStyle w:val="TableContents"/>
              <w:spacing w:before="0" w:after="0"/>
              <w:ind w:left="0" w:right="0" w:firstLine="30"/>
              <w:jc w:val="center"/>
              <w:rPr>
                <w:rFonts w:ascii="inherit" w:hAnsi="inherit"/>
                <w:sz w:val="17"/>
              </w:rPr>
            </w:pPr>
            <w:r>
              <w:rPr>
                <w:rFonts w:ascii="inherit" w:hAnsi="inherit"/>
                <w:sz w:val="17"/>
              </w:rPr>
              <w:t>Common Units</w:t>
            </w:r>
          </w:p>
        </w:tc>
        <w:tc>
          <w:tcPr>
            <w:tcW w:w="1580" w:type="dxa"/>
            <w:tcBorders>
              <w:left w:val="single" w:sz="2" w:space="0" w:color="000000"/>
              <w:bottom w:val="single" w:sz="2" w:space="0" w:color="000000"/>
              <w:right w:val="single" w:sz="2" w:space="0" w:color="000000"/>
            </w:tcBorders>
            <w:shd w:fill="auto" w:val="clear"/>
            <w:tcMar>
              <w:left w:w="28" w:type="dxa"/>
              <w:bottom w:w="30" w:type="dxa"/>
              <w:right w:w="30" w:type="dxa"/>
            </w:tcMar>
            <w:vAlign w:val="center"/>
          </w:tcPr>
          <w:p>
            <w:pPr>
              <w:pStyle w:val="TableContents"/>
              <w:spacing w:before="0" w:after="0"/>
              <w:ind w:left="0" w:right="0" w:firstLine="30"/>
              <w:jc w:val="center"/>
              <w:rPr>
                <w:rFonts w:ascii="inherit" w:hAnsi="inherit"/>
                <w:sz w:val="17"/>
              </w:rPr>
            </w:pPr>
            <w:r>
              <w:rPr>
                <w:rFonts w:ascii="inherit" w:hAnsi="inherit"/>
                <w:sz w:val="17"/>
              </w:rPr>
              <w:t>PAA</w:t>
            </w:r>
          </w:p>
        </w:tc>
        <w:tc>
          <w:tcPr>
            <w:tcW w:w="3785" w:type="dxa"/>
            <w:tcBorders>
              <w:bottom w:val="single" w:sz="2" w:space="0" w:color="000000"/>
              <w:right w:val="single" w:sz="2" w:space="0" w:color="000000"/>
            </w:tcBorders>
            <w:shd w:fill="auto" w:val="clear"/>
            <w:tcMar>
              <w:bottom w:w="30" w:type="dxa"/>
              <w:right w:w="30" w:type="dxa"/>
            </w:tcMar>
            <w:vAlign w:val="center"/>
          </w:tcPr>
          <w:p>
            <w:pPr>
              <w:pStyle w:val="TableContents"/>
              <w:spacing w:before="0" w:after="0"/>
              <w:jc w:val="center"/>
              <w:rPr>
                <w:rFonts w:ascii="inherit" w:hAnsi="inherit"/>
                <w:sz w:val="17"/>
              </w:rPr>
            </w:pPr>
            <w:r>
              <w:rPr>
                <w:rFonts w:ascii="inherit" w:hAnsi="inherit"/>
                <w:sz w:val="17"/>
              </w:rPr>
              <w:t>New York Stock Exchange</w:t>
            </w:r>
          </w:p>
        </w:tc>
      </w:tr>
    </w:tbl>
    <w:p>
      <w:pPr>
        <w:pStyle w:val="TextBody"/>
        <w:spacing w:lineRule="auto" w:line="288" w:before="0" w:after="0"/>
        <w:rPr/>
      </w:pPr>
      <w:r>
        <w:rPr/>
        <w:t> </w:t>
      </w:r>
    </w:p>
    <w:p>
      <w:pPr>
        <w:pStyle w:val="TextBody"/>
        <w:spacing w:lineRule="auto" w:line="288" w:before="0" w:after="0"/>
        <w:ind w:left="0" w:right="0" w:firstLine="360"/>
        <w:rPr>
          <w:sz w:val="20"/>
        </w:rPr>
      </w:pPr>
      <w:r>
        <w:rPr>
          <w:rFonts w:ascii="inherit" w:hAnsi="inherit"/>
          <w:sz w:val="17"/>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sz w:val="20"/>
        </w:rPr>
        <w:t>☒ </w:t>
      </w:r>
      <w:r>
        <w:rPr>
          <w:rFonts w:ascii="inherit" w:hAnsi="inherit"/>
          <w:sz w:val="17"/>
        </w:rPr>
        <w:t>Yes</w:t>
      </w:r>
      <w:r>
        <w:rPr>
          <w:sz w:val="20"/>
        </w:rPr>
        <w:t>  ☐ </w:t>
      </w:r>
      <w:r>
        <w:rPr>
          <w:rFonts w:ascii="inherit" w:hAnsi="inherit"/>
          <w:sz w:val="17"/>
        </w:rPr>
        <w:t>No</w:t>
      </w:r>
    </w:p>
    <w:p>
      <w:pPr>
        <w:pStyle w:val="TextBody"/>
        <w:spacing w:lineRule="auto" w:line="288" w:before="0" w:after="0"/>
        <w:ind w:left="0" w:right="0" w:firstLine="360"/>
        <w:rPr/>
      </w:pPr>
      <w:r>
        <w:rPr/>
        <w:t> </w:t>
      </w:r>
      <w:r>
        <w:rPr>
          <w:rFonts w:ascii="inherit" w:hAnsi="inherit"/>
          <w:sz w:val="17"/>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sz w:val="20"/>
        </w:rPr>
        <w:t>☒ </w:t>
      </w:r>
      <w:r>
        <w:rPr>
          <w:rFonts w:ascii="inherit" w:hAnsi="inherit"/>
          <w:sz w:val="17"/>
        </w:rPr>
        <w:t>Yes</w:t>
      </w:r>
      <w:r>
        <w:rPr>
          <w:sz w:val="20"/>
        </w:rPr>
        <w:t>  ☐ </w:t>
      </w:r>
      <w:r>
        <w:rPr>
          <w:rFonts w:ascii="inherit" w:hAnsi="inherit"/>
          <w:sz w:val="17"/>
        </w:rPr>
        <w:t>No</w:t>
      </w:r>
    </w:p>
    <w:p>
      <w:pPr>
        <w:pStyle w:val="TextBody"/>
        <w:spacing w:lineRule="auto" w:line="288" w:before="0" w:after="0"/>
        <w:ind w:left="0" w:right="0" w:firstLine="360"/>
        <w:rPr>
          <w:rFonts w:ascii="inherit" w:hAnsi="inherit"/>
          <w:sz w:val="17"/>
        </w:rPr>
      </w:pPr>
      <w:r>
        <w:rPr>
          <w:rFonts w:ascii="inherit" w:hAnsi="inherit"/>
          <w:sz w:val="17"/>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4925" w:type="dxa"/>
        <w:jc w:val="left"/>
        <w:tblInd w:w="0" w:type="dxa"/>
        <w:tblCellMar>
          <w:top w:w="0" w:type="dxa"/>
          <w:left w:w="0" w:type="dxa"/>
          <w:bottom w:w="0" w:type="dxa"/>
          <w:right w:w="0" w:type="dxa"/>
        </w:tblCellMar>
      </w:tblPr>
      <w:tblGrid>
        <w:gridCol w:w="1955"/>
        <w:gridCol w:w="260"/>
        <w:gridCol w:w="90"/>
        <w:gridCol w:w="2345"/>
        <w:gridCol w:w="275"/>
      </w:tblGrid>
      <w:tr>
        <w:trPr/>
        <w:tc>
          <w:tcPr>
            <w:tcW w:w="4925" w:type="dxa"/>
            <w:gridSpan w:val="5"/>
            <w:tcBorders/>
            <w:shd w:fill="auto" w:val="clear"/>
            <w:vAlign w:val="center"/>
          </w:tcPr>
          <w:p>
            <w:pPr>
              <w:pStyle w:val="TableContents"/>
              <w:spacing w:before="0" w:after="283"/>
              <w:rPr>
                <w:sz w:val="4"/>
                <w:szCs w:val="4"/>
              </w:rPr>
            </w:pPr>
            <w:r>
              <w:rPr>
                <w:sz w:val="4"/>
                <w:szCs w:val="4"/>
              </w:rPr>
            </w:r>
          </w:p>
        </w:tc>
      </w:tr>
      <w:tr>
        <w:trPr/>
        <w:tc>
          <w:tcPr>
            <w:tcW w:w="1955"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34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955"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Large accelerated filer</w:t>
            </w:r>
          </w:p>
        </w:tc>
        <w:tc>
          <w:tcPr>
            <w:tcW w:w="260" w:type="dxa"/>
            <w:tcBorders/>
            <w:shd w:fill="auto" w:val="clear"/>
            <w:vAlign w:val="center"/>
          </w:tcPr>
          <w:p>
            <w:pPr>
              <w:pStyle w:val="TableContents"/>
              <w:spacing w:before="0" w:after="0"/>
              <w:ind w:left="0" w:right="0" w:firstLine="30"/>
              <w:jc w:val="left"/>
              <w:rPr/>
            </w:pPr>
            <w:r>
              <w:rPr/>
              <w:t>☒</w:t>
            </w:r>
          </w:p>
        </w:tc>
        <w:tc>
          <w:tcPr>
            <w:tcW w:w="90" w:type="dxa"/>
            <w:tcBorders/>
            <w:shd w:fill="auto" w:val="clear"/>
            <w:vAlign w:val="center"/>
          </w:tcPr>
          <w:p>
            <w:pPr>
              <w:pStyle w:val="TableContents"/>
              <w:spacing w:before="0" w:after="0"/>
              <w:ind w:left="0" w:right="0" w:firstLine="30"/>
              <w:jc w:val="left"/>
              <w:rPr/>
            </w:pPr>
            <w:r>
              <w:rPr/>
              <w:t> </w:t>
            </w:r>
          </w:p>
        </w:tc>
        <w:tc>
          <w:tcPr>
            <w:tcW w:w="2345"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Accelerated filer</w:t>
            </w:r>
          </w:p>
        </w:tc>
        <w:tc>
          <w:tcPr>
            <w:tcW w:w="275" w:type="dxa"/>
            <w:tcBorders/>
            <w:shd w:fill="auto" w:val="clear"/>
            <w:vAlign w:val="center"/>
          </w:tcPr>
          <w:p>
            <w:pPr>
              <w:pStyle w:val="TableContents"/>
              <w:spacing w:before="0" w:after="0"/>
              <w:ind w:left="0" w:right="0" w:firstLine="30"/>
              <w:jc w:val="left"/>
              <w:rPr/>
            </w:pPr>
            <w:r>
              <w:rPr/>
              <w:t>☐</w:t>
            </w:r>
          </w:p>
        </w:tc>
      </w:tr>
      <w:tr>
        <w:trPr/>
        <w:tc>
          <w:tcPr>
            <w:tcW w:w="1955"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Non-accelerated filer</w:t>
            </w:r>
          </w:p>
        </w:tc>
        <w:tc>
          <w:tcPr>
            <w:tcW w:w="260" w:type="dxa"/>
            <w:tcBorders/>
            <w:shd w:fill="auto" w:val="clear"/>
            <w:vAlign w:val="center"/>
          </w:tcPr>
          <w:p>
            <w:pPr>
              <w:pStyle w:val="TableContents"/>
              <w:spacing w:before="0" w:after="0"/>
              <w:ind w:left="0" w:right="0" w:firstLine="30"/>
              <w:jc w:val="left"/>
              <w:rPr/>
            </w:pPr>
            <w:r>
              <w:rPr/>
              <w:t>☐</w:t>
            </w:r>
          </w:p>
        </w:tc>
        <w:tc>
          <w:tcPr>
            <w:tcW w:w="90" w:type="dxa"/>
            <w:tcBorders/>
            <w:shd w:fill="auto" w:val="clear"/>
            <w:vAlign w:val="center"/>
          </w:tcPr>
          <w:p>
            <w:pPr>
              <w:pStyle w:val="TableContents"/>
              <w:spacing w:before="0" w:after="0"/>
              <w:ind w:left="0" w:right="0" w:firstLine="30"/>
              <w:jc w:val="left"/>
              <w:rPr/>
            </w:pPr>
            <w:r>
              <w:rPr/>
              <w:t> </w:t>
            </w:r>
          </w:p>
        </w:tc>
        <w:tc>
          <w:tcPr>
            <w:tcW w:w="2345"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Smaller reporting company</w:t>
            </w:r>
          </w:p>
        </w:tc>
        <w:tc>
          <w:tcPr>
            <w:tcW w:w="275" w:type="dxa"/>
            <w:tcBorders/>
            <w:shd w:fill="auto" w:val="clear"/>
            <w:vAlign w:val="center"/>
          </w:tcPr>
          <w:p>
            <w:pPr>
              <w:pStyle w:val="TableContents"/>
              <w:spacing w:before="0" w:after="0"/>
              <w:ind w:left="0" w:right="0" w:firstLine="30"/>
              <w:jc w:val="left"/>
              <w:rPr/>
            </w:pPr>
            <w:r>
              <w:rPr/>
              <w:t>☐</w:t>
            </w:r>
          </w:p>
        </w:tc>
      </w:tr>
      <w:tr>
        <w:trPr/>
        <w:tc>
          <w:tcPr>
            <w:tcW w:w="1955" w:type="dxa"/>
            <w:tcBorders/>
            <w:shd w:fill="auto" w:val="clear"/>
            <w:vAlign w:val="center"/>
          </w:tcPr>
          <w:p>
            <w:pPr>
              <w:pStyle w:val="TableContents"/>
              <w:spacing w:before="0" w:after="0"/>
              <w:ind w:left="0" w:right="0" w:firstLine="30"/>
              <w:rPr/>
            </w:pPr>
            <w:r>
              <w:rPr/>
              <w:t> </w:t>
            </w:r>
          </w:p>
        </w:tc>
        <w:tc>
          <w:tcPr>
            <w:tcW w:w="26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2345"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Emerging growth company</w:t>
            </w:r>
          </w:p>
        </w:tc>
        <w:tc>
          <w:tcPr>
            <w:tcW w:w="275" w:type="dxa"/>
            <w:tcBorders/>
            <w:shd w:fill="auto" w:val="clear"/>
            <w:vAlign w:val="center"/>
          </w:tcPr>
          <w:p>
            <w:pPr>
              <w:pStyle w:val="TableContents"/>
              <w:spacing w:before="0" w:after="0"/>
              <w:jc w:val="left"/>
              <w:rPr/>
            </w:pPr>
            <w:r>
              <w:rPr/>
              <w:t>☐</w:t>
            </w:r>
          </w:p>
        </w:tc>
      </w:tr>
    </w:tbl>
    <w:p>
      <w:pPr>
        <w:pStyle w:val="TextBody"/>
        <w:spacing w:lineRule="auto" w:line="288" w:before="0" w:after="0"/>
        <w:ind w:left="0" w:right="0" w:firstLine="360"/>
        <w:rPr/>
      </w:pPr>
      <w:r>
        <w:rPr/>
        <w:t> </w:t>
      </w:r>
      <w:r>
        <w:rPr>
          <w:rFonts w:ascii="inherit" w:hAnsi="inherit"/>
          <w:sz w:val="17"/>
        </w:rPr>
        <w:t>If an emerging growth company, indicate by check mark if the registrant has elected not to use the extended transition period for complying with any new or revised financial accounting standards provided pursuant to Section 13(a) of the Exchange Act. </w:t>
      </w:r>
      <w:r>
        <w:rPr>
          <w:sz w:val="20"/>
        </w:rPr>
        <w:t>☐ </w:t>
      </w:r>
    </w:p>
    <w:p>
      <w:pPr>
        <w:pStyle w:val="TextBody"/>
        <w:spacing w:lineRule="auto" w:line="288" w:before="0" w:after="0"/>
        <w:ind w:left="0" w:right="0" w:firstLine="360"/>
        <w:rPr>
          <w:sz w:val="20"/>
        </w:rPr>
      </w:pPr>
      <w:r>
        <w:rPr>
          <w:rFonts w:ascii="inherit" w:hAnsi="inherit"/>
          <w:sz w:val="17"/>
        </w:rPr>
        <w:t>Indicate by check mark whether the registrant is a shell company (as defined in Rule 12b-2 of the Exchange Act).  </w:t>
      </w:r>
      <w:r>
        <w:rPr>
          <w:sz w:val="20"/>
        </w:rPr>
        <w:t>☐ </w:t>
      </w:r>
      <w:r>
        <w:rPr>
          <w:rFonts w:ascii="inherit" w:hAnsi="inherit"/>
          <w:sz w:val="17"/>
        </w:rPr>
        <w:t>Yes  </w:t>
      </w:r>
      <w:r>
        <w:rPr>
          <w:sz w:val="20"/>
        </w:rPr>
        <w:t>☒ </w:t>
      </w:r>
      <w:r>
        <w:rPr>
          <w:rFonts w:ascii="inherit" w:hAnsi="inherit"/>
          <w:sz w:val="17"/>
        </w:rPr>
        <w:t>No</w:t>
      </w:r>
    </w:p>
    <w:p>
      <w:pPr>
        <w:pStyle w:val="TextBody"/>
        <w:spacing w:lineRule="auto" w:line="288" w:before="0" w:after="0"/>
        <w:ind w:left="0" w:right="0" w:firstLine="360"/>
        <w:rPr>
          <w:sz w:val="17"/>
        </w:rPr>
      </w:pPr>
      <w:r>
        <w:rPr>
          <w:rFonts w:ascii="inherit" w:hAnsi="inherit"/>
          <w:sz w:val="17"/>
        </w:rPr>
        <w:t>As of July 31, 2019, there were 727,424,619</w:t>
      </w:r>
      <w:r>
        <w:rPr>
          <w:sz w:val="17"/>
        </w:rPr>
        <w:t xml:space="preserve"> </w:t>
      </w:r>
      <w:r>
        <w:rPr>
          <w:rFonts w:ascii="inherit" w:hAnsi="inherit"/>
          <w:sz w:val="17"/>
        </w:rPr>
        <w:t xml:space="preserve">Common Units outstanding. </w:t>
      </w:r>
    </w:p>
    <w:tbl>
      <w:tblPr>
        <w:tblW w:w="120" w:type="dxa"/>
        <w:jc w:val="center"/>
        <w:tblInd w:w="0" w:type="dxa"/>
        <w:tblCellMar>
          <w:top w:w="0" w:type="dxa"/>
          <w:left w:w="0" w:type="dxa"/>
          <w:bottom w:w="0" w:type="dxa"/>
          <w:right w:w="0" w:type="dxa"/>
        </w:tblCellMar>
      </w:tblPr>
      <w:tblGrid>
        <w:gridCol w:w="120"/>
      </w:tblGrid>
      <w:tr>
        <w:trPr/>
        <w:tc>
          <w:tcPr>
            <w:tcW w:w="120" w:type="dxa"/>
            <w:tcBorders/>
            <w:shd w:fill="auto" w:val="clear"/>
            <w:vAlign w:val="center"/>
          </w:tcPr>
          <w:p>
            <w:pPr>
              <w:pStyle w:val="TableContents"/>
              <w:spacing w:before="0" w:after="283"/>
              <w:rPr>
                <w:sz w:val="4"/>
                <w:szCs w:val="4"/>
              </w:rPr>
            </w:pPr>
            <w:r>
              <w:rPr>
                <w:sz w:val="4"/>
                <w:szCs w:val="4"/>
              </w:rPr>
            </w:r>
          </w:p>
        </w:tc>
      </w:tr>
      <w:tr>
        <w:trPr/>
        <w:tc>
          <w:tcPr>
            <w:tcW w:w="12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2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r>
      <w:tr>
        <w:trPr/>
        <w:tc>
          <w:tcPr>
            <w:tcW w:w="120" w:type="dxa"/>
            <w:tcBorders>
              <w:bottom w:val="single" w:sz="12" w:space="0" w:color="000000"/>
            </w:tcBorders>
            <w:shd w:fill="auto" w:val="clear"/>
            <w:tcMar>
              <w:bottom w:w="30" w:type="dxa"/>
            </w:tcMar>
            <w:vAlign w:val="center"/>
          </w:tcPr>
          <w:p>
            <w:pPr>
              <w:pStyle w:val="TableContents"/>
              <w:spacing w:before="0" w:after="0"/>
              <w:rPr/>
            </w:pPr>
            <w:r>
              <w:rPr/>
              <w:t> </w:t>
            </w:r>
          </w:p>
        </w:tc>
      </w:tr>
    </w:tbl>
    <w:p>
      <w:pPr>
        <w:pStyle w:val="TextBody"/>
        <w:rPr/>
      </w:pPr>
      <w:r>
        <w:rPr/>
      </w:r>
      <w:r>
        <w:br w:type="page"/>
      </w:r>
    </w:p>
    <w:p>
      <w:pPr>
        <w:pStyle w:val="TextBody"/>
        <w:spacing w:lineRule="auto" w:line="288" w:before="0" w:after="0"/>
        <w:rPr/>
      </w:pPr>
      <w:hyperlink w:anchor="s3336AD8A685850CC9B7F2572CB2C0BC3">
        <w:bookmarkStart w:id="3" w:name="s3336AD8A685850CC9B7F2572CB2C0BC3"/>
        <w:bookmarkEnd w:id="3"/>
        <w:r>
          <w:rPr>
            <w:rStyle w:val="InternetLink"/>
            <w:rFonts w:ascii="inherit" w:hAnsi="inherit"/>
            <w:sz w:val="17"/>
          </w:rPr>
          <w:t>Table of Contents</w:t>
        </w:r>
      </w:hyperlink>
      <w:r>
        <w:rPr>
          <w:sz w:val="17"/>
        </w:rPr>
        <w:t xml:space="preserve"> </w:t>
      </w:r>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PLAINS ALL AMERICAN PIPELINE, L.P. AND SUBSIDIARIES</w:t>
      </w:r>
    </w:p>
    <w:p>
      <w:pPr>
        <w:pStyle w:val="TextBody"/>
        <w:spacing w:lineRule="auto" w:line="288" w:before="0" w:after="0"/>
        <w:jc w:val="center"/>
        <w:rPr>
          <w:rFonts w:ascii="inherit" w:hAnsi="inherit"/>
          <w:b/>
          <w:sz w:val="17"/>
        </w:rPr>
      </w:pPr>
      <w:r>
        <w:rPr>
          <w:rFonts w:ascii="inherit" w:hAnsi="inherit"/>
          <w:b/>
          <w:sz w:val="17"/>
        </w:rPr>
        <w:t>TABLE OF CONTENTS</w:t>
      </w:r>
    </w:p>
    <w:tbl>
      <w:tblPr>
        <w:tblW w:w="10205" w:type="dxa"/>
        <w:jc w:val="left"/>
        <w:tblInd w:w="0" w:type="dxa"/>
        <w:tblCellMar>
          <w:top w:w="0" w:type="dxa"/>
          <w:left w:w="0" w:type="dxa"/>
          <w:bottom w:w="0" w:type="dxa"/>
          <w:right w:w="0" w:type="dxa"/>
        </w:tblCellMar>
      </w:tblPr>
      <w:tblGrid>
        <w:gridCol w:w="9540"/>
        <w:gridCol w:w="665"/>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9540"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540" w:type="dxa"/>
            <w:tcBorders/>
            <w:shd w:fill="auto" w:val="clear"/>
            <w:vAlign w:val="center"/>
          </w:tcPr>
          <w:p>
            <w:pPr>
              <w:pStyle w:val="TableContents"/>
              <w:spacing w:before="0" w:after="0"/>
              <w:ind w:left="0" w:right="0" w:firstLine="30"/>
              <w:jc w:val="left"/>
              <w:rPr/>
            </w:pPr>
            <w:r>
              <w:rPr/>
              <w:t> </w:t>
            </w:r>
          </w:p>
        </w:tc>
        <w:tc>
          <w:tcPr>
            <w:tcW w:w="665"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Page</w:t>
            </w:r>
          </w:p>
        </w:tc>
      </w:tr>
      <w:tr>
        <w:trPr/>
        <w:tc>
          <w:tcPr>
            <w:tcW w:w="9540" w:type="dxa"/>
            <w:tcBorders/>
            <w:shd w:fill="auto" w:val="clear"/>
            <w:vAlign w:val="center"/>
          </w:tcPr>
          <w:p>
            <w:pPr>
              <w:pStyle w:val="TableContents"/>
              <w:spacing w:before="0" w:after="0"/>
              <w:ind w:left="0" w:right="0" w:firstLine="30"/>
              <w:jc w:val="both"/>
              <w:rPr/>
            </w:pPr>
            <w:hyperlink w:anchor="s140AFBFF7CD056F194954CBBE38F3A30">
              <w:r>
                <w:rPr>
                  <w:rStyle w:val="InternetLink"/>
                  <w:rFonts w:ascii="inherit" w:hAnsi="inherit"/>
                  <w:b/>
                  <w:sz w:val="17"/>
                </w:rPr>
                <w:t>PART I. FINANCIAL INFORMATION</w:t>
              </w:r>
            </w:hyperlink>
          </w:p>
        </w:tc>
        <w:tc>
          <w:tcPr>
            <w:tcW w:w="665" w:type="dxa"/>
            <w:tcBorders/>
            <w:shd w:fill="auto" w:val="clear"/>
            <w:vAlign w:val="center"/>
          </w:tcPr>
          <w:p>
            <w:pPr>
              <w:pStyle w:val="TableContents"/>
              <w:spacing w:before="0" w:after="0"/>
              <w:ind w:left="0" w:right="0" w:firstLine="30"/>
              <w:jc w:val="right"/>
              <w:rPr/>
            </w:pPr>
            <w:r>
              <w:rPr/>
              <w:t> </w:t>
            </w:r>
          </w:p>
        </w:tc>
      </w:tr>
      <w:tr>
        <w:trPr/>
        <w:tc>
          <w:tcPr>
            <w:tcW w:w="9540" w:type="dxa"/>
            <w:tcBorders/>
            <w:shd w:fill="auto" w:val="clear"/>
            <w:vAlign w:val="center"/>
          </w:tcPr>
          <w:p>
            <w:pPr>
              <w:pStyle w:val="TableContents"/>
              <w:spacing w:before="0" w:after="0"/>
              <w:ind w:left="0" w:right="0" w:firstLine="30"/>
              <w:rPr/>
            </w:pPr>
            <w:hyperlink w:anchor="sAC5F20BBE36550A8B1A6AB2000FFFFAE">
              <w:r>
                <w:rPr>
                  <w:rStyle w:val="InternetLink"/>
                  <w:rFonts w:ascii="inherit" w:hAnsi="inherit"/>
                  <w:sz w:val="17"/>
                </w:rPr>
                <w:t>Item 1. UNAUDITED CONDENSED CONSOLIDATED FINANCIAL STATEMENTS:</w:t>
              </w:r>
            </w:hyperlink>
          </w:p>
        </w:tc>
        <w:tc>
          <w:tcPr>
            <w:tcW w:w="665" w:type="dxa"/>
            <w:tcBorders/>
            <w:shd w:fill="auto" w:val="clear"/>
            <w:vAlign w:val="center"/>
          </w:tcPr>
          <w:p>
            <w:pPr>
              <w:pStyle w:val="TableContents"/>
              <w:spacing w:before="0" w:after="0"/>
              <w:ind w:left="0" w:right="0" w:firstLine="180"/>
              <w:jc w:val="right"/>
              <w:rPr/>
            </w:pPr>
            <w:r>
              <w:rPr/>
              <w:t> </w:t>
            </w:r>
          </w:p>
        </w:tc>
      </w:tr>
      <w:tr>
        <w:trPr/>
        <w:tc>
          <w:tcPr>
            <w:tcW w:w="9540" w:type="dxa"/>
            <w:tcBorders/>
            <w:shd w:fill="auto" w:val="clear"/>
            <w:vAlign w:val="center"/>
          </w:tcPr>
          <w:p>
            <w:pPr>
              <w:pStyle w:val="TableContents"/>
              <w:spacing w:before="0" w:after="0"/>
              <w:ind w:left="0" w:right="0" w:firstLine="30"/>
              <w:rPr/>
            </w:pPr>
            <w:hyperlink w:anchor="s2B5F951935F65368827A58F3B3DCC1BA">
              <w:r>
                <w:rPr>
                  <w:rStyle w:val="InternetLink"/>
                  <w:rFonts w:ascii="inherit" w:hAnsi="inherit"/>
                  <w:sz w:val="17"/>
                </w:rPr>
                <w:t>Condensed Consolidated Balance Sheets: As of June 30, 2019 and December 31, 2018</w:t>
              </w:r>
            </w:hyperlink>
          </w:p>
        </w:tc>
        <w:tc>
          <w:tcPr>
            <w:tcW w:w="665" w:type="dxa"/>
            <w:tcBorders/>
            <w:shd w:fill="auto" w:val="clear"/>
            <w:vAlign w:val="center"/>
          </w:tcPr>
          <w:p>
            <w:pPr>
              <w:pStyle w:val="TableContents"/>
              <w:spacing w:before="0" w:after="0"/>
              <w:ind w:left="0" w:right="0" w:firstLine="180"/>
              <w:jc w:val="right"/>
              <w:rPr/>
            </w:pPr>
            <w:hyperlink w:anchor="s2B5F951935F65368827A58F3B3DCC1BA">
              <w:r>
                <w:rPr>
                  <w:rStyle w:val="InternetLink"/>
                  <w:rFonts w:ascii="inherit" w:hAnsi="inherit"/>
                  <w:sz w:val="17"/>
                </w:rPr>
                <w:t>3</w:t>
              </w:r>
            </w:hyperlink>
          </w:p>
        </w:tc>
      </w:tr>
      <w:tr>
        <w:trPr/>
        <w:tc>
          <w:tcPr>
            <w:tcW w:w="9540" w:type="dxa"/>
            <w:tcBorders/>
            <w:shd w:fill="auto" w:val="clear"/>
            <w:vAlign w:val="center"/>
          </w:tcPr>
          <w:p>
            <w:pPr>
              <w:pStyle w:val="TableContents"/>
              <w:spacing w:before="0" w:after="0"/>
              <w:ind w:left="0" w:right="0" w:firstLine="30"/>
              <w:rPr/>
            </w:pPr>
            <w:hyperlink w:anchor="sB7CCF52312ED5E37A0B2DAC5CA0F5786">
              <w:r>
                <w:rPr>
                  <w:rStyle w:val="InternetLink"/>
                  <w:rFonts w:ascii="inherit" w:hAnsi="inherit"/>
                  <w:sz w:val="17"/>
                </w:rPr>
                <w:t>Condensed Consolidated Statements of Operations: For the three and six months ended June 30, 2019 and 2018</w:t>
              </w:r>
            </w:hyperlink>
          </w:p>
        </w:tc>
        <w:tc>
          <w:tcPr>
            <w:tcW w:w="665" w:type="dxa"/>
            <w:tcBorders/>
            <w:shd w:fill="auto" w:val="clear"/>
            <w:vAlign w:val="center"/>
          </w:tcPr>
          <w:p>
            <w:pPr>
              <w:pStyle w:val="TableContents"/>
              <w:spacing w:before="0" w:after="0"/>
              <w:ind w:left="0" w:right="0" w:firstLine="180"/>
              <w:jc w:val="right"/>
              <w:rPr/>
            </w:pPr>
            <w:hyperlink w:anchor="sB7CCF52312ED5E37A0B2DAC5CA0F5786">
              <w:r>
                <w:rPr>
                  <w:rStyle w:val="InternetLink"/>
                  <w:rFonts w:ascii="inherit" w:hAnsi="inherit"/>
                  <w:sz w:val="17"/>
                </w:rPr>
                <w:t>4</w:t>
              </w:r>
            </w:hyperlink>
          </w:p>
        </w:tc>
      </w:tr>
      <w:tr>
        <w:trPr/>
        <w:tc>
          <w:tcPr>
            <w:tcW w:w="9540" w:type="dxa"/>
            <w:tcBorders/>
            <w:shd w:fill="auto" w:val="clear"/>
            <w:vAlign w:val="center"/>
          </w:tcPr>
          <w:p>
            <w:pPr>
              <w:pStyle w:val="TableContents"/>
              <w:spacing w:before="0" w:after="0"/>
              <w:ind w:left="0" w:right="0" w:firstLine="30"/>
              <w:rPr/>
            </w:pPr>
            <w:hyperlink w:anchor="s42012FCDBD2458DB9F14FF2A305C2A9A">
              <w:r>
                <w:rPr>
                  <w:rStyle w:val="InternetLink"/>
                  <w:rFonts w:ascii="inherit" w:hAnsi="inherit"/>
                  <w:sz w:val="17"/>
                </w:rPr>
                <w:t>Condensed Consolidated Statements of Comprehensive Income: For the three and six months ended June 30, 2019 and 2018</w:t>
              </w:r>
            </w:hyperlink>
          </w:p>
        </w:tc>
        <w:tc>
          <w:tcPr>
            <w:tcW w:w="665" w:type="dxa"/>
            <w:tcBorders/>
            <w:shd w:fill="auto" w:val="clear"/>
            <w:vAlign w:val="center"/>
          </w:tcPr>
          <w:p>
            <w:pPr>
              <w:pStyle w:val="TableContents"/>
              <w:spacing w:before="0" w:after="0"/>
              <w:ind w:left="0" w:right="0" w:firstLine="180"/>
              <w:jc w:val="right"/>
              <w:rPr/>
            </w:pPr>
            <w:hyperlink w:anchor="s42012FCDBD2458DB9F14FF2A305C2A9A">
              <w:r>
                <w:rPr>
                  <w:rStyle w:val="InternetLink"/>
                  <w:rFonts w:ascii="inherit" w:hAnsi="inherit"/>
                  <w:sz w:val="17"/>
                </w:rPr>
                <w:t>5</w:t>
              </w:r>
            </w:hyperlink>
          </w:p>
        </w:tc>
      </w:tr>
      <w:tr>
        <w:trPr/>
        <w:tc>
          <w:tcPr>
            <w:tcW w:w="9540" w:type="dxa"/>
            <w:tcBorders/>
            <w:shd w:fill="auto" w:val="clear"/>
            <w:vAlign w:val="center"/>
          </w:tcPr>
          <w:p>
            <w:pPr>
              <w:pStyle w:val="TableContents"/>
              <w:spacing w:before="0" w:after="0"/>
              <w:ind w:left="0" w:right="0" w:firstLine="30"/>
              <w:rPr/>
            </w:pPr>
            <w:hyperlink w:anchor="sF0E59008C19E52C0858287D9B55EA8A7">
              <w:r>
                <w:rPr>
                  <w:rStyle w:val="InternetLink"/>
                  <w:rFonts w:ascii="inherit" w:hAnsi="inherit"/>
                  <w:sz w:val="17"/>
                </w:rPr>
                <w:t>Condensed Consolidated Statements of Changes in Accumulated Other Comprehensive Income/(Loss): For the six months ended June 30, 2019 and 2018</w:t>
              </w:r>
            </w:hyperlink>
          </w:p>
        </w:tc>
        <w:tc>
          <w:tcPr>
            <w:tcW w:w="665" w:type="dxa"/>
            <w:tcBorders/>
            <w:shd w:fill="auto" w:val="clear"/>
            <w:vAlign w:val="center"/>
          </w:tcPr>
          <w:p>
            <w:pPr>
              <w:pStyle w:val="TableContents"/>
              <w:spacing w:before="0" w:after="0"/>
              <w:ind w:left="0" w:right="0" w:firstLine="180"/>
              <w:jc w:val="right"/>
              <w:rPr/>
            </w:pPr>
            <w:hyperlink w:anchor="sF0E59008C19E52C0858287D9B55EA8A7">
              <w:r>
                <w:rPr>
                  <w:rStyle w:val="InternetLink"/>
                  <w:rFonts w:ascii="inherit" w:hAnsi="inherit"/>
                  <w:sz w:val="17"/>
                </w:rPr>
                <w:t>5</w:t>
              </w:r>
            </w:hyperlink>
          </w:p>
        </w:tc>
      </w:tr>
      <w:tr>
        <w:trPr/>
        <w:tc>
          <w:tcPr>
            <w:tcW w:w="9540" w:type="dxa"/>
            <w:tcBorders/>
            <w:shd w:fill="auto" w:val="clear"/>
            <w:vAlign w:val="center"/>
          </w:tcPr>
          <w:p>
            <w:pPr>
              <w:pStyle w:val="TableContents"/>
              <w:spacing w:before="0" w:after="0"/>
              <w:ind w:left="0" w:right="0" w:firstLine="30"/>
              <w:rPr/>
            </w:pPr>
            <w:hyperlink w:anchor="sB2BD7812259D58168C9AF656708E633A">
              <w:r>
                <w:rPr>
                  <w:rStyle w:val="InternetLink"/>
                  <w:rFonts w:ascii="inherit" w:hAnsi="inherit"/>
                  <w:sz w:val="17"/>
                </w:rPr>
                <w:t>Condensed Consolidated Statements of Cash Flows: For the six months ended June 30, 2019 and 2018</w:t>
              </w:r>
            </w:hyperlink>
          </w:p>
        </w:tc>
        <w:tc>
          <w:tcPr>
            <w:tcW w:w="665" w:type="dxa"/>
            <w:tcBorders/>
            <w:shd w:fill="auto" w:val="clear"/>
            <w:vAlign w:val="center"/>
          </w:tcPr>
          <w:p>
            <w:pPr>
              <w:pStyle w:val="TableContents"/>
              <w:spacing w:before="0" w:after="0"/>
              <w:ind w:left="0" w:right="0" w:firstLine="180"/>
              <w:jc w:val="right"/>
              <w:rPr/>
            </w:pPr>
            <w:hyperlink w:anchor="sB2BD7812259D58168C9AF656708E633A">
              <w:r>
                <w:rPr>
                  <w:rStyle w:val="InternetLink"/>
                  <w:rFonts w:ascii="inherit" w:hAnsi="inherit"/>
                  <w:sz w:val="17"/>
                </w:rPr>
                <w:t>6</w:t>
              </w:r>
            </w:hyperlink>
          </w:p>
        </w:tc>
      </w:tr>
      <w:tr>
        <w:trPr/>
        <w:tc>
          <w:tcPr>
            <w:tcW w:w="9540" w:type="dxa"/>
            <w:tcBorders/>
            <w:shd w:fill="auto" w:val="clear"/>
            <w:vAlign w:val="center"/>
          </w:tcPr>
          <w:p>
            <w:pPr>
              <w:pStyle w:val="TableContents"/>
              <w:spacing w:before="0" w:after="0"/>
              <w:ind w:left="0" w:right="0" w:firstLine="30"/>
              <w:rPr/>
            </w:pPr>
            <w:hyperlink w:anchor="sA376E712056459E28851452FF81E85D9">
              <w:r>
                <w:rPr>
                  <w:rStyle w:val="InternetLink"/>
                  <w:rFonts w:ascii="inherit" w:hAnsi="inherit"/>
                  <w:sz w:val="17"/>
                </w:rPr>
                <w:t>Condensed Consolidated Statements of Changes in Partners’ Capital: For the three and six months ended June 30, 2019 and 2018</w:t>
              </w:r>
            </w:hyperlink>
          </w:p>
        </w:tc>
        <w:tc>
          <w:tcPr>
            <w:tcW w:w="665" w:type="dxa"/>
            <w:tcBorders/>
            <w:shd w:fill="auto" w:val="clear"/>
            <w:vAlign w:val="center"/>
          </w:tcPr>
          <w:p>
            <w:pPr>
              <w:pStyle w:val="TableContents"/>
              <w:spacing w:before="0" w:after="0"/>
              <w:ind w:left="0" w:right="0" w:firstLine="180"/>
              <w:jc w:val="right"/>
              <w:rPr/>
            </w:pPr>
            <w:hyperlink w:anchor="sA376E712056459E28851452FF81E85D9">
              <w:r>
                <w:rPr>
                  <w:rStyle w:val="InternetLink"/>
                  <w:rFonts w:ascii="inherit" w:hAnsi="inherit"/>
                  <w:sz w:val="17"/>
                </w:rPr>
                <w:t>7</w:t>
              </w:r>
            </w:hyperlink>
          </w:p>
        </w:tc>
      </w:tr>
      <w:tr>
        <w:trPr/>
        <w:tc>
          <w:tcPr>
            <w:tcW w:w="9540" w:type="dxa"/>
            <w:tcBorders/>
            <w:shd w:fill="auto" w:val="clear"/>
            <w:vAlign w:val="center"/>
          </w:tcPr>
          <w:p>
            <w:pPr>
              <w:pStyle w:val="TableContents"/>
              <w:spacing w:before="0" w:after="0"/>
              <w:ind w:left="0" w:right="0" w:firstLine="30"/>
              <w:rPr/>
            </w:pPr>
            <w:hyperlink w:anchor="s7BFAB7DFF7DA5960B4BDAA0A67A803B0">
              <w:r>
                <w:rPr>
                  <w:rStyle w:val="InternetLink"/>
                  <w:rFonts w:ascii="inherit" w:hAnsi="inherit"/>
                  <w:sz w:val="17"/>
                </w:rPr>
                <w:t>Notes to the Condensed Consolidated Financial Statements:</w:t>
              </w:r>
            </w:hyperlink>
          </w:p>
        </w:tc>
        <w:tc>
          <w:tcPr>
            <w:tcW w:w="665" w:type="dxa"/>
            <w:tcBorders/>
            <w:shd w:fill="auto" w:val="clear"/>
            <w:vAlign w:val="center"/>
          </w:tcPr>
          <w:p>
            <w:pPr>
              <w:pStyle w:val="TableContents"/>
              <w:spacing w:before="0" w:after="0"/>
              <w:ind w:left="0" w:right="0" w:firstLine="420"/>
              <w:jc w:val="right"/>
              <w:rPr/>
            </w:pPr>
            <w:r>
              <w:rPr/>
              <w:t> </w:t>
            </w:r>
          </w:p>
        </w:tc>
      </w:tr>
      <w:tr>
        <w:trPr/>
        <w:tc>
          <w:tcPr>
            <w:tcW w:w="9540" w:type="dxa"/>
            <w:tcBorders/>
            <w:shd w:fill="auto" w:val="clear"/>
            <w:vAlign w:val="center"/>
          </w:tcPr>
          <w:p>
            <w:pPr>
              <w:pStyle w:val="TableContents"/>
              <w:spacing w:before="0" w:after="0"/>
              <w:ind w:left="0" w:right="0" w:firstLine="30"/>
              <w:rPr/>
            </w:pPr>
            <w:hyperlink w:anchor="s1B90D3E4B7985791BADC916C510A7057">
              <w:r>
                <w:rPr>
                  <w:rStyle w:val="InternetLink"/>
                  <w:rFonts w:ascii="inherit" w:hAnsi="inherit"/>
                  <w:sz w:val="17"/>
                </w:rPr>
                <w:t>1. Organization and Basis of Consolidation and Presentation</w:t>
              </w:r>
            </w:hyperlink>
          </w:p>
        </w:tc>
        <w:tc>
          <w:tcPr>
            <w:tcW w:w="665" w:type="dxa"/>
            <w:tcBorders/>
            <w:shd w:fill="auto" w:val="clear"/>
            <w:vAlign w:val="center"/>
          </w:tcPr>
          <w:p>
            <w:pPr>
              <w:pStyle w:val="TableContents"/>
              <w:spacing w:before="0" w:after="0"/>
              <w:ind w:left="0" w:right="0" w:firstLine="420"/>
              <w:jc w:val="right"/>
              <w:rPr/>
            </w:pPr>
            <w:hyperlink w:anchor="s1B90D3E4B7985791BADC916C510A7057">
              <w:r>
                <w:rPr>
                  <w:rStyle w:val="InternetLink"/>
                  <w:rFonts w:ascii="inherit" w:hAnsi="inherit"/>
                  <w:sz w:val="17"/>
                </w:rPr>
                <w:t>9</w:t>
              </w:r>
            </w:hyperlink>
          </w:p>
        </w:tc>
      </w:tr>
      <w:tr>
        <w:trPr/>
        <w:tc>
          <w:tcPr>
            <w:tcW w:w="9540" w:type="dxa"/>
            <w:tcBorders/>
            <w:shd w:fill="auto" w:val="clear"/>
            <w:vAlign w:val="center"/>
          </w:tcPr>
          <w:p>
            <w:pPr>
              <w:pStyle w:val="TableContents"/>
              <w:spacing w:before="0" w:after="0"/>
              <w:ind w:left="0" w:right="0" w:firstLine="30"/>
              <w:rPr/>
            </w:pPr>
            <w:hyperlink w:anchor="s1FC4B38172E05519B99EB08A569F0C5C">
              <w:r>
                <w:rPr>
                  <w:rStyle w:val="InternetLink"/>
                  <w:rFonts w:ascii="inherit" w:hAnsi="inherit"/>
                  <w:sz w:val="17"/>
                </w:rPr>
                <w:t>2. Summary of Significant Accounting Policies</w:t>
              </w:r>
            </w:hyperlink>
          </w:p>
        </w:tc>
        <w:tc>
          <w:tcPr>
            <w:tcW w:w="665" w:type="dxa"/>
            <w:tcBorders/>
            <w:shd w:fill="auto" w:val="clear"/>
            <w:vAlign w:val="center"/>
          </w:tcPr>
          <w:p>
            <w:pPr>
              <w:pStyle w:val="TableContents"/>
              <w:spacing w:before="0" w:after="0"/>
              <w:ind w:left="0" w:right="0" w:firstLine="420"/>
              <w:jc w:val="right"/>
              <w:rPr/>
            </w:pPr>
            <w:hyperlink w:anchor="s1FC4B38172E05519B99EB08A569F0C5C">
              <w:r>
                <w:rPr>
                  <w:rStyle w:val="InternetLink"/>
                  <w:rFonts w:ascii="inherit" w:hAnsi="inherit"/>
                  <w:sz w:val="17"/>
                </w:rPr>
                <w:t>11</w:t>
              </w:r>
            </w:hyperlink>
          </w:p>
        </w:tc>
      </w:tr>
      <w:tr>
        <w:trPr/>
        <w:tc>
          <w:tcPr>
            <w:tcW w:w="9540" w:type="dxa"/>
            <w:tcBorders/>
            <w:shd w:fill="auto" w:val="clear"/>
            <w:vAlign w:val="center"/>
          </w:tcPr>
          <w:p>
            <w:pPr>
              <w:pStyle w:val="TableContents"/>
              <w:spacing w:before="0" w:after="0"/>
              <w:ind w:left="0" w:right="0" w:firstLine="30"/>
              <w:rPr/>
            </w:pPr>
            <w:hyperlink w:anchor="s74AFFAF7168957798C2F57D34942F2BF">
              <w:r>
                <w:rPr>
                  <w:rStyle w:val="InternetLink"/>
                  <w:rFonts w:ascii="inherit" w:hAnsi="inherit"/>
                  <w:sz w:val="17"/>
                </w:rPr>
                <w:t>3. Revenues and Accounts Receivable</w:t>
              </w:r>
            </w:hyperlink>
          </w:p>
        </w:tc>
        <w:tc>
          <w:tcPr>
            <w:tcW w:w="665" w:type="dxa"/>
            <w:tcBorders/>
            <w:shd w:fill="auto" w:val="clear"/>
            <w:vAlign w:val="center"/>
          </w:tcPr>
          <w:p>
            <w:pPr>
              <w:pStyle w:val="TableContents"/>
              <w:spacing w:before="0" w:after="0"/>
              <w:ind w:left="0" w:right="0" w:firstLine="420"/>
              <w:jc w:val="right"/>
              <w:rPr/>
            </w:pPr>
            <w:hyperlink w:anchor="s74AFFAF7168957798C2F57D34942F2BF">
              <w:r>
                <w:rPr>
                  <w:rStyle w:val="InternetLink"/>
                  <w:rFonts w:ascii="inherit" w:hAnsi="inherit"/>
                  <w:sz w:val="17"/>
                </w:rPr>
                <w:t>12</w:t>
              </w:r>
            </w:hyperlink>
          </w:p>
        </w:tc>
      </w:tr>
      <w:tr>
        <w:trPr/>
        <w:tc>
          <w:tcPr>
            <w:tcW w:w="9540" w:type="dxa"/>
            <w:tcBorders/>
            <w:shd w:fill="auto" w:val="clear"/>
            <w:vAlign w:val="center"/>
          </w:tcPr>
          <w:p>
            <w:pPr>
              <w:pStyle w:val="TableContents"/>
              <w:spacing w:before="0" w:after="0"/>
              <w:ind w:left="0" w:right="0" w:firstLine="30"/>
              <w:rPr/>
            </w:pPr>
            <w:hyperlink w:anchor="sAEA3A87441FD5B759A82283E17DDBEC3">
              <w:r>
                <w:rPr>
                  <w:rStyle w:val="InternetLink"/>
                  <w:rFonts w:ascii="inherit" w:hAnsi="inherit"/>
                  <w:sz w:val="17"/>
                </w:rPr>
                <w:t>4. Net Income Per Common Unit</w:t>
              </w:r>
            </w:hyperlink>
          </w:p>
        </w:tc>
        <w:tc>
          <w:tcPr>
            <w:tcW w:w="665" w:type="dxa"/>
            <w:tcBorders/>
            <w:shd w:fill="auto" w:val="clear"/>
            <w:vAlign w:val="center"/>
          </w:tcPr>
          <w:p>
            <w:pPr>
              <w:pStyle w:val="TableContents"/>
              <w:spacing w:before="0" w:after="0"/>
              <w:ind w:left="0" w:right="0" w:firstLine="420"/>
              <w:jc w:val="right"/>
              <w:rPr/>
            </w:pPr>
            <w:hyperlink w:anchor="sAEA3A87441FD5B759A82283E17DDBEC3">
              <w:r>
                <w:rPr>
                  <w:rStyle w:val="InternetLink"/>
                  <w:rFonts w:ascii="inherit" w:hAnsi="inherit"/>
                  <w:sz w:val="17"/>
                </w:rPr>
                <w:t>16</w:t>
              </w:r>
            </w:hyperlink>
          </w:p>
        </w:tc>
      </w:tr>
      <w:tr>
        <w:trPr/>
        <w:tc>
          <w:tcPr>
            <w:tcW w:w="9540" w:type="dxa"/>
            <w:tcBorders/>
            <w:shd w:fill="auto" w:val="clear"/>
            <w:vAlign w:val="center"/>
          </w:tcPr>
          <w:p>
            <w:pPr>
              <w:pStyle w:val="TableContents"/>
              <w:spacing w:before="0" w:after="0"/>
              <w:ind w:left="0" w:right="0" w:firstLine="30"/>
              <w:rPr/>
            </w:pPr>
            <w:hyperlink w:anchor="sCBAB2BFBB9425566B20C7E75FC289664">
              <w:r>
                <w:rPr>
                  <w:rStyle w:val="InternetLink"/>
                  <w:rFonts w:ascii="inherit" w:hAnsi="inherit"/>
                  <w:sz w:val="17"/>
                </w:rPr>
                <w:t>5. Inventory, Linefill and Base Gas and Long-term Inventory</w:t>
              </w:r>
            </w:hyperlink>
          </w:p>
        </w:tc>
        <w:tc>
          <w:tcPr>
            <w:tcW w:w="665" w:type="dxa"/>
            <w:tcBorders/>
            <w:shd w:fill="auto" w:val="clear"/>
            <w:vAlign w:val="center"/>
          </w:tcPr>
          <w:p>
            <w:pPr>
              <w:pStyle w:val="TableContents"/>
              <w:spacing w:before="0" w:after="0"/>
              <w:ind w:left="0" w:right="0" w:firstLine="420"/>
              <w:jc w:val="right"/>
              <w:rPr/>
            </w:pPr>
            <w:hyperlink w:anchor="sCBAB2BFBB9425566B20C7E75FC289664">
              <w:r>
                <w:rPr>
                  <w:rStyle w:val="InternetLink"/>
                  <w:rFonts w:ascii="inherit" w:hAnsi="inherit"/>
                  <w:sz w:val="17"/>
                </w:rPr>
                <w:t>18</w:t>
              </w:r>
            </w:hyperlink>
          </w:p>
        </w:tc>
      </w:tr>
      <w:tr>
        <w:trPr/>
        <w:tc>
          <w:tcPr>
            <w:tcW w:w="9540" w:type="dxa"/>
            <w:tcBorders/>
            <w:shd w:fill="auto" w:val="clear"/>
            <w:vAlign w:val="center"/>
          </w:tcPr>
          <w:p>
            <w:pPr>
              <w:pStyle w:val="TableContents"/>
              <w:spacing w:before="0" w:after="0"/>
              <w:ind w:left="0" w:right="0" w:firstLine="30"/>
              <w:rPr/>
            </w:pPr>
            <w:hyperlink w:anchor="s724EC49287905C85990D0843190226CD">
              <w:r>
                <w:rPr>
                  <w:rStyle w:val="InternetLink"/>
                  <w:rFonts w:ascii="inherit" w:hAnsi="inherit"/>
                  <w:sz w:val="17"/>
                </w:rPr>
                <w:t>6. Goodwill</w:t>
              </w:r>
            </w:hyperlink>
          </w:p>
        </w:tc>
        <w:tc>
          <w:tcPr>
            <w:tcW w:w="665" w:type="dxa"/>
            <w:tcBorders/>
            <w:shd w:fill="auto" w:val="clear"/>
            <w:vAlign w:val="center"/>
          </w:tcPr>
          <w:p>
            <w:pPr>
              <w:pStyle w:val="TableContents"/>
              <w:spacing w:before="0" w:after="0"/>
              <w:ind w:left="0" w:right="0" w:firstLine="420"/>
              <w:jc w:val="right"/>
              <w:rPr/>
            </w:pPr>
            <w:hyperlink w:anchor="s724EC49287905C85990D0843190226CD">
              <w:r>
                <w:rPr>
                  <w:rStyle w:val="InternetLink"/>
                  <w:rFonts w:ascii="inherit" w:hAnsi="inherit"/>
                  <w:sz w:val="17"/>
                </w:rPr>
                <w:t>18</w:t>
              </w:r>
            </w:hyperlink>
          </w:p>
        </w:tc>
      </w:tr>
      <w:tr>
        <w:trPr/>
        <w:tc>
          <w:tcPr>
            <w:tcW w:w="9540" w:type="dxa"/>
            <w:tcBorders/>
            <w:shd w:fill="auto" w:val="clear"/>
            <w:vAlign w:val="center"/>
          </w:tcPr>
          <w:p>
            <w:pPr>
              <w:pStyle w:val="TableContents"/>
              <w:spacing w:before="0" w:after="0"/>
              <w:ind w:left="0" w:right="0" w:firstLine="30"/>
              <w:rPr/>
            </w:pPr>
            <w:hyperlink w:anchor="s945698C13C1751C7BB78870A21858067">
              <w:r>
                <w:rPr>
                  <w:rStyle w:val="InternetLink"/>
                  <w:rFonts w:ascii="inherit" w:hAnsi="inherit"/>
                  <w:sz w:val="17"/>
                </w:rPr>
                <w:t>7. Investments in Unconsolidated Entities</w:t>
              </w:r>
            </w:hyperlink>
          </w:p>
        </w:tc>
        <w:tc>
          <w:tcPr>
            <w:tcW w:w="665" w:type="dxa"/>
            <w:tcBorders/>
            <w:shd w:fill="auto" w:val="clear"/>
            <w:vAlign w:val="center"/>
          </w:tcPr>
          <w:p>
            <w:pPr>
              <w:pStyle w:val="TableContents"/>
              <w:spacing w:before="0" w:after="0"/>
              <w:ind w:left="0" w:right="0" w:firstLine="420"/>
              <w:jc w:val="right"/>
              <w:rPr/>
            </w:pPr>
            <w:hyperlink w:anchor="s945698C13C1751C7BB78870A21858067">
              <w:r>
                <w:rPr>
                  <w:rStyle w:val="InternetLink"/>
                  <w:rFonts w:ascii="inherit" w:hAnsi="inherit"/>
                  <w:sz w:val="17"/>
                </w:rPr>
                <w:t>19</w:t>
              </w:r>
            </w:hyperlink>
          </w:p>
        </w:tc>
      </w:tr>
      <w:tr>
        <w:trPr/>
        <w:tc>
          <w:tcPr>
            <w:tcW w:w="9540" w:type="dxa"/>
            <w:tcBorders/>
            <w:shd w:fill="auto" w:val="clear"/>
            <w:vAlign w:val="center"/>
          </w:tcPr>
          <w:p>
            <w:pPr>
              <w:pStyle w:val="TableContents"/>
              <w:spacing w:before="0" w:after="0"/>
              <w:ind w:left="0" w:right="0" w:firstLine="30"/>
              <w:rPr/>
            </w:pPr>
            <w:hyperlink w:anchor="s9518672B8C0F5DFA83DD07F416882618">
              <w:r>
                <w:rPr>
                  <w:rStyle w:val="InternetLink"/>
                  <w:rFonts w:ascii="inherit" w:hAnsi="inherit"/>
                  <w:sz w:val="17"/>
                </w:rPr>
                <w:t>8. Debt</w:t>
              </w:r>
            </w:hyperlink>
          </w:p>
        </w:tc>
        <w:tc>
          <w:tcPr>
            <w:tcW w:w="665" w:type="dxa"/>
            <w:tcBorders/>
            <w:shd w:fill="auto" w:val="clear"/>
            <w:vAlign w:val="center"/>
          </w:tcPr>
          <w:p>
            <w:pPr>
              <w:pStyle w:val="TableContents"/>
              <w:spacing w:before="0" w:after="0"/>
              <w:ind w:left="0" w:right="0" w:firstLine="420"/>
              <w:jc w:val="right"/>
              <w:rPr/>
            </w:pPr>
            <w:hyperlink w:anchor="s9518672B8C0F5DFA83DD07F416882618">
              <w:r>
                <w:rPr>
                  <w:rStyle w:val="InternetLink"/>
                  <w:rFonts w:ascii="inherit" w:hAnsi="inherit"/>
                  <w:sz w:val="17"/>
                </w:rPr>
                <w:t>20</w:t>
              </w:r>
            </w:hyperlink>
          </w:p>
        </w:tc>
      </w:tr>
      <w:tr>
        <w:trPr/>
        <w:tc>
          <w:tcPr>
            <w:tcW w:w="9540" w:type="dxa"/>
            <w:tcBorders/>
            <w:shd w:fill="auto" w:val="clear"/>
            <w:vAlign w:val="center"/>
          </w:tcPr>
          <w:p>
            <w:pPr>
              <w:pStyle w:val="TableContents"/>
              <w:spacing w:before="0" w:after="0"/>
              <w:ind w:left="0" w:right="0" w:firstLine="30"/>
              <w:rPr/>
            </w:pPr>
            <w:hyperlink w:anchor="s2364BB7F3C7552CB908A8187804FA9EC">
              <w:r>
                <w:rPr>
                  <w:rStyle w:val="InternetLink"/>
                  <w:rFonts w:ascii="inherit" w:hAnsi="inherit"/>
                  <w:sz w:val="17"/>
                </w:rPr>
                <w:t>9. Partners’ Capital and Distributions</w:t>
              </w:r>
            </w:hyperlink>
          </w:p>
        </w:tc>
        <w:tc>
          <w:tcPr>
            <w:tcW w:w="665" w:type="dxa"/>
            <w:tcBorders/>
            <w:shd w:fill="auto" w:val="clear"/>
            <w:vAlign w:val="center"/>
          </w:tcPr>
          <w:p>
            <w:pPr>
              <w:pStyle w:val="TableContents"/>
              <w:spacing w:before="0" w:after="0"/>
              <w:ind w:left="0" w:right="0" w:firstLine="420"/>
              <w:jc w:val="right"/>
              <w:rPr/>
            </w:pPr>
            <w:hyperlink w:anchor="s2364BB7F3C7552CB908A8187804FA9EC">
              <w:r>
                <w:rPr>
                  <w:rStyle w:val="InternetLink"/>
                  <w:rFonts w:ascii="inherit" w:hAnsi="inherit"/>
                  <w:sz w:val="17"/>
                </w:rPr>
                <w:t>21</w:t>
              </w:r>
            </w:hyperlink>
          </w:p>
        </w:tc>
      </w:tr>
      <w:tr>
        <w:trPr/>
        <w:tc>
          <w:tcPr>
            <w:tcW w:w="9540" w:type="dxa"/>
            <w:tcBorders/>
            <w:shd w:fill="auto" w:val="clear"/>
            <w:vAlign w:val="center"/>
          </w:tcPr>
          <w:p>
            <w:pPr>
              <w:pStyle w:val="TableContents"/>
              <w:spacing w:before="0" w:after="0"/>
              <w:ind w:left="0" w:right="0" w:firstLine="30"/>
              <w:rPr/>
            </w:pPr>
            <w:hyperlink w:anchor="sFF7A360B2D2654578DC99EEB790CB029">
              <w:r>
                <w:rPr>
                  <w:rStyle w:val="InternetLink"/>
                  <w:rFonts w:ascii="inherit" w:hAnsi="inherit"/>
                  <w:sz w:val="17"/>
                </w:rPr>
                <w:t>10. Derivatives and Risk Management Activities</w:t>
              </w:r>
            </w:hyperlink>
          </w:p>
        </w:tc>
        <w:tc>
          <w:tcPr>
            <w:tcW w:w="665" w:type="dxa"/>
            <w:tcBorders/>
            <w:shd w:fill="auto" w:val="clear"/>
            <w:vAlign w:val="center"/>
          </w:tcPr>
          <w:p>
            <w:pPr>
              <w:pStyle w:val="TableContents"/>
              <w:spacing w:before="0" w:after="0"/>
              <w:ind w:left="0" w:right="0" w:firstLine="420"/>
              <w:jc w:val="right"/>
              <w:rPr/>
            </w:pPr>
            <w:hyperlink w:anchor="sFF7A360B2D2654578DC99EEB790CB029">
              <w:r>
                <w:rPr>
                  <w:rStyle w:val="InternetLink"/>
                  <w:rFonts w:ascii="inherit" w:hAnsi="inherit"/>
                  <w:sz w:val="17"/>
                </w:rPr>
                <w:t>23</w:t>
              </w:r>
            </w:hyperlink>
          </w:p>
        </w:tc>
      </w:tr>
      <w:tr>
        <w:trPr/>
        <w:tc>
          <w:tcPr>
            <w:tcW w:w="9540" w:type="dxa"/>
            <w:tcBorders/>
            <w:shd w:fill="auto" w:val="clear"/>
            <w:vAlign w:val="center"/>
          </w:tcPr>
          <w:p>
            <w:pPr>
              <w:pStyle w:val="TableContents"/>
              <w:spacing w:before="0" w:after="0"/>
              <w:ind w:left="0" w:right="0" w:firstLine="30"/>
              <w:rPr/>
            </w:pPr>
            <w:hyperlink w:anchor="sA517D95A3C8B5DF8956719C5C8555B0F">
              <w:r>
                <w:rPr>
                  <w:rStyle w:val="InternetLink"/>
                  <w:rFonts w:ascii="inherit" w:hAnsi="inherit"/>
                  <w:sz w:val="17"/>
                </w:rPr>
                <w:t>11. Leases</w:t>
              </w:r>
            </w:hyperlink>
          </w:p>
        </w:tc>
        <w:tc>
          <w:tcPr>
            <w:tcW w:w="665" w:type="dxa"/>
            <w:tcBorders/>
            <w:shd w:fill="auto" w:val="clear"/>
            <w:vAlign w:val="center"/>
          </w:tcPr>
          <w:p>
            <w:pPr>
              <w:pStyle w:val="TableContents"/>
              <w:spacing w:before="0" w:after="0"/>
              <w:ind w:left="0" w:right="0" w:firstLine="420"/>
              <w:jc w:val="right"/>
              <w:rPr/>
            </w:pPr>
            <w:hyperlink w:anchor="sA517D95A3C8B5DF8956719C5C8555B0F">
              <w:r>
                <w:rPr>
                  <w:rStyle w:val="InternetLink"/>
                  <w:rFonts w:ascii="inherit" w:hAnsi="inherit"/>
                  <w:sz w:val="17"/>
                </w:rPr>
                <w:t>30</w:t>
              </w:r>
            </w:hyperlink>
          </w:p>
        </w:tc>
      </w:tr>
      <w:tr>
        <w:trPr/>
        <w:tc>
          <w:tcPr>
            <w:tcW w:w="9540" w:type="dxa"/>
            <w:tcBorders/>
            <w:shd w:fill="auto" w:val="clear"/>
            <w:vAlign w:val="center"/>
          </w:tcPr>
          <w:p>
            <w:pPr>
              <w:pStyle w:val="TableContents"/>
              <w:spacing w:before="0" w:after="0"/>
              <w:ind w:left="0" w:right="0" w:firstLine="30"/>
              <w:rPr/>
            </w:pPr>
            <w:hyperlink w:anchor="sA87405A3319D581FAD3ABBB837CA41D9">
              <w:r>
                <w:rPr>
                  <w:rStyle w:val="InternetLink"/>
                  <w:rFonts w:ascii="inherit" w:hAnsi="inherit"/>
                  <w:sz w:val="17"/>
                </w:rPr>
                <w:t>12. Related Party Transactions</w:t>
              </w:r>
            </w:hyperlink>
          </w:p>
        </w:tc>
        <w:tc>
          <w:tcPr>
            <w:tcW w:w="665" w:type="dxa"/>
            <w:tcBorders/>
            <w:shd w:fill="auto" w:val="clear"/>
            <w:vAlign w:val="center"/>
          </w:tcPr>
          <w:p>
            <w:pPr>
              <w:pStyle w:val="TableContents"/>
              <w:spacing w:before="0" w:after="0"/>
              <w:ind w:left="0" w:right="0" w:firstLine="420"/>
              <w:jc w:val="right"/>
              <w:rPr/>
            </w:pPr>
            <w:hyperlink w:anchor="sA87405A3319D581FAD3ABBB837CA41D9">
              <w:r>
                <w:rPr>
                  <w:rStyle w:val="InternetLink"/>
                  <w:rFonts w:ascii="inherit" w:hAnsi="inherit"/>
                  <w:sz w:val="17"/>
                </w:rPr>
                <w:t>33</w:t>
              </w:r>
            </w:hyperlink>
          </w:p>
        </w:tc>
      </w:tr>
      <w:tr>
        <w:trPr/>
        <w:tc>
          <w:tcPr>
            <w:tcW w:w="9540" w:type="dxa"/>
            <w:tcBorders/>
            <w:shd w:fill="auto" w:val="clear"/>
            <w:vAlign w:val="center"/>
          </w:tcPr>
          <w:p>
            <w:pPr>
              <w:pStyle w:val="TableContents"/>
              <w:spacing w:before="0" w:after="0"/>
              <w:ind w:left="0" w:right="0" w:firstLine="30"/>
              <w:rPr/>
            </w:pPr>
            <w:hyperlink w:anchor="s7ADFCB6756115C80BD1E432867A2AB84">
              <w:r>
                <w:rPr>
                  <w:rStyle w:val="InternetLink"/>
                  <w:rFonts w:ascii="inherit" w:hAnsi="inherit"/>
                  <w:sz w:val="17"/>
                </w:rPr>
                <w:t>13. Commitments and Contingencies</w:t>
              </w:r>
            </w:hyperlink>
          </w:p>
        </w:tc>
        <w:tc>
          <w:tcPr>
            <w:tcW w:w="665" w:type="dxa"/>
            <w:tcBorders/>
            <w:shd w:fill="auto" w:val="clear"/>
            <w:vAlign w:val="center"/>
          </w:tcPr>
          <w:p>
            <w:pPr>
              <w:pStyle w:val="TableContents"/>
              <w:spacing w:before="0" w:after="0"/>
              <w:ind w:left="0" w:right="0" w:firstLine="420"/>
              <w:jc w:val="right"/>
              <w:rPr/>
            </w:pPr>
            <w:hyperlink w:anchor="s7ADFCB6756115C80BD1E432867A2AB84">
              <w:r>
                <w:rPr>
                  <w:rStyle w:val="InternetLink"/>
                  <w:rFonts w:ascii="inherit" w:hAnsi="inherit"/>
                  <w:sz w:val="17"/>
                </w:rPr>
                <w:t>34</w:t>
              </w:r>
            </w:hyperlink>
          </w:p>
        </w:tc>
      </w:tr>
      <w:tr>
        <w:trPr/>
        <w:tc>
          <w:tcPr>
            <w:tcW w:w="9540" w:type="dxa"/>
            <w:tcBorders/>
            <w:shd w:fill="auto" w:val="clear"/>
            <w:vAlign w:val="center"/>
          </w:tcPr>
          <w:p>
            <w:pPr>
              <w:pStyle w:val="TableContents"/>
              <w:spacing w:before="0" w:after="0"/>
              <w:ind w:left="0" w:right="0" w:firstLine="30"/>
              <w:rPr/>
            </w:pPr>
            <w:hyperlink w:anchor="s845AD86F59275670B03A79D965C36DED">
              <w:r>
                <w:rPr>
                  <w:rStyle w:val="InternetLink"/>
                  <w:rFonts w:ascii="inherit" w:hAnsi="inherit"/>
                  <w:sz w:val="17"/>
                </w:rPr>
                <w:t>14. Operating Segments</w:t>
              </w:r>
            </w:hyperlink>
          </w:p>
        </w:tc>
        <w:tc>
          <w:tcPr>
            <w:tcW w:w="665" w:type="dxa"/>
            <w:tcBorders/>
            <w:shd w:fill="auto" w:val="clear"/>
            <w:vAlign w:val="center"/>
          </w:tcPr>
          <w:p>
            <w:pPr>
              <w:pStyle w:val="TableContents"/>
              <w:spacing w:before="0" w:after="0"/>
              <w:ind w:left="0" w:right="0" w:firstLine="420"/>
              <w:jc w:val="right"/>
              <w:rPr/>
            </w:pPr>
            <w:hyperlink w:anchor="s845AD86F59275670B03A79D965C36DED">
              <w:r>
                <w:rPr>
                  <w:rStyle w:val="InternetLink"/>
                  <w:rFonts w:ascii="inherit" w:hAnsi="inherit"/>
                  <w:sz w:val="17"/>
                </w:rPr>
                <w:t>39</w:t>
              </w:r>
            </w:hyperlink>
          </w:p>
        </w:tc>
      </w:tr>
      <w:tr>
        <w:trPr/>
        <w:tc>
          <w:tcPr>
            <w:tcW w:w="9540" w:type="dxa"/>
            <w:tcBorders/>
            <w:shd w:fill="auto" w:val="clear"/>
            <w:vAlign w:val="center"/>
          </w:tcPr>
          <w:p>
            <w:pPr>
              <w:pStyle w:val="TableContents"/>
              <w:spacing w:before="0" w:after="0"/>
              <w:ind w:left="0" w:right="0" w:firstLine="30"/>
              <w:rPr/>
            </w:pPr>
            <w:hyperlink w:anchor="s8ff41bfb2da848bcb332b33960f27006">
              <w:r>
                <w:rPr>
                  <w:rStyle w:val="InternetLink"/>
                  <w:rFonts w:ascii="inherit" w:hAnsi="inherit"/>
                  <w:sz w:val="17"/>
                </w:rPr>
                <w:t>15. Income Taxes</w:t>
              </w:r>
            </w:hyperlink>
          </w:p>
        </w:tc>
        <w:tc>
          <w:tcPr>
            <w:tcW w:w="665" w:type="dxa"/>
            <w:tcBorders/>
            <w:shd w:fill="auto" w:val="clear"/>
            <w:vAlign w:val="center"/>
          </w:tcPr>
          <w:p>
            <w:pPr>
              <w:pStyle w:val="TableContents"/>
              <w:spacing w:before="0" w:after="0"/>
              <w:ind w:left="0" w:right="0" w:firstLine="30"/>
              <w:jc w:val="right"/>
              <w:rPr/>
            </w:pPr>
            <w:hyperlink w:anchor="s8ff41bfb2da848bcb332b33960f27006">
              <w:r>
                <w:rPr>
                  <w:rStyle w:val="InternetLink"/>
                  <w:rFonts w:ascii="inherit" w:hAnsi="inherit"/>
                  <w:sz w:val="17"/>
                </w:rPr>
                <w:t>42</w:t>
              </w:r>
            </w:hyperlink>
          </w:p>
        </w:tc>
      </w:tr>
      <w:tr>
        <w:trPr/>
        <w:tc>
          <w:tcPr>
            <w:tcW w:w="9540" w:type="dxa"/>
            <w:tcBorders/>
            <w:shd w:fill="auto" w:val="clear"/>
            <w:vAlign w:val="center"/>
          </w:tcPr>
          <w:p>
            <w:pPr>
              <w:pStyle w:val="TableContents"/>
              <w:spacing w:before="0" w:after="0"/>
              <w:ind w:left="0" w:right="0" w:firstLine="30"/>
              <w:jc w:val="left"/>
              <w:rPr/>
            </w:pPr>
            <w:r>
              <w:rPr/>
              <w:t> </w:t>
            </w:r>
          </w:p>
        </w:tc>
        <w:tc>
          <w:tcPr>
            <w:tcW w:w="665" w:type="dxa"/>
            <w:tcBorders/>
            <w:shd w:fill="auto" w:val="clear"/>
            <w:vAlign w:val="center"/>
          </w:tcPr>
          <w:p>
            <w:pPr>
              <w:pStyle w:val="TableContents"/>
              <w:spacing w:before="0" w:after="0"/>
              <w:ind w:left="0" w:right="0" w:firstLine="30"/>
              <w:jc w:val="right"/>
              <w:rPr/>
            </w:pPr>
            <w:r>
              <w:rPr/>
              <w:t> </w:t>
            </w:r>
          </w:p>
        </w:tc>
      </w:tr>
      <w:tr>
        <w:trPr/>
        <w:tc>
          <w:tcPr>
            <w:tcW w:w="9540" w:type="dxa"/>
            <w:tcBorders/>
            <w:shd w:fill="auto" w:val="clear"/>
            <w:vAlign w:val="center"/>
          </w:tcPr>
          <w:p>
            <w:pPr>
              <w:pStyle w:val="TableContents"/>
              <w:spacing w:before="0" w:after="0"/>
              <w:ind w:left="0" w:right="0" w:firstLine="30"/>
              <w:rPr/>
            </w:pPr>
            <w:hyperlink w:anchor="s559BAF531A755B99A510A395314EE737">
              <w:r>
                <w:rPr>
                  <w:rStyle w:val="InternetLink"/>
                  <w:rFonts w:ascii="inherit" w:hAnsi="inherit"/>
                  <w:sz w:val="17"/>
                </w:rPr>
                <w:t>Item 2. MANAGEMENT’S DISCUSSION AND ANALYSIS OF FINANCIAL CONDITION AND RESULTS OF OPERATIONS</w:t>
              </w:r>
            </w:hyperlink>
          </w:p>
        </w:tc>
        <w:tc>
          <w:tcPr>
            <w:tcW w:w="665" w:type="dxa"/>
            <w:tcBorders/>
            <w:shd w:fill="auto" w:val="clear"/>
            <w:vAlign w:val="center"/>
          </w:tcPr>
          <w:p>
            <w:pPr>
              <w:pStyle w:val="TableContents"/>
              <w:spacing w:before="0" w:after="0"/>
              <w:ind w:left="0" w:right="0" w:firstLine="30"/>
              <w:jc w:val="right"/>
              <w:rPr/>
            </w:pPr>
            <w:hyperlink w:anchor="s559BAF531A755B99A510A395314EE737">
              <w:r>
                <w:rPr>
                  <w:rStyle w:val="InternetLink"/>
                  <w:rFonts w:ascii="inherit" w:hAnsi="inherit"/>
                  <w:sz w:val="17"/>
                </w:rPr>
                <w:t>43</w:t>
              </w:r>
            </w:hyperlink>
          </w:p>
        </w:tc>
      </w:tr>
      <w:tr>
        <w:trPr/>
        <w:tc>
          <w:tcPr>
            <w:tcW w:w="9540" w:type="dxa"/>
            <w:tcBorders/>
            <w:shd w:fill="auto" w:val="clear"/>
            <w:vAlign w:val="center"/>
          </w:tcPr>
          <w:p>
            <w:pPr>
              <w:pStyle w:val="TableContents"/>
              <w:spacing w:before="0" w:after="0"/>
              <w:ind w:left="0" w:right="0" w:firstLine="30"/>
              <w:rPr/>
            </w:pPr>
            <w:hyperlink w:anchor="s5E3E06A496C15353817322CEC50ED1CA">
              <w:r>
                <w:rPr>
                  <w:rStyle w:val="InternetLink"/>
                  <w:rFonts w:ascii="inherit" w:hAnsi="inherit"/>
                  <w:sz w:val="17"/>
                </w:rPr>
                <w:t>Item 3. QUANTITATIVE AND QUALITATIVE DISCLOSURES ABOUT MARKET RISK</w:t>
              </w:r>
            </w:hyperlink>
          </w:p>
        </w:tc>
        <w:tc>
          <w:tcPr>
            <w:tcW w:w="665" w:type="dxa"/>
            <w:tcBorders/>
            <w:shd w:fill="auto" w:val="clear"/>
            <w:vAlign w:val="center"/>
          </w:tcPr>
          <w:p>
            <w:pPr>
              <w:pStyle w:val="TableContents"/>
              <w:spacing w:before="0" w:after="0"/>
              <w:ind w:left="0" w:right="0" w:firstLine="30"/>
              <w:jc w:val="right"/>
              <w:rPr/>
            </w:pPr>
            <w:hyperlink w:anchor="s5E3E06A496C15353817322CEC50ED1CA">
              <w:r>
                <w:rPr>
                  <w:rStyle w:val="InternetLink"/>
                  <w:rFonts w:ascii="inherit" w:hAnsi="inherit"/>
                  <w:sz w:val="17"/>
                </w:rPr>
                <w:t>67</w:t>
              </w:r>
            </w:hyperlink>
          </w:p>
        </w:tc>
      </w:tr>
      <w:tr>
        <w:trPr/>
        <w:tc>
          <w:tcPr>
            <w:tcW w:w="9540" w:type="dxa"/>
            <w:tcBorders/>
            <w:shd w:fill="auto" w:val="clear"/>
            <w:vAlign w:val="center"/>
          </w:tcPr>
          <w:p>
            <w:pPr>
              <w:pStyle w:val="TableContents"/>
              <w:spacing w:before="0" w:after="0"/>
              <w:ind w:left="0" w:right="0" w:firstLine="30"/>
              <w:rPr/>
            </w:pPr>
            <w:hyperlink w:anchor="s367F9C15871057A994E78BFDD5FC7825">
              <w:r>
                <w:rPr>
                  <w:rStyle w:val="InternetLink"/>
                  <w:rFonts w:ascii="inherit" w:hAnsi="inherit"/>
                  <w:sz w:val="17"/>
                </w:rPr>
                <w:t>Item 4. CONTROLS AND PROCEDURES</w:t>
              </w:r>
            </w:hyperlink>
          </w:p>
        </w:tc>
        <w:tc>
          <w:tcPr>
            <w:tcW w:w="665" w:type="dxa"/>
            <w:tcBorders/>
            <w:shd w:fill="auto" w:val="clear"/>
            <w:vAlign w:val="center"/>
          </w:tcPr>
          <w:p>
            <w:pPr>
              <w:pStyle w:val="TableContents"/>
              <w:spacing w:before="0" w:after="0"/>
              <w:ind w:left="0" w:right="0" w:firstLine="30"/>
              <w:jc w:val="right"/>
              <w:rPr/>
            </w:pPr>
            <w:hyperlink w:anchor="s367F9C15871057A994E78BFDD5FC7825">
              <w:r>
                <w:rPr>
                  <w:rStyle w:val="InternetLink"/>
                  <w:rFonts w:ascii="inherit" w:hAnsi="inherit"/>
                  <w:sz w:val="17"/>
                </w:rPr>
                <w:t>68</w:t>
              </w:r>
            </w:hyperlink>
          </w:p>
        </w:tc>
      </w:tr>
      <w:tr>
        <w:trPr/>
        <w:tc>
          <w:tcPr>
            <w:tcW w:w="9540" w:type="dxa"/>
            <w:tcBorders/>
            <w:shd w:fill="auto" w:val="clear"/>
            <w:vAlign w:val="center"/>
          </w:tcPr>
          <w:p>
            <w:pPr>
              <w:pStyle w:val="TableContents"/>
              <w:spacing w:before="0" w:after="0"/>
              <w:ind w:left="0" w:right="0" w:firstLine="30"/>
              <w:jc w:val="left"/>
              <w:rPr/>
            </w:pPr>
            <w:r>
              <w:rPr/>
              <w:t> </w:t>
            </w:r>
          </w:p>
        </w:tc>
        <w:tc>
          <w:tcPr>
            <w:tcW w:w="665" w:type="dxa"/>
            <w:tcBorders/>
            <w:shd w:fill="auto" w:val="clear"/>
            <w:vAlign w:val="center"/>
          </w:tcPr>
          <w:p>
            <w:pPr>
              <w:pStyle w:val="TableContents"/>
              <w:spacing w:before="0" w:after="0"/>
              <w:ind w:left="0" w:right="0" w:firstLine="30"/>
              <w:jc w:val="right"/>
              <w:rPr/>
            </w:pPr>
            <w:r>
              <w:rPr/>
              <w:t> </w:t>
            </w:r>
          </w:p>
        </w:tc>
      </w:tr>
      <w:tr>
        <w:trPr/>
        <w:tc>
          <w:tcPr>
            <w:tcW w:w="9540" w:type="dxa"/>
            <w:tcBorders/>
            <w:shd w:fill="auto" w:val="clear"/>
            <w:vAlign w:val="center"/>
          </w:tcPr>
          <w:p>
            <w:pPr>
              <w:pStyle w:val="TableContents"/>
              <w:spacing w:before="0" w:after="0"/>
              <w:ind w:left="0" w:right="0" w:firstLine="30"/>
              <w:rPr/>
            </w:pPr>
            <w:hyperlink w:anchor="sC27B3B3E36C05D5995332682127F12C9">
              <w:r>
                <w:rPr>
                  <w:rStyle w:val="InternetLink"/>
                  <w:rFonts w:ascii="inherit" w:hAnsi="inherit"/>
                  <w:b/>
                  <w:sz w:val="17"/>
                </w:rPr>
                <w:t>PART II. OTHER INFORMATION</w:t>
              </w:r>
            </w:hyperlink>
          </w:p>
        </w:tc>
        <w:tc>
          <w:tcPr>
            <w:tcW w:w="665" w:type="dxa"/>
            <w:tcBorders/>
            <w:shd w:fill="auto" w:val="clear"/>
            <w:vAlign w:val="center"/>
          </w:tcPr>
          <w:p>
            <w:pPr>
              <w:pStyle w:val="TableContents"/>
              <w:spacing w:before="0" w:after="0"/>
              <w:ind w:left="0" w:right="0" w:firstLine="30"/>
              <w:jc w:val="right"/>
              <w:rPr/>
            </w:pPr>
            <w:r>
              <w:rPr/>
              <w:t> </w:t>
            </w:r>
          </w:p>
        </w:tc>
      </w:tr>
      <w:tr>
        <w:trPr/>
        <w:tc>
          <w:tcPr>
            <w:tcW w:w="9540" w:type="dxa"/>
            <w:tcBorders/>
            <w:shd w:fill="auto" w:val="clear"/>
            <w:vAlign w:val="center"/>
          </w:tcPr>
          <w:p>
            <w:pPr>
              <w:pStyle w:val="TableContents"/>
              <w:spacing w:before="0" w:after="0"/>
              <w:ind w:left="0" w:right="0" w:firstLine="30"/>
              <w:rPr/>
            </w:pPr>
            <w:hyperlink w:anchor="s8F7C8498644B50CD8FCB1E45EC622CD4">
              <w:r>
                <w:rPr>
                  <w:rStyle w:val="InternetLink"/>
                  <w:rFonts w:ascii="inherit" w:hAnsi="inherit"/>
                  <w:sz w:val="17"/>
                </w:rPr>
                <w:t>Item 1. LEGAL PROCEEDINGS</w:t>
              </w:r>
            </w:hyperlink>
          </w:p>
        </w:tc>
        <w:tc>
          <w:tcPr>
            <w:tcW w:w="665" w:type="dxa"/>
            <w:tcBorders/>
            <w:shd w:fill="auto" w:val="clear"/>
            <w:vAlign w:val="center"/>
          </w:tcPr>
          <w:p>
            <w:pPr>
              <w:pStyle w:val="TableContents"/>
              <w:spacing w:before="0" w:after="0"/>
              <w:ind w:left="0" w:right="0" w:firstLine="30"/>
              <w:jc w:val="right"/>
              <w:rPr/>
            </w:pPr>
            <w:hyperlink w:anchor="s8F7C8498644B50CD8FCB1E45EC622CD4">
              <w:r>
                <w:rPr>
                  <w:rStyle w:val="InternetLink"/>
                  <w:rFonts w:ascii="inherit" w:hAnsi="inherit"/>
                  <w:sz w:val="17"/>
                </w:rPr>
                <w:t>69</w:t>
              </w:r>
            </w:hyperlink>
          </w:p>
        </w:tc>
      </w:tr>
      <w:tr>
        <w:trPr/>
        <w:tc>
          <w:tcPr>
            <w:tcW w:w="9540" w:type="dxa"/>
            <w:tcBorders/>
            <w:shd w:fill="auto" w:val="clear"/>
            <w:vAlign w:val="center"/>
          </w:tcPr>
          <w:p>
            <w:pPr>
              <w:pStyle w:val="TableContents"/>
              <w:spacing w:before="0" w:after="0"/>
              <w:ind w:left="0" w:right="0" w:firstLine="30"/>
              <w:rPr/>
            </w:pPr>
            <w:hyperlink w:anchor="s0107D8B40495585AAC8FAE4A9004BA77">
              <w:r>
                <w:rPr>
                  <w:rStyle w:val="InternetLink"/>
                  <w:rFonts w:ascii="inherit" w:hAnsi="inherit"/>
                  <w:sz w:val="17"/>
                </w:rPr>
                <w:t>Item 1A. RISK FACTORS</w:t>
              </w:r>
            </w:hyperlink>
          </w:p>
        </w:tc>
        <w:tc>
          <w:tcPr>
            <w:tcW w:w="665" w:type="dxa"/>
            <w:tcBorders/>
            <w:shd w:fill="auto" w:val="clear"/>
            <w:vAlign w:val="center"/>
          </w:tcPr>
          <w:p>
            <w:pPr>
              <w:pStyle w:val="TableContents"/>
              <w:spacing w:before="0" w:after="0"/>
              <w:ind w:left="0" w:right="0" w:firstLine="30"/>
              <w:jc w:val="right"/>
              <w:rPr/>
            </w:pPr>
            <w:hyperlink w:anchor="s0107D8B40495585AAC8FAE4A9004BA77">
              <w:r>
                <w:rPr>
                  <w:rStyle w:val="InternetLink"/>
                  <w:rFonts w:ascii="inherit" w:hAnsi="inherit"/>
                  <w:sz w:val="17"/>
                </w:rPr>
                <w:t>69</w:t>
              </w:r>
            </w:hyperlink>
          </w:p>
        </w:tc>
      </w:tr>
      <w:tr>
        <w:trPr/>
        <w:tc>
          <w:tcPr>
            <w:tcW w:w="9540" w:type="dxa"/>
            <w:tcBorders/>
            <w:shd w:fill="auto" w:val="clear"/>
            <w:vAlign w:val="center"/>
          </w:tcPr>
          <w:p>
            <w:pPr>
              <w:pStyle w:val="TableContents"/>
              <w:spacing w:before="0" w:after="0"/>
              <w:ind w:left="0" w:right="0" w:firstLine="30"/>
              <w:rPr/>
            </w:pPr>
            <w:hyperlink w:anchor="sA064BF9253FF53278855FCEAD66A06D0">
              <w:r>
                <w:rPr>
                  <w:rStyle w:val="InternetLink"/>
                  <w:rFonts w:ascii="inherit" w:hAnsi="inherit"/>
                  <w:sz w:val="17"/>
                </w:rPr>
                <w:t>Item 2. UNREGISTERED SALES OF EQUITY SECURITIES AND USE OF PROCEEDS</w:t>
              </w:r>
            </w:hyperlink>
          </w:p>
        </w:tc>
        <w:tc>
          <w:tcPr>
            <w:tcW w:w="665" w:type="dxa"/>
            <w:tcBorders/>
            <w:shd w:fill="auto" w:val="clear"/>
            <w:vAlign w:val="center"/>
          </w:tcPr>
          <w:p>
            <w:pPr>
              <w:pStyle w:val="TableContents"/>
              <w:spacing w:before="0" w:after="0"/>
              <w:ind w:left="0" w:right="0" w:firstLine="30"/>
              <w:jc w:val="right"/>
              <w:rPr/>
            </w:pPr>
            <w:hyperlink w:anchor="sA064BF9253FF53278855FCEAD66A06D0">
              <w:r>
                <w:rPr>
                  <w:rStyle w:val="InternetLink"/>
                  <w:rFonts w:ascii="inherit" w:hAnsi="inherit"/>
                  <w:sz w:val="17"/>
                </w:rPr>
                <w:t>69</w:t>
              </w:r>
            </w:hyperlink>
          </w:p>
        </w:tc>
      </w:tr>
      <w:tr>
        <w:trPr/>
        <w:tc>
          <w:tcPr>
            <w:tcW w:w="9540" w:type="dxa"/>
            <w:tcBorders/>
            <w:shd w:fill="auto" w:val="clear"/>
            <w:vAlign w:val="center"/>
          </w:tcPr>
          <w:p>
            <w:pPr>
              <w:pStyle w:val="TableContents"/>
              <w:spacing w:before="0" w:after="0"/>
              <w:ind w:left="0" w:right="0" w:firstLine="30"/>
              <w:rPr/>
            </w:pPr>
            <w:hyperlink w:anchor="sA6E46B3406385FAFB34259B765A20D18">
              <w:r>
                <w:rPr>
                  <w:rStyle w:val="InternetLink"/>
                  <w:rFonts w:ascii="inherit" w:hAnsi="inherit"/>
                  <w:sz w:val="17"/>
                </w:rPr>
                <w:t>Item 3. DEFAULTS UPON SENIOR SECURITIES</w:t>
              </w:r>
            </w:hyperlink>
          </w:p>
        </w:tc>
        <w:tc>
          <w:tcPr>
            <w:tcW w:w="665" w:type="dxa"/>
            <w:tcBorders/>
            <w:shd w:fill="auto" w:val="clear"/>
            <w:vAlign w:val="center"/>
          </w:tcPr>
          <w:p>
            <w:pPr>
              <w:pStyle w:val="TableContents"/>
              <w:spacing w:before="0" w:after="0"/>
              <w:ind w:left="0" w:right="0" w:firstLine="30"/>
              <w:jc w:val="right"/>
              <w:rPr/>
            </w:pPr>
            <w:hyperlink w:anchor="sA6E46B3406385FAFB34259B765A20D18">
              <w:r>
                <w:rPr>
                  <w:rStyle w:val="InternetLink"/>
                  <w:rFonts w:ascii="inherit" w:hAnsi="inherit"/>
                  <w:sz w:val="17"/>
                </w:rPr>
                <w:t>69</w:t>
              </w:r>
            </w:hyperlink>
          </w:p>
        </w:tc>
      </w:tr>
      <w:tr>
        <w:trPr/>
        <w:tc>
          <w:tcPr>
            <w:tcW w:w="9540" w:type="dxa"/>
            <w:tcBorders/>
            <w:shd w:fill="auto" w:val="clear"/>
            <w:vAlign w:val="center"/>
          </w:tcPr>
          <w:p>
            <w:pPr>
              <w:pStyle w:val="TableContents"/>
              <w:spacing w:before="0" w:after="0"/>
              <w:ind w:left="0" w:right="0" w:firstLine="30"/>
              <w:rPr/>
            </w:pPr>
            <w:hyperlink w:anchor="sFCC86352AA30506788502B11AAD0CBD8">
              <w:r>
                <w:rPr>
                  <w:rStyle w:val="InternetLink"/>
                  <w:rFonts w:ascii="inherit" w:hAnsi="inherit"/>
                  <w:sz w:val="17"/>
                </w:rPr>
                <w:t>Item 4. MINE SAFETY DISCLOSURES</w:t>
              </w:r>
            </w:hyperlink>
          </w:p>
        </w:tc>
        <w:tc>
          <w:tcPr>
            <w:tcW w:w="665" w:type="dxa"/>
            <w:tcBorders/>
            <w:shd w:fill="auto" w:val="clear"/>
            <w:vAlign w:val="center"/>
          </w:tcPr>
          <w:p>
            <w:pPr>
              <w:pStyle w:val="TableContents"/>
              <w:spacing w:before="0" w:after="0"/>
              <w:ind w:left="0" w:right="0" w:firstLine="30"/>
              <w:jc w:val="right"/>
              <w:rPr/>
            </w:pPr>
            <w:hyperlink w:anchor="sFCC86352AA30506788502B11AAD0CBD8">
              <w:r>
                <w:rPr>
                  <w:rStyle w:val="InternetLink"/>
                  <w:rFonts w:ascii="inherit" w:hAnsi="inherit"/>
                  <w:sz w:val="17"/>
                </w:rPr>
                <w:t>69</w:t>
              </w:r>
            </w:hyperlink>
          </w:p>
        </w:tc>
      </w:tr>
      <w:tr>
        <w:trPr/>
        <w:tc>
          <w:tcPr>
            <w:tcW w:w="9540" w:type="dxa"/>
            <w:tcBorders/>
            <w:shd w:fill="auto" w:val="clear"/>
            <w:vAlign w:val="center"/>
          </w:tcPr>
          <w:p>
            <w:pPr>
              <w:pStyle w:val="TableContents"/>
              <w:spacing w:before="0" w:after="0"/>
              <w:ind w:left="0" w:right="0" w:firstLine="30"/>
              <w:rPr/>
            </w:pPr>
            <w:hyperlink w:anchor="s5DAE7AC9389F5310ABAB788A5D5D0045">
              <w:r>
                <w:rPr>
                  <w:rStyle w:val="InternetLink"/>
                  <w:rFonts w:ascii="inherit" w:hAnsi="inherit"/>
                  <w:sz w:val="17"/>
                </w:rPr>
                <w:t>Item 5. OTHER INFORMATION</w:t>
              </w:r>
            </w:hyperlink>
          </w:p>
        </w:tc>
        <w:tc>
          <w:tcPr>
            <w:tcW w:w="665" w:type="dxa"/>
            <w:tcBorders/>
            <w:shd w:fill="auto" w:val="clear"/>
            <w:vAlign w:val="center"/>
          </w:tcPr>
          <w:p>
            <w:pPr>
              <w:pStyle w:val="TableContents"/>
              <w:spacing w:before="0" w:after="0"/>
              <w:ind w:left="0" w:right="0" w:firstLine="30"/>
              <w:jc w:val="right"/>
              <w:rPr/>
            </w:pPr>
            <w:hyperlink w:anchor="s5DAE7AC9389F5310ABAB788A5D5D0045">
              <w:r>
                <w:rPr>
                  <w:rStyle w:val="InternetLink"/>
                  <w:rFonts w:ascii="inherit" w:hAnsi="inherit"/>
                  <w:sz w:val="17"/>
                </w:rPr>
                <w:t>69</w:t>
              </w:r>
            </w:hyperlink>
          </w:p>
        </w:tc>
      </w:tr>
      <w:tr>
        <w:trPr/>
        <w:tc>
          <w:tcPr>
            <w:tcW w:w="9540" w:type="dxa"/>
            <w:tcBorders/>
            <w:shd w:fill="auto" w:val="clear"/>
            <w:vAlign w:val="center"/>
          </w:tcPr>
          <w:p>
            <w:pPr>
              <w:pStyle w:val="TableContents"/>
              <w:spacing w:before="0" w:after="0"/>
              <w:ind w:left="0" w:right="0" w:firstLine="30"/>
              <w:rPr/>
            </w:pPr>
            <w:hyperlink w:anchor="s660F83499D065B579A9261BDC63E0CE2">
              <w:r>
                <w:rPr>
                  <w:rStyle w:val="InternetLink"/>
                  <w:rFonts w:ascii="inherit" w:hAnsi="inherit"/>
                  <w:sz w:val="17"/>
                </w:rPr>
                <w:t>Item 6. EXHIBITS</w:t>
              </w:r>
            </w:hyperlink>
          </w:p>
        </w:tc>
        <w:tc>
          <w:tcPr>
            <w:tcW w:w="665" w:type="dxa"/>
            <w:tcBorders/>
            <w:shd w:fill="auto" w:val="clear"/>
            <w:vAlign w:val="center"/>
          </w:tcPr>
          <w:p>
            <w:pPr>
              <w:pStyle w:val="TableContents"/>
              <w:spacing w:before="0" w:after="0"/>
              <w:ind w:left="0" w:right="0" w:firstLine="30"/>
              <w:jc w:val="right"/>
              <w:rPr/>
            </w:pPr>
            <w:hyperlink w:anchor="s660F83499D065B579A9261BDC63E0CE2">
              <w:r>
                <w:rPr>
                  <w:rStyle w:val="InternetLink"/>
                  <w:rFonts w:ascii="inherit" w:hAnsi="inherit"/>
                  <w:sz w:val="17"/>
                </w:rPr>
                <w:t>70</w:t>
              </w:r>
            </w:hyperlink>
          </w:p>
        </w:tc>
      </w:tr>
      <w:tr>
        <w:trPr/>
        <w:tc>
          <w:tcPr>
            <w:tcW w:w="9540" w:type="dxa"/>
            <w:tcBorders/>
            <w:shd w:fill="auto" w:val="clear"/>
            <w:vAlign w:val="center"/>
          </w:tcPr>
          <w:p>
            <w:pPr>
              <w:pStyle w:val="TableContents"/>
              <w:spacing w:before="0" w:after="0"/>
              <w:ind w:left="0" w:right="0" w:firstLine="30"/>
              <w:rPr/>
            </w:pPr>
            <w:hyperlink w:anchor="s52D00F353E835E718592DA0398789C79">
              <w:r>
                <w:rPr>
                  <w:rStyle w:val="InternetLink"/>
                  <w:rFonts w:ascii="inherit" w:hAnsi="inherit"/>
                  <w:sz w:val="17"/>
                </w:rPr>
                <w:t>SIGNATURES</w:t>
              </w:r>
            </w:hyperlink>
          </w:p>
        </w:tc>
        <w:tc>
          <w:tcPr>
            <w:tcW w:w="665" w:type="dxa"/>
            <w:tcBorders/>
            <w:shd w:fill="auto" w:val="clear"/>
            <w:vAlign w:val="center"/>
          </w:tcPr>
          <w:p>
            <w:pPr>
              <w:pStyle w:val="TableContents"/>
              <w:spacing w:before="0" w:after="0"/>
              <w:jc w:val="right"/>
              <w:rPr/>
            </w:pPr>
            <w:hyperlink w:anchor="s52D00F353E835E718592DA0398789C79">
              <w:r>
                <w:rPr>
                  <w:rStyle w:val="InternetLink"/>
                  <w:rFonts w:ascii="inherit" w:hAnsi="inherit"/>
                  <w:sz w:val="17"/>
                </w:rPr>
                <w:t>73</w:t>
              </w:r>
            </w:hyperlink>
          </w:p>
        </w:tc>
      </w:tr>
    </w:tbl>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w:t>
      </w:r>
      <w:r>
        <w:br w:type="page"/>
      </w:r>
    </w:p>
    <w:p>
      <w:pPr>
        <w:pStyle w:val="TextBody"/>
        <w:spacing w:lineRule="auto" w:line="288" w:before="0" w:after="0"/>
        <w:rPr/>
      </w:pPr>
      <w:hyperlink w:anchor="s3336AD8A685850CC9B7F2572CB2C0BC3">
        <w:bookmarkStart w:id="4" w:name="s140AFBFF7CD056F194954CBBE38F3A30"/>
        <w:bookmarkEnd w:id="4"/>
        <w:r>
          <w:rPr>
            <w:rStyle w:val="InternetLink"/>
            <w:rFonts w:ascii="inherit" w:hAnsi="inherit"/>
            <w:sz w:val="17"/>
          </w:rPr>
          <w:t>Table of Contents</w:t>
        </w:r>
      </w:hyperlink>
      <w:r>
        <w:rPr>
          <w:sz w:val="17"/>
        </w:rPr>
        <w:t xml:space="preserve"> </w:t>
      </w:r>
    </w:p>
    <w:p>
      <w:pPr>
        <w:pStyle w:val="TextBody"/>
        <w:spacing w:before="0" w:after="0"/>
        <w:rPr/>
      </w:pPr>
      <w:r>
        <w:rPr/>
      </w:r>
    </w:p>
    <w:p>
      <w:pPr>
        <w:pStyle w:val="TextBody"/>
        <w:spacing w:lineRule="auto" w:line="288" w:before="0" w:after="0"/>
        <w:jc w:val="center"/>
        <w:rPr>
          <w:sz w:val="17"/>
        </w:rPr>
      </w:pPr>
      <w:r>
        <w:rPr>
          <w:rFonts w:ascii="inherit" w:hAnsi="inherit"/>
          <w:b/>
          <w:sz w:val="17"/>
        </w:rPr>
        <w:t>PART I. FINANCIAL INFORMATION</w:t>
      </w:r>
      <w:r>
        <w:rPr>
          <w:sz w:val="17"/>
        </w:rPr>
        <w:t> </w:t>
      </w:r>
    </w:p>
    <w:p>
      <w:pPr>
        <w:pStyle w:val="TextBody"/>
        <w:spacing w:lineRule="auto" w:line="288" w:before="0" w:after="0"/>
        <w:rPr>
          <w:rFonts w:ascii="inherit" w:hAnsi="inherit"/>
          <w:b/>
          <w:sz w:val="17"/>
        </w:rPr>
      </w:pPr>
      <w:bookmarkStart w:id="5" w:name="sAC5F20BBE36550A8B1A6AB2000FFFFAE"/>
      <w:bookmarkEnd w:id="5"/>
      <w:r>
        <w:rPr>
          <w:rFonts w:ascii="inherit" w:hAnsi="inherit"/>
          <w:b/>
          <w:sz w:val="17"/>
        </w:rPr>
        <w:t>Item 1.    UNAUDITED CONDENSED CONSOLIDATED FINANCIAL STATEMENTS</w:t>
      </w:r>
    </w:p>
    <w:p>
      <w:pPr>
        <w:pStyle w:val="TextBody"/>
        <w:spacing w:lineRule="auto" w:line="288" w:before="0" w:after="0"/>
        <w:jc w:val="center"/>
        <w:rPr>
          <w:rFonts w:ascii="inherit" w:hAnsi="inherit"/>
          <w:b/>
          <w:sz w:val="17"/>
        </w:rPr>
      </w:pPr>
      <w:bookmarkStart w:id="6" w:name="s2B5F951935F65368827A58F3B3DCC1BA"/>
      <w:bookmarkEnd w:id="6"/>
      <w:r>
        <w:rPr>
          <w:rFonts w:ascii="inherit" w:hAnsi="inherit"/>
          <w:b/>
          <w:sz w:val="17"/>
        </w:rPr>
        <w:t>PLAINS ALL AMERICAN PIPELINE, L.P. AND SUBSIDIARIES</w:t>
      </w:r>
    </w:p>
    <w:p>
      <w:pPr>
        <w:pStyle w:val="TextBody"/>
        <w:spacing w:lineRule="auto" w:line="288" w:before="0" w:after="0"/>
        <w:jc w:val="center"/>
        <w:rPr>
          <w:rFonts w:ascii="inherit" w:hAnsi="inherit"/>
          <w:b/>
          <w:sz w:val="17"/>
        </w:rPr>
      </w:pPr>
      <w:r>
        <w:rPr>
          <w:rFonts w:ascii="inherit" w:hAnsi="inherit"/>
          <w:b/>
          <w:sz w:val="17"/>
        </w:rPr>
        <w:t>CONDENSED CONSOLIDATED BALANCE SHEETS</w:t>
      </w:r>
    </w:p>
    <w:p>
      <w:pPr>
        <w:pStyle w:val="TextBody"/>
        <w:spacing w:lineRule="auto" w:line="288" w:before="0" w:after="0"/>
        <w:jc w:val="center"/>
        <w:rPr>
          <w:rFonts w:ascii="inherit" w:hAnsi="inherit"/>
          <w:b/>
          <w:sz w:val="17"/>
        </w:rPr>
      </w:pPr>
      <w:r>
        <w:rPr>
          <w:rFonts w:ascii="inherit" w:hAnsi="inherit"/>
          <w:b/>
          <w:sz w:val="17"/>
        </w:rPr>
        <w:t>(in millions, except unit data)</w:t>
      </w:r>
    </w:p>
    <w:tbl>
      <w:tblPr>
        <w:tblW w:w="9624" w:type="dxa"/>
        <w:jc w:val="left"/>
        <w:tblInd w:w="0" w:type="dxa"/>
        <w:tblCellMar>
          <w:top w:w="0" w:type="dxa"/>
          <w:left w:w="0" w:type="dxa"/>
          <w:bottom w:w="0" w:type="dxa"/>
          <w:right w:w="0" w:type="dxa"/>
        </w:tblCellMar>
      </w:tblPr>
      <w:tblGrid>
        <w:gridCol w:w="7640"/>
        <w:gridCol w:w="125"/>
        <w:gridCol w:w="590"/>
        <w:gridCol w:w="110"/>
        <w:gridCol w:w="90"/>
        <w:gridCol w:w="135"/>
        <w:gridCol w:w="637"/>
        <w:gridCol w:w="297"/>
      </w:tblGrid>
      <w:tr>
        <w:trPr/>
        <w:tc>
          <w:tcPr>
            <w:tcW w:w="9624" w:type="dxa"/>
            <w:gridSpan w:val="8"/>
            <w:tcBorders/>
            <w:shd w:fill="auto" w:val="clear"/>
            <w:vAlign w:val="center"/>
          </w:tcPr>
          <w:p>
            <w:pPr>
              <w:pStyle w:val="TableContents"/>
              <w:spacing w:before="0" w:after="283"/>
              <w:rPr>
                <w:sz w:val="4"/>
                <w:szCs w:val="4"/>
              </w:rPr>
            </w:pPr>
            <w:r>
              <w:rPr>
                <w:sz w:val="4"/>
                <w:szCs w:val="4"/>
              </w:rPr>
            </w:r>
          </w:p>
        </w:tc>
      </w:tr>
      <w:tr>
        <w:trPr/>
        <w:tc>
          <w:tcPr>
            <w:tcW w:w="764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7640" w:type="dxa"/>
            <w:tcBorders/>
            <w:shd w:fill="auto" w:val="clear"/>
            <w:vAlign w:val="center"/>
          </w:tcPr>
          <w:p>
            <w:pPr>
              <w:pStyle w:val="TableContents"/>
              <w:spacing w:before="0" w:after="0"/>
              <w:ind w:left="0" w:right="0" w:firstLine="30"/>
              <w:rPr/>
            </w:pPr>
            <w:r>
              <w:rPr/>
              <w:t> </w:t>
            </w:r>
          </w:p>
        </w:tc>
        <w:tc>
          <w:tcPr>
            <w:tcW w:w="82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June 30, </w:t>
              <w:br/>
              <w:t>2019</w:t>
            </w:r>
          </w:p>
        </w:tc>
        <w:tc>
          <w:tcPr>
            <w:tcW w:w="90" w:type="dxa"/>
            <w:tcBorders/>
            <w:shd w:fill="auto" w:val="clear"/>
            <w:vAlign w:val="center"/>
          </w:tcPr>
          <w:p>
            <w:pPr>
              <w:pStyle w:val="TableContents"/>
              <w:spacing w:before="0" w:after="0"/>
              <w:ind w:left="0" w:right="0" w:firstLine="30"/>
              <w:rPr/>
            </w:pPr>
            <w:r>
              <w:rPr/>
              <w:t> </w:t>
            </w:r>
          </w:p>
        </w:tc>
        <w:tc>
          <w:tcPr>
            <w:tcW w:w="106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December 31,</w:t>
              <w:br/>
              <w:t>2018</w:t>
            </w:r>
          </w:p>
        </w:tc>
      </w:tr>
      <w:tr>
        <w:trPr/>
        <w:tc>
          <w:tcPr>
            <w:tcW w:w="7640" w:type="dxa"/>
            <w:tcBorders/>
            <w:shd w:fill="auto" w:val="clear"/>
            <w:vAlign w:val="center"/>
          </w:tcPr>
          <w:p>
            <w:pPr>
              <w:pStyle w:val="TableContents"/>
              <w:spacing w:before="0" w:after="0"/>
              <w:ind w:left="0" w:right="0" w:firstLine="30"/>
              <w:jc w:val="left"/>
              <w:rPr/>
            </w:pPr>
            <w:r>
              <w:rPr/>
              <w:t> </w:t>
            </w:r>
          </w:p>
        </w:tc>
        <w:tc>
          <w:tcPr>
            <w:tcW w:w="1984" w:type="dxa"/>
            <w:gridSpan w:val="7"/>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(unaudited)</w:t>
            </w:r>
          </w:p>
        </w:tc>
      </w:tr>
      <w:tr>
        <w:trPr/>
        <w:tc>
          <w:tcPr>
            <w:tcW w:w="7640"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ASSETS</w:t>
            </w:r>
          </w:p>
        </w:tc>
        <w:tc>
          <w:tcPr>
            <w:tcW w:w="715" w:type="dxa"/>
            <w:gridSpan w:val="2"/>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72" w:type="dxa"/>
            <w:gridSpan w:val="2"/>
            <w:tcBorders/>
            <w:shd w:fill="CCEEFF" w:val="clear"/>
            <w:vAlign w:val="center"/>
          </w:tcPr>
          <w:p>
            <w:pPr>
              <w:pStyle w:val="TableContents"/>
              <w:spacing w:before="0" w:after="0"/>
              <w:jc w:val="right"/>
              <w:rPr/>
            </w:pPr>
            <w:r>
              <w:rPr/>
              <w:t> </w:t>
            </w:r>
          </w:p>
        </w:tc>
        <w:tc>
          <w:tcPr>
            <w:tcW w:w="2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64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69" w:type="dxa"/>
            <w:gridSpan w:val="3"/>
            <w:tcBorders/>
            <w:shd w:fill="auto" w:val="clear"/>
            <w:vAlign w:val="center"/>
          </w:tcPr>
          <w:p>
            <w:pPr>
              <w:pStyle w:val="TableContents"/>
              <w:spacing w:before="0" w:after="0"/>
              <w:ind w:left="0" w:right="0" w:firstLine="30"/>
              <w:rPr/>
            </w:pPr>
            <w:r>
              <w:rPr/>
              <w:t> </w:t>
            </w:r>
          </w:p>
        </w:tc>
      </w:tr>
      <w:tr>
        <w:trPr/>
        <w:tc>
          <w:tcPr>
            <w:tcW w:w="7640"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CURRENT ASSETS</w:t>
            </w:r>
          </w:p>
        </w:tc>
        <w:tc>
          <w:tcPr>
            <w:tcW w:w="715" w:type="dxa"/>
            <w:gridSpan w:val="2"/>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72" w:type="dxa"/>
            <w:gridSpan w:val="2"/>
            <w:tcBorders/>
            <w:shd w:fill="CCEEFF" w:val="clear"/>
            <w:vAlign w:val="center"/>
          </w:tcPr>
          <w:p>
            <w:pPr>
              <w:pStyle w:val="TableContents"/>
              <w:spacing w:before="0" w:after="0"/>
              <w:jc w:val="right"/>
              <w:rPr/>
            </w:pPr>
            <w:r>
              <w:rPr/>
              <w:t> </w:t>
            </w:r>
          </w:p>
        </w:tc>
        <w:tc>
          <w:tcPr>
            <w:tcW w:w="2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6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Cash and cash equivalents</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419</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37" w:type="dxa"/>
            <w:tcBorders/>
            <w:shd w:fill="auto" w:val="clear"/>
            <w:vAlign w:val="center"/>
          </w:tcPr>
          <w:p>
            <w:pPr>
              <w:pStyle w:val="TableContents"/>
              <w:spacing w:before="0" w:after="0"/>
              <w:jc w:val="right"/>
              <w:rPr>
                <w:rFonts w:ascii="inherit" w:hAnsi="inherit"/>
                <w:sz w:val="17"/>
              </w:rPr>
            </w:pPr>
            <w:r>
              <w:rPr>
                <w:rFonts w:ascii="inherit" w:hAnsi="inherit"/>
                <w:sz w:val="17"/>
              </w:rPr>
              <w:t>66</w:t>
            </w:r>
          </w:p>
        </w:tc>
        <w:tc>
          <w:tcPr>
            <w:tcW w:w="2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6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Restricted cash</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42</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72" w:type="dxa"/>
            <w:gridSpan w:val="2"/>
            <w:tcBorders/>
            <w:shd w:fill="CCEEFF" w:val="clear"/>
            <w:vAlign w:val="center"/>
          </w:tcPr>
          <w:p>
            <w:pPr>
              <w:pStyle w:val="TableContents"/>
              <w:spacing w:before="0" w:after="0"/>
              <w:jc w:val="right"/>
              <w:rPr/>
            </w:pPr>
            <w:r>
              <w:rPr/>
              <w:t>—</w:t>
            </w:r>
          </w:p>
        </w:tc>
        <w:tc>
          <w:tcPr>
            <w:tcW w:w="2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6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Trade accounts receivable and other receivables, net</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2,835</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7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2,454</w:t>
            </w:r>
          </w:p>
        </w:tc>
        <w:tc>
          <w:tcPr>
            <w:tcW w:w="2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6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Inventory</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558</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7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640</w:t>
            </w:r>
          </w:p>
        </w:tc>
        <w:tc>
          <w:tcPr>
            <w:tcW w:w="2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6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current assets</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428</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7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373</w:t>
            </w:r>
          </w:p>
        </w:tc>
        <w:tc>
          <w:tcPr>
            <w:tcW w:w="297" w:type="dxa"/>
            <w:tcBorders>
              <w:bottom w:val="single" w:sz="2" w:space="0" w:color="000000"/>
            </w:tcBorders>
            <w:shd w:fill="auto"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76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current assets</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4,282</w:t>
            </w:r>
          </w:p>
        </w:tc>
        <w:tc>
          <w:tcPr>
            <w:tcW w:w="11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7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3,533</w:t>
            </w:r>
          </w:p>
        </w:tc>
        <w:tc>
          <w:tcPr>
            <w:tcW w:w="29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64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69" w:type="dxa"/>
            <w:gridSpan w:val="3"/>
            <w:tcBorders/>
            <w:shd w:fill="auto" w:val="clear"/>
            <w:vAlign w:val="center"/>
          </w:tcPr>
          <w:p>
            <w:pPr>
              <w:pStyle w:val="TableContents"/>
              <w:spacing w:before="0" w:after="0"/>
              <w:ind w:left="0" w:right="0" w:firstLine="30"/>
              <w:rPr/>
            </w:pPr>
            <w:r>
              <w:rPr/>
              <w:t> </w:t>
            </w:r>
          </w:p>
        </w:tc>
      </w:tr>
      <w:tr>
        <w:trPr/>
        <w:tc>
          <w:tcPr>
            <w:tcW w:w="7640"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PROPERTY AND EQUIPMENT</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18,460</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7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17,866</w:t>
            </w:r>
          </w:p>
        </w:tc>
        <w:tc>
          <w:tcPr>
            <w:tcW w:w="2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6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Accumulated depreciation</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(3,319</w:t>
            </w:r>
          </w:p>
        </w:tc>
        <w:tc>
          <w:tcPr>
            <w:tcW w:w="11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77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(3,079</w:t>
            </w:r>
          </w:p>
        </w:tc>
        <w:tc>
          <w:tcPr>
            <w:tcW w:w="297" w:type="dxa"/>
            <w:tcBorders>
              <w:bottom w:val="single" w:sz="2" w:space="0" w:color="000000"/>
            </w:tcBorders>
            <w:shd w:fill="auto" w:val="clear"/>
            <w:tcMar>
              <w:bottom w:w="30" w:type="dxa"/>
            </w:tcM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76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Property and equipment, net</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15,141</w:t>
            </w:r>
          </w:p>
        </w:tc>
        <w:tc>
          <w:tcPr>
            <w:tcW w:w="11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7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14,787</w:t>
            </w:r>
          </w:p>
        </w:tc>
        <w:tc>
          <w:tcPr>
            <w:tcW w:w="29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64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69" w:type="dxa"/>
            <w:gridSpan w:val="3"/>
            <w:tcBorders/>
            <w:shd w:fill="auto" w:val="clear"/>
            <w:vAlign w:val="center"/>
          </w:tcPr>
          <w:p>
            <w:pPr>
              <w:pStyle w:val="TableContents"/>
              <w:spacing w:before="0" w:after="0"/>
              <w:ind w:left="0" w:right="0" w:firstLine="30"/>
              <w:rPr/>
            </w:pPr>
            <w:r>
              <w:rPr/>
              <w:t> </w:t>
            </w:r>
          </w:p>
        </w:tc>
      </w:tr>
      <w:tr>
        <w:trPr/>
        <w:tc>
          <w:tcPr>
            <w:tcW w:w="7640"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OTHER ASSETS</w:t>
            </w:r>
          </w:p>
        </w:tc>
        <w:tc>
          <w:tcPr>
            <w:tcW w:w="715" w:type="dxa"/>
            <w:gridSpan w:val="2"/>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72" w:type="dxa"/>
            <w:gridSpan w:val="2"/>
            <w:tcBorders/>
            <w:shd w:fill="CCEEFF" w:val="clear"/>
            <w:vAlign w:val="center"/>
          </w:tcPr>
          <w:p>
            <w:pPr>
              <w:pStyle w:val="TableContents"/>
              <w:spacing w:before="0" w:after="0"/>
              <w:jc w:val="right"/>
              <w:rPr/>
            </w:pPr>
            <w:r>
              <w:rPr/>
              <w:t> </w:t>
            </w:r>
          </w:p>
        </w:tc>
        <w:tc>
          <w:tcPr>
            <w:tcW w:w="2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6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Goodwill</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2,537</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7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2,521</w:t>
            </w:r>
          </w:p>
        </w:tc>
        <w:tc>
          <w:tcPr>
            <w:tcW w:w="2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6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Investments in unconsolidated entities</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3,377</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7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2,702</w:t>
            </w:r>
          </w:p>
        </w:tc>
        <w:tc>
          <w:tcPr>
            <w:tcW w:w="2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6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Linefill and base gas</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922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7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916</w:t>
            </w:r>
          </w:p>
        </w:tc>
        <w:tc>
          <w:tcPr>
            <w:tcW w:w="2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6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Long-term operating lease right-of-use assets, net</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469</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72" w:type="dxa"/>
            <w:gridSpan w:val="2"/>
            <w:tcBorders/>
            <w:shd w:fill="CCEEFF" w:val="clear"/>
            <w:vAlign w:val="center"/>
          </w:tcPr>
          <w:p>
            <w:pPr>
              <w:pStyle w:val="TableContents"/>
              <w:spacing w:before="0" w:after="0"/>
              <w:jc w:val="right"/>
              <w:rPr/>
            </w:pPr>
            <w:r>
              <w:rPr/>
              <w:t>—</w:t>
            </w:r>
          </w:p>
        </w:tc>
        <w:tc>
          <w:tcPr>
            <w:tcW w:w="2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6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Long-term inventory</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7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136</w:t>
            </w:r>
          </w:p>
        </w:tc>
        <w:tc>
          <w:tcPr>
            <w:tcW w:w="2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6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long-term assets, net</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877</w:t>
            </w:r>
          </w:p>
        </w:tc>
        <w:tc>
          <w:tcPr>
            <w:tcW w:w="11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7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916</w:t>
            </w:r>
          </w:p>
        </w:tc>
        <w:tc>
          <w:tcPr>
            <w:tcW w:w="297" w:type="dxa"/>
            <w:tcBorders>
              <w:bottom w:val="single" w:sz="2" w:space="0" w:color="000000"/>
            </w:tcBorders>
            <w:shd w:fill="CCEEFF"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76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assets</w:t>
            </w:r>
          </w:p>
        </w:tc>
        <w:tc>
          <w:tcPr>
            <w:tcW w:w="12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27,757</w:t>
            </w:r>
          </w:p>
        </w:tc>
        <w:tc>
          <w:tcPr>
            <w:tcW w:w="11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37"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25,511</w:t>
            </w:r>
          </w:p>
        </w:tc>
        <w:tc>
          <w:tcPr>
            <w:tcW w:w="297"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640" w:type="dxa"/>
            <w:tcBorders/>
            <w:shd w:fill="CCEEFF" w:val="clear"/>
            <w:vAlign w:val="center"/>
          </w:tcPr>
          <w:p>
            <w:pPr>
              <w:pStyle w:val="TableContents"/>
              <w:spacing w:before="0" w:after="0"/>
              <w:ind w:left="0" w:right="0" w:firstLine="30"/>
              <w:rPr/>
            </w:pPr>
            <w:r>
              <w:rPr/>
              <w:t> </w:t>
            </w:r>
          </w:p>
        </w:tc>
        <w:tc>
          <w:tcPr>
            <w:tcW w:w="82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69" w:type="dxa"/>
            <w:gridSpan w:val="3"/>
            <w:tcBorders/>
            <w:shd w:fill="CCEEFF" w:val="clear"/>
            <w:vAlign w:val="center"/>
          </w:tcPr>
          <w:p>
            <w:pPr>
              <w:pStyle w:val="TableContents"/>
              <w:spacing w:before="0" w:after="0"/>
              <w:ind w:left="0" w:right="0" w:firstLine="30"/>
              <w:rPr/>
            </w:pPr>
            <w:r>
              <w:rPr/>
              <w:t> </w:t>
            </w:r>
          </w:p>
        </w:tc>
      </w:tr>
      <w:tr>
        <w:trPr/>
        <w:tc>
          <w:tcPr>
            <w:tcW w:w="7640"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LIABILITIES AND PARTNERS’ CAPITAL</w:t>
            </w:r>
          </w:p>
        </w:tc>
        <w:tc>
          <w:tcPr>
            <w:tcW w:w="715" w:type="dxa"/>
            <w:gridSpan w:val="2"/>
            <w:tcBorders/>
            <w:shd w:fill="auto" w:val="clear"/>
            <w:vAlign w:val="center"/>
          </w:tcPr>
          <w:p>
            <w:pPr>
              <w:pStyle w:val="TableContents"/>
              <w:spacing w:before="0" w:after="0"/>
              <w:jc w:val="right"/>
              <w:rPr/>
            </w:pPr>
            <w:r>
              <w:rPr/>
              <w:t> </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72" w:type="dxa"/>
            <w:gridSpan w:val="2"/>
            <w:tcBorders/>
            <w:shd w:fill="auto" w:val="clear"/>
            <w:vAlign w:val="center"/>
          </w:tcPr>
          <w:p>
            <w:pPr>
              <w:pStyle w:val="TableContents"/>
              <w:spacing w:before="0" w:after="0"/>
              <w:jc w:val="right"/>
              <w:rPr/>
            </w:pPr>
            <w:r>
              <w:rPr/>
              <w:t> </w:t>
            </w:r>
          </w:p>
        </w:tc>
        <w:tc>
          <w:tcPr>
            <w:tcW w:w="2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640" w:type="dxa"/>
            <w:tcBorders/>
            <w:shd w:fill="CCEEFF" w:val="clear"/>
            <w:vAlign w:val="center"/>
          </w:tcPr>
          <w:p>
            <w:pPr>
              <w:pStyle w:val="TableContents"/>
              <w:spacing w:before="0" w:after="0"/>
              <w:ind w:left="0" w:right="0" w:firstLine="30"/>
              <w:rPr/>
            </w:pPr>
            <w:r>
              <w:rPr/>
              <w:t> </w:t>
            </w:r>
          </w:p>
        </w:tc>
        <w:tc>
          <w:tcPr>
            <w:tcW w:w="82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69" w:type="dxa"/>
            <w:gridSpan w:val="3"/>
            <w:tcBorders/>
            <w:shd w:fill="CCEEFF" w:val="clear"/>
            <w:vAlign w:val="center"/>
          </w:tcPr>
          <w:p>
            <w:pPr>
              <w:pStyle w:val="TableContents"/>
              <w:spacing w:before="0" w:after="0"/>
              <w:ind w:left="0" w:right="0" w:firstLine="30"/>
              <w:rPr/>
            </w:pPr>
            <w:r>
              <w:rPr/>
              <w:t> </w:t>
            </w:r>
          </w:p>
        </w:tc>
      </w:tr>
      <w:tr>
        <w:trPr/>
        <w:tc>
          <w:tcPr>
            <w:tcW w:w="7640"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CURRENT LIABILITIES</w:t>
            </w:r>
          </w:p>
        </w:tc>
        <w:tc>
          <w:tcPr>
            <w:tcW w:w="715" w:type="dxa"/>
            <w:gridSpan w:val="2"/>
            <w:tcBorders/>
            <w:shd w:fill="auto" w:val="clear"/>
            <w:vAlign w:val="center"/>
          </w:tcPr>
          <w:p>
            <w:pPr>
              <w:pStyle w:val="TableContents"/>
              <w:spacing w:before="0" w:after="0"/>
              <w:jc w:val="right"/>
              <w:rPr/>
            </w:pPr>
            <w:r>
              <w:rPr/>
              <w:t> </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72" w:type="dxa"/>
            <w:gridSpan w:val="2"/>
            <w:tcBorders/>
            <w:shd w:fill="auto" w:val="clear"/>
            <w:vAlign w:val="center"/>
          </w:tcPr>
          <w:p>
            <w:pPr>
              <w:pStyle w:val="TableContents"/>
              <w:spacing w:before="0" w:after="0"/>
              <w:jc w:val="right"/>
              <w:rPr/>
            </w:pPr>
            <w:r>
              <w:rPr/>
              <w:t> </w:t>
            </w:r>
          </w:p>
        </w:tc>
        <w:tc>
          <w:tcPr>
            <w:tcW w:w="2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6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Trade accounts payable</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CCEEFF" w:val="clear"/>
            <w:vAlign w:val="center"/>
          </w:tcPr>
          <w:p>
            <w:pPr>
              <w:pStyle w:val="TableContents"/>
              <w:spacing w:before="0" w:after="0"/>
              <w:jc w:val="right"/>
              <w:rPr>
                <w:rFonts w:ascii="inherit" w:hAnsi="inherit"/>
                <w:sz w:val="17"/>
              </w:rPr>
            </w:pPr>
            <w:r>
              <w:rPr>
                <w:rFonts w:ascii="inherit" w:hAnsi="inherit"/>
                <w:sz w:val="17"/>
              </w:rPr>
              <w:t>3,042</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37" w:type="dxa"/>
            <w:tcBorders/>
            <w:shd w:fill="CCEEFF" w:val="clear"/>
            <w:vAlign w:val="center"/>
          </w:tcPr>
          <w:p>
            <w:pPr>
              <w:pStyle w:val="TableContents"/>
              <w:spacing w:before="0" w:after="0"/>
              <w:jc w:val="right"/>
              <w:rPr>
                <w:rFonts w:ascii="inherit" w:hAnsi="inherit"/>
                <w:sz w:val="17"/>
              </w:rPr>
            </w:pPr>
            <w:r>
              <w:rPr>
                <w:rFonts w:ascii="inherit" w:hAnsi="inherit"/>
                <w:sz w:val="17"/>
              </w:rPr>
              <w:t>2,704</w:t>
            </w:r>
          </w:p>
        </w:tc>
        <w:tc>
          <w:tcPr>
            <w:tcW w:w="2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6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Short-term debt</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470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7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66</w:t>
            </w:r>
          </w:p>
        </w:tc>
        <w:tc>
          <w:tcPr>
            <w:tcW w:w="2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6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current liabilities</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782</w:t>
            </w:r>
          </w:p>
        </w:tc>
        <w:tc>
          <w:tcPr>
            <w:tcW w:w="11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7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686</w:t>
            </w:r>
          </w:p>
        </w:tc>
        <w:tc>
          <w:tcPr>
            <w:tcW w:w="297" w:type="dxa"/>
            <w:tcBorders>
              <w:bottom w:val="single" w:sz="2" w:space="0" w:color="000000"/>
            </w:tcBorders>
            <w:shd w:fill="CCEEFF"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76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current liabilities</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4,294</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7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3,456</w:t>
            </w:r>
          </w:p>
        </w:tc>
        <w:tc>
          <w:tcPr>
            <w:tcW w:w="29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640" w:type="dxa"/>
            <w:tcBorders/>
            <w:shd w:fill="CCEEFF" w:val="clear"/>
            <w:vAlign w:val="center"/>
          </w:tcPr>
          <w:p>
            <w:pPr>
              <w:pStyle w:val="TableContents"/>
              <w:spacing w:before="0" w:after="0"/>
              <w:ind w:left="0" w:right="0" w:firstLine="30"/>
              <w:rPr/>
            </w:pPr>
            <w:r>
              <w:rPr/>
              <w:t> </w:t>
            </w:r>
          </w:p>
        </w:tc>
        <w:tc>
          <w:tcPr>
            <w:tcW w:w="82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69" w:type="dxa"/>
            <w:gridSpan w:val="3"/>
            <w:tcBorders/>
            <w:shd w:fill="CCEEFF" w:val="clear"/>
            <w:vAlign w:val="center"/>
          </w:tcPr>
          <w:p>
            <w:pPr>
              <w:pStyle w:val="TableContents"/>
              <w:spacing w:before="0" w:after="0"/>
              <w:ind w:left="0" w:right="0" w:firstLine="30"/>
              <w:rPr/>
            </w:pPr>
            <w:r>
              <w:rPr/>
              <w:t> </w:t>
            </w:r>
          </w:p>
        </w:tc>
      </w:tr>
      <w:tr>
        <w:trPr/>
        <w:tc>
          <w:tcPr>
            <w:tcW w:w="7640"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LONG-TERM LIABILITIES</w:t>
            </w:r>
          </w:p>
        </w:tc>
        <w:tc>
          <w:tcPr>
            <w:tcW w:w="715" w:type="dxa"/>
            <w:gridSpan w:val="2"/>
            <w:tcBorders/>
            <w:shd w:fill="auto" w:val="clear"/>
            <w:vAlign w:val="center"/>
          </w:tcPr>
          <w:p>
            <w:pPr>
              <w:pStyle w:val="TableContents"/>
              <w:spacing w:before="0" w:after="0"/>
              <w:jc w:val="right"/>
              <w:rPr/>
            </w:pPr>
            <w:r>
              <w:rPr/>
              <w:t> </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72" w:type="dxa"/>
            <w:gridSpan w:val="2"/>
            <w:tcBorders/>
            <w:shd w:fill="auto" w:val="clear"/>
            <w:vAlign w:val="center"/>
          </w:tcPr>
          <w:p>
            <w:pPr>
              <w:pStyle w:val="TableContents"/>
              <w:spacing w:before="0" w:after="0"/>
              <w:jc w:val="right"/>
              <w:rPr/>
            </w:pPr>
            <w:r>
              <w:rPr/>
              <w:t> </w:t>
            </w:r>
          </w:p>
        </w:tc>
        <w:tc>
          <w:tcPr>
            <w:tcW w:w="2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6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Senior notes, net</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8,945</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7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8,941</w:t>
            </w:r>
          </w:p>
        </w:tc>
        <w:tc>
          <w:tcPr>
            <w:tcW w:w="2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6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long-term debt, net</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7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202</w:t>
            </w:r>
          </w:p>
        </w:tc>
        <w:tc>
          <w:tcPr>
            <w:tcW w:w="2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6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Long-term operating lease liabilities</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370</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72" w:type="dxa"/>
            <w:gridSpan w:val="2"/>
            <w:tcBorders/>
            <w:shd w:fill="CCEEFF" w:val="clear"/>
            <w:vAlign w:val="center"/>
          </w:tcPr>
          <w:p>
            <w:pPr>
              <w:pStyle w:val="TableContents"/>
              <w:spacing w:before="0" w:after="0"/>
              <w:jc w:val="right"/>
              <w:rPr/>
            </w:pPr>
            <w:r>
              <w:rPr/>
              <w:t>—</w:t>
            </w:r>
          </w:p>
        </w:tc>
        <w:tc>
          <w:tcPr>
            <w:tcW w:w="2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6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long-term liabilities and deferred credits</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844</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7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910</w:t>
            </w:r>
          </w:p>
        </w:tc>
        <w:tc>
          <w:tcPr>
            <w:tcW w:w="297" w:type="dxa"/>
            <w:tcBorders>
              <w:bottom w:val="single" w:sz="2" w:space="0" w:color="000000"/>
            </w:tcBorders>
            <w:shd w:fill="auto"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76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long-term liabilities</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10,390</w:t>
            </w:r>
          </w:p>
        </w:tc>
        <w:tc>
          <w:tcPr>
            <w:tcW w:w="11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7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10,053</w:t>
            </w:r>
          </w:p>
        </w:tc>
        <w:tc>
          <w:tcPr>
            <w:tcW w:w="29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64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69" w:type="dxa"/>
            <w:gridSpan w:val="3"/>
            <w:tcBorders/>
            <w:shd w:fill="auto" w:val="clear"/>
            <w:vAlign w:val="center"/>
          </w:tcPr>
          <w:p>
            <w:pPr>
              <w:pStyle w:val="TableContents"/>
              <w:spacing w:before="0" w:after="0"/>
              <w:ind w:left="0" w:right="0" w:firstLine="30"/>
              <w:rPr/>
            </w:pPr>
            <w:r>
              <w:rPr/>
              <w:t> </w:t>
            </w:r>
          </w:p>
        </w:tc>
      </w:tr>
      <w:tr>
        <w:trPr/>
        <w:tc>
          <w:tcPr>
            <w:tcW w:w="7640"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COMMITMENTS AND CONTINGENCIES (NOTE 13)</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7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r>
          </w:p>
        </w:tc>
        <w:tc>
          <w:tcPr>
            <w:tcW w:w="2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64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69" w:type="dxa"/>
            <w:gridSpan w:val="3"/>
            <w:tcBorders/>
            <w:shd w:fill="auto" w:val="clear"/>
            <w:vAlign w:val="center"/>
          </w:tcPr>
          <w:p>
            <w:pPr>
              <w:pStyle w:val="TableContents"/>
              <w:spacing w:before="0" w:after="0"/>
              <w:ind w:left="0" w:right="0" w:firstLine="30"/>
              <w:rPr/>
            </w:pPr>
            <w:r>
              <w:rPr/>
              <w:t> </w:t>
            </w:r>
          </w:p>
        </w:tc>
      </w:tr>
      <w:tr>
        <w:trPr/>
        <w:tc>
          <w:tcPr>
            <w:tcW w:w="7640"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PARTNERS’ CAPITAL</w:t>
            </w:r>
          </w:p>
        </w:tc>
        <w:tc>
          <w:tcPr>
            <w:tcW w:w="715" w:type="dxa"/>
            <w:gridSpan w:val="2"/>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72" w:type="dxa"/>
            <w:gridSpan w:val="2"/>
            <w:tcBorders/>
            <w:shd w:fill="CCEEFF" w:val="clear"/>
            <w:vAlign w:val="center"/>
          </w:tcPr>
          <w:p>
            <w:pPr>
              <w:pStyle w:val="TableContents"/>
              <w:spacing w:before="0" w:after="0"/>
              <w:jc w:val="right"/>
              <w:rPr/>
            </w:pPr>
            <w:r>
              <w:rPr/>
              <w:t> </w:t>
            </w:r>
          </w:p>
        </w:tc>
        <w:tc>
          <w:tcPr>
            <w:tcW w:w="2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6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Series A preferred unitholders (71,090,468 and 71,090,468 units outstanding, respectively)</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1,505</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7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1,505</w:t>
            </w:r>
          </w:p>
        </w:tc>
        <w:tc>
          <w:tcPr>
            <w:tcW w:w="2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6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Series B preferred unitholders (800,000 and 800,000 units outstanding, respectively)</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787</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7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787</w:t>
            </w:r>
          </w:p>
        </w:tc>
        <w:tc>
          <w:tcPr>
            <w:tcW w:w="2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6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Common unitholders (727,424,619 and 726,361,924 units outstanding, respectively)</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10,649</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7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9,710</w:t>
            </w:r>
          </w:p>
        </w:tc>
        <w:tc>
          <w:tcPr>
            <w:tcW w:w="297"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76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partners’ capital excluding noncontrolling interests</w:t>
            </w:r>
          </w:p>
        </w:tc>
        <w:tc>
          <w:tcPr>
            <w:tcW w:w="715"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12,941</w:t>
            </w:r>
          </w:p>
        </w:tc>
        <w:tc>
          <w:tcPr>
            <w:tcW w:w="11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72"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12,002</w:t>
            </w:r>
          </w:p>
        </w:tc>
        <w:tc>
          <w:tcPr>
            <w:tcW w:w="297"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6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Noncontrolling interests</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132</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72"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297" w:type="dxa"/>
            <w:tcBorders>
              <w:bottom w:val="single" w:sz="2" w:space="0" w:color="000000"/>
            </w:tcBorders>
            <w:shd w:fill="auto"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76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partners’ capital</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13,073</w:t>
            </w:r>
          </w:p>
        </w:tc>
        <w:tc>
          <w:tcPr>
            <w:tcW w:w="11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7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12,002</w:t>
            </w:r>
          </w:p>
        </w:tc>
        <w:tc>
          <w:tcPr>
            <w:tcW w:w="297" w:type="dxa"/>
            <w:tcBorders>
              <w:bottom w:val="single" w:sz="2" w:space="0" w:color="000000"/>
            </w:tcBorders>
            <w:shd w:fill="CCEEFF"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76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liabilities and partners’ capital</w:t>
            </w:r>
          </w:p>
        </w:tc>
        <w:tc>
          <w:tcPr>
            <w:tcW w:w="12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27,757</w:t>
            </w:r>
          </w:p>
        </w:tc>
        <w:tc>
          <w:tcPr>
            <w:tcW w:w="11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37"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25,511</w:t>
            </w:r>
          </w:p>
        </w:tc>
        <w:tc>
          <w:tcPr>
            <w:tcW w:w="297"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t>The accompanying notes are an integral part of these condensed consolidated financial statements.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w:t>
      </w:r>
      <w:r>
        <w:br w:type="page"/>
      </w:r>
    </w:p>
    <w:p>
      <w:pPr>
        <w:pStyle w:val="TextBody"/>
        <w:spacing w:lineRule="auto" w:line="288" w:before="0" w:after="0"/>
        <w:rPr/>
      </w:pPr>
      <w:hyperlink w:anchor="s3336AD8A685850CC9B7F2572CB2C0BC3">
        <w:bookmarkStart w:id="7" w:name="sB7CCF52312ED5E37A0B2DAC5CA0F5786"/>
        <w:bookmarkEnd w:id="7"/>
        <w:r>
          <w:rPr>
            <w:rStyle w:val="InternetLink"/>
            <w:rFonts w:ascii="inherit" w:hAnsi="inherit"/>
            <w:sz w:val="17"/>
          </w:rPr>
          <w:t>Table of Contents</w:t>
        </w:r>
      </w:hyperlink>
      <w:r>
        <w:rPr>
          <w:sz w:val="17"/>
        </w:rPr>
        <w:t xml:space="preserve"> </w:t>
      </w:r>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PLAINS ALL AMERICAN PIPELINE, L.P. AND SUBSIDIARIES</w:t>
      </w:r>
    </w:p>
    <w:p>
      <w:pPr>
        <w:pStyle w:val="TextBody"/>
        <w:spacing w:lineRule="auto" w:line="288" w:before="0" w:after="0"/>
        <w:jc w:val="center"/>
        <w:rPr>
          <w:rFonts w:ascii="inherit" w:hAnsi="inherit"/>
          <w:b/>
          <w:sz w:val="17"/>
        </w:rPr>
      </w:pPr>
      <w:r>
        <w:rPr>
          <w:rFonts w:ascii="inherit" w:hAnsi="inherit"/>
          <w:b/>
          <w:sz w:val="17"/>
        </w:rPr>
        <w:t>CONDENSED CONSOLIDATED STATEMENTS OF OPERATIONS</w:t>
      </w:r>
    </w:p>
    <w:p>
      <w:pPr>
        <w:pStyle w:val="TextBody"/>
        <w:spacing w:lineRule="auto" w:line="288" w:before="0" w:after="0"/>
        <w:jc w:val="center"/>
        <w:rPr>
          <w:rFonts w:ascii="inherit" w:hAnsi="inherit"/>
          <w:b/>
          <w:sz w:val="17"/>
        </w:rPr>
      </w:pPr>
      <w:r>
        <w:rPr>
          <w:rFonts w:ascii="inherit" w:hAnsi="inherit"/>
          <w:b/>
          <w:sz w:val="17"/>
        </w:rPr>
        <w:t>(in millions, except per unit data)</w:t>
      </w:r>
    </w:p>
    <w:tbl>
      <w:tblPr>
        <w:tblW w:w="10205" w:type="dxa"/>
        <w:jc w:val="left"/>
        <w:tblInd w:w="0" w:type="dxa"/>
        <w:tblCellMar>
          <w:top w:w="0" w:type="dxa"/>
          <w:left w:w="0" w:type="dxa"/>
          <w:bottom w:w="0" w:type="dxa"/>
          <w:right w:w="0" w:type="dxa"/>
        </w:tblCellMar>
      </w:tblPr>
      <w:tblGrid>
        <w:gridCol w:w="6663"/>
        <w:gridCol w:w="125"/>
        <w:gridCol w:w="490"/>
        <w:gridCol w:w="110"/>
        <w:gridCol w:w="90"/>
        <w:gridCol w:w="125"/>
        <w:gridCol w:w="490"/>
        <w:gridCol w:w="110"/>
        <w:gridCol w:w="90"/>
        <w:gridCol w:w="125"/>
        <w:gridCol w:w="590"/>
        <w:gridCol w:w="110"/>
        <w:gridCol w:w="90"/>
        <w:gridCol w:w="125"/>
        <w:gridCol w:w="590"/>
        <w:gridCol w:w="282"/>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666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9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663" w:type="dxa"/>
            <w:tcBorders/>
            <w:shd w:fill="auto" w:val="clear"/>
            <w:vAlign w:val="center"/>
          </w:tcPr>
          <w:p>
            <w:pPr>
              <w:pStyle w:val="TableContents"/>
              <w:spacing w:before="0" w:after="0"/>
              <w:ind w:left="0" w:right="0" w:firstLine="30"/>
              <w:rPr/>
            </w:pPr>
            <w:r>
              <w:rPr/>
              <w:t> </w:t>
            </w:r>
          </w:p>
        </w:tc>
        <w:tc>
          <w:tcPr>
            <w:tcW w:w="1540"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w:t>
              <w:br/>
              <w:t>June 30,</w:t>
            </w:r>
          </w:p>
        </w:tc>
        <w:tc>
          <w:tcPr>
            <w:tcW w:w="90" w:type="dxa"/>
            <w:tcBorders/>
            <w:shd w:fill="auto" w:val="clear"/>
            <w:vAlign w:val="center"/>
          </w:tcPr>
          <w:p>
            <w:pPr>
              <w:pStyle w:val="TableContents"/>
              <w:spacing w:before="0" w:after="0"/>
              <w:ind w:left="0" w:right="0" w:firstLine="30"/>
              <w:rPr/>
            </w:pPr>
            <w:r>
              <w:rPr/>
              <w:t> </w:t>
            </w:r>
          </w:p>
        </w:tc>
        <w:tc>
          <w:tcPr>
            <w:tcW w:w="1912"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w:t>
              <w:br/>
              <w:t>June 30,</w:t>
            </w:r>
          </w:p>
        </w:tc>
      </w:tr>
      <w:tr>
        <w:trPr/>
        <w:tc>
          <w:tcPr>
            <w:tcW w:w="6663" w:type="dxa"/>
            <w:tcBorders/>
            <w:shd w:fill="auto" w:val="clear"/>
            <w:vAlign w:val="center"/>
          </w:tcPr>
          <w:p>
            <w:pPr>
              <w:pStyle w:val="TableContents"/>
              <w:spacing w:before="0" w:after="0"/>
              <w:ind w:left="0" w:right="0" w:firstLine="30"/>
              <w:jc w:val="left"/>
              <w:rPr/>
            </w:pPr>
            <w:r>
              <w:rPr/>
              <w:t> </w:t>
            </w:r>
          </w:p>
        </w:tc>
        <w:tc>
          <w:tcPr>
            <w:tcW w:w="72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90" w:type="dxa"/>
            <w:tcBorders/>
            <w:shd w:fill="auto" w:val="clear"/>
            <w:vAlign w:val="center"/>
          </w:tcPr>
          <w:p>
            <w:pPr>
              <w:pStyle w:val="TableContents"/>
              <w:spacing w:before="0" w:after="0"/>
              <w:ind w:left="0" w:right="0" w:firstLine="30"/>
              <w:rPr/>
            </w:pPr>
            <w:r>
              <w:rPr/>
              <w:t> </w:t>
            </w:r>
          </w:p>
        </w:tc>
        <w:tc>
          <w:tcPr>
            <w:tcW w:w="72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90" w:type="dxa"/>
            <w:tcBorders/>
            <w:shd w:fill="auto" w:val="clear"/>
            <w:vAlign w:val="center"/>
          </w:tcPr>
          <w:p>
            <w:pPr>
              <w:pStyle w:val="TableContents"/>
              <w:spacing w:before="0" w:after="0"/>
              <w:ind w:left="0" w:right="0" w:firstLine="30"/>
              <w:rPr/>
            </w:pPr>
            <w:r>
              <w:rPr/>
              <w:t> </w:t>
            </w:r>
          </w:p>
        </w:tc>
        <w:tc>
          <w:tcPr>
            <w:tcW w:w="99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r>
      <w:tr>
        <w:trPr/>
        <w:tc>
          <w:tcPr>
            <w:tcW w:w="6663" w:type="dxa"/>
            <w:tcBorders/>
            <w:shd w:fill="auto" w:val="clear"/>
            <w:vAlign w:val="center"/>
          </w:tcPr>
          <w:p>
            <w:pPr>
              <w:pStyle w:val="TableContents"/>
              <w:spacing w:before="0" w:after="0"/>
              <w:ind w:left="0" w:right="0" w:firstLine="30"/>
              <w:jc w:val="left"/>
              <w:rPr/>
            </w:pPr>
            <w:r>
              <w:rPr/>
              <w:t> </w:t>
            </w:r>
          </w:p>
        </w:tc>
        <w:tc>
          <w:tcPr>
            <w:tcW w:w="1540" w:type="dxa"/>
            <w:gridSpan w:val="7"/>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(unaudited)</w:t>
            </w:r>
          </w:p>
        </w:tc>
        <w:tc>
          <w:tcPr>
            <w:tcW w:w="90" w:type="dxa"/>
            <w:tcBorders/>
            <w:shd w:fill="auto" w:val="clear"/>
            <w:vAlign w:val="center"/>
          </w:tcPr>
          <w:p>
            <w:pPr>
              <w:pStyle w:val="TableContents"/>
              <w:spacing w:before="0" w:after="0"/>
              <w:ind w:left="0" w:right="0" w:firstLine="30"/>
              <w:rPr/>
            </w:pPr>
            <w:r>
              <w:rPr/>
              <w:t> </w:t>
            </w:r>
          </w:p>
        </w:tc>
        <w:tc>
          <w:tcPr>
            <w:tcW w:w="1912" w:type="dxa"/>
            <w:gridSpan w:val="7"/>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(unaudited)</w:t>
            </w:r>
          </w:p>
        </w:tc>
      </w:tr>
      <w:tr>
        <w:trPr/>
        <w:tc>
          <w:tcPr>
            <w:tcW w:w="6663" w:type="dxa"/>
            <w:tcBorders/>
            <w:shd w:fill="CCEEFF" w:val="clear"/>
            <w:vAlign w:val="center"/>
          </w:tcPr>
          <w:p>
            <w:pPr>
              <w:pStyle w:val="TableContents"/>
              <w:spacing w:before="0" w:after="0"/>
              <w:ind w:left="0" w:right="0" w:firstLine="30"/>
              <w:rPr>
                <w:rFonts w:ascii="inherit" w:hAnsi="inherit"/>
                <w:b/>
                <w:sz w:val="17"/>
              </w:rPr>
            </w:pPr>
            <w:r>
              <w:rPr>
                <w:rFonts w:ascii="inherit" w:hAnsi="inherit"/>
                <w:b/>
                <w:sz w:val="17"/>
              </w:rPr>
              <w:t>REVENUES</w:t>
            </w:r>
          </w:p>
        </w:tc>
        <w:tc>
          <w:tcPr>
            <w:tcW w:w="615" w:type="dxa"/>
            <w:gridSpan w:val="2"/>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5" w:type="dxa"/>
            <w:gridSpan w:val="2"/>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pPr>
            <w:r>
              <w:rPr/>
              <w:t> </w:t>
            </w:r>
          </w:p>
        </w:tc>
        <w:tc>
          <w:tcPr>
            <w:tcW w:w="2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6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Supply and Logistics segment revenues</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90" w:type="dxa"/>
            <w:tcBorders/>
            <w:shd w:fill="auto" w:val="clear"/>
            <w:vAlign w:val="center"/>
          </w:tcPr>
          <w:p>
            <w:pPr>
              <w:pStyle w:val="TableContents"/>
              <w:spacing w:before="0" w:after="0"/>
              <w:jc w:val="right"/>
              <w:rPr>
                <w:rFonts w:ascii="inherit" w:hAnsi="inherit"/>
                <w:sz w:val="17"/>
              </w:rPr>
            </w:pPr>
            <w:r>
              <w:rPr>
                <w:rFonts w:ascii="inherit" w:hAnsi="inherit"/>
                <w:sz w:val="17"/>
              </w:rPr>
              <w:t>7,914</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90" w:type="dxa"/>
            <w:tcBorders/>
            <w:shd w:fill="auto" w:val="clear"/>
            <w:vAlign w:val="center"/>
          </w:tcPr>
          <w:p>
            <w:pPr>
              <w:pStyle w:val="TableContents"/>
              <w:spacing w:before="0" w:after="0"/>
              <w:jc w:val="right"/>
              <w:rPr>
                <w:rFonts w:ascii="inherit" w:hAnsi="inherit"/>
                <w:sz w:val="17"/>
              </w:rPr>
            </w:pPr>
            <w:r>
              <w:rPr>
                <w:rFonts w:ascii="inherit" w:hAnsi="inherit"/>
                <w:sz w:val="17"/>
              </w:rPr>
              <w:t>7,781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15,936</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15,892</w:t>
            </w:r>
          </w:p>
        </w:tc>
        <w:tc>
          <w:tcPr>
            <w:tcW w:w="2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6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Transportation segment revenues</w:t>
            </w:r>
          </w:p>
        </w:tc>
        <w:tc>
          <w:tcPr>
            <w:tcW w:w="6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188</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152</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385</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298</w:t>
            </w:r>
          </w:p>
        </w:tc>
        <w:tc>
          <w:tcPr>
            <w:tcW w:w="2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6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Facilities segment revenues</w:t>
            </w:r>
          </w:p>
        </w:tc>
        <w:tc>
          <w:tcPr>
            <w:tcW w:w="6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151</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147</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307</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288</w:t>
            </w:r>
          </w:p>
        </w:tc>
        <w:tc>
          <w:tcPr>
            <w:tcW w:w="282" w:type="dxa"/>
            <w:tcBorders>
              <w:bottom w:val="single" w:sz="2" w:space="0" w:color="000000"/>
            </w:tcBorders>
            <w:shd w:fill="auto"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6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6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8,253</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8,080</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16,628</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16,478</w:t>
            </w:r>
          </w:p>
        </w:tc>
        <w:tc>
          <w:tcPr>
            <w:tcW w:w="2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663" w:type="dxa"/>
            <w:tcBorders/>
            <w:shd w:fill="auto" w:val="clear"/>
            <w:vAlign w:val="center"/>
          </w:tcPr>
          <w:p>
            <w:pPr>
              <w:pStyle w:val="TableContents"/>
              <w:spacing w:before="0" w:after="0"/>
              <w:ind w:left="0" w:right="0" w:firstLine="30"/>
              <w:rPr/>
            </w:pPr>
            <w:r>
              <w:rPr/>
              <w:t> </w:t>
            </w:r>
          </w:p>
        </w:tc>
        <w:tc>
          <w:tcPr>
            <w:tcW w:w="7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97" w:type="dxa"/>
            <w:gridSpan w:val="3"/>
            <w:tcBorders/>
            <w:shd w:fill="auto" w:val="clear"/>
            <w:vAlign w:val="center"/>
          </w:tcPr>
          <w:p>
            <w:pPr>
              <w:pStyle w:val="TableContents"/>
              <w:spacing w:before="0" w:after="0"/>
              <w:ind w:left="0" w:right="0" w:firstLine="30"/>
              <w:rPr/>
            </w:pPr>
            <w:r>
              <w:rPr/>
              <w:t> </w:t>
            </w:r>
          </w:p>
        </w:tc>
      </w:tr>
      <w:tr>
        <w:trPr/>
        <w:tc>
          <w:tcPr>
            <w:tcW w:w="6663" w:type="dxa"/>
            <w:tcBorders/>
            <w:shd w:fill="CCEEFF" w:val="clear"/>
            <w:vAlign w:val="center"/>
          </w:tcPr>
          <w:p>
            <w:pPr>
              <w:pStyle w:val="TableContents"/>
              <w:spacing w:before="0" w:after="0"/>
              <w:ind w:left="0" w:right="0" w:firstLine="30"/>
              <w:rPr>
                <w:rFonts w:ascii="inherit" w:hAnsi="inherit"/>
                <w:b/>
                <w:sz w:val="17"/>
              </w:rPr>
            </w:pPr>
            <w:r>
              <w:rPr>
                <w:rFonts w:ascii="inherit" w:hAnsi="inherit"/>
                <w:b/>
                <w:sz w:val="17"/>
              </w:rPr>
              <w:t>COSTS AND EXPENSES</w:t>
            </w:r>
          </w:p>
        </w:tc>
        <w:tc>
          <w:tcPr>
            <w:tcW w:w="615" w:type="dxa"/>
            <w:gridSpan w:val="2"/>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5" w:type="dxa"/>
            <w:gridSpan w:val="2"/>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pPr>
            <w:r>
              <w:rPr/>
              <w:t> </w:t>
            </w:r>
          </w:p>
        </w:tc>
        <w:tc>
          <w:tcPr>
            <w:tcW w:w="2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6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Purchases and related costs</w:t>
            </w:r>
          </w:p>
        </w:tc>
        <w:tc>
          <w:tcPr>
            <w:tcW w:w="6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7,244</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7,551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14,362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15,070</w:t>
            </w:r>
          </w:p>
        </w:tc>
        <w:tc>
          <w:tcPr>
            <w:tcW w:w="2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6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Field operating costs</w:t>
            </w:r>
          </w:p>
        </w:tc>
        <w:tc>
          <w:tcPr>
            <w:tcW w:w="6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340</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312</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667</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605</w:t>
            </w:r>
          </w:p>
        </w:tc>
        <w:tc>
          <w:tcPr>
            <w:tcW w:w="2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6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General and administrative expenses</w:t>
            </w:r>
          </w:p>
        </w:tc>
        <w:tc>
          <w:tcPr>
            <w:tcW w:w="6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75</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159</w:t>
            </w:r>
          </w:p>
        </w:tc>
        <w:tc>
          <w:tcPr>
            <w:tcW w:w="2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6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6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147</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130</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283</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256</w:t>
            </w:r>
          </w:p>
        </w:tc>
        <w:tc>
          <w:tcPr>
            <w:tcW w:w="2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6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(Gains)/losses on asset sales and asset impairments, net</w:t>
            </w:r>
          </w:p>
        </w:tc>
        <w:tc>
          <w:tcPr>
            <w:tcW w:w="6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w:t>
            </w:r>
          </w:p>
        </w:tc>
        <w:tc>
          <w:tcPr>
            <w:tcW w:w="11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6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(81</w:t>
            </w:r>
          </w:p>
        </w:tc>
        <w:tc>
          <w:tcPr>
            <w:tcW w:w="11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(81</w:t>
            </w:r>
          </w:p>
        </w:tc>
        <w:tc>
          <w:tcPr>
            <w:tcW w:w="282" w:type="dxa"/>
            <w:tcBorders>
              <w:bottom w:val="single" w:sz="2" w:space="0" w:color="000000"/>
            </w:tcBorders>
            <w:shd w:fill="auto" w:val="clear"/>
            <w:tcMar>
              <w:bottom w:w="30" w:type="dxa"/>
            </w:tcM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66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costs and expenses</w:t>
            </w:r>
          </w:p>
        </w:tc>
        <w:tc>
          <w:tcPr>
            <w:tcW w:w="6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7,802</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7,992</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15,463</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16,009</w:t>
            </w:r>
          </w:p>
        </w:tc>
        <w:tc>
          <w:tcPr>
            <w:tcW w:w="2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663" w:type="dxa"/>
            <w:tcBorders/>
            <w:shd w:fill="auto" w:val="clear"/>
            <w:vAlign w:val="center"/>
          </w:tcPr>
          <w:p>
            <w:pPr>
              <w:pStyle w:val="TableContents"/>
              <w:spacing w:before="0" w:after="0"/>
              <w:ind w:left="0" w:right="0" w:firstLine="30"/>
              <w:rPr/>
            </w:pPr>
            <w:r>
              <w:rPr/>
              <w:t> </w:t>
            </w:r>
          </w:p>
        </w:tc>
        <w:tc>
          <w:tcPr>
            <w:tcW w:w="7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97" w:type="dxa"/>
            <w:gridSpan w:val="3"/>
            <w:tcBorders/>
            <w:shd w:fill="auto" w:val="clear"/>
            <w:vAlign w:val="center"/>
          </w:tcPr>
          <w:p>
            <w:pPr>
              <w:pStyle w:val="TableContents"/>
              <w:spacing w:before="0" w:after="0"/>
              <w:ind w:left="0" w:right="0" w:firstLine="30"/>
              <w:rPr/>
            </w:pPr>
            <w:r>
              <w:rPr/>
              <w:t> </w:t>
            </w:r>
          </w:p>
        </w:tc>
      </w:tr>
      <w:tr>
        <w:trPr/>
        <w:tc>
          <w:tcPr>
            <w:tcW w:w="6663" w:type="dxa"/>
            <w:tcBorders/>
            <w:shd w:fill="CCEEFF" w:val="clear"/>
            <w:vAlign w:val="center"/>
          </w:tcPr>
          <w:p>
            <w:pPr>
              <w:pStyle w:val="TableContents"/>
              <w:spacing w:before="0" w:after="0"/>
              <w:ind w:left="0" w:right="0" w:firstLine="30"/>
              <w:rPr>
                <w:rFonts w:ascii="inherit" w:hAnsi="inherit"/>
                <w:b/>
                <w:sz w:val="17"/>
              </w:rPr>
            </w:pPr>
            <w:r>
              <w:rPr>
                <w:rFonts w:ascii="inherit" w:hAnsi="inherit"/>
                <w:b/>
                <w:sz w:val="17"/>
              </w:rPr>
              <w:t>OPERATING INCOME</w:t>
            </w:r>
          </w:p>
        </w:tc>
        <w:tc>
          <w:tcPr>
            <w:tcW w:w="6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451</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88</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1,165</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469</w:t>
            </w:r>
          </w:p>
        </w:tc>
        <w:tc>
          <w:tcPr>
            <w:tcW w:w="2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663" w:type="dxa"/>
            <w:tcBorders/>
            <w:shd w:fill="auto" w:val="clear"/>
            <w:vAlign w:val="center"/>
          </w:tcPr>
          <w:p>
            <w:pPr>
              <w:pStyle w:val="TableContents"/>
              <w:spacing w:before="0" w:after="0"/>
              <w:ind w:left="0" w:right="0" w:firstLine="30"/>
              <w:rPr/>
            </w:pPr>
            <w:r>
              <w:rPr/>
              <w:t> </w:t>
            </w:r>
          </w:p>
        </w:tc>
        <w:tc>
          <w:tcPr>
            <w:tcW w:w="7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97" w:type="dxa"/>
            <w:gridSpan w:val="3"/>
            <w:tcBorders/>
            <w:shd w:fill="auto" w:val="clear"/>
            <w:vAlign w:val="center"/>
          </w:tcPr>
          <w:p>
            <w:pPr>
              <w:pStyle w:val="TableContents"/>
              <w:spacing w:before="0" w:after="0"/>
              <w:ind w:left="0" w:right="0" w:firstLine="30"/>
              <w:rPr/>
            </w:pPr>
            <w:r>
              <w:rPr/>
              <w:t> </w:t>
            </w:r>
          </w:p>
        </w:tc>
      </w:tr>
      <w:tr>
        <w:trPr/>
        <w:tc>
          <w:tcPr>
            <w:tcW w:w="6663" w:type="dxa"/>
            <w:tcBorders/>
            <w:shd w:fill="CCEEFF" w:val="clear"/>
            <w:vAlign w:val="center"/>
          </w:tcPr>
          <w:p>
            <w:pPr>
              <w:pStyle w:val="TableContents"/>
              <w:spacing w:before="0" w:after="0"/>
              <w:ind w:left="0" w:right="0" w:firstLine="30"/>
              <w:rPr>
                <w:rFonts w:ascii="inherit" w:hAnsi="inherit"/>
                <w:b/>
                <w:sz w:val="17"/>
              </w:rPr>
            </w:pPr>
            <w:r>
              <w:rPr>
                <w:rFonts w:ascii="inherit" w:hAnsi="inherit"/>
                <w:b/>
                <w:sz w:val="17"/>
              </w:rPr>
              <w:t>OTHER INCOME/(EXPENSE)</w:t>
            </w:r>
          </w:p>
        </w:tc>
        <w:tc>
          <w:tcPr>
            <w:tcW w:w="615" w:type="dxa"/>
            <w:gridSpan w:val="2"/>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5" w:type="dxa"/>
            <w:gridSpan w:val="2"/>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pPr>
            <w:r>
              <w:rPr/>
              <w:t> </w:t>
            </w:r>
          </w:p>
        </w:tc>
        <w:tc>
          <w:tcPr>
            <w:tcW w:w="2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6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Equity earnings in unconsolidated entities</w:t>
            </w:r>
          </w:p>
        </w:tc>
        <w:tc>
          <w:tcPr>
            <w:tcW w:w="6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83</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96</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171</w:t>
            </w:r>
          </w:p>
        </w:tc>
        <w:tc>
          <w:tcPr>
            <w:tcW w:w="2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6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Gain on investment in unconsolidated entities (Note 7)</w:t>
            </w:r>
          </w:p>
        </w:tc>
        <w:tc>
          <w:tcPr>
            <w:tcW w:w="615" w:type="dxa"/>
            <w:gridSpan w:val="2"/>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5" w:type="dxa"/>
            <w:gridSpan w:val="2"/>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267</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pPr>
            <w:r>
              <w:rPr/>
              <w:t>—</w:t>
            </w:r>
          </w:p>
        </w:tc>
        <w:tc>
          <w:tcPr>
            <w:tcW w:w="2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6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 (net of capitalized interest of $11, $7, $22 and $13, respectively)</w:t>
            </w:r>
          </w:p>
        </w:tc>
        <w:tc>
          <w:tcPr>
            <w:tcW w:w="6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(103</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6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(203</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(217</w:t>
            </w:r>
          </w:p>
        </w:tc>
        <w:tc>
          <w:tcPr>
            <w:tcW w:w="2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6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income/(expense), net</w:t>
            </w:r>
          </w:p>
        </w:tc>
        <w:tc>
          <w:tcPr>
            <w:tcW w:w="6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w:t>
            </w:r>
          </w:p>
        </w:tc>
        <w:tc>
          <w:tcPr>
            <w:tcW w:w="11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6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w:t>
            </w:r>
          </w:p>
        </w:tc>
        <w:tc>
          <w:tcPr>
            <w:tcW w:w="11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18</w:t>
            </w:r>
          </w:p>
        </w:tc>
        <w:tc>
          <w:tcPr>
            <w:tcW w:w="11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w:t>
            </w:r>
          </w:p>
        </w:tc>
        <w:tc>
          <w:tcPr>
            <w:tcW w:w="28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663" w:type="dxa"/>
            <w:tcBorders/>
            <w:shd w:fill="auto" w:val="clear"/>
            <w:vAlign w:val="center"/>
          </w:tcPr>
          <w:p>
            <w:pPr>
              <w:pStyle w:val="TableContents"/>
              <w:spacing w:before="0" w:after="0"/>
              <w:ind w:left="0" w:right="0" w:firstLine="30"/>
              <w:rPr/>
            </w:pPr>
            <w:r>
              <w:rPr/>
              <w:t> </w:t>
            </w:r>
          </w:p>
        </w:tc>
        <w:tc>
          <w:tcPr>
            <w:tcW w:w="7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97" w:type="dxa"/>
            <w:gridSpan w:val="3"/>
            <w:tcBorders/>
            <w:shd w:fill="auto" w:val="clear"/>
            <w:vAlign w:val="center"/>
          </w:tcPr>
          <w:p>
            <w:pPr>
              <w:pStyle w:val="TableContents"/>
              <w:spacing w:before="0" w:after="0"/>
              <w:ind w:left="0" w:right="0" w:firstLine="30"/>
              <w:rPr/>
            </w:pPr>
            <w:r>
              <w:rPr/>
              <w:t> </w:t>
            </w:r>
          </w:p>
        </w:tc>
      </w:tr>
      <w:tr>
        <w:trPr/>
        <w:tc>
          <w:tcPr>
            <w:tcW w:w="6663" w:type="dxa"/>
            <w:tcBorders/>
            <w:shd w:fill="CCEEFF" w:val="clear"/>
            <w:vAlign w:val="center"/>
          </w:tcPr>
          <w:p>
            <w:pPr>
              <w:pStyle w:val="TableContents"/>
              <w:spacing w:before="0" w:after="0"/>
              <w:ind w:left="0" w:right="0" w:firstLine="30"/>
              <w:rPr>
                <w:rFonts w:ascii="inherit" w:hAnsi="inherit"/>
                <w:b/>
                <w:sz w:val="17"/>
              </w:rPr>
            </w:pPr>
            <w:r>
              <w:rPr>
                <w:rFonts w:ascii="inherit" w:hAnsi="inherit"/>
                <w:b/>
                <w:sz w:val="17"/>
              </w:rPr>
              <w:t>INCOME BEFORE TAX</w:t>
            </w:r>
          </w:p>
        </w:tc>
        <w:tc>
          <w:tcPr>
            <w:tcW w:w="6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425</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84</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1,419</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433</w:t>
            </w:r>
          </w:p>
        </w:tc>
        <w:tc>
          <w:tcPr>
            <w:tcW w:w="2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6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Current income tax expense</w:t>
            </w:r>
          </w:p>
        </w:tc>
        <w:tc>
          <w:tcPr>
            <w:tcW w:w="6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6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(53</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w:t>
            </w:r>
          </w:p>
        </w:tc>
        <w:tc>
          <w:tcPr>
            <w:tcW w:w="2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6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Deferred income tax (expense)/benefit</w:t>
            </w:r>
          </w:p>
        </w:tc>
        <w:tc>
          <w:tcPr>
            <w:tcW w:w="6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47</w:t>
            </w:r>
          </w:p>
        </w:tc>
        <w:tc>
          <w:tcPr>
            <w:tcW w:w="11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23</w:t>
            </w:r>
          </w:p>
        </w:tc>
        <w:tc>
          <w:tcPr>
            <w:tcW w:w="11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52</w:t>
            </w:r>
          </w:p>
        </w:tc>
        <w:tc>
          <w:tcPr>
            <w:tcW w:w="11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(25</w:t>
            </w:r>
          </w:p>
        </w:tc>
        <w:tc>
          <w:tcPr>
            <w:tcW w:w="282"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663" w:type="dxa"/>
            <w:tcBorders/>
            <w:shd w:fill="auto" w:val="clear"/>
            <w:vAlign w:val="center"/>
          </w:tcPr>
          <w:p>
            <w:pPr>
              <w:pStyle w:val="TableContents"/>
              <w:spacing w:before="0" w:after="0"/>
              <w:ind w:left="0" w:right="0" w:firstLine="30"/>
              <w:rPr/>
            </w:pPr>
            <w:r>
              <w:rPr/>
              <w:t> </w:t>
            </w:r>
          </w:p>
        </w:tc>
        <w:tc>
          <w:tcPr>
            <w:tcW w:w="7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97" w:type="dxa"/>
            <w:gridSpan w:val="3"/>
            <w:tcBorders/>
            <w:shd w:fill="auto" w:val="clear"/>
            <w:vAlign w:val="center"/>
          </w:tcPr>
          <w:p>
            <w:pPr>
              <w:pStyle w:val="TableContents"/>
              <w:spacing w:before="0" w:after="0"/>
              <w:ind w:left="0" w:right="0" w:firstLine="30"/>
              <w:rPr/>
            </w:pPr>
            <w:r>
              <w:rPr/>
              <w:t> </w:t>
            </w:r>
          </w:p>
        </w:tc>
      </w:tr>
      <w:tr>
        <w:trPr/>
        <w:tc>
          <w:tcPr>
            <w:tcW w:w="6663"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NET INCOME</w:t>
            </w:r>
          </w:p>
        </w:tc>
        <w:tc>
          <w:tcPr>
            <w:tcW w:w="6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448</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100</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1,418</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388</w:t>
            </w:r>
          </w:p>
        </w:tc>
        <w:tc>
          <w:tcPr>
            <w:tcW w:w="282"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6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noncontrolling interests</w:t>
            </w:r>
          </w:p>
        </w:tc>
        <w:tc>
          <w:tcPr>
            <w:tcW w:w="6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w:t>
            </w:r>
          </w:p>
        </w:tc>
        <w:tc>
          <w:tcPr>
            <w:tcW w:w="11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615"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w:t>
            </w:r>
          </w:p>
        </w:tc>
        <w:tc>
          <w:tcPr>
            <w:tcW w:w="11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28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663"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NET INCOME ATTRIBUTABLE TO PAA</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9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446</w:t>
            </w:r>
          </w:p>
        </w:tc>
        <w:tc>
          <w:tcPr>
            <w:tcW w:w="11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9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100</w:t>
            </w:r>
          </w:p>
        </w:tc>
        <w:tc>
          <w:tcPr>
            <w:tcW w:w="11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1,416</w:t>
            </w:r>
          </w:p>
        </w:tc>
        <w:tc>
          <w:tcPr>
            <w:tcW w:w="11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388</w:t>
            </w:r>
          </w:p>
        </w:tc>
        <w:tc>
          <w:tcPr>
            <w:tcW w:w="282"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663" w:type="dxa"/>
            <w:tcBorders/>
            <w:shd w:fill="auto" w:val="clear"/>
            <w:vAlign w:val="center"/>
          </w:tcPr>
          <w:p>
            <w:pPr>
              <w:pStyle w:val="TableContents"/>
              <w:spacing w:before="0" w:after="0"/>
              <w:ind w:left="0" w:right="0" w:firstLine="30"/>
              <w:rPr/>
            </w:pPr>
            <w:r>
              <w:rPr/>
              <w:t> </w:t>
            </w:r>
          </w:p>
        </w:tc>
        <w:tc>
          <w:tcPr>
            <w:tcW w:w="7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97" w:type="dxa"/>
            <w:gridSpan w:val="3"/>
            <w:tcBorders/>
            <w:shd w:fill="auto" w:val="clear"/>
            <w:vAlign w:val="center"/>
          </w:tcPr>
          <w:p>
            <w:pPr>
              <w:pStyle w:val="TableContents"/>
              <w:spacing w:before="0" w:after="0"/>
              <w:ind w:left="0" w:right="0" w:firstLine="30"/>
              <w:rPr/>
            </w:pPr>
            <w:r>
              <w:rPr/>
              <w:t> </w:t>
            </w:r>
          </w:p>
        </w:tc>
      </w:tr>
      <w:tr>
        <w:trPr/>
        <w:tc>
          <w:tcPr>
            <w:tcW w:w="6663" w:type="dxa"/>
            <w:tcBorders/>
            <w:shd w:fill="CCEEFF" w:val="clear"/>
            <w:vAlign w:val="center"/>
          </w:tcPr>
          <w:p>
            <w:pPr>
              <w:pStyle w:val="TableContents"/>
              <w:spacing w:before="0" w:after="0"/>
              <w:ind w:left="0" w:right="0" w:firstLine="30"/>
              <w:rPr>
                <w:rFonts w:ascii="inherit" w:hAnsi="inherit"/>
                <w:b/>
                <w:sz w:val="17"/>
              </w:rPr>
            </w:pPr>
            <w:r>
              <w:rPr>
                <w:rFonts w:ascii="inherit" w:hAnsi="inherit"/>
                <w:b/>
                <w:sz w:val="17"/>
              </w:rPr>
              <w:t>NET INCOME PER COMMON UNIT (NOTE 4):</w:t>
            </w:r>
          </w:p>
        </w:tc>
        <w:tc>
          <w:tcPr>
            <w:tcW w:w="615" w:type="dxa"/>
            <w:gridSpan w:val="2"/>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5" w:type="dxa"/>
            <w:gridSpan w:val="2"/>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pPr>
            <w:r>
              <w:rPr/>
              <w:t> </w:t>
            </w:r>
          </w:p>
        </w:tc>
        <w:tc>
          <w:tcPr>
            <w:tcW w:w="282"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6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allocated to common unitholders — Basic</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90" w:type="dxa"/>
            <w:tcBorders/>
            <w:shd w:fill="auto" w:val="clear"/>
            <w:vAlign w:val="center"/>
          </w:tcPr>
          <w:p>
            <w:pPr>
              <w:pStyle w:val="TableContents"/>
              <w:spacing w:before="0" w:after="0"/>
              <w:jc w:val="right"/>
              <w:rPr>
                <w:rFonts w:ascii="inherit" w:hAnsi="inherit"/>
                <w:sz w:val="17"/>
              </w:rPr>
            </w:pPr>
            <w:r>
              <w:rPr>
                <w:rFonts w:ascii="inherit" w:hAnsi="inherit"/>
                <w:sz w:val="17"/>
              </w:rPr>
              <w:t>395</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90" w:type="dxa"/>
            <w:tcBorders/>
            <w:shd w:fill="auto" w:val="clear"/>
            <w:vAlign w:val="center"/>
          </w:tcPr>
          <w:p>
            <w:pPr>
              <w:pStyle w:val="TableContents"/>
              <w:spacing w:before="0" w:after="0"/>
              <w:jc w:val="right"/>
              <w:rPr>
                <w:rFonts w:ascii="inherit" w:hAnsi="inherit"/>
                <w:sz w:val="17"/>
              </w:rPr>
            </w:pPr>
            <w:r>
              <w:rPr>
                <w:rFonts w:ascii="inherit" w:hAnsi="inherit"/>
                <w:sz w:val="17"/>
              </w:rPr>
              <w:t>50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1,311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286</w:t>
            </w:r>
          </w:p>
        </w:tc>
        <w:tc>
          <w:tcPr>
            <w:tcW w:w="282"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6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Basic weighted average common units outstanding</w:t>
            </w:r>
          </w:p>
        </w:tc>
        <w:tc>
          <w:tcPr>
            <w:tcW w:w="6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727</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725</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727</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725</w:t>
            </w:r>
          </w:p>
        </w:tc>
        <w:tc>
          <w:tcPr>
            <w:tcW w:w="282"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6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Basic net income per common unit</w:t>
            </w:r>
          </w:p>
        </w:tc>
        <w:tc>
          <w:tcPr>
            <w:tcW w:w="12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9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0.54</w:t>
            </w:r>
          </w:p>
        </w:tc>
        <w:tc>
          <w:tcPr>
            <w:tcW w:w="11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9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0.07</w:t>
            </w:r>
          </w:p>
        </w:tc>
        <w:tc>
          <w:tcPr>
            <w:tcW w:w="11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1.80</w:t>
            </w:r>
          </w:p>
        </w:tc>
        <w:tc>
          <w:tcPr>
            <w:tcW w:w="11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0.39</w:t>
            </w:r>
          </w:p>
        </w:tc>
        <w:tc>
          <w:tcPr>
            <w:tcW w:w="282"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663" w:type="dxa"/>
            <w:tcBorders/>
            <w:shd w:fill="CCEEFF" w:val="clear"/>
            <w:vAlign w:val="center"/>
          </w:tcPr>
          <w:p>
            <w:pPr>
              <w:pStyle w:val="TableContents"/>
              <w:spacing w:before="0" w:after="0"/>
              <w:ind w:left="0" w:right="0" w:firstLine="30"/>
              <w:rPr/>
            </w:pPr>
            <w:r>
              <w:rPr/>
              <w:t> </w:t>
            </w:r>
          </w:p>
        </w:tc>
        <w:tc>
          <w:tcPr>
            <w:tcW w:w="72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2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2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97" w:type="dxa"/>
            <w:gridSpan w:val="3"/>
            <w:tcBorders/>
            <w:shd w:fill="CCEEFF" w:val="clear"/>
            <w:vAlign w:val="center"/>
          </w:tcPr>
          <w:p>
            <w:pPr>
              <w:pStyle w:val="TableContents"/>
              <w:spacing w:before="0" w:after="0"/>
              <w:ind w:left="0" w:right="0" w:firstLine="180"/>
              <w:rPr/>
            </w:pPr>
            <w:r>
              <w:rPr/>
              <w:t> </w:t>
            </w:r>
          </w:p>
        </w:tc>
      </w:tr>
      <w:tr>
        <w:trPr/>
        <w:tc>
          <w:tcPr>
            <w:tcW w:w="66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allocated to common unitholders — Diluted</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90" w:type="dxa"/>
            <w:tcBorders/>
            <w:shd w:fill="auto" w:val="clear"/>
            <w:vAlign w:val="center"/>
          </w:tcPr>
          <w:p>
            <w:pPr>
              <w:pStyle w:val="TableContents"/>
              <w:spacing w:before="0" w:after="0"/>
              <w:jc w:val="right"/>
              <w:rPr>
                <w:rFonts w:ascii="inherit" w:hAnsi="inherit"/>
                <w:sz w:val="17"/>
              </w:rPr>
            </w:pPr>
            <w:r>
              <w:rPr>
                <w:rFonts w:ascii="inherit" w:hAnsi="inherit"/>
                <w:sz w:val="17"/>
              </w:rPr>
              <w:t>433</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90" w:type="dxa"/>
            <w:tcBorders/>
            <w:shd w:fill="auto" w:val="clear"/>
            <w:vAlign w:val="center"/>
          </w:tcPr>
          <w:p>
            <w:pPr>
              <w:pStyle w:val="TableContents"/>
              <w:spacing w:before="0" w:after="0"/>
              <w:jc w:val="right"/>
              <w:rPr>
                <w:rFonts w:ascii="inherit" w:hAnsi="inherit"/>
                <w:sz w:val="17"/>
              </w:rPr>
            </w:pPr>
            <w:r>
              <w:rPr>
                <w:rFonts w:ascii="inherit" w:hAnsi="inherit"/>
                <w:sz w:val="17"/>
              </w:rPr>
              <w:t>50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1,389</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286</w:t>
            </w:r>
          </w:p>
        </w:tc>
        <w:tc>
          <w:tcPr>
            <w:tcW w:w="282"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6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Diluted weighted average common units outstanding</w:t>
            </w:r>
          </w:p>
        </w:tc>
        <w:tc>
          <w:tcPr>
            <w:tcW w:w="6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800</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727</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800</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727</w:t>
            </w:r>
          </w:p>
        </w:tc>
        <w:tc>
          <w:tcPr>
            <w:tcW w:w="282"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6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Diluted net income per common unit</w:t>
            </w:r>
          </w:p>
        </w:tc>
        <w:tc>
          <w:tcPr>
            <w:tcW w:w="12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9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0.54</w:t>
            </w:r>
          </w:p>
        </w:tc>
        <w:tc>
          <w:tcPr>
            <w:tcW w:w="11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9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0.07</w:t>
            </w:r>
          </w:p>
        </w:tc>
        <w:tc>
          <w:tcPr>
            <w:tcW w:w="11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1.74</w:t>
            </w:r>
          </w:p>
        </w:tc>
        <w:tc>
          <w:tcPr>
            <w:tcW w:w="11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0.39</w:t>
            </w:r>
          </w:p>
        </w:tc>
        <w:tc>
          <w:tcPr>
            <w:tcW w:w="282"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pPr>
      <w:r>
        <w:rPr/>
        <w:t> </w:t>
      </w:r>
    </w:p>
    <w:p>
      <w:pPr>
        <w:pStyle w:val="TextBody"/>
        <w:spacing w:lineRule="auto" w:line="288" w:before="0" w:after="0"/>
        <w:jc w:val="center"/>
        <w:rPr>
          <w:rFonts w:ascii="inherit" w:hAnsi="inherit"/>
          <w:sz w:val="17"/>
        </w:rPr>
      </w:pPr>
      <w:r>
        <w:rPr>
          <w:rFonts w:ascii="inherit" w:hAnsi="inherit"/>
          <w:sz w:val="17"/>
        </w:rPr>
        <w:t>The accompanying notes are an integral part of these condensed consolidated financial statements.</w:t>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w:t>
      </w:r>
      <w:r>
        <w:br w:type="page"/>
      </w:r>
    </w:p>
    <w:p>
      <w:pPr>
        <w:pStyle w:val="TextBody"/>
        <w:spacing w:lineRule="auto" w:line="288" w:before="0" w:after="0"/>
        <w:rPr/>
      </w:pPr>
      <w:hyperlink w:anchor="s3336AD8A685850CC9B7F2572CB2C0BC3">
        <w:bookmarkStart w:id="8" w:name="s42012FCDBD2458DB9F14FF2A305C2A9A"/>
        <w:bookmarkEnd w:id="8"/>
        <w:r>
          <w:rPr>
            <w:rStyle w:val="InternetLink"/>
            <w:rFonts w:ascii="inherit" w:hAnsi="inherit"/>
            <w:sz w:val="17"/>
          </w:rPr>
          <w:t>Table of Contents</w:t>
        </w:r>
      </w:hyperlink>
      <w:r>
        <w:rPr>
          <w:sz w:val="17"/>
        </w:rPr>
        <w:t xml:space="preserve"> </w:t>
      </w:r>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PLAINS ALL AMERICAN PIPELINE, L.P. AND SUBSIDIARIES</w:t>
      </w:r>
    </w:p>
    <w:p>
      <w:pPr>
        <w:pStyle w:val="TextBody"/>
        <w:spacing w:lineRule="auto" w:line="288" w:before="0" w:after="0"/>
        <w:jc w:val="center"/>
        <w:rPr>
          <w:rFonts w:ascii="inherit" w:hAnsi="inherit"/>
          <w:b/>
          <w:sz w:val="17"/>
        </w:rPr>
      </w:pPr>
      <w:r>
        <w:rPr>
          <w:rFonts w:ascii="inherit" w:hAnsi="inherit"/>
          <w:b/>
          <w:sz w:val="17"/>
        </w:rPr>
        <w:t>CONDENSED CONSOLIDATED STATEMENTS OF COMPREHENSIVE INCOME</w:t>
      </w:r>
    </w:p>
    <w:p>
      <w:pPr>
        <w:pStyle w:val="TextBody"/>
        <w:spacing w:lineRule="auto" w:line="288" w:before="0" w:after="0"/>
        <w:jc w:val="center"/>
        <w:rPr>
          <w:rFonts w:ascii="inherit" w:hAnsi="inherit"/>
          <w:b/>
          <w:sz w:val="17"/>
        </w:rPr>
      </w:pPr>
      <w:r>
        <w:rPr>
          <w:rFonts w:ascii="inherit" w:hAnsi="inherit"/>
          <w:b/>
          <w:sz w:val="17"/>
        </w:rPr>
        <w:t>(in millions)</w:t>
      </w:r>
    </w:p>
    <w:p>
      <w:pPr>
        <w:pStyle w:val="TextBody"/>
        <w:spacing w:lineRule="auto" w:line="288" w:before="0" w:after="0"/>
        <w:rPr/>
      </w:pPr>
      <w:r>
        <w:rPr/>
        <w:t> </w:t>
      </w:r>
    </w:p>
    <w:tbl>
      <w:tblPr>
        <w:tblW w:w="8417" w:type="dxa"/>
        <w:jc w:val="left"/>
        <w:tblInd w:w="0" w:type="dxa"/>
        <w:tblCellMar>
          <w:top w:w="0" w:type="dxa"/>
          <w:left w:w="0" w:type="dxa"/>
          <w:bottom w:w="0" w:type="dxa"/>
          <w:right w:w="0" w:type="dxa"/>
        </w:tblCellMar>
      </w:tblPr>
      <w:tblGrid>
        <w:gridCol w:w="5315"/>
        <w:gridCol w:w="157"/>
        <w:gridCol w:w="422"/>
        <w:gridCol w:w="138"/>
        <w:gridCol w:w="113"/>
        <w:gridCol w:w="157"/>
        <w:gridCol w:w="422"/>
        <w:gridCol w:w="138"/>
        <w:gridCol w:w="90"/>
        <w:gridCol w:w="125"/>
        <w:gridCol w:w="485"/>
        <w:gridCol w:w="110"/>
        <w:gridCol w:w="90"/>
        <w:gridCol w:w="125"/>
        <w:gridCol w:w="335"/>
        <w:gridCol w:w="195"/>
      </w:tblGrid>
      <w:tr>
        <w:trPr/>
        <w:tc>
          <w:tcPr>
            <w:tcW w:w="8417" w:type="dxa"/>
            <w:gridSpan w:val="16"/>
            <w:tcBorders/>
            <w:shd w:fill="auto" w:val="clear"/>
            <w:vAlign w:val="center"/>
          </w:tcPr>
          <w:p>
            <w:pPr>
              <w:pStyle w:val="TableContents"/>
              <w:spacing w:before="0" w:after="283"/>
              <w:rPr>
                <w:sz w:val="4"/>
                <w:szCs w:val="4"/>
              </w:rPr>
            </w:pPr>
            <w:r>
              <w:rPr>
                <w:sz w:val="4"/>
                <w:szCs w:val="4"/>
              </w:rPr>
            </w:r>
          </w:p>
        </w:tc>
      </w:tr>
      <w:tr>
        <w:trPr/>
        <w:tc>
          <w:tcPr>
            <w:tcW w:w="5315"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315" w:type="dxa"/>
            <w:tcBorders/>
            <w:shd w:fill="auto" w:val="clear"/>
            <w:vAlign w:val="center"/>
          </w:tcPr>
          <w:p>
            <w:pPr>
              <w:pStyle w:val="TableContents"/>
              <w:spacing w:before="0" w:after="0"/>
              <w:ind w:left="0" w:right="0" w:firstLine="30"/>
              <w:rPr/>
            </w:pPr>
            <w:r>
              <w:rPr/>
              <w:t> </w:t>
            </w:r>
          </w:p>
        </w:tc>
        <w:tc>
          <w:tcPr>
            <w:tcW w:w="1547"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w:t>
              <w:br/>
              <w:t>June 30,</w:t>
            </w:r>
          </w:p>
        </w:tc>
        <w:tc>
          <w:tcPr>
            <w:tcW w:w="90" w:type="dxa"/>
            <w:tcBorders/>
            <w:shd w:fill="auto" w:val="clear"/>
            <w:vAlign w:val="center"/>
          </w:tcPr>
          <w:p>
            <w:pPr>
              <w:pStyle w:val="TableContents"/>
              <w:spacing w:before="0" w:after="0"/>
              <w:ind w:left="0" w:right="0" w:firstLine="30"/>
              <w:rPr/>
            </w:pPr>
            <w:r>
              <w:rPr/>
              <w:t> </w:t>
            </w:r>
          </w:p>
        </w:tc>
        <w:tc>
          <w:tcPr>
            <w:tcW w:w="1465"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w:t>
              <w:br/>
              <w:t>June 30,</w:t>
            </w:r>
          </w:p>
        </w:tc>
      </w:tr>
      <w:tr>
        <w:trPr/>
        <w:tc>
          <w:tcPr>
            <w:tcW w:w="5315" w:type="dxa"/>
            <w:tcBorders/>
            <w:shd w:fill="auto" w:val="clear"/>
            <w:vAlign w:val="center"/>
          </w:tcPr>
          <w:p>
            <w:pPr>
              <w:pStyle w:val="TableContents"/>
              <w:spacing w:before="0" w:after="0"/>
              <w:ind w:left="0" w:right="0" w:firstLine="30"/>
              <w:jc w:val="left"/>
              <w:rPr/>
            </w:pPr>
            <w:r>
              <w:rPr/>
              <w:t> </w:t>
            </w:r>
          </w:p>
        </w:tc>
        <w:tc>
          <w:tcPr>
            <w:tcW w:w="71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113" w:type="dxa"/>
            <w:tcBorders/>
            <w:shd w:fill="auto" w:val="clear"/>
            <w:vAlign w:val="center"/>
          </w:tcPr>
          <w:p>
            <w:pPr>
              <w:pStyle w:val="TableContents"/>
              <w:spacing w:before="0" w:after="0"/>
              <w:ind w:left="0" w:right="0" w:firstLine="30"/>
              <w:rPr/>
            </w:pPr>
            <w:r>
              <w:rPr/>
              <w:t> </w:t>
            </w:r>
          </w:p>
        </w:tc>
        <w:tc>
          <w:tcPr>
            <w:tcW w:w="71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0" w:type="dxa"/>
            <w:tcBorders/>
            <w:shd w:fill="auto" w:val="clear"/>
            <w:vAlign w:val="center"/>
          </w:tcPr>
          <w:p>
            <w:pPr>
              <w:pStyle w:val="TableContents"/>
              <w:spacing w:before="0" w:after="0"/>
              <w:ind w:left="0" w:right="0" w:firstLine="30"/>
              <w:rPr/>
            </w:pPr>
            <w:r>
              <w:rPr/>
              <w:t> </w:t>
            </w:r>
          </w:p>
        </w:tc>
        <w:tc>
          <w:tcPr>
            <w:tcW w:w="72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90" w:type="dxa"/>
            <w:tcBorders/>
            <w:shd w:fill="auto" w:val="clear"/>
            <w:vAlign w:val="center"/>
          </w:tcPr>
          <w:p>
            <w:pPr>
              <w:pStyle w:val="TableContents"/>
              <w:spacing w:before="0" w:after="0"/>
              <w:ind w:left="0" w:right="0" w:firstLine="30"/>
              <w:rPr/>
            </w:pPr>
            <w:r>
              <w:rPr/>
              <w:t> </w:t>
            </w:r>
          </w:p>
        </w:tc>
        <w:tc>
          <w:tcPr>
            <w:tcW w:w="65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r>
      <w:tr>
        <w:trPr/>
        <w:tc>
          <w:tcPr>
            <w:tcW w:w="5315" w:type="dxa"/>
            <w:tcBorders/>
            <w:shd w:fill="auto" w:val="clear"/>
            <w:vAlign w:val="center"/>
          </w:tcPr>
          <w:p>
            <w:pPr>
              <w:pStyle w:val="TableContents"/>
              <w:spacing w:before="0" w:after="0"/>
              <w:ind w:left="0" w:right="0" w:firstLine="30"/>
              <w:jc w:val="left"/>
              <w:rPr/>
            </w:pPr>
            <w:r>
              <w:rPr/>
              <w:t> </w:t>
            </w:r>
          </w:p>
        </w:tc>
        <w:tc>
          <w:tcPr>
            <w:tcW w:w="1547" w:type="dxa"/>
            <w:gridSpan w:val="7"/>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(unaudited)</w:t>
            </w:r>
          </w:p>
        </w:tc>
        <w:tc>
          <w:tcPr>
            <w:tcW w:w="90" w:type="dxa"/>
            <w:tcBorders/>
            <w:shd w:fill="auto" w:val="clear"/>
            <w:vAlign w:val="center"/>
          </w:tcPr>
          <w:p>
            <w:pPr>
              <w:pStyle w:val="TableContents"/>
              <w:spacing w:before="0" w:after="0"/>
              <w:ind w:left="0" w:right="0" w:firstLine="30"/>
              <w:rPr/>
            </w:pPr>
            <w:r>
              <w:rPr/>
              <w:t> </w:t>
            </w:r>
          </w:p>
        </w:tc>
        <w:tc>
          <w:tcPr>
            <w:tcW w:w="1465" w:type="dxa"/>
            <w:gridSpan w:val="7"/>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(unaudited)</w:t>
            </w:r>
          </w:p>
        </w:tc>
      </w:tr>
      <w:tr>
        <w:trPr/>
        <w:tc>
          <w:tcPr>
            <w:tcW w:w="53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15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22" w:type="dxa"/>
            <w:tcBorders/>
            <w:shd w:fill="CCEEFF" w:val="clear"/>
            <w:vAlign w:val="center"/>
          </w:tcPr>
          <w:p>
            <w:pPr>
              <w:pStyle w:val="TableContents"/>
              <w:spacing w:before="0" w:after="0"/>
              <w:jc w:val="right"/>
              <w:rPr>
                <w:rFonts w:ascii="inherit" w:hAnsi="inherit"/>
                <w:sz w:val="17"/>
              </w:rPr>
            </w:pPr>
            <w:r>
              <w:rPr>
                <w:rFonts w:ascii="inherit" w:hAnsi="inherit"/>
                <w:sz w:val="17"/>
              </w:rPr>
              <w:t>448</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5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22" w:type="dxa"/>
            <w:tcBorders/>
            <w:shd w:fill="CCEEFF" w:val="clear"/>
            <w:vAlign w:val="center"/>
          </w:tcPr>
          <w:p>
            <w:pPr>
              <w:pStyle w:val="TableContents"/>
              <w:spacing w:before="0" w:after="0"/>
              <w:jc w:val="right"/>
              <w:rPr>
                <w:rFonts w:ascii="inherit" w:hAnsi="inherit"/>
                <w:sz w:val="17"/>
              </w:rPr>
            </w:pPr>
            <w:r>
              <w:rPr>
                <w:rFonts w:ascii="inherit" w:hAnsi="inherit"/>
                <w:sz w:val="17"/>
              </w:rPr>
              <w:t>100</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1,418</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335" w:type="dxa"/>
            <w:tcBorders/>
            <w:shd w:fill="CCEEFF" w:val="clear"/>
            <w:vAlign w:val="center"/>
          </w:tcPr>
          <w:p>
            <w:pPr>
              <w:pStyle w:val="TableContents"/>
              <w:spacing w:before="0" w:after="0"/>
              <w:jc w:val="right"/>
              <w:rPr>
                <w:rFonts w:ascii="inherit" w:hAnsi="inherit"/>
                <w:sz w:val="17"/>
              </w:rPr>
            </w:pPr>
            <w:r>
              <w:rPr>
                <w:rFonts w:ascii="inherit" w:hAnsi="inherit"/>
                <w:sz w:val="17"/>
              </w:rPr>
              <w:t>388</w:t>
            </w:r>
          </w:p>
        </w:tc>
        <w:tc>
          <w:tcPr>
            <w:tcW w:w="1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3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comprehensive income/(loss)</w:t>
            </w:r>
          </w:p>
        </w:tc>
        <w:tc>
          <w:tcPr>
            <w:tcW w:w="57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51</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57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(56</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109</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6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(121</w:t>
            </w:r>
          </w:p>
        </w:tc>
        <w:tc>
          <w:tcPr>
            <w:tcW w:w="1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53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Comprehensive income</w:t>
            </w:r>
          </w:p>
        </w:tc>
        <w:tc>
          <w:tcPr>
            <w:tcW w:w="579"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499</w:t>
            </w:r>
          </w:p>
        </w:tc>
        <w:tc>
          <w:tcPr>
            <w:tcW w:w="138"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579"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44</w:t>
            </w:r>
          </w:p>
        </w:tc>
        <w:tc>
          <w:tcPr>
            <w:tcW w:w="138"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1,527</w:t>
            </w:r>
          </w:p>
        </w:tc>
        <w:tc>
          <w:tcPr>
            <w:tcW w:w="11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460"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267</w:t>
            </w:r>
          </w:p>
        </w:tc>
        <w:tc>
          <w:tcPr>
            <w:tcW w:w="195" w:type="dxa"/>
            <w:tcBorders>
              <w:top w:val="single" w:sz="2" w:space="0" w:color="000000"/>
            </w:tcBorders>
            <w:shd w:fill="CCEEFF" w:val="clear"/>
            <w:tcMar>
              <w:top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3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Comprehensive income attributable to noncontrolling interests</w:t>
            </w:r>
          </w:p>
        </w:tc>
        <w:tc>
          <w:tcPr>
            <w:tcW w:w="57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3" w:type="dxa"/>
            <w:tcBorders/>
            <w:shd w:fill="auto" w:val="clear"/>
            <w:vAlign w:val="center"/>
          </w:tcPr>
          <w:p>
            <w:pPr>
              <w:pStyle w:val="TableContents"/>
              <w:spacing w:before="0" w:after="0"/>
              <w:ind w:left="0" w:right="0" w:firstLine="30"/>
              <w:rPr/>
            </w:pPr>
            <w:r>
              <w:rPr/>
              <w:t> </w:t>
            </w:r>
          </w:p>
        </w:tc>
        <w:tc>
          <w:tcPr>
            <w:tcW w:w="579"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460" w:type="dxa"/>
            <w:gridSpan w:val="2"/>
            <w:tcBorders/>
            <w:shd w:fill="auto" w:val="clear"/>
            <w:vAlign w:val="center"/>
          </w:tcPr>
          <w:p>
            <w:pPr>
              <w:pStyle w:val="TableContents"/>
              <w:spacing w:before="0" w:after="0"/>
              <w:jc w:val="right"/>
              <w:rPr/>
            </w:pPr>
            <w:r>
              <w:rPr/>
              <w:t>—</w:t>
            </w:r>
          </w:p>
        </w:tc>
        <w:tc>
          <w:tcPr>
            <w:tcW w:w="1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3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Comprehensive income attributable to PAA</w:t>
            </w:r>
          </w:p>
        </w:tc>
        <w:tc>
          <w:tcPr>
            <w:tcW w:w="15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2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497</w:t>
            </w:r>
          </w:p>
        </w:tc>
        <w:tc>
          <w:tcPr>
            <w:tcW w:w="138"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5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2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44</w:t>
            </w:r>
          </w:p>
        </w:tc>
        <w:tc>
          <w:tcPr>
            <w:tcW w:w="138"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1,525</w:t>
            </w:r>
          </w:p>
        </w:tc>
        <w:tc>
          <w:tcPr>
            <w:tcW w:w="11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3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267</w:t>
            </w:r>
          </w:p>
        </w:tc>
        <w:tc>
          <w:tcPr>
            <w:tcW w:w="19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pPr>
      <w:r>
        <w:rPr/>
        <w:t> </w:t>
      </w:r>
    </w:p>
    <w:p>
      <w:pPr>
        <w:pStyle w:val="TextBody"/>
        <w:spacing w:lineRule="auto" w:line="288" w:before="0" w:after="0"/>
        <w:jc w:val="center"/>
        <w:rPr>
          <w:rFonts w:ascii="inherit" w:hAnsi="inherit"/>
          <w:sz w:val="17"/>
        </w:rPr>
      </w:pPr>
      <w:r>
        <w:rPr>
          <w:rFonts w:ascii="inherit" w:hAnsi="inherit"/>
          <w:sz w:val="17"/>
        </w:rPr>
        <w:t>The accompanying notes are an integral part of these condensed consolidated financial statements.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bookmarkStart w:id="9" w:name="sF0E59008C19E52C0858287D9B55EA8A7"/>
      <w:bookmarkStart w:id="10" w:name="sF0E59008C19E52C0858287D9B55EA8A7"/>
      <w:bookmarkEnd w:id="10"/>
    </w:p>
    <w:p>
      <w:pPr>
        <w:pStyle w:val="TextBody"/>
        <w:spacing w:lineRule="auto" w:line="288" w:before="0" w:after="0"/>
        <w:jc w:val="center"/>
        <w:rPr>
          <w:rFonts w:ascii="inherit" w:hAnsi="inherit"/>
          <w:b/>
          <w:sz w:val="17"/>
        </w:rPr>
      </w:pPr>
      <w:r>
        <w:rPr>
          <w:rFonts w:ascii="inherit" w:hAnsi="inherit"/>
          <w:b/>
          <w:sz w:val="17"/>
        </w:rPr>
        <w:t>PLAINS ALL AMERICAN PIPELINE, L.P. AND SUBSIDIARIES</w:t>
      </w:r>
    </w:p>
    <w:p>
      <w:pPr>
        <w:pStyle w:val="TextBody"/>
        <w:spacing w:lineRule="auto" w:line="288" w:before="0" w:after="0"/>
        <w:jc w:val="center"/>
        <w:rPr>
          <w:rFonts w:ascii="inherit" w:hAnsi="inherit"/>
          <w:b/>
          <w:sz w:val="17"/>
        </w:rPr>
      </w:pPr>
      <w:r>
        <w:rPr>
          <w:rFonts w:ascii="inherit" w:hAnsi="inherit"/>
          <w:b/>
          <w:sz w:val="17"/>
        </w:rPr>
        <w:t>CONDENSED CONSOLIDATED STATEMENTS OF CHANGES IN</w:t>
      </w:r>
    </w:p>
    <w:p>
      <w:pPr>
        <w:pStyle w:val="TextBody"/>
        <w:spacing w:lineRule="auto" w:line="288" w:before="0" w:after="0"/>
        <w:jc w:val="center"/>
        <w:rPr>
          <w:rFonts w:ascii="inherit" w:hAnsi="inherit"/>
          <w:b/>
          <w:sz w:val="17"/>
        </w:rPr>
      </w:pPr>
      <w:r>
        <w:rPr>
          <w:rFonts w:ascii="inherit" w:hAnsi="inherit"/>
          <w:b/>
          <w:sz w:val="17"/>
        </w:rPr>
        <w:t>ACCUMULATED OTHER COMPREHENSIVE INCOME/(LOSS)</w:t>
      </w:r>
    </w:p>
    <w:p>
      <w:pPr>
        <w:pStyle w:val="TextBody"/>
        <w:spacing w:lineRule="auto" w:line="288" w:before="0" w:after="0"/>
        <w:jc w:val="center"/>
        <w:rPr>
          <w:rFonts w:ascii="inherit" w:hAnsi="inherit"/>
          <w:b/>
          <w:sz w:val="17"/>
        </w:rPr>
      </w:pPr>
      <w:r>
        <w:rPr>
          <w:rFonts w:ascii="inherit" w:hAnsi="inherit"/>
          <w:b/>
          <w:sz w:val="17"/>
        </w:rPr>
        <w:t>(in millions)</w:t>
      </w:r>
    </w:p>
    <w:p>
      <w:pPr>
        <w:pStyle w:val="TextBody"/>
        <w:spacing w:lineRule="auto" w:line="288" w:before="0" w:after="0"/>
        <w:rPr/>
      </w:pPr>
      <w:r>
        <w:rPr/>
        <w:t> </w:t>
      </w:r>
    </w:p>
    <w:tbl>
      <w:tblPr>
        <w:tblW w:w="6360" w:type="dxa"/>
        <w:jc w:val="left"/>
        <w:tblInd w:w="0" w:type="dxa"/>
        <w:tblCellMar>
          <w:top w:w="0" w:type="dxa"/>
          <w:left w:w="0" w:type="dxa"/>
          <w:bottom w:w="0" w:type="dxa"/>
          <w:right w:w="0" w:type="dxa"/>
        </w:tblCellMar>
      </w:tblPr>
      <w:tblGrid>
        <w:gridCol w:w="2870"/>
        <w:gridCol w:w="182"/>
        <w:gridCol w:w="576"/>
        <w:gridCol w:w="162"/>
        <w:gridCol w:w="90"/>
        <w:gridCol w:w="191"/>
        <w:gridCol w:w="605"/>
        <w:gridCol w:w="169"/>
        <w:gridCol w:w="90"/>
        <w:gridCol w:w="141"/>
        <w:gridCol w:w="294"/>
        <w:gridCol w:w="35"/>
        <w:gridCol w:w="90"/>
        <w:gridCol w:w="125"/>
        <w:gridCol w:w="545"/>
        <w:gridCol w:w="195"/>
      </w:tblGrid>
      <w:tr>
        <w:trPr/>
        <w:tc>
          <w:tcPr>
            <w:tcW w:w="6360" w:type="dxa"/>
            <w:gridSpan w:val="16"/>
            <w:tcBorders/>
            <w:shd w:fill="auto" w:val="clear"/>
            <w:vAlign w:val="center"/>
          </w:tcPr>
          <w:p>
            <w:pPr>
              <w:pStyle w:val="TableContents"/>
              <w:spacing w:before="0" w:after="283"/>
              <w:rPr>
                <w:sz w:val="4"/>
                <w:szCs w:val="4"/>
              </w:rPr>
            </w:pPr>
            <w:r>
              <w:rPr>
                <w:sz w:val="4"/>
                <w:szCs w:val="4"/>
              </w:rPr>
            </w:r>
          </w:p>
        </w:tc>
      </w:tr>
      <w:tr>
        <w:trPr/>
        <w:tc>
          <w:tcPr>
            <w:tcW w:w="2870"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3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870" w:type="dxa"/>
            <w:tcBorders/>
            <w:shd w:fill="auto" w:val="clear"/>
            <w:vAlign w:val="center"/>
          </w:tcPr>
          <w:p>
            <w:pPr>
              <w:pStyle w:val="TableContents"/>
              <w:spacing w:before="0" w:after="0"/>
              <w:ind w:left="0" w:right="0" w:firstLine="30"/>
              <w:rPr/>
            </w:pPr>
            <w:r>
              <w:rPr/>
              <w:t> </w:t>
            </w:r>
          </w:p>
        </w:tc>
        <w:tc>
          <w:tcPr>
            <w:tcW w:w="92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Derivative</w:t>
              <w:br/>
              <w:t>Instruments</w:t>
            </w:r>
          </w:p>
        </w:tc>
        <w:tc>
          <w:tcPr>
            <w:tcW w:w="90" w:type="dxa"/>
            <w:tcBorders/>
            <w:shd w:fill="auto" w:val="clear"/>
            <w:vAlign w:val="center"/>
          </w:tcPr>
          <w:p>
            <w:pPr>
              <w:pStyle w:val="TableContents"/>
              <w:spacing w:before="0" w:after="0"/>
              <w:ind w:left="0" w:right="0" w:firstLine="30"/>
              <w:rPr/>
            </w:pPr>
            <w:r>
              <w:rPr/>
              <w:t> </w:t>
            </w:r>
          </w:p>
        </w:tc>
        <w:tc>
          <w:tcPr>
            <w:tcW w:w="96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Translation</w:t>
              <w:br/>
              <w:t>Adjustments</w:t>
            </w:r>
          </w:p>
        </w:tc>
        <w:tc>
          <w:tcPr>
            <w:tcW w:w="90" w:type="dxa"/>
            <w:tcBorders/>
            <w:shd w:fill="auto" w:val="clear"/>
            <w:vAlign w:val="center"/>
          </w:tcPr>
          <w:p>
            <w:pPr>
              <w:pStyle w:val="TableContents"/>
              <w:spacing w:before="0" w:after="0"/>
              <w:ind w:left="0" w:right="0" w:firstLine="30"/>
              <w:rPr/>
            </w:pPr>
            <w:r>
              <w:rPr/>
              <w:t> </w:t>
            </w:r>
          </w:p>
        </w:tc>
        <w:tc>
          <w:tcPr>
            <w:tcW w:w="47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Other</w:t>
            </w:r>
          </w:p>
        </w:tc>
        <w:tc>
          <w:tcPr>
            <w:tcW w:w="90" w:type="dxa"/>
            <w:tcBorders/>
            <w:shd w:fill="auto" w:val="clear"/>
            <w:vAlign w:val="center"/>
          </w:tcPr>
          <w:p>
            <w:pPr>
              <w:pStyle w:val="TableContents"/>
              <w:spacing w:before="0" w:after="0"/>
              <w:ind w:left="0" w:right="0" w:firstLine="30"/>
              <w:rPr/>
            </w:pPr>
            <w:r>
              <w:rPr/>
              <w:t> </w:t>
            </w:r>
          </w:p>
        </w:tc>
        <w:tc>
          <w:tcPr>
            <w:tcW w:w="86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Total</w:t>
            </w:r>
          </w:p>
        </w:tc>
      </w:tr>
      <w:tr>
        <w:trPr/>
        <w:tc>
          <w:tcPr>
            <w:tcW w:w="2870" w:type="dxa"/>
            <w:tcBorders/>
            <w:shd w:fill="auto" w:val="clear"/>
            <w:vAlign w:val="center"/>
          </w:tcPr>
          <w:p>
            <w:pPr>
              <w:pStyle w:val="TableContents"/>
              <w:spacing w:before="0" w:after="0"/>
              <w:ind w:left="0" w:right="0" w:firstLine="30"/>
              <w:jc w:val="left"/>
              <w:rPr/>
            </w:pPr>
            <w:r>
              <w:rPr/>
              <w:t> </w:t>
            </w:r>
          </w:p>
        </w:tc>
        <w:tc>
          <w:tcPr>
            <w:tcW w:w="3490" w:type="dxa"/>
            <w:gridSpan w:val="15"/>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(unaudited)</w:t>
            </w:r>
          </w:p>
        </w:tc>
      </w:tr>
      <w:tr>
        <w:trPr/>
        <w:tc>
          <w:tcPr>
            <w:tcW w:w="28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Balance at December 31, 2018</w:t>
            </w:r>
          </w:p>
        </w:tc>
        <w:tc>
          <w:tcPr>
            <w:tcW w:w="182"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7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(177</w:t>
            </w:r>
          </w:p>
        </w:tc>
        <w:tc>
          <w:tcPr>
            <w:tcW w:w="162"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91"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0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(853</w:t>
            </w:r>
          </w:p>
        </w:tc>
        <w:tc>
          <w:tcPr>
            <w:tcW w:w="169"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41"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294" w:type="dxa"/>
            <w:tcBorders>
              <w:bottom w:val="double" w:sz="6" w:space="0" w:color="000000"/>
            </w:tcBorders>
            <w:shd w:fill="CCEEFF" w:val="clear"/>
            <w:tcMar>
              <w:bottom w:w="30" w:type="dxa"/>
            </w:tcMar>
            <w:vAlign w:val="center"/>
          </w:tcPr>
          <w:p>
            <w:pPr>
              <w:pStyle w:val="TableContents"/>
              <w:spacing w:before="0" w:after="0"/>
              <w:jc w:val="right"/>
              <w:rPr/>
            </w:pPr>
            <w:r>
              <w:rPr/>
              <w:t>—</w:t>
            </w:r>
          </w:p>
        </w:tc>
        <w:tc>
          <w:tcPr>
            <w:tcW w:w="35"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4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(1,030</w:t>
            </w:r>
          </w:p>
        </w:tc>
        <w:tc>
          <w:tcPr>
            <w:tcW w:w="195"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870" w:type="dxa"/>
            <w:tcBorders/>
            <w:shd w:fill="auto" w:val="clear"/>
            <w:vAlign w:val="center"/>
          </w:tcPr>
          <w:p>
            <w:pPr>
              <w:pStyle w:val="TableContents"/>
              <w:spacing w:before="0" w:after="0"/>
              <w:ind w:left="0" w:right="0" w:firstLine="30"/>
              <w:rPr/>
            </w:pPr>
            <w:r>
              <w:rPr/>
              <w:t> </w:t>
            </w:r>
          </w:p>
        </w:tc>
        <w:tc>
          <w:tcPr>
            <w:tcW w:w="92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6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47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65" w:type="dxa"/>
            <w:gridSpan w:val="3"/>
            <w:tcBorders/>
            <w:shd w:fill="auto" w:val="clear"/>
            <w:vAlign w:val="center"/>
          </w:tcPr>
          <w:p>
            <w:pPr>
              <w:pStyle w:val="TableContents"/>
              <w:spacing w:before="0" w:after="0"/>
              <w:ind w:left="0" w:right="0" w:firstLine="30"/>
              <w:rPr/>
            </w:pPr>
            <w:r>
              <w:rPr/>
              <w:t> </w:t>
            </w:r>
          </w:p>
        </w:tc>
      </w:tr>
      <w:tr>
        <w:trPr/>
        <w:tc>
          <w:tcPr>
            <w:tcW w:w="28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Reclassification adjustments</w:t>
            </w:r>
          </w:p>
        </w:tc>
        <w:tc>
          <w:tcPr>
            <w:tcW w:w="75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96" w:type="dxa"/>
            <w:gridSpan w:val="2"/>
            <w:tcBorders/>
            <w:shd w:fill="CCEEFF" w:val="clear"/>
            <w:vAlign w:val="center"/>
          </w:tcPr>
          <w:p>
            <w:pPr>
              <w:pStyle w:val="TableContents"/>
              <w:spacing w:before="0" w:after="0"/>
              <w:jc w:val="right"/>
              <w:rPr/>
            </w:pPr>
            <w:r>
              <w:rPr/>
              <w:t>—</w:t>
            </w:r>
          </w:p>
        </w:tc>
        <w:tc>
          <w:tcPr>
            <w:tcW w:w="16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435" w:type="dxa"/>
            <w:gridSpan w:val="2"/>
            <w:tcBorders/>
            <w:shd w:fill="CCEEFF" w:val="clear"/>
            <w:vAlign w:val="center"/>
          </w:tcPr>
          <w:p>
            <w:pPr>
              <w:pStyle w:val="TableContents"/>
              <w:spacing w:before="0" w:after="0"/>
              <w:jc w:val="right"/>
              <w:rPr/>
            </w:pPr>
            <w:r>
              <w:rPr/>
              <w:t>—</w:t>
            </w:r>
          </w:p>
        </w:tc>
        <w:tc>
          <w:tcPr>
            <w:tcW w:w="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7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w:t>
            </w:r>
          </w:p>
        </w:tc>
        <w:tc>
          <w:tcPr>
            <w:tcW w:w="1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8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Unrealized loss on hedges</w:t>
            </w:r>
          </w:p>
        </w:tc>
        <w:tc>
          <w:tcPr>
            <w:tcW w:w="75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(58</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796" w:type="dxa"/>
            <w:gridSpan w:val="2"/>
            <w:tcBorders/>
            <w:shd w:fill="auto" w:val="clear"/>
            <w:vAlign w:val="center"/>
          </w:tcPr>
          <w:p>
            <w:pPr>
              <w:pStyle w:val="TableContents"/>
              <w:spacing w:before="0" w:after="0"/>
              <w:jc w:val="right"/>
              <w:rPr/>
            </w:pPr>
            <w:r>
              <w:rPr/>
              <w:t>—</w:t>
            </w:r>
          </w:p>
        </w:tc>
        <w:tc>
          <w:tcPr>
            <w:tcW w:w="1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35" w:type="dxa"/>
            <w:gridSpan w:val="2"/>
            <w:tcBorders/>
            <w:shd w:fill="auto" w:val="clear"/>
            <w:vAlign w:val="center"/>
          </w:tcPr>
          <w:p>
            <w:pPr>
              <w:pStyle w:val="TableContents"/>
              <w:spacing w:before="0" w:after="0"/>
              <w:jc w:val="right"/>
              <w:rPr/>
            </w:pPr>
            <w:r>
              <w:rPr/>
              <w:t>—</w:t>
            </w:r>
          </w:p>
        </w:tc>
        <w:tc>
          <w:tcPr>
            <w:tcW w:w="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(58</w:t>
            </w:r>
          </w:p>
        </w:tc>
        <w:tc>
          <w:tcPr>
            <w:tcW w:w="1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8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Currency translation adjustments</w:t>
            </w:r>
          </w:p>
        </w:tc>
        <w:tc>
          <w:tcPr>
            <w:tcW w:w="758" w:type="dxa"/>
            <w:gridSpan w:val="2"/>
            <w:tcBorders/>
            <w:shd w:fill="CCEEFF" w:val="clear"/>
            <w:vAlign w:val="center"/>
          </w:tcPr>
          <w:p>
            <w:pPr>
              <w:pStyle w:val="TableContents"/>
              <w:spacing w:before="0" w:after="0"/>
              <w:jc w:val="right"/>
              <w:rPr/>
            </w:pPr>
            <w:r>
              <w:rPr/>
              <w:t>—</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9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161</w:t>
            </w:r>
          </w:p>
        </w:tc>
        <w:tc>
          <w:tcPr>
            <w:tcW w:w="16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435" w:type="dxa"/>
            <w:gridSpan w:val="2"/>
            <w:tcBorders/>
            <w:shd w:fill="CCEEFF" w:val="clear"/>
            <w:vAlign w:val="center"/>
          </w:tcPr>
          <w:p>
            <w:pPr>
              <w:pStyle w:val="TableContents"/>
              <w:spacing w:before="0" w:after="0"/>
              <w:jc w:val="right"/>
              <w:rPr/>
            </w:pPr>
            <w:r>
              <w:rPr/>
              <w:t>—</w:t>
            </w:r>
          </w:p>
        </w:tc>
        <w:tc>
          <w:tcPr>
            <w:tcW w:w="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7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161</w:t>
            </w:r>
          </w:p>
        </w:tc>
        <w:tc>
          <w:tcPr>
            <w:tcW w:w="1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8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758" w:type="dxa"/>
            <w:gridSpan w:val="2"/>
            <w:tcBorders/>
            <w:shd w:fill="auto" w:val="clear"/>
            <w:vAlign w:val="center"/>
          </w:tcPr>
          <w:p>
            <w:pPr>
              <w:pStyle w:val="TableContents"/>
              <w:spacing w:before="0" w:after="0"/>
              <w:jc w:val="right"/>
              <w:rPr/>
            </w:pPr>
            <w:r>
              <w:rPr/>
              <w:t>—</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96" w:type="dxa"/>
            <w:gridSpan w:val="2"/>
            <w:tcBorders/>
            <w:shd w:fill="auto" w:val="clear"/>
            <w:vAlign w:val="center"/>
          </w:tcPr>
          <w:p>
            <w:pPr>
              <w:pStyle w:val="TableContents"/>
              <w:spacing w:before="0" w:after="0"/>
              <w:jc w:val="right"/>
              <w:rPr/>
            </w:pPr>
            <w:r>
              <w:rPr/>
              <w:t>—</w:t>
            </w:r>
          </w:p>
        </w:tc>
        <w:tc>
          <w:tcPr>
            <w:tcW w:w="1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19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8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period activity</w:t>
            </w:r>
          </w:p>
        </w:tc>
        <w:tc>
          <w:tcPr>
            <w:tcW w:w="758"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(53</w:t>
            </w:r>
          </w:p>
        </w:tc>
        <w:tc>
          <w:tcPr>
            <w:tcW w:w="162"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796"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161</w:t>
            </w:r>
          </w:p>
        </w:tc>
        <w:tc>
          <w:tcPr>
            <w:tcW w:w="169"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435"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w:t>
            </w:r>
          </w:p>
        </w:tc>
        <w:tc>
          <w:tcPr>
            <w:tcW w:w="35"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70"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109</w:t>
            </w:r>
          </w:p>
        </w:tc>
        <w:tc>
          <w:tcPr>
            <w:tcW w:w="195"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8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Balance at June 30, 2019</w:t>
            </w:r>
          </w:p>
        </w:tc>
        <w:tc>
          <w:tcPr>
            <w:tcW w:w="182"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76"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(230</w:t>
            </w:r>
          </w:p>
        </w:tc>
        <w:tc>
          <w:tcPr>
            <w:tcW w:w="162"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91"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0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(692</w:t>
            </w:r>
          </w:p>
        </w:tc>
        <w:tc>
          <w:tcPr>
            <w:tcW w:w="169"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41"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294"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w:t>
            </w:r>
          </w:p>
        </w:tc>
        <w:tc>
          <w:tcPr>
            <w:tcW w:w="3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4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(921</w:t>
            </w:r>
          </w:p>
        </w:tc>
        <w:tc>
          <w:tcPr>
            <w:tcW w:w="19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r>
    </w:tbl>
    <w:p>
      <w:pPr>
        <w:pStyle w:val="TextBody"/>
        <w:spacing w:lineRule="auto" w:line="288" w:before="0" w:after="0"/>
        <w:rPr>
          <w:rFonts w:ascii="inherit" w:hAnsi="inherit"/>
          <w:sz w:val="17"/>
        </w:rPr>
      </w:pPr>
      <w:r>
        <w:rPr>
          <w:rFonts w:ascii="inherit" w:hAnsi="inherit"/>
          <w:sz w:val="17"/>
        </w:rPr>
      </w:r>
    </w:p>
    <w:tbl>
      <w:tblPr>
        <w:tblW w:w="6290" w:type="dxa"/>
        <w:jc w:val="left"/>
        <w:tblInd w:w="0" w:type="dxa"/>
        <w:tblCellMar>
          <w:top w:w="0" w:type="dxa"/>
          <w:left w:w="0" w:type="dxa"/>
          <w:bottom w:w="0" w:type="dxa"/>
          <w:right w:w="0" w:type="dxa"/>
        </w:tblCellMar>
      </w:tblPr>
      <w:tblGrid>
        <w:gridCol w:w="2870"/>
        <w:gridCol w:w="182"/>
        <w:gridCol w:w="576"/>
        <w:gridCol w:w="162"/>
        <w:gridCol w:w="90"/>
        <w:gridCol w:w="191"/>
        <w:gridCol w:w="605"/>
        <w:gridCol w:w="169"/>
        <w:gridCol w:w="90"/>
        <w:gridCol w:w="209"/>
        <w:gridCol w:w="209"/>
        <w:gridCol w:w="52"/>
        <w:gridCol w:w="90"/>
        <w:gridCol w:w="125"/>
        <w:gridCol w:w="395"/>
        <w:gridCol w:w="275"/>
      </w:tblGrid>
      <w:tr>
        <w:trPr/>
        <w:tc>
          <w:tcPr>
            <w:tcW w:w="6290" w:type="dxa"/>
            <w:gridSpan w:val="16"/>
            <w:tcBorders/>
            <w:shd w:fill="auto" w:val="clear"/>
            <w:vAlign w:val="center"/>
          </w:tcPr>
          <w:p>
            <w:pPr>
              <w:pStyle w:val="TableContents"/>
              <w:spacing w:before="0" w:after="283"/>
              <w:rPr>
                <w:sz w:val="4"/>
                <w:szCs w:val="4"/>
              </w:rPr>
            </w:pPr>
            <w:r>
              <w:rPr>
                <w:sz w:val="4"/>
                <w:szCs w:val="4"/>
              </w:rPr>
            </w:r>
          </w:p>
        </w:tc>
      </w:tr>
      <w:tr>
        <w:trPr/>
        <w:tc>
          <w:tcPr>
            <w:tcW w:w="2870"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5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870" w:type="dxa"/>
            <w:tcBorders/>
            <w:shd w:fill="auto" w:val="clear"/>
            <w:vAlign w:val="center"/>
          </w:tcPr>
          <w:p>
            <w:pPr>
              <w:pStyle w:val="TableContents"/>
              <w:spacing w:before="0" w:after="0"/>
              <w:ind w:left="0" w:right="0" w:firstLine="30"/>
              <w:rPr/>
            </w:pPr>
            <w:r>
              <w:rPr/>
              <w:t> </w:t>
            </w:r>
          </w:p>
        </w:tc>
        <w:tc>
          <w:tcPr>
            <w:tcW w:w="92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Derivative</w:t>
              <w:br/>
              <w:t>Instruments</w:t>
            </w:r>
          </w:p>
        </w:tc>
        <w:tc>
          <w:tcPr>
            <w:tcW w:w="90" w:type="dxa"/>
            <w:tcBorders/>
            <w:shd w:fill="auto" w:val="clear"/>
            <w:vAlign w:val="center"/>
          </w:tcPr>
          <w:p>
            <w:pPr>
              <w:pStyle w:val="TableContents"/>
              <w:spacing w:before="0" w:after="0"/>
              <w:ind w:left="0" w:right="0" w:firstLine="30"/>
              <w:rPr/>
            </w:pPr>
            <w:r>
              <w:rPr/>
              <w:t> </w:t>
            </w:r>
          </w:p>
        </w:tc>
        <w:tc>
          <w:tcPr>
            <w:tcW w:w="96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Translation</w:t>
              <w:br/>
              <w:t>Adjustments</w:t>
            </w:r>
          </w:p>
        </w:tc>
        <w:tc>
          <w:tcPr>
            <w:tcW w:w="90" w:type="dxa"/>
            <w:tcBorders/>
            <w:shd w:fill="auto" w:val="clear"/>
            <w:vAlign w:val="center"/>
          </w:tcPr>
          <w:p>
            <w:pPr>
              <w:pStyle w:val="TableContents"/>
              <w:spacing w:before="0" w:after="0"/>
              <w:ind w:left="0" w:right="0" w:firstLine="30"/>
              <w:rPr/>
            </w:pPr>
            <w:r>
              <w:rPr/>
              <w:t> </w:t>
            </w:r>
          </w:p>
        </w:tc>
        <w:tc>
          <w:tcPr>
            <w:tcW w:w="47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Other</w:t>
            </w:r>
          </w:p>
        </w:tc>
        <w:tc>
          <w:tcPr>
            <w:tcW w:w="90" w:type="dxa"/>
            <w:tcBorders/>
            <w:shd w:fill="auto" w:val="clear"/>
            <w:vAlign w:val="center"/>
          </w:tcPr>
          <w:p>
            <w:pPr>
              <w:pStyle w:val="TableContents"/>
              <w:spacing w:before="0" w:after="0"/>
              <w:ind w:left="0" w:right="0" w:firstLine="30"/>
              <w:rPr/>
            </w:pPr>
            <w:r>
              <w:rPr/>
              <w:t> </w:t>
            </w:r>
          </w:p>
        </w:tc>
        <w:tc>
          <w:tcPr>
            <w:tcW w:w="79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Total</w:t>
            </w:r>
          </w:p>
        </w:tc>
      </w:tr>
      <w:tr>
        <w:trPr/>
        <w:tc>
          <w:tcPr>
            <w:tcW w:w="2870" w:type="dxa"/>
            <w:tcBorders/>
            <w:shd w:fill="auto" w:val="clear"/>
            <w:vAlign w:val="center"/>
          </w:tcPr>
          <w:p>
            <w:pPr>
              <w:pStyle w:val="TableContents"/>
              <w:spacing w:before="0" w:after="0"/>
              <w:ind w:left="0" w:right="0" w:firstLine="30"/>
              <w:jc w:val="left"/>
              <w:rPr/>
            </w:pPr>
            <w:r>
              <w:rPr/>
              <w:t> </w:t>
            </w:r>
          </w:p>
        </w:tc>
        <w:tc>
          <w:tcPr>
            <w:tcW w:w="3420" w:type="dxa"/>
            <w:gridSpan w:val="15"/>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(unaudited)</w:t>
            </w:r>
          </w:p>
        </w:tc>
      </w:tr>
      <w:tr>
        <w:trPr/>
        <w:tc>
          <w:tcPr>
            <w:tcW w:w="28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Balance at December 31, 2017</w:t>
            </w:r>
          </w:p>
        </w:tc>
        <w:tc>
          <w:tcPr>
            <w:tcW w:w="182"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7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(223</w:t>
            </w:r>
          </w:p>
        </w:tc>
        <w:tc>
          <w:tcPr>
            <w:tcW w:w="162"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91"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0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(548</w:t>
            </w:r>
          </w:p>
        </w:tc>
        <w:tc>
          <w:tcPr>
            <w:tcW w:w="169"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209"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209"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w:t>
            </w:r>
          </w:p>
        </w:tc>
        <w:tc>
          <w:tcPr>
            <w:tcW w:w="52"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9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(770</w:t>
            </w:r>
          </w:p>
        </w:tc>
        <w:tc>
          <w:tcPr>
            <w:tcW w:w="275"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870" w:type="dxa"/>
            <w:tcBorders/>
            <w:shd w:fill="auto" w:val="clear"/>
            <w:vAlign w:val="center"/>
          </w:tcPr>
          <w:p>
            <w:pPr>
              <w:pStyle w:val="TableContents"/>
              <w:spacing w:before="0" w:after="0"/>
              <w:ind w:left="0" w:right="0" w:firstLine="30"/>
              <w:rPr/>
            </w:pPr>
            <w:r>
              <w:rPr/>
              <w:t> </w:t>
            </w:r>
          </w:p>
        </w:tc>
        <w:tc>
          <w:tcPr>
            <w:tcW w:w="92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6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47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95" w:type="dxa"/>
            <w:gridSpan w:val="3"/>
            <w:tcBorders/>
            <w:shd w:fill="auto" w:val="clear"/>
            <w:vAlign w:val="center"/>
          </w:tcPr>
          <w:p>
            <w:pPr>
              <w:pStyle w:val="TableContents"/>
              <w:spacing w:before="0" w:after="0"/>
              <w:ind w:left="0" w:right="0" w:firstLine="30"/>
              <w:rPr/>
            </w:pPr>
            <w:r>
              <w:rPr/>
              <w:t> </w:t>
            </w:r>
          </w:p>
        </w:tc>
      </w:tr>
      <w:tr>
        <w:trPr/>
        <w:tc>
          <w:tcPr>
            <w:tcW w:w="28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Reclassification adjustments</w:t>
            </w:r>
          </w:p>
        </w:tc>
        <w:tc>
          <w:tcPr>
            <w:tcW w:w="75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w:t>
            </w:r>
          </w:p>
        </w:tc>
        <w:tc>
          <w:tcPr>
            <w:tcW w:w="1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96" w:type="dxa"/>
            <w:gridSpan w:val="2"/>
            <w:tcBorders/>
            <w:shd w:fill="CCEEFF" w:val="clear"/>
            <w:vAlign w:val="center"/>
          </w:tcPr>
          <w:p>
            <w:pPr>
              <w:pStyle w:val="TableContents"/>
              <w:spacing w:before="0" w:after="0"/>
              <w:jc w:val="right"/>
              <w:rPr/>
            </w:pPr>
            <w:r>
              <w:rPr/>
              <w:t>—</w:t>
            </w:r>
          </w:p>
        </w:tc>
        <w:tc>
          <w:tcPr>
            <w:tcW w:w="16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418" w:type="dxa"/>
            <w:gridSpan w:val="2"/>
            <w:tcBorders/>
            <w:shd w:fill="CCEEFF" w:val="clear"/>
            <w:vAlign w:val="center"/>
          </w:tcPr>
          <w:p>
            <w:pPr>
              <w:pStyle w:val="TableContents"/>
              <w:spacing w:before="0" w:after="0"/>
              <w:jc w:val="right"/>
              <w:rPr/>
            </w:pPr>
            <w:r>
              <w:rPr/>
              <w:t>—</w:t>
            </w:r>
          </w:p>
        </w:tc>
        <w:tc>
          <w:tcPr>
            <w:tcW w:w="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w:t>
            </w:r>
          </w:p>
        </w:tc>
        <w:tc>
          <w:tcPr>
            <w:tcW w:w="2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8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Unrealized gain on hedges</w:t>
            </w:r>
          </w:p>
        </w:tc>
        <w:tc>
          <w:tcPr>
            <w:tcW w:w="75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45</w:t>
            </w:r>
          </w:p>
        </w:tc>
        <w:tc>
          <w:tcPr>
            <w:tcW w:w="1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96" w:type="dxa"/>
            <w:gridSpan w:val="2"/>
            <w:tcBorders/>
            <w:shd w:fill="auto" w:val="clear"/>
            <w:vAlign w:val="center"/>
          </w:tcPr>
          <w:p>
            <w:pPr>
              <w:pStyle w:val="TableContents"/>
              <w:spacing w:before="0" w:after="0"/>
              <w:jc w:val="right"/>
              <w:rPr/>
            </w:pPr>
            <w:r>
              <w:rPr/>
              <w:t>—</w:t>
            </w:r>
          </w:p>
        </w:tc>
        <w:tc>
          <w:tcPr>
            <w:tcW w:w="1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18" w:type="dxa"/>
            <w:gridSpan w:val="2"/>
            <w:tcBorders/>
            <w:shd w:fill="auto" w:val="clear"/>
            <w:vAlign w:val="center"/>
          </w:tcPr>
          <w:p>
            <w:pPr>
              <w:pStyle w:val="TableContents"/>
              <w:spacing w:before="0" w:after="0"/>
              <w:jc w:val="right"/>
              <w:rPr/>
            </w:pPr>
            <w:r>
              <w:rPr/>
              <w:t>—</w:t>
            </w:r>
          </w:p>
        </w:tc>
        <w:tc>
          <w:tcPr>
            <w:tcW w:w="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45</w:t>
            </w:r>
          </w:p>
        </w:tc>
        <w:tc>
          <w:tcPr>
            <w:tcW w:w="2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8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Currency translation adjustments</w:t>
            </w:r>
          </w:p>
        </w:tc>
        <w:tc>
          <w:tcPr>
            <w:tcW w:w="758"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6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9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(171</w:t>
            </w:r>
          </w:p>
        </w:tc>
        <w:tc>
          <w:tcPr>
            <w:tcW w:w="169"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418" w:type="dxa"/>
            <w:gridSpan w:val="2"/>
            <w:tcBorders/>
            <w:shd w:fill="CCEEFF" w:val="clear"/>
            <w:vAlign w:val="center"/>
          </w:tcPr>
          <w:p>
            <w:pPr>
              <w:pStyle w:val="TableContents"/>
              <w:spacing w:before="0" w:after="0"/>
              <w:jc w:val="right"/>
              <w:rPr/>
            </w:pPr>
            <w:r>
              <w:rPr/>
              <w:t>—</w:t>
            </w:r>
          </w:p>
        </w:tc>
        <w:tc>
          <w:tcPr>
            <w:tcW w:w="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(171</w:t>
            </w:r>
          </w:p>
        </w:tc>
        <w:tc>
          <w:tcPr>
            <w:tcW w:w="275" w:type="dxa"/>
            <w:tcBorders>
              <w:bottom w:val="single" w:sz="2" w:space="0" w:color="000000"/>
            </w:tcBorders>
            <w:shd w:fill="CCEEFF" w:val="clear"/>
            <w:tcMar>
              <w:bottom w:w="30" w:type="dxa"/>
            </w:tcM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28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period activity</w:t>
            </w:r>
          </w:p>
        </w:tc>
        <w:tc>
          <w:tcPr>
            <w:tcW w:w="75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50</w:t>
            </w:r>
          </w:p>
        </w:tc>
        <w:tc>
          <w:tcPr>
            <w:tcW w:w="16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9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(171</w:t>
            </w:r>
          </w:p>
        </w:tc>
        <w:tc>
          <w:tcPr>
            <w:tcW w:w="16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418"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pPr>
            <w:r>
              <w:rPr/>
              <w:t>—</w:t>
            </w:r>
          </w:p>
        </w:tc>
        <w:tc>
          <w:tcPr>
            <w:tcW w:w="52"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(121</w:t>
            </w:r>
          </w:p>
        </w:tc>
        <w:tc>
          <w:tcPr>
            <w:tcW w:w="27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8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Balance at June 30, 2018</w:t>
            </w:r>
          </w:p>
        </w:tc>
        <w:tc>
          <w:tcPr>
            <w:tcW w:w="182"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7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(173</w:t>
            </w:r>
          </w:p>
        </w:tc>
        <w:tc>
          <w:tcPr>
            <w:tcW w:w="162"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91"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0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(719</w:t>
            </w:r>
          </w:p>
        </w:tc>
        <w:tc>
          <w:tcPr>
            <w:tcW w:w="169"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209"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209"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w:t>
            </w:r>
          </w:p>
        </w:tc>
        <w:tc>
          <w:tcPr>
            <w:tcW w:w="52"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9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(891</w:t>
            </w:r>
          </w:p>
        </w:tc>
        <w:tc>
          <w:tcPr>
            <w:tcW w:w="27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r>
    </w:tbl>
    <w:p>
      <w:pPr>
        <w:pStyle w:val="TextBody"/>
        <w:spacing w:lineRule="auto" w:line="288" w:before="0" w:after="0"/>
        <w:rPr/>
      </w:pPr>
      <w:r>
        <w:rPr/>
        <w:t> </w:t>
      </w:r>
    </w:p>
    <w:p>
      <w:pPr>
        <w:pStyle w:val="TextBody"/>
        <w:spacing w:lineRule="auto" w:line="288" w:before="0" w:after="0"/>
        <w:jc w:val="center"/>
        <w:rPr>
          <w:rFonts w:ascii="inherit" w:hAnsi="inherit"/>
          <w:sz w:val="17"/>
        </w:rPr>
      </w:pPr>
      <w:r>
        <w:rPr>
          <w:rFonts w:ascii="inherit" w:hAnsi="inherit"/>
          <w:sz w:val="17"/>
        </w:rPr>
        <w:t>The accompanying notes are an integral part of these condensed consolidated financial statements.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w:t>
      </w:r>
      <w:r>
        <w:br w:type="page"/>
      </w:r>
    </w:p>
    <w:p>
      <w:pPr>
        <w:pStyle w:val="TextBody"/>
        <w:spacing w:lineRule="auto" w:line="288" w:before="0" w:after="0"/>
        <w:rPr/>
      </w:pPr>
      <w:hyperlink w:anchor="s3336AD8A685850CC9B7F2572CB2C0BC3">
        <w:bookmarkStart w:id="11" w:name="sB2BD7812259D58168C9AF656708E633A"/>
        <w:bookmarkEnd w:id="11"/>
        <w:r>
          <w:rPr>
            <w:rStyle w:val="InternetLink"/>
            <w:rFonts w:ascii="inherit" w:hAnsi="inherit"/>
            <w:sz w:val="17"/>
          </w:rPr>
          <w:t>Table of Contents</w:t>
        </w:r>
      </w:hyperlink>
      <w:r>
        <w:rPr>
          <w:sz w:val="17"/>
        </w:rPr>
        <w:t xml:space="preserve"> </w:t>
      </w:r>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PLAINS ALL AMERICAN PIPELINE, L.P. AND SUBSIDIARIES</w:t>
      </w:r>
    </w:p>
    <w:p>
      <w:pPr>
        <w:pStyle w:val="TextBody"/>
        <w:spacing w:lineRule="auto" w:line="288" w:before="0" w:after="0"/>
        <w:jc w:val="center"/>
        <w:rPr>
          <w:rFonts w:ascii="inherit" w:hAnsi="inherit"/>
          <w:b/>
          <w:sz w:val="17"/>
        </w:rPr>
      </w:pPr>
      <w:r>
        <w:rPr>
          <w:rFonts w:ascii="inherit" w:hAnsi="inherit"/>
          <w:b/>
          <w:sz w:val="17"/>
        </w:rPr>
        <w:t>CONDENSED CONSOLIDATED STATEMENTS OF CASH FLOWS</w:t>
      </w:r>
    </w:p>
    <w:p>
      <w:pPr>
        <w:pStyle w:val="TextBody"/>
        <w:spacing w:lineRule="auto" w:line="288" w:before="0" w:after="0"/>
        <w:jc w:val="center"/>
        <w:rPr>
          <w:rFonts w:ascii="inherit" w:hAnsi="inherit"/>
          <w:b/>
          <w:sz w:val="17"/>
        </w:rPr>
      </w:pPr>
      <w:r>
        <w:rPr>
          <w:rFonts w:ascii="inherit" w:hAnsi="inherit"/>
          <w:b/>
          <w:sz w:val="17"/>
        </w:rPr>
        <w:t>(in millions)</w:t>
      </w:r>
    </w:p>
    <w:tbl>
      <w:tblPr>
        <w:tblW w:w="8935" w:type="dxa"/>
        <w:jc w:val="left"/>
        <w:tblInd w:w="0" w:type="dxa"/>
        <w:tblCellMar>
          <w:top w:w="0" w:type="dxa"/>
          <w:left w:w="0" w:type="dxa"/>
          <w:bottom w:w="0" w:type="dxa"/>
          <w:right w:w="0" w:type="dxa"/>
        </w:tblCellMar>
      </w:tblPr>
      <w:tblGrid>
        <w:gridCol w:w="7205"/>
        <w:gridCol w:w="125"/>
        <w:gridCol w:w="485"/>
        <w:gridCol w:w="110"/>
        <w:gridCol w:w="90"/>
        <w:gridCol w:w="131"/>
        <w:gridCol w:w="354"/>
        <w:gridCol w:w="435"/>
      </w:tblGrid>
      <w:tr>
        <w:trPr/>
        <w:tc>
          <w:tcPr>
            <w:tcW w:w="8935" w:type="dxa"/>
            <w:gridSpan w:val="8"/>
            <w:tcBorders/>
            <w:shd w:fill="auto" w:val="clear"/>
            <w:vAlign w:val="center"/>
          </w:tcPr>
          <w:p>
            <w:pPr>
              <w:pStyle w:val="TableContents"/>
              <w:spacing w:before="0" w:after="283"/>
              <w:rPr>
                <w:sz w:val="4"/>
                <w:szCs w:val="4"/>
              </w:rPr>
            </w:pPr>
            <w:r>
              <w:rPr>
                <w:sz w:val="4"/>
                <w:szCs w:val="4"/>
              </w:rPr>
            </w:r>
          </w:p>
        </w:tc>
      </w:tr>
      <w:tr>
        <w:trPr/>
        <w:tc>
          <w:tcPr>
            <w:tcW w:w="720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7205" w:type="dxa"/>
            <w:tcBorders/>
            <w:shd w:fill="auto" w:val="clear"/>
            <w:vAlign w:val="center"/>
          </w:tcPr>
          <w:p>
            <w:pPr>
              <w:pStyle w:val="TableContents"/>
              <w:spacing w:before="0" w:after="0"/>
              <w:ind w:left="0" w:right="0" w:firstLine="30"/>
              <w:rPr/>
            </w:pPr>
            <w:r>
              <w:rPr/>
              <w:t> </w:t>
            </w:r>
          </w:p>
        </w:tc>
        <w:tc>
          <w:tcPr>
            <w:tcW w:w="1730"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w:t>
              <w:br/>
              <w:t>June 30,</w:t>
            </w:r>
          </w:p>
        </w:tc>
      </w:tr>
      <w:tr>
        <w:trPr/>
        <w:tc>
          <w:tcPr>
            <w:tcW w:w="7205" w:type="dxa"/>
            <w:tcBorders/>
            <w:shd w:fill="auto" w:val="clear"/>
            <w:vAlign w:val="center"/>
          </w:tcPr>
          <w:p>
            <w:pPr>
              <w:pStyle w:val="TableContents"/>
              <w:spacing w:before="0" w:after="0"/>
              <w:ind w:left="0" w:right="0" w:firstLine="30"/>
              <w:jc w:val="left"/>
              <w:rPr/>
            </w:pPr>
            <w:r>
              <w:rPr/>
              <w:t> </w:t>
            </w:r>
          </w:p>
        </w:tc>
        <w:tc>
          <w:tcPr>
            <w:tcW w:w="72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90" w:type="dxa"/>
            <w:tcBorders/>
            <w:shd w:fill="auto" w:val="clear"/>
            <w:vAlign w:val="center"/>
          </w:tcPr>
          <w:p>
            <w:pPr>
              <w:pStyle w:val="TableContents"/>
              <w:spacing w:before="0" w:after="0"/>
              <w:ind w:left="0" w:right="0" w:firstLine="30"/>
              <w:rPr/>
            </w:pPr>
            <w:r>
              <w:rPr/>
              <w:t> </w:t>
            </w:r>
          </w:p>
        </w:tc>
        <w:tc>
          <w:tcPr>
            <w:tcW w:w="92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r>
      <w:tr>
        <w:trPr/>
        <w:tc>
          <w:tcPr>
            <w:tcW w:w="7205" w:type="dxa"/>
            <w:tcBorders/>
            <w:shd w:fill="auto" w:val="clear"/>
            <w:vAlign w:val="center"/>
          </w:tcPr>
          <w:p>
            <w:pPr>
              <w:pStyle w:val="TableContents"/>
              <w:spacing w:before="0" w:after="0"/>
              <w:ind w:left="0" w:right="0" w:firstLine="30"/>
              <w:jc w:val="left"/>
              <w:rPr/>
            </w:pPr>
            <w:r>
              <w:rPr/>
              <w:t> </w:t>
            </w:r>
          </w:p>
        </w:tc>
        <w:tc>
          <w:tcPr>
            <w:tcW w:w="1730" w:type="dxa"/>
            <w:gridSpan w:val="7"/>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(unaudited)</w:t>
            </w:r>
          </w:p>
        </w:tc>
      </w:tr>
      <w:tr>
        <w:trPr/>
        <w:tc>
          <w:tcPr>
            <w:tcW w:w="7205" w:type="dxa"/>
            <w:tcBorders/>
            <w:shd w:fill="CCEEFF" w:val="clear"/>
            <w:vAlign w:val="center"/>
          </w:tcPr>
          <w:p>
            <w:pPr>
              <w:pStyle w:val="TableContents"/>
              <w:spacing w:before="0" w:after="0"/>
              <w:ind w:left="0" w:right="0" w:firstLine="30"/>
              <w:rPr>
                <w:rFonts w:ascii="inherit" w:hAnsi="inherit"/>
                <w:b/>
                <w:sz w:val="17"/>
              </w:rPr>
            </w:pPr>
            <w:r>
              <w:rPr>
                <w:rFonts w:ascii="inherit" w:hAnsi="inherit"/>
                <w:b/>
                <w:sz w:val="17"/>
              </w:rPr>
              <w:t>CASH FLOWS FROM OPERATING ACTIVITIES</w:t>
            </w:r>
          </w:p>
        </w:tc>
        <w:tc>
          <w:tcPr>
            <w:tcW w:w="610" w:type="dxa"/>
            <w:gridSpan w:val="2"/>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485" w:type="dxa"/>
            <w:gridSpan w:val="2"/>
            <w:tcBorders/>
            <w:shd w:fill="CCEEFF" w:val="clear"/>
            <w:vAlign w:val="center"/>
          </w:tcPr>
          <w:p>
            <w:pPr>
              <w:pStyle w:val="TableContents"/>
              <w:spacing w:before="0" w:after="0"/>
              <w:jc w:val="right"/>
              <w:rPr/>
            </w:pPr>
            <w:r>
              <w:rPr/>
              <w:t> </w:t>
            </w:r>
          </w:p>
        </w:tc>
        <w:tc>
          <w:tcPr>
            <w:tcW w:w="4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2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auto" w:val="clear"/>
            <w:vAlign w:val="center"/>
          </w:tcPr>
          <w:p>
            <w:pPr>
              <w:pStyle w:val="TableContents"/>
              <w:spacing w:before="0" w:after="0"/>
              <w:jc w:val="right"/>
              <w:rPr>
                <w:rFonts w:ascii="inherit" w:hAnsi="inherit"/>
                <w:sz w:val="17"/>
              </w:rPr>
            </w:pPr>
            <w:r>
              <w:rPr>
                <w:rFonts w:ascii="inherit" w:hAnsi="inherit"/>
                <w:sz w:val="17"/>
              </w:rPr>
              <w:t>1,418</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354" w:type="dxa"/>
            <w:tcBorders/>
            <w:shd w:fill="auto" w:val="clear"/>
            <w:vAlign w:val="center"/>
          </w:tcPr>
          <w:p>
            <w:pPr>
              <w:pStyle w:val="TableContents"/>
              <w:spacing w:before="0" w:after="0"/>
              <w:jc w:val="right"/>
              <w:rPr>
                <w:rFonts w:ascii="inherit" w:hAnsi="inherit"/>
                <w:sz w:val="17"/>
              </w:rPr>
            </w:pPr>
            <w:r>
              <w:rPr>
                <w:rFonts w:ascii="inherit" w:hAnsi="inherit"/>
                <w:sz w:val="17"/>
              </w:rPr>
              <w:t>388</w:t>
            </w:r>
          </w:p>
        </w:tc>
        <w:tc>
          <w:tcPr>
            <w:tcW w:w="4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2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Reconciliation of net income to net cash provided by operating activities:</w:t>
            </w:r>
          </w:p>
        </w:tc>
        <w:tc>
          <w:tcPr>
            <w:tcW w:w="610" w:type="dxa"/>
            <w:gridSpan w:val="2"/>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485" w:type="dxa"/>
            <w:gridSpan w:val="2"/>
            <w:tcBorders/>
            <w:shd w:fill="CCEEFF" w:val="clear"/>
            <w:vAlign w:val="center"/>
          </w:tcPr>
          <w:p>
            <w:pPr>
              <w:pStyle w:val="TableContents"/>
              <w:spacing w:before="0" w:after="0"/>
              <w:jc w:val="right"/>
              <w:rPr/>
            </w:pPr>
            <w:r>
              <w:rPr/>
              <w:t> </w:t>
            </w:r>
          </w:p>
        </w:tc>
        <w:tc>
          <w:tcPr>
            <w:tcW w:w="43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72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283</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8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256</w:t>
            </w:r>
          </w:p>
        </w:tc>
        <w:tc>
          <w:tcPr>
            <w:tcW w:w="43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72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(Gains)/losses on asset sales and asset impairments, net</w:t>
            </w:r>
          </w:p>
        </w:tc>
        <w:tc>
          <w:tcPr>
            <w:tcW w:w="610" w:type="dxa"/>
            <w:gridSpan w:val="2"/>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48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(81</w:t>
            </w:r>
          </w:p>
        </w:tc>
        <w:tc>
          <w:tcPr>
            <w:tcW w:w="43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72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Equity-indexed compensation expense</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8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36</w:t>
            </w:r>
          </w:p>
        </w:tc>
        <w:tc>
          <w:tcPr>
            <w:tcW w:w="43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72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Deferred income tax expense/(benefit)</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(52</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48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25</w:t>
            </w:r>
          </w:p>
        </w:tc>
        <w:tc>
          <w:tcPr>
            <w:tcW w:w="43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72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Settlement of terminated interest rate hedging instruments</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48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w:t>
            </w:r>
          </w:p>
        </w:tc>
        <w:tc>
          <w:tcPr>
            <w:tcW w:w="43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72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Equity earnings in unconsolidated entities</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(172</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48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(171</w:t>
            </w:r>
          </w:p>
        </w:tc>
        <w:tc>
          <w:tcPr>
            <w:tcW w:w="43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72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Distributions on earnings from unconsolidated entities</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8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206</w:t>
            </w:r>
          </w:p>
        </w:tc>
        <w:tc>
          <w:tcPr>
            <w:tcW w:w="43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72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Gain on investment in unconsolidated entities (Note 7)</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(267</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485" w:type="dxa"/>
            <w:gridSpan w:val="2"/>
            <w:tcBorders/>
            <w:shd w:fill="CCEEFF" w:val="clear"/>
            <w:vAlign w:val="center"/>
          </w:tcPr>
          <w:p>
            <w:pPr>
              <w:pStyle w:val="TableContents"/>
              <w:spacing w:before="0" w:after="0"/>
              <w:jc w:val="right"/>
              <w:rPr/>
            </w:pPr>
            <w:r>
              <w:rPr/>
              <w:t>—</w:t>
            </w:r>
          </w:p>
        </w:tc>
        <w:tc>
          <w:tcPr>
            <w:tcW w:w="43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72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8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w:t>
            </w:r>
          </w:p>
        </w:tc>
        <w:tc>
          <w:tcPr>
            <w:tcW w:w="4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2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Changes in assets and liabilities, net of acquisitions</w:t>
            </w:r>
          </w:p>
        </w:tc>
        <w:tc>
          <w:tcPr>
            <w:tcW w:w="61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44</w:t>
            </w:r>
          </w:p>
        </w:tc>
        <w:tc>
          <w:tcPr>
            <w:tcW w:w="11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48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329</w:t>
            </w:r>
          </w:p>
        </w:tc>
        <w:tc>
          <w:tcPr>
            <w:tcW w:w="435" w:type="dxa"/>
            <w:tcBorders>
              <w:bottom w:val="single" w:sz="2" w:space="0" w:color="000000"/>
            </w:tcBorders>
            <w:shd w:fill="CCEEFF"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72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cash provided by operating activities</w:t>
            </w:r>
          </w:p>
        </w:tc>
        <w:tc>
          <w:tcPr>
            <w:tcW w:w="6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1,464</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8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1,015</w:t>
            </w:r>
          </w:p>
        </w:tc>
        <w:tc>
          <w:tcPr>
            <w:tcW w:w="4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205" w:type="dxa"/>
            <w:tcBorders/>
            <w:shd w:fill="CCEEFF" w:val="clear"/>
            <w:vAlign w:val="center"/>
          </w:tcPr>
          <w:p>
            <w:pPr>
              <w:pStyle w:val="TableContents"/>
              <w:spacing w:before="0" w:after="0"/>
              <w:ind w:left="0" w:right="0" w:firstLine="30"/>
              <w:rPr/>
            </w:pPr>
            <w:r>
              <w:rPr/>
              <w:t> </w:t>
            </w:r>
          </w:p>
        </w:tc>
        <w:tc>
          <w:tcPr>
            <w:tcW w:w="72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20" w:type="dxa"/>
            <w:gridSpan w:val="3"/>
            <w:tcBorders/>
            <w:shd w:fill="CCEEFF" w:val="clear"/>
            <w:vAlign w:val="center"/>
          </w:tcPr>
          <w:p>
            <w:pPr>
              <w:pStyle w:val="TableContents"/>
              <w:spacing w:before="0" w:after="0"/>
              <w:ind w:left="0" w:right="0" w:firstLine="30"/>
              <w:rPr/>
            </w:pPr>
            <w:r>
              <w:rPr/>
              <w:t> </w:t>
            </w:r>
          </w:p>
        </w:tc>
      </w:tr>
      <w:tr>
        <w:trPr/>
        <w:tc>
          <w:tcPr>
            <w:tcW w:w="7205" w:type="dxa"/>
            <w:tcBorders/>
            <w:shd w:fill="auto" w:val="clear"/>
            <w:vAlign w:val="center"/>
          </w:tcPr>
          <w:p>
            <w:pPr>
              <w:pStyle w:val="TableContents"/>
              <w:spacing w:before="0" w:after="0"/>
              <w:ind w:left="0" w:right="0" w:firstLine="30"/>
              <w:rPr>
                <w:rFonts w:ascii="inherit" w:hAnsi="inherit"/>
                <w:b/>
                <w:sz w:val="17"/>
              </w:rPr>
            </w:pPr>
            <w:r>
              <w:rPr>
                <w:rFonts w:ascii="inherit" w:hAnsi="inherit"/>
                <w:b/>
                <w:sz w:val="17"/>
              </w:rPr>
              <w:t>CASH FLOWS FROM INVESTING ACTIVITIES</w:t>
            </w:r>
          </w:p>
        </w:tc>
        <w:tc>
          <w:tcPr>
            <w:tcW w:w="610" w:type="dxa"/>
            <w:gridSpan w:val="2"/>
            <w:tcBorders/>
            <w:shd w:fill="auto" w:val="clear"/>
            <w:vAlign w:val="center"/>
          </w:tcPr>
          <w:p>
            <w:pPr>
              <w:pStyle w:val="TableContents"/>
              <w:spacing w:before="0" w:after="0"/>
              <w:jc w:val="right"/>
              <w:rPr/>
            </w:pPr>
            <w:r>
              <w:rPr/>
              <w:t> </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85" w:type="dxa"/>
            <w:gridSpan w:val="2"/>
            <w:tcBorders/>
            <w:shd w:fill="auto" w:val="clear"/>
            <w:vAlign w:val="center"/>
          </w:tcPr>
          <w:p>
            <w:pPr>
              <w:pStyle w:val="TableContents"/>
              <w:spacing w:before="0" w:after="0"/>
              <w:jc w:val="right"/>
              <w:rPr/>
            </w:pPr>
            <w:r>
              <w:rPr/>
              <w:t> </w:t>
            </w:r>
          </w:p>
        </w:tc>
        <w:tc>
          <w:tcPr>
            <w:tcW w:w="4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2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Cash paid in connection with acquisitions, net of cash acquired</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(47</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485" w:type="dxa"/>
            <w:gridSpan w:val="2"/>
            <w:tcBorders/>
            <w:shd w:fill="CCEEFF" w:val="clear"/>
            <w:vAlign w:val="center"/>
          </w:tcPr>
          <w:p>
            <w:pPr>
              <w:pStyle w:val="TableContents"/>
              <w:spacing w:before="0" w:after="0"/>
              <w:jc w:val="right"/>
              <w:rPr/>
            </w:pPr>
            <w:r>
              <w:rPr/>
              <w:t>—</w:t>
            </w:r>
          </w:p>
        </w:tc>
        <w:tc>
          <w:tcPr>
            <w:tcW w:w="4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2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Investments in unconsolidated entities</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(259</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48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(216</w:t>
            </w:r>
          </w:p>
        </w:tc>
        <w:tc>
          <w:tcPr>
            <w:tcW w:w="4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72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Additions to property, equipment and other</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(642</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48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(724</w:t>
            </w:r>
          </w:p>
        </w:tc>
        <w:tc>
          <w:tcPr>
            <w:tcW w:w="4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72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Proceeds from sales of assets</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8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426</w:t>
            </w:r>
          </w:p>
        </w:tc>
        <w:tc>
          <w:tcPr>
            <w:tcW w:w="4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2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Cash paid for purchases of linefill and base gas</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485" w:type="dxa"/>
            <w:gridSpan w:val="2"/>
            <w:tcBorders/>
            <w:shd w:fill="CCEEFF" w:val="clear"/>
            <w:vAlign w:val="center"/>
          </w:tcPr>
          <w:p>
            <w:pPr>
              <w:pStyle w:val="TableContents"/>
              <w:spacing w:before="0" w:after="0"/>
              <w:jc w:val="right"/>
              <w:rPr/>
            </w:pPr>
            <w:r>
              <w:rPr/>
              <w:t>—</w:t>
            </w:r>
          </w:p>
        </w:tc>
        <w:tc>
          <w:tcPr>
            <w:tcW w:w="4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2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investing activities</w:t>
            </w:r>
          </w:p>
        </w:tc>
        <w:tc>
          <w:tcPr>
            <w:tcW w:w="6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w:t>
            </w:r>
          </w:p>
        </w:tc>
        <w:tc>
          <w:tcPr>
            <w:tcW w:w="11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48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w:t>
            </w:r>
          </w:p>
        </w:tc>
        <w:tc>
          <w:tcPr>
            <w:tcW w:w="435"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72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cash used in investing activities</w:t>
            </w:r>
          </w:p>
        </w:tc>
        <w:tc>
          <w:tcPr>
            <w:tcW w:w="61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(978</w:t>
            </w:r>
          </w:p>
        </w:tc>
        <w:tc>
          <w:tcPr>
            <w:tcW w:w="11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48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(506</w:t>
            </w:r>
          </w:p>
        </w:tc>
        <w:tc>
          <w:tcPr>
            <w:tcW w:w="43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7205" w:type="dxa"/>
            <w:tcBorders/>
            <w:shd w:fill="auto" w:val="clear"/>
            <w:vAlign w:val="center"/>
          </w:tcPr>
          <w:p>
            <w:pPr>
              <w:pStyle w:val="TableContents"/>
              <w:spacing w:before="0" w:after="0"/>
              <w:ind w:left="0" w:right="0" w:firstLine="30"/>
              <w:rPr/>
            </w:pPr>
            <w:r>
              <w:rPr/>
              <w:t> </w:t>
            </w:r>
          </w:p>
        </w:tc>
        <w:tc>
          <w:tcPr>
            <w:tcW w:w="72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20" w:type="dxa"/>
            <w:gridSpan w:val="3"/>
            <w:tcBorders/>
            <w:shd w:fill="auto" w:val="clear"/>
            <w:vAlign w:val="center"/>
          </w:tcPr>
          <w:p>
            <w:pPr>
              <w:pStyle w:val="TableContents"/>
              <w:spacing w:before="0" w:after="0"/>
              <w:ind w:left="0" w:right="0" w:firstLine="30"/>
              <w:rPr/>
            </w:pPr>
            <w:r>
              <w:rPr/>
              <w:t> </w:t>
            </w:r>
          </w:p>
        </w:tc>
      </w:tr>
      <w:tr>
        <w:trPr/>
        <w:tc>
          <w:tcPr>
            <w:tcW w:w="7205" w:type="dxa"/>
            <w:tcBorders/>
            <w:shd w:fill="CCEEFF" w:val="clear"/>
            <w:vAlign w:val="center"/>
          </w:tcPr>
          <w:p>
            <w:pPr>
              <w:pStyle w:val="TableContents"/>
              <w:spacing w:before="0" w:after="0"/>
              <w:ind w:left="0" w:right="0" w:firstLine="30"/>
              <w:rPr>
                <w:rFonts w:ascii="inherit" w:hAnsi="inherit"/>
                <w:b/>
                <w:sz w:val="17"/>
              </w:rPr>
            </w:pPr>
            <w:r>
              <w:rPr>
                <w:rFonts w:ascii="inherit" w:hAnsi="inherit"/>
                <w:b/>
                <w:sz w:val="17"/>
              </w:rPr>
              <w:t>CASH FLOWS FROM FINANCING ACTIVITIES</w:t>
            </w:r>
          </w:p>
        </w:tc>
        <w:tc>
          <w:tcPr>
            <w:tcW w:w="610" w:type="dxa"/>
            <w:gridSpan w:val="2"/>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485" w:type="dxa"/>
            <w:gridSpan w:val="2"/>
            <w:tcBorders/>
            <w:shd w:fill="CCEEFF" w:val="clear"/>
            <w:vAlign w:val="center"/>
          </w:tcPr>
          <w:p>
            <w:pPr>
              <w:pStyle w:val="TableContents"/>
              <w:spacing w:before="0" w:after="0"/>
              <w:jc w:val="right"/>
              <w:rPr/>
            </w:pPr>
            <w:r>
              <w:rPr/>
              <w:t> </w:t>
            </w:r>
          </w:p>
        </w:tc>
        <w:tc>
          <w:tcPr>
            <w:tcW w:w="4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2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borrowings under commercial paper program (Note 8)</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218</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8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135</w:t>
            </w:r>
          </w:p>
        </w:tc>
        <w:tc>
          <w:tcPr>
            <w:tcW w:w="4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2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borrowings under senior unsecured revolving credit facility (Note 8)</w:t>
            </w:r>
          </w:p>
        </w:tc>
        <w:tc>
          <w:tcPr>
            <w:tcW w:w="610" w:type="dxa"/>
            <w:gridSpan w:val="2"/>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48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126</w:t>
            </w:r>
          </w:p>
        </w:tc>
        <w:tc>
          <w:tcPr>
            <w:tcW w:w="4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2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borrowings/(repayments) under senior secured hedged inventory facility (Note 8)</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8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(333</w:t>
            </w:r>
          </w:p>
        </w:tc>
        <w:tc>
          <w:tcPr>
            <w:tcW w:w="4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72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Distributions paid to Series A preferred unitholders (Note 9)</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(74</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48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w:t>
            </w:r>
          </w:p>
        </w:tc>
        <w:tc>
          <w:tcPr>
            <w:tcW w:w="4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72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Distributions paid to Series B preferred unitholders (Note 9)</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48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w:t>
            </w:r>
          </w:p>
        </w:tc>
        <w:tc>
          <w:tcPr>
            <w:tcW w:w="4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72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Distributions paid to common unitholders (Note 9)</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(480</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48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(435</w:t>
            </w:r>
          </w:p>
        </w:tc>
        <w:tc>
          <w:tcPr>
            <w:tcW w:w="4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72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Sale of noncontrolling interest in a subsidiary (Note 9)</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128</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85" w:type="dxa"/>
            <w:gridSpan w:val="2"/>
            <w:tcBorders/>
            <w:shd w:fill="auto" w:val="clear"/>
            <w:vAlign w:val="center"/>
          </w:tcPr>
          <w:p>
            <w:pPr>
              <w:pStyle w:val="TableContents"/>
              <w:spacing w:before="0" w:after="0"/>
              <w:jc w:val="right"/>
              <w:rPr/>
            </w:pPr>
            <w:r>
              <w:rPr/>
              <w:t>—</w:t>
            </w:r>
          </w:p>
        </w:tc>
        <w:tc>
          <w:tcPr>
            <w:tcW w:w="4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2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financing activities</w:t>
            </w:r>
          </w:p>
        </w:tc>
        <w:tc>
          <w:tcPr>
            <w:tcW w:w="61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45</w:t>
            </w:r>
          </w:p>
        </w:tc>
        <w:tc>
          <w:tcPr>
            <w:tcW w:w="11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48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60</w:t>
            </w:r>
          </w:p>
        </w:tc>
        <w:tc>
          <w:tcPr>
            <w:tcW w:w="435" w:type="dxa"/>
            <w:tcBorders>
              <w:bottom w:val="single" w:sz="2" w:space="0" w:color="000000"/>
            </w:tcBorders>
            <w:shd w:fill="CCEEFF"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72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cash used in financing activities</w:t>
            </w:r>
          </w:p>
        </w:tc>
        <w:tc>
          <w:tcPr>
            <w:tcW w:w="6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(88</w:t>
            </w:r>
          </w:p>
        </w:tc>
        <w:tc>
          <w:tcPr>
            <w:tcW w:w="11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48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(509</w:t>
            </w:r>
          </w:p>
        </w:tc>
        <w:tc>
          <w:tcPr>
            <w:tcW w:w="43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7205" w:type="dxa"/>
            <w:tcBorders/>
            <w:shd w:fill="CCEEFF" w:val="clear"/>
            <w:vAlign w:val="center"/>
          </w:tcPr>
          <w:p>
            <w:pPr>
              <w:pStyle w:val="TableContents"/>
              <w:spacing w:before="0" w:after="0"/>
              <w:ind w:left="0" w:right="0" w:firstLine="30"/>
              <w:rPr/>
            </w:pPr>
            <w:r>
              <w:rPr/>
              <w:t> </w:t>
            </w:r>
          </w:p>
        </w:tc>
        <w:tc>
          <w:tcPr>
            <w:tcW w:w="72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20" w:type="dxa"/>
            <w:gridSpan w:val="3"/>
            <w:tcBorders/>
            <w:shd w:fill="CCEEFF" w:val="clear"/>
            <w:vAlign w:val="center"/>
          </w:tcPr>
          <w:p>
            <w:pPr>
              <w:pStyle w:val="TableContents"/>
              <w:spacing w:before="0" w:after="0"/>
              <w:ind w:left="0" w:right="0" w:firstLine="30"/>
              <w:rPr/>
            </w:pPr>
            <w:r>
              <w:rPr/>
              <w:t> </w:t>
            </w:r>
          </w:p>
        </w:tc>
      </w:tr>
      <w:tr>
        <w:trPr/>
        <w:tc>
          <w:tcPr>
            <w:tcW w:w="72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Effect of translation adjustment</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48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w:t>
            </w:r>
          </w:p>
        </w:tc>
        <w:tc>
          <w:tcPr>
            <w:tcW w:w="4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7205" w:type="dxa"/>
            <w:tcBorders/>
            <w:shd w:fill="CCEEFF" w:val="clear"/>
            <w:vAlign w:val="center"/>
          </w:tcPr>
          <w:p>
            <w:pPr>
              <w:pStyle w:val="TableContents"/>
              <w:spacing w:before="0" w:after="0"/>
              <w:ind w:left="0" w:right="0" w:firstLine="30"/>
              <w:rPr/>
            </w:pPr>
            <w:r>
              <w:rPr/>
              <w:t> </w:t>
            </w:r>
          </w:p>
        </w:tc>
        <w:tc>
          <w:tcPr>
            <w:tcW w:w="72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20" w:type="dxa"/>
            <w:gridSpan w:val="3"/>
            <w:tcBorders/>
            <w:shd w:fill="CCEEFF" w:val="clear"/>
            <w:vAlign w:val="center"/>
          </w:tcPr>
          <w:p>
            <w:pPr>
              <w:pStyle w:val="TableContents"/>
              <w:spacing w:before="0" w:after="0"/>
              <w:ind w:left="0" w:right="0" w:firstLine="30"/>
              <w:rPr/>
            </w:pPr>
            <w:r>
              <w:rPr/>
              <w:t> </w:t>
            </w:r>
          </w:p>
        </w:tc>
      </w:tr>
      <w:tr>
        <w:trPr/>
        <w:tc>
          <w:tcPr>
            <w:tcW w:w="72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increase/(decrease) in cash and cash equivalents and restricted cash</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395</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8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w:t>
            </w:r>
          </w:p>
        </w:tc>
        <w:tc>
          <w:tcPr>
            <w:tcW w:w="4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72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Cash and cash equivalents and restricted cash, beginning of period</w:t>
            </w:r>
          </w:p>
        </w:tc>
        <w:tc>
          <w:tcPr>
            <w:tcW w:w="61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66</w:t>
            </w:r>
          </w:p>
        </w:tc>
        <w:tc>
          <w:tcPr>
            <w:tcW w:w="11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48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37</w:t>
            </w:r>
          </w:p>
        </w:tc>
        <w:tc>
          <w:tcPr>
            <w:tcW w:w="43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2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Cash and cash equivalents and restricted cash, end of period</w:t>
            </w:r>
          </w:p>
        </w:tc>
        <w:tc>
          <w:tcPr>
            <w:tcW w:w="12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461</w:t>
            </w:r>
          </w:p>
        </w:tc>
        <w:tc>
          <w:tcPr>
            <w:tcW w:w="11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1"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54"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34</w:t>
            </w:r>
          </w:p>
        </w:tc>
        <w:tc>
          <w:tcPr>
            <w:tcW w:w="43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205" w:type="dxa"/>
            <w:tcBorders/>
            <w:shd w:fill="CCEEFF" w:val="clear"/>
            <w:vAlign w:val="center"/>
          </w:tcPr>
          <w:p>
            <w:pPr>
              <w:pStyle w:val="TableContents"/>
              <w:spacing w:before="0" w:after="0"/>
              <w:ind w:left="0" w:right="0" w:firstLine="30"/>
              <w:rPr/>
            </w:pPr>
            <w:r>
              <w:rPr/>
              <w:t> </w:t>
            </w:r>
          </w:p>
        </w:tc>
        <w:tc>
          <w:tcPr>
            <w:tcW w:w="72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20" w:type="dxa"/>
            <w:gridSpan w:val="3"/>
            <w:tcBorders/>
            <w:shd w:fill="CCEEFF" w:val="clear"/>
            <w:vAlign w:val="center"/>
          </w:tcPr>
          <w:p>
            <w:pPr>
              <w:pStyle w:val="TableContents"/>
              <w:spacing w:before="0" w:after="0"/>
              <w:ind w:left="0" w:right="0" w:firstLine="30"/>
              <w:rPr/>
            </w:pPr>
            <w:r>
              <w:rPr/>
              <w:t> </w:t>
            </w:r>
          </w:p>
        </w:tc>
      </w:tr>
      <w:tr>
        <w:trPr/>
        <w:tc>
          <w:tcPr>
            <w:tcW w:w="72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Cash paid for:</w:t>
            </w:r>
          </w:p>
        </w:tc>
        <w:tc>
          <w:tcPr>
            <w:tcW w:w="610" w:type="dxa"/>
            <w:gridSpan w:val="2"/>
            <w:tcBorders/>
            <w:shd w:fill="auto" w:val="clear"/>
            <w:vAlign w:val="center"/>
          </w:tcPr>
          <w:p>
            <w:pPr>
              <w:pStyle w:val="TableContents"/>
              <w:spacing w:before="0" w:after="0"/>
              <w:jc w:val="right"/>
              <w:rPr/>
            </w:pPr>
            <w:r>
              <w:rPr/>
              <w:t> </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85" w:type="dxa"/>
            <w:gridSpan w:val="2"/>
            <w:tcBorders/>
            <w:shd w:fill="auto" w:val="clear"/>
            <w:vAlign w:val="center"/>
          </w:tcPr>
          <w:p>
            <w:pPr>
              <w:pStyle w:val="TableContents"/>
              <w:spacing w:before="0" w:after="0"/>
              <w:jc w:val="right"/>
              <w:rPr/>
            </w:pPr>
            <w:r>
              <w:rPr/>
              <w:t> </w:t>
            </w:r>
          </w:p>
        </w:tc>
        <w:tc>
          <w:tcPr>
            <w:tcW w:w="43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72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net of amounts capitalized</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188</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354" w:type="dxa"/>
            <w:tcBorders/>
            <w:shd w:fill="CCEEFF" w:val="clear"/>
            <w:vAlign w:val="center"/>
          </w:tcPr>
          <w:p>
            <w:pPr>
              <w:pStyle w:val="TableContents"/>
              <w:spacing w:before="0" w:after="0"/>
              <w:jc w:val="right"/>
              <w:rPr>
                <w:rFonts w:ascii="inherit" w:hAnsi="inherit"/>
                <w:sz w:val="17"/>
              </w:rPr>
            </w:pPr>
            <w:r>
              <w:rPr>
                <w:rFonts w:ascii="inherit" w:hAnsi="inherit"/>
                <w:sz w:val="17"/>
              </w:rPr>
              <w:t>203</w:t>
            </w:r>
          </w:p>
        </w:tc>
        <w:tc>
          <w:tcPr>
            <w:tcW w:w="43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72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taxes, net of amounts refunded</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auto" w:val="clear"/>
            <w:vAlign w:val="center"/>
          </w:tcPr>
          <w:p>
            <w:pPr>
              <w:pStyle w:val="TableContents"/>
              <w:spacing w:before="0" w:after="0"/>
              <w:jc w:val="right"/>
              <w:rPr>
                <w:rFonts w:ascii="inherit" w:hAnsi="inherit"/>
                <w:sz w:val="17"/>
              </w:rPr>
            </w:pPr>
            <w:r>
              <w:rPr>
                <w:rFonts w:ascii="inherit" w:hAnsi="inherit"/>
                <w:sz w:val="17"/>
              </w:rPr>
              <w:t>86</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354" w:type="dxa"/>
            <w:tcBorders/>
            <w:shd w:fill="auto" w:val="clear"/>
            <w:vAlign w:val="center"/>
          </w:tcPr>
          <w:p>
            <w:pPr>
              <w:pStyle w:val="TableContents"/>
              <w:spacing w:before="0" w:after="0"/>
              <w:jc w:val="right"/>
              <w:rPr>
                <w:rFonts w:ascii="inherit" w:hAnsi="inherit"/>
                <w:sz w:val="17"/>
              </w:rPr>
            </w:pPr>
            <w:r>
              <w:rPr>
                <w:rFonts w:ascii="inherit" w:hAnsi="inherit"/>
                <w:sz w:val="17"/>
              </w:rPr>
              <w:t>11</w:t>
            </w:r>
          </w:p>
        </w:tc>
        <w:tc>
          <w:tcPr>
            <w:tcW w:w="435"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t>The accompanying notes are an integral part of these condensed consolidated financial statements.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w:t>
      </w:r>
      <w:r>
        <w:br w:type="page"/>
      </w:r>
    </w:p>
    <w:p>
      <w:pPr>
        <w:pStyle w:val="TextBody"/>
        <w:spacing w:lineRule="auto" w:line="288" w:before="0" w:after="0"/>
        <w:rPr/>
      </w:pPr>
      <w:hyperlink w:anchor="s3336AD8A685850CC9B7F2572CB2C0BC3">
        <w:bookmarkStart w:id="12" w:name="sA376E712056459E28851452FF81E85D9"/>
        <w:bookmarkEnd w:id="12"/>
        <w:r>
          <w:rPr>
            <w:rStyle w:val="InternetLink"/>
            <w:rFonts w:ascii="inherit" w:hAnsi="inherit"/>
            <w:sz w:val="17"/>
          </w:rPr>
          <w:t>Table of Contents</w:t>
        </w:r>
      </w:hyperlink>
      <w:r>
        <w:rPr>
          <w:sz w:val="17"/>
        </w:rPr>
        <w:t xml:space="preserve"> </w:t>
      </w:r>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PLAINS ALL AMERICAN PIPELINE, L.P. AND SUBSIDIARIES</w:t>
      </w:r>
    </w:p>
    <w:p>
      <w:pPr>
        <w:pStyle w:val="TextBody"/>
        <w:spacing w:lineRule="auto" w:line="288" w:before="0" w:after="0"/>
        <w:jc w:val="center"/>
        <w:rPr>
          <w:rFonts w:ascii="inherit" w:hAnsi="inherit"/>
          <w:b/>
          <w:sz w:val="17"/>
        </w:rPr>
      </w:pPr>
      <w:r>
        <w:rPr>
          <w:rFonts w:ascii="inherit" w:hAnsi="inherit"/>
          <w:b/>
          <w:sz w:val="17"/>
        </w:rPr>
        <w:t>CONDENSED CONSOLIDATED STATEMENTS OF CHANGES IN PARTNERS’ CAPITAL</w:t>
      </w:r>
    </w:p>
    <w:p>
      <w:pPr>
        <w:pStyle w:val="TextBody"/>
        <w:spacing w:lineRule="auto" w:line="288" w:before="0" w:after="0"/>
        <w:jc w:val="center"/>
        <w:rPr>
          <w:rFonts w:ascii="inherit" w:hAnsi="inherit"/>
          <w:b/>
          <w:sz w:val="17"/>
        </w:rPr>
      </w:pPr>
      <w:r>
        <w:rPr>
          <w:rFonts w:ascii="inherit" w:hAnsi="inherit"/>
          <w:b/>
          <w:sz w:val="17"/>
        </w:rPr>
        <w:t>(in millions)</w:t>
      </w:r>
    </w:p>
    <w:tbl>
      <w:tblPr>
        <w:tblW w:w="10205" w:type="dxa"/>
        <w:jc w:val="left"/>
        <w:tblInd w:w="0" w:type="dxa"/>
        <w:tblCellMar>
          <w:top w:w="0" w:type="dxa"/>
          <w:left w:w="0" w:type="dxa"/>
          <w:bottom w:w="0" w:type="dxa"/>
          <w:right w:w="0" w:type="dxa"/>
        </w:tblCellMar>
      </w:tblPr>
      <w:tblGrid>
        <w:gridCol w:w="2898"/>
        <w:gridCol w:w="136"/>
        <w:gridCol w:w="528"/>
        <w:gridCol w:w="119"/>
        <w:gridCol w:w="97"/>
        <w:gridCol w:w="136"/>
        <w:gridCol w:w="365"/>
        <w:gridCol w:w="119"/>
        <w:gridCol w:w="90"/>
        <w:gridCol w:w="134"/>
        <w:gridCol w:w="636"/>
        <w:gridCol w:w="120"/>
        <w:gridCol w:w="90"/>
        <w:gridCol w:w="317"/>
        <w:gridCol w:w="1502"/>
        <w:gridCol w:w="280"/>
        <w:gridCol w:w="90"/>
        <w:gridCol w:w="372"/>
        <w:gridCol w:w="999"/>
        <w:gridCol w:w="90"/>
        <w:gridCol w:w="90"/>
        <w:gridCol w:w="125"/>
        <w:gridCol w:w="590"/>
        <w:gridCol w:w="282"/>
      </w:tblGrid>
      <w:tr>
        <w:trPr/>
        <w:tc>
          <w:tcPr>
            <w:tcW w:w="10205" w:type="dxa"/>
            <w:gridSpan w:val="24"/>
            <w:tcBorders/>
            <w:shd w:fill="auto" w:val="clear"/>
            <w:vAlign w:val="center"/>
          </w:tcPr>
          <w:p>
            <w:pPr>
              <w:pStyle w:val="TableContents"/>
              <w:spacing w:before="0" w:after="283"/>
              <w:rPr>
                <w:sz w:val="4"/>
                <w:szCs w:val="4"/>
              </w:rPr>
            </w:pPr>
            <w:r>
              <w:rPr>
                <w:sz w:val="4"/>
                <w:szCs w:val="4"/>
              </w:rPr>
            </w:r>
          </w:p>
        </w:tc>
      </w:tr>
      <w:tr>
        <w:trPr/>
        <w:tc>
          <w:tcPr>
            <w:tcW w:w="2898"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502"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898" w:type="dxa"/>
            <w:tcBorders/>
            <w:shd w:fill="auto" w:val="clear"/>
            <w:vAlign w:val="center"/>
          </w:tcPr>
          <w:p>
            <w:pPr>
              <w:pStyle w:val="TableContents"/>
              <w:spacing w:before="0" w:after="0"/>
              <w:ind w:left="0" w:right="0" w:firstLine="30"/>
              <w:jc w:val="left"/>
              <w:rPr/>
            </w:pPr>
            <w:r>
              <w:rPr/>
              <w:t> </w:t>
            </w:r>
          </w:p>
        </w:tc>
        <w:tc>
          <w:tcPr>
            <w:tcW w:w="2480"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Limited Partners</w:t>
            </w:r>
          </w:p>
        </w:tc>
        <w:tc>
          <w:tcPr>
            <w:tcW w:w="90" w:type="dxa"/>
            <w:tcBorders/>
            <w:shd w:fill="auto" w:val="clear"/>
            <w:vAlign w:val="center"/>
          </w:tcPr>
          <w:p>
            <w:pPr>
              <w:pStyle w:val="TableContents"/>
              <w:spacing w:before="0" w:after="0"/>
              <w:ind w:left="0" w:right="0" w:firstLine="30"/>
              <w:rPr/>
            </w:pPr>
            <w:r>
              <w:rPr/>
              <w:t> </w:t>
            </w:r>
          </w:p>
        </w:tc>
        <w:tc>
          <w:tcPr>
            <w:tcW w:w="2099" w:type="dxa"/>
            <w:gridSpan w:val="3"/>
            <w:vMerge w:val="restart"/>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Partners’</w:t>
            </w:r>
          </w:p>
          <w:p>
            <w:pPr>
              <w:pStyle w:val="TableContents"/>
              <w:spacing w:before="0" w:after="0"/>
              <w:ind w:left="0" w:right="0" w:firstLine="30"/>
              <w:jc w:val="center"/>
              <w:rPr>
                <w:rFonts w:ascii="inherit" w:hAnsi="inherit"/>
                <w:b/>
                <w:sz w:val="13"/>
              </w:rPr>
            </w:pPr>
            <w:r>
              <w:rPr>
                <w:rFonts w:ascii="inherit" w:hAnsi="inherit"/>
                <w:b/>
                <w:sz w:val="13"/>
              </w:rPr>
              <w:t>Capital Excluding Noncontrolling Interests</w:t>
            </w:r>
          </w:p>
        </w:tc>
        <w:tc>
          <w:tcPr>
            <w:tcW w:w="90" w:type="dxa"/>
            <w:tcBorders/>
            <w:shd w:fill="auto" w:val="clear"/>
            <w:vAlign w:val="center"/>
          </w:tcPr>
          <w:p>
            <w:pPr>
              <w:pStyle w:val="TableContents"/>
              <w:spacing w:before="0" w:after="0"/>
              <w:ind w:left="0" w:right="0" w:firstLine="30"/>
              <w:rPr/>
            </w:pPr>
            <w:r>
              <w:rPr/>
              <w:t> </w:t>
            </w:r>
          </w:p>
        </w:tc>
        <w:tc>
          <w:tcPr>
            <w:tcW w:w="1461"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Noncontrolling Interests</w:t>
            </w:r>
          </w:p>
        </w:tc>
        <w:tc>
          <w:tcPr>
            <w:tcW w:w="90" w:type="dxa"/>
            <w:tcBorders/>
            <w:shd w:fill="auto" w:val="clear"/>
            <w:vAlign w:val="center"/>
          </w:tcPr>
          <w:p>
            <w:pPr>
              <w:pStyle w:val="TableContents"/>
              <w:spacing w:before="0" w:after="0"/>
              <w:ind w:left="0" w:right="0" w:firstLine="30"/>
              <w:rPr/>
            </w:pPr>
            <w:r>
              <w:rPr/>
              <w:t> </w:t>
            </w:r>
          </w:p>
        </w:tc>
        <w:tc>
          <w:tcPr>
            <w:tcW w:w="997" w:type="dxa"/>
            <w:gridSpan w:val="3"/>
            <w:vMerge w:val="restart"/>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Total</w:t>
            </w:r>
          </w:p>
          <w:p>
            <w:pPr>
              <w:pStyle w:val="TableContents"/>
              <w:spacing w:before="0" w:after="0"/>
              <w:jc w:val="center"/>
              <w:rPr>
                <w:rFonts w:ascii="inherit" w:hAnsi="inherit"/>
                <w:b/>
                <w:sz w:val="13"/>
              </w:rPr>
            </w:pPr>
            <w:r>
              <w:rPr>
                <w:rFonts w:ascii="inherit" w:hAnsi="inherit"/>
                <w:b/>
                <w:sz w:val="13"/>
              </w:rPr>
              <w:t>Partners’</w:t>
            </w:r>
          </w:p>
          <w:p>
            <w:pPr>
              <w:pStyle w:val="TableContents"/>
              <w:spacing w:before="0" w:after="0"/>
              <w:ind w:left="0" w:right="0" w:firstLine="30"/>
              <w:jc w:val="center"/>
              <w:rPr>
                <w:rFonts w:ascii="inherit" w:hAnsi="inherit"/>
                <w:b/>
                <w:sz w:val="13"/>
              </w:rPr>
            </w:pPr>
            <w:r>
              <w:rPr>
                <w:rFonts w:ascii="inherit" w:hAnsi="inherit"/>
                <w:b/>
                <w:sz w:val="13"/>
              </w:rPr>
              <w:t>Capital</w:t>
            </w:r>
          </w:p>
        </w:tc>
      </w:tr>
      <w:tr>
        <w:trPr/>
        <w:tc>
          <w:tcPr>
            <w:tcW w:w="2898" w:type="dxa"/>
            <w:tcBorders/>
            <w:shd w:fill="auto" w:val="clear"/>
            <w:vAlign w:val="center"/>
          </w:tcPr>
          <w:p>
            <w:pPr>
              <w:pStyle w:val="TableContents"/>
              <w:spacing w:before="0" w:after="0"/>
              <w:ind w:left="0" w:right="0" w:firstLine="30"/>
              <w:rPr/>
            </w:pPr>
            <w:r>
              <w:rPr/>
              <w:t> </w:t>
            </w:r>
          </w:p>
        </w:tc>
        <w:tc>
          <w:tcPr>
            <w:tcW w:w="1500"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Preferred Unitholders</w:t>
            </w:r>
          </w:p>
        </w:tc>
        <w:tc>
          <w:tcPr>
            <w:tcW w:w="90" w:type="dxa"/>
            <w:tcBorders/>
            <w:shd w:fill="auto" w:val="clear"/>
            <w:vAlign w:val="center"/>
          </w:tcPr>
          <w:p>
            <w:pPr>
              <w:pStyle w:val="TableContents"/>
              <w:spacing w:before="0" w:after="0"/>
              <w:ind w:left="0" w:right="0" w:firstLine="30"/>
              <w:rPr/>
            </w:pPr>
            <w:r>
              <w:rPr/>
              <w:t> </w:t>
            </w:r>
          </w:p>
        </w:tc>
        <w:tc>
          <w:tcPr>
            <w:tcW w:w="890" w:type="dxa"/>
            <w:gridSpan w:val="3"/>
            <w:vMerge w:val="restart"/>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Common</w:t>
            </w:r>
          </w:p>
          <w:p>
            <w:pPr>
              <w:pStyle w:val="TableContents"/>
              <w:spacing w:before="0" w:after="0"/>
              <w:ind w:left="0" w:right="0" w:firstLine="30"/>
              <w:jc w:val="center"/>
              <w:rPr>
                <w:rFonts w:ascii="inherit" w:hAnsi="inherit"/>
                <w:b/>
                <w:sz w:val="13"/>
              </w:rPr>
            </w:pPr>
            <w:r>
              <w:rPr>
                <w:rFonts w:ascii="inherit" w:hAnsi="inherit"/>
                <w:b/>
                <w:sz w:val="13"/>
              </w:rPr>
              <w:t>Unitholders</w:t>
            </w:r>
          </w:p>
        </w:tc>
        <w:tc>
          <w:tcPr>
            <w:tcW w:w="90" w:type="dxa"/>
            <w:tcBorders/>
            <w:shd w:fill="auto" w:val="clear"/>
            <w:vAlign w:val="center"/>
          </w:tcPr>
          <w:p>
            <w:pPr>
              <w:pStyle w:val="TableContents"/>
              <w:spacing w:before="0" w:after="0"/>
              <w:ind w:left="0" w:right="0" w:firstLine="30"/>
              <w:rPr/>
            </w:pPr>
            <w:r>
              <w:rPr/>
              <w:t> </w:t>
            </w:r>
          </w:p>
        </w:tc>
        <w:tc>
          <w:tcPr>
            <w:tcW w:w="2099" w:type="dxa"/>
            <w:gridSpan w:val="3"/>
            <w:vMerge w:val="continue"/>
            <w:tcBorders>
              <w:bottom w:val="single" w:sz="2" w:space="0" w:color="000000"/>
            </w:tcBorders>
            <w:shd w:fill="auto" w:val="clear"/>
            <w:tcMar>
              <w:bottom w:w="30" w:type="dxa"/>
            </w:tcMar>
            <w:vAlign w:val="center"/>
          </w:tcPr>
          <w:p>
            <w:pPr>
              <w:pStyle w:val="Normal"/>
              <w:rPr/>
            </w:pPr>
            <w:r>
              <w:rPr/>
            </w:r>
          </w:p>
        </w:tc>
        <w:tc>
          <w:tcPr>
            <w:tcW w:w="90" w:type="dxa"/>
            <w:tcBorders/>
            <w:shd w:fill="auto" w:val="clear"/>
            <w:vAlign w:val="center"/>
          </w:tcPr>
          <w:p>
            <w:pPr>
              <w:pStyle w:val="TableContents"/>
              <w:spacing w:before="0" w:after="0"/>
              <w:ind w:left="0" w:right="0" w:firstLine="30"/>
              <w:rPr/>
            </w:pPr>
            <w:r>
              <w:rPr/>
              <w:t> </w:t>
            </w:r>
          </w:p>
        </w:tc>
        <w:tc>
          <w:tcPr>
            <w:tcW w:w="1461" w:type="dxa"/>
            <w:gridSpan w:val="3"/>
            <w:vMerge w:val="continue"/>
            <w:tcBorders>
              <w:bottom w:val="single" w:sz="2" w:space="0" w:color="000000"/>
            </w:tcBorders>
            <w:shd w:fill="auto" w:val="clear"/>
            <w:tcMar>
              <w:bottom w:w="30" w:type="dxa"/>
            </w:tcMar>
            <w:vAlign w:val="center"/>
          </w:tcPr>
          <w:p>
            <w:pPr>
              <w:pStyle w:val="Normal"/>
              <w:rPr/>
            </w:pPr>
            <w:r>
              <w:rPr/>
            </w:r>
          </w:p>
        </w:tc>
        <w:tc>
          <w:tcPr>
            <w:tcW w:w="90" w:type="dxa"/>
            <w:tcBorders/>
            <w:shd w:fill="auto" w:val="clear"/>
            <w:vAlign w:val="center"/>
          </w:tcPr>
          <w:p>
            <w:pPr>
              <w:pStyle w:val="TableContents"/>
              <w:spacing w:before="0" w:after="0"/>
              <w:ind w:left="0" w:right="0" w:firstLine="30"/>
              <w:rPr/>
            </w:pPr>
            <w:r>
              <w:rPr/>
              <w:t> </w:t>
            </w:r>
          </w:p>
        </w:tc>
        <w:tc>
          <w:tcPr>
            <w:tcW w:w="997" w:type="dxa"/>
            <w:gridSpan w:val="3"/>
            <w:vMerge w:val="continue"/>
            <w:tcBorders>
              <w:bottom w:val="single" w:sz="2" w:space="0" w:color="000000"/>
            </w:tcBorders>
            <w:shd w:fill="auto" w:val="clear"/>
            <w:tcMar>
              <w:bottom w:w="30" w:type="dxa"/>
            </w:tcMar>
            <w:vAlign w:val="center"/>
          </w:tcPr>
          <w:p>
            <w:pPr>
              <w:pStyle w:val="Normal"/>
              <w:rPr/>
            </w:pPr>
            <w:r>
              <w:rPr/>
            </w:r>
          </w:p>
        </w:tc>
      </w:tr>
      <w:tr>
        <w:trPr/>
        <w:tc>
          <w:tcPr>
            <w:tcW w:w="2898" w:type="dxa"/>
            <w:tcBorders/>
            <w:shd w:fill="auto" w:val="clear"/>
            <w:vAlign w:val="center"/>
          </w:tcPr>
          <w:p>
            <w:pPr>
              <w:pStyle w:val="TableContents"/>
              <w:spacing w:before="0" w:after="0"/>
              <w:ind w:left="0" w:right="0" w:firstLine="30"/>
              <w:rPr/>
            </w:pPr>
            <w:r>
              <w:rPr/>
              <w:t> </w:t>
            </w:r>
          </w:p>
        </w:tc>
        <w:tc>
          <w:tcPr>
            <w:tcW w:w="78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Series A</w:t>
            </w:r>
          </w:p>
        </w:tc>
        <w:tc>
          <w:tcPr>
            <w:tcW w:w="97"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620"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Series B</w:t>
            </w:r>
          </w:p>
        </w:tc>
        <w:tc>
          <w:tcPr>
            <w:tcW w:w="90" w:type="dxa"/>
            <w:tcBorders/>
            <w:shd w:fill="auto" w:val="clear"/>
            <w:vAlign w:val="center"/>
          </w:tcPr>
          <w:p>
            <w:pPr>
              <w:pStyle w:val="TableContents"/>
              <w:spacing w:before="0" w:after="0"/>
              <w:ind w:left="0" w:right="0" w:firstLine="30"/>
              <w:rPr/>
            </w:pPr>
            <w:r>
              <w:rPr/>
              <w:t> </w:t>
            </w:r>
          </w:p>
        </w:tc>
        <w:tc>
          <w:tcPr>
            <w:tcW w:w="890" w:type="dxa"/>
            <w:gridSpan w:val="3"/>
            <w:vMerge w:val="continue"/>
            <w:tcBorders>
              <w:bottom w:val="single" w:sz="2" w:space="0" w:color="000000"/>
            </w:tcBorders>
            <w:shd w:fill="auto" w:val="clear"/>
            <w:tcMar>
              <w:bottom w:w="30" w:type="dxa"/>
            </w:tcMar>
            <w:vAlign w:val="center"/>
          </w:tcPr>
          <w:p>
            <w:pPr>
              <w:pStyle w:val="Normal"/>
              <w:rPr/>
            </w:pPr>
            <w:r>
              <w:rPr/>
            </w:r>
          </w:p>
        </w:tc>
        <w:tc>
          <w:tcPr>
            <w:tcW w:w="90" w:type="dxa"/>
            <w:tcBorders/>
            <w:shd w:fill="auto" w:val="clear"/>
            <w:vAlign w:val="center"/>
          </w:tcPr>
          <w:p>
            <w:pPr>
              <w:pStyle w:val="TableContents"/>
              <w:spacing w:before="0" w:after="0"/>
              <w:ind w:left="0" w:right="0" w:firstLine="30"/>
              <w:rPr/>
            </w:pPr>
            <w:r>
              <w:rPr/>
              <w:t> </w:t>
            </w:r>
          </w:p>
        </w:tc>
        <w:tc>
          <w:tcPr>
            <w:tcW w:w="2099" w:type="dxa"/>
            <w:gridSpan w:val="3"/>
            <w:vMerge w:val="continue"/>
            <w:tcBorders>
              <w:bottom w:val="single" w:sz="2" w:space="0" w:color="000000"/>
            </w:tcBorders>
            <w:shd w:fill="auto" w:val="clear"/>
            <w:tcMar>
              <w:bottom w:w="30" w:type="dxa"/>
            </w:tcMar>
            <w:vAlign w:val="center"/>
          </w:tcPr>
          <w:p>
            <w:pPr>
              <w:pStyle w:val="Normal"/>
              <w:rPr/>
            </w:pPr>
            <w:r>
              <w:rPr/>
            </w:r>
          </w:p>
        </w:tc>
        <w:tc>
          <w:tcPr>
            <w:tcW w:w="90" w:type="dxa"/>
            <w:tcBorders/>
            <w:shd w:fill="auto" w:val="clear"/>
            <w:vAlign w:val="center"/>
          </w:tcPr>
          <w:p>
            <w:pPr>
              <w:pStyle w:val="TableContents"/>
              <w:spacing w:before="0" w:after="0"/>
              <w:ind w:left="0" w:right="0" w:firstLine="30"/>
              <w:rPr/>
            </w:pPr>
            <w:r>
              <w:rPr/>
              <w:t> </w:t>
            </w:r>
          </w:p>
        </w:tc>
        <w:tc>
          <w:tcPr>
            <w:tcW w:w="1461" w:type="dxa"/>
            <w:gridSpan w:val="3"/>
            <w:vMerge w:val="continue"/>
            <w:tcBorders>
              <w:bottom w:val="single" w:sz="2" w:space="0" w:color="000000"/>
            </w:tcBorders>
            <w:shd w:fill="auto" w:val="clear"/>
            <w:tcMar>
              <w:bottom w:w="30" w:type="dxa"/>
            </w:tcMar>
            <w:vAlign w:val="center"/>
          </w:tcPr>
          <w:p>
            <w:pPr>
              <w:pStyle w:val="Normal"/>
              <w:rPr/>
            </w:pPr>
            <w:r>
              <w:rPr/>
            </w:r>
          </w:p>
        </w:tc>
        <w:tc>
          <w:tcPr>
            <w:tcW w:w="90" w:type="dxa"/>
            <w:tcBorders/>
            <w:shd w:fill="auto" w:val="clear"/>
            <w:vAlign w:val="center"/>
          </w:tcPr>
          <w:p>
            <w:pPr>
              <w:pStyle w:val="TableContents"/>
              <w:spacing w:before="0" w:after="0"/>
              <w:ind w:left="0" w:right="0" w:firstLine="30"/>
              <w:rPr/>
            </w:pPr>
            <w:r>
              <w:rPr/>
              <w:t> </w:t>
            </w:r>
          </w:p>
        </w:tc>
        <w:tc>
          <w:tcPr>
            <w:tcW w:w="997" w:type="dxa"/>
            <w:gridSpan w:val="3"/>
            <w:vMerge w:val="continue"/>
            <w:tcBorders>
              <w:bottom w:val="single" w:sz="2" w:space="0" w:color="000000"/>
            </w:tcBorders>
            <w:shd w:fill="auto" w:val="clear"/>
            <w:tcMar>
              <w:bottom w:w="30" w:type="dxa"/>
            </w:tcMar>
            <w:vAlign w:val="center"/>
          </w:tcPr>
          <w:p>
            <w:pPr>
              <w:pStyle w:val="Normal"/>
              <w:rPr/>
            </w:pPr>
            <w:r>
              <w:rPr/>
            </w:r>
          </w:p>
        </w:tc>
      </w:tr>
      <w:tr>
        <w:trPr/>
        <w:tc>
          <w:tcPr>
            <w:tcW w:w="2898" w:type="dxa"/>
            <w:tcBorders/>
            <w:shd w:fill="auto" w:val="clear"/>
            <w:vAlign w:val="center"/>
          </w:tcPr>
          <w:p>
            <w:pPr>
              <w:pStyle w:val="TableContents"/>
              <w:spacing w:before="0" w:after="0"/>
              <w:ind w:left="0" w:right="0" w:firstLine="30"/>
              <w:jc w:val="left"/>
              <w:rPr/>
            </w:pPr>
            <w:r>
              <w:rPr/>
              <w:t> </w:t>
            </w:r>
          </w:p>
        </w:tc>
        <w:tc>
          <w:tcPr>
            <w:tcW w:w="7307" w:type="dxa"/>
            <w:gridSpan w:val="23"/>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(unaudited)</w:t>
            </w:r>
          </w:p>
        </w:tc>
      </w:tr>
      <w:tr>
        <w:trPr/>
        <w:tc>
          <w:tcPr>
            <w:tcW w:w="28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Balance at December 31, 2018</w:t>
            </w:r>
          </w:p>
        </w:tc>
        <w:tc>
          <w:tcPr>
            <w:tcW w:w="136"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28"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1,505</w:t>
            </w:r>
          </w:p>
        </w:tc>
        <w:tc>
          <w:tcPr>
            <w:tcW w:w="119"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CCEEFF" w:val="clear"/>
            <w:vAlign w:val="center"/>
          </w:tcPr>
          <w:p>
            <w:pPr>
              <w:pStyle w:val="TableContents"/>
              <w:spacing w:before="0" w:after="0"/>
              <w:ind w:left="0" w:right="0" w:firstLine="30"/>
              <w:rPr/>
            </w:pPr>
            <w:r>
              <w:rPr/>
              <w:t> </w:t>
            </w:r>
          </w:p>
        </w:tc>
        <w:tc>
          <w:tcPr>
            <w:tcW w:w="136"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6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787</w:t>
            </w:r>
          </w:p>
        </w:tc>
        <w:tc>
          <w:tcPr>
            <w:tcW w:w="119"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34"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3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9,710</w:t>
            </w:r>
          </w:p>
        </w:tc>
        <w:tc>
          <w:tcPr>
            <w:tcW w:w="12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1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50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12,002</w:t>
            </w:r>
          </w:p>
        </w:tc>
        <w:tc>
          <w:tcPr>
            <w:tcW w:w="28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72"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99" w:type="dxa"/>
            <w:tcBorders>
              <w:bottom w:val="double" w:sz="6" w:space="0" w:color="000000"/>
            </w:tcBorders>
            <w:shd w:fill="CCEEFF" w:val="clear"/>
            <w:tcMar>
              <w:bottom w:w="30" w:type="dxa"/>
            </w:tcMar>
            <w:vAlign w:val="center"/>
          </w:tcPr>
          <w:p>
            <w:pPr>
              <w:pStyle w:val="TableContents"/>
              <w:spacing w:before="0" w:after="0"/>
              <w:jc w:val="right"/>
              <w:rPr/>
            </w:pPr>
            <w:r>
              <w:rPr/>
              <w:t>—</w:t>
            </w:r>
          </w:p>
        </w:tc>
        <w:tc>
          <w:tcPr>
            <w:tcW w:w="9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12,002</w:t>
            </w:r>
          </w:p>
        </w:tc>
        <w:tc>
          <w:tcPr>
            <w:tcW w:w="282" w:type="dxa"/>
            <w:tcBorders>
              <w:bottom w:val="double" w:sz="6" w:space="0" w:color="000000"/>
            </w:tcBorders>
            <w:shd w:fill="CCEEFF"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8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6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74</w:t>
            </w:r>
          </w:p>
        </w:tc>
        <w:tc>
          <w:tcPr>
            <w:tcW w:w="1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auto" w:val="clear"/>
            <w:vAlign w:val="center"/>
          </w:tcPr>
          <w:p>
            <w:pPr>
              <w:pStyle w:val="TableContents"/>
              <w:spacing w:before="0" w:after="0"/>
              <w:ind w:left="0" w:right="0" w:firstLine="30"/>
              <w:rPr/>
            </w:pPr>
            <w:r>
              <w:rPr/>
              <w:t> </w:t>
            </w:r>
          </w:p>
        </w:tc>
        <w:tc>
          <w:tcPr>
            <w:tcW w:w="50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w:t>
            </w:r>
          </w:p>
        </w:tc>
        <w:tc>
          <w:tcPr>
            <w:tcW w:w="1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1,317</w:t>
            </w:r>
          </w:p>
        </w:tc>
        <w:tc>
          <w:tcPr>
            <w:tcW w:w="1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8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1,416</w:t>
            </w:r>
          </w:p>
        </w:tc>
        <w:tc>
          <w:tcPr>
            <w:tcW w:w="2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7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1,418</w:t>
            </w:r>
          </w:p>
        </w:tc>
        <w:tc>
          <w:tcPr>
            <w:tcW w:w="282"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8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Distributions (Note 9)</w:t>
            </w:r>
          </w:p>
        </w:tc>
        <w:tc>
          <w:tcPr>
            <w:tcW w:w="66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(74</w:t>
            </w:r>
          </w:p>
        </w:tc>
        <w:tc>
          <w:tcPr>
            <w:tcW w:w="1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7" w:type="dxa"/>
            <w:tcBorders/>
            <w:shd w:fill="CCEEFF" w:val="clear"/>
            <w:vAlign w:val="center"/>
          </w:tcPr>
          <w:p>
            <w:pPr>
              <w:pStyle w:val="TableContents"/>
              <w:spacing w:before="0" w:after="0"/>
              <w:ind w:left="0" w:right="0" w:firstLine="30"/>
              <w:rPr/>
            </w:pPr>
            <w:r>
              <w:rPr/>
              <w:t> </w:t>
            </w:r>
          </w:p>
        </w:tc>
        <w:tc>
          <w:tcPr>
            <w:tcW w:w="50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(25</w:t>
            </w:r>
          </w:p>
        </w:tc>
        <w:tc>
          <w:tcPr>
            <w:tcW w:w="1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77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(480</w:t>
            </w:r>
          </w:p>
        </w:tc>
        <w:tc>
          <w:tcPr>
            <w:tcW w:w="1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8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(579</w:t>
            </w:r>
          </w:p>
        </w:tc>
        <w:tc>
          <w:tcPr>
            <w:tcW w:w="2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371" w:type="dxa"/>
            <w:gridSpan w:val="2"/>
            <w:tcBorders/>
            <w:shd w:fill="CCEEFF" w:val="clear"/>
            <w:vAlign w:val="center"/>
          </w:tcPr>
          <w:p>
            <w:pPr>
              <w:pStyle w:val="TableContents"/>
              <w:spacing w:before="0" w:after="0"/>
              <w:jc w:val="right"/>
              <w:rPr/>
            </w:pPr>
            <w:r>
              <w:rPr/>
              <w:t>—</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(579</w:t>
            </w:r>
          </w:p>
        </w:tc>
        <w:tc>
          <w:tcPr>
            <w:tcW w:w="282"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28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comprehensive income</w:t>
            </w:r>
          </w:p>
        </w:tc>
        <w:tc>
          <w:tcPr>
            <w:tcW w:w="664" w:type="dxa"/>
            <w:gridSpan w:val="2"/>
            <w:tcBorders/>
            <w:shd w:fill="auto" w:val="clear"/>
            <w:vAlign w:val="center"/>
          </w:tcPr>
          <w:p>
            <w:pPr>
              <w:pStyle w:val="TableContents"/>
              <w:spacing w:before="0" w:after="0"/>
              <w:jc w:val="right"/>
              <w:rPr/>
            </w:pPr>
            <w:r>
              <w:rPr/>
              <w:t>—</w:t>
            </w:r>
          </w:p>
        </w:tc>
        <w:tc>
          <w:tcPr>
            <w:tcW w:w="1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auto" w:val="clear"/>
            <w:vAlign w:val="center"/>
          </w:tcPr>
          <w:p>
            <w:pPr>
              <w:pStyle w:val="TableContents"/>
              <w:spacing w:before="0" w:after="0"/>
              <w:ind w:left="0" w:right="0" w:firstLine="30"/>
              <w:rPr/>
            </w:pPr>
            <w:r>
              <w:rPr/>
              <w:t> </w:t>
            </w:r>
          </w:p>
        </w:tc>
        <w:tc>
          <w:tcPr>
            <w:tcW w:w="501" w:type="dxa"/>
            <w:gridSpan w:val="2"/>
            <w:tcBorders/>
            <w:shd w:fill="auto" w:val="clear"/>
            <w:vAlign w:val="center"/>
          </w:tcPr>
          <w:p>
            <w:pPr>
              <w:pStyle w:val="TableContents"/>
              <w:spacing w:before="0" w:after="0"/>
              <w:jc w:val="right"/>
              <w:rPr/>
            </w:pPr>
            <w:r>
              <w:rPr/>
              <w:t>—</w:t>
            </w:r>
          </w:p>
        </w:tc>
        <w:tc>
          <w:tcPr>
            <w:tcW w:w="1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109</w:t>
            </w:r>
          </w:p>
        </w:tc>
        <w:tc>
          <w:tcPr>
            <w:tcW w:w="1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8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109</w:t>
            </w:r>
          </w:p>
        </w:tc>
        <w:tc>
          <w:tcPr>
            <w:tcW w:w="2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71" w:type="dxa"/>
            <w:gridSpan w:val="2"/>
            <w:tcBorders/>
            <w:shd w:fill="auto" w:val="clear"/>
            <w:vAlign w:val="center"/>
          </w:tcPr>
          <w:p>
            <w:pPr>
              <w:pStyle w:val="TableContents"/>
              <w:spacing w:before="0" w:after="0"/>
              <w:jc w:val="right"/>
              <w:rPr/>
            </w:pPr>
            <w:r>
              <w:rPr/>
              <w:t>—</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109</w:t>
            </w:r>
          </w:p>
        </w:tc>
        <w:tc>
          <w:tcPr>
            <w:tcW w:w="282"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8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Equity-indexed compensation expense</w:t>
            </w:r>
          </w:p>
        </w:tc>
        <w:tc>
          <w:tcPr>
            <w:tcW w:w="664" w:type="dxa"/>
            <w:gridSpan w:val="2"/>
            <w:tcBorders/>
            <w:shd w:fill="CCEEFF" w:val="clear"/>
            <w:vAlign w:val="center"/>
          </w:tcPr>
          <w:p>
            <w:pPr>
              <w:pStyle w:val="TableContents"/>
              <w:spacing w:before="0" w:after="0"/>
              <w:jc w:val="right"/>
              <w:rPr/>
            </w:pPr>
            <w:r>
              <w:rPr/>
              <w:t>—</w:t>
            </w:r>
          </w:p>
        </w:tc>
        <w:tc>
          <w:tcPr>
            <w:tcW w:w="1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CCEEFF" w:val="clear"/>
            <w:vAlign w:val="center"/>
          </w:tcPr>
          <w:p>
            <w:pPr>
              <w:pStyle w:val="TableContents"/>
              <w:spacing w:before="0" w:after="0"/>
              <w:ind w:left="0" w:right="0" w:firstLine="30"/>
              <w:rPr/>
            </w:pPr>
            <w:r>
              <w:rPr/>
              <w:t> </w:t>
            </w:r>
          </w:p>
        </w:tc>
        <w:tc>
          <w:tcPr>
            <w:tcW w:w="501" w:type="dxa"/>
            <w:gridSpan w:val="2"/>
            <w:tcBorders/>
            <w:shd w:fill="CCEEFF" w:val="clear"/>
            <w:vAlign w:val="center"/>
          </w:tcPr>
          <w:p>
            <w:pPr>
              <w:pStyle w:val="TableContents"/>
              <w:spacing w:before="0" w:after="0"/>
              <w:jc w:val="right"/>
              <w:rPr/>
            </w:pPr>
            <w:r>
              <w:rPr/>
              <w:t>—</w:t>
            </w:r>
          </w:p>
        </w:tc>
        <w:tc>
          <w:tcPr>
            <w:tcW w:w="1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7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w:t>
            </w:r>
          </w:p>
        </w:tc>
        <w:tc>
          <w:tcPr>
            <w:tcW w:w="1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8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w:t>
            </w:r>
          </w:p>
        </w:tc>
        <w:tc>
          <w:tcPr>
            <w:tcW w:w="2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371" w:type="dxa"/>
            <w:gridSpan w:val="2"/>
            <w:tcBorders/>
            <w:shd w:fill="CCEEFF" w:val="clear"/>
            <w:vAlign w:val="center"/>
          </w:tcPr>
          <w:p>
            <w:pPr>
              <w:pStyle w:val="TableContents"/>
              <w:spacing w:before="0" w:after="0"/>
              <w:jc w:val="right"/>
              <w:rPr/>
            </w:pPr>
            <w:r>
              <w:rPr/>
              <w:t>—</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w:t>
            </w:r>
          </w:p>
        </w:tc>
        <w:tc>
          <w:tcPr>
            <w:tcW w:w="282"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8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Sale of noncontrolling interest in a subsidiary (Note 9)</w:t>
            </w:r>
          </w:p>
        </w:tc>
        <w:tc>
          <w:tcPr>
            <w:tcW w:w="664" w:type="dxa"/>
            <w:gridSpan w:val="2"/>
            <w:tcBorders/>
            <w:shd w:fill="auto" w:val="clear"/>
            <w:vAlign w:val="center"/>
          </w:tcPr>
          <w:p>
            <w:pPr>
              <w:pStyle w:val="TableContents"/>
              <w:spacing w:before="0" w:after="0"/>
              <w:jc w:val="right"/>
              <w:rPr/>
            </w:pPr>
            <w:r>
              <w:rPr/>
              <w:t>—</w:t>
            </w:r>
          </w:p>
        </w:tc>
        <w:tc>
          <w:tcPr>
            <w:tcW w:w="1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auto" w:val="clear"/>
            <w:vAlign w:val="center"/>
          </w:tcPr>
          <w:p>
            <w:pPr>
              <w:pStyle w:val="TableContents"/>
              <w:spacing w:before="0" w:after="0"/>
              <w:ind w:left="0" w:right="0" w:firstLine="30"/>
              <w:rPr/>
            </w:pPr>
            <w:r>
              <w:rPr/>
              <w:t> </w:t>
            </w:r>
          </w:p>
        </w:tc>
        <w:tc>
          <w:tcPr>
            <w:tcW w:w="501" w:type="dxa"/>
            <w:gridSpan w:val="2"/>
            <w:tcBorders/>
            <w:shd w:fill="auto" w:val="clear"/>
            <w:vAlign w:val="center"/>
          </w:tcPr>
          <w:p>
            <w:pPr>
              <w:pStyle w:val="TableContents"/>
              <w:spacing w:before="0" w:after="0"/>
              <w:jc w:val="right"/>
              <w:rPr/>
            </w:pPr>
            <w:r>
              <w:rPr/>
              <w:t>—</w:t>
            </w:r>
          </w:p>
        </w:tc>
        <w:tc>
          <w:tcPr>
            <w:tcW w:w="1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w:t>
            </w:r>
          </w:p>
        </w:tc>
        <w:tc>
          <w:tcPr>
            <w:tcW w:w="1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8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w:t>
            </w:r>
          </w:p>
        </w:tc>
        <w:tc>
          <w:tcPr>
            <w:tcW w:w="2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37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130</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128</w:t>
            </w:r>
          </w:p>
        </w:tc>
        <w:tc>
          <w:tcPr>
            <w:tcW w:w="282"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8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664"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1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CCEEFF" w:val="clear"/>
            <w:vAlign w:val="center"/>
          </w:tcPr>
          <w:p>
            <w:pPr>
              <w:pStyle w:val="TableContents"/>
              <w:spacing w:before="0" w:after="0"/>
              <w:ind w:left="0" w:right="0" w:firstLine="30"/>
              <w:rPr/>
            </w:pPr>
            <w:r>
              <w:rPr/>
              <w:t> </w:t>
            </w:r>
          </w:p>
        </w:tc>
        <w:tc>
          <w:tcPr>
            <w:tcW w:w="501"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1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7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w:t>
            </w:r>
          </w:p>
        </w:tc>
        <w:tc>
          <w:tcPr>
            <w:tcW w:w="12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81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w:t>
            </w:r>
          </w:p>
        </w:tc>
        <w:tc>
          <w:tcPr>
            <w:tcW w:w="28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371"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9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w:t>
            </w:r>
          </w:p>
        </w:tc>
        <w:tc>
          <w:tcPr>
            <w:tcW w:w="282"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8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Balance at June 30, 2019</w:t>
            </w:r>
          </w:p>
        </w:tc>
        <w:tc>
          <w:tcPr>
            <w:tcW w:w="136"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28"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1,505</w:t>
            </w:r>
          </w:p>
        </w:tc>
        <w:tc>
          <w:tcPr>
            <w:tcW w:w="119"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auto" w:val="clear"/>
            <w:vAlign w:val="center"/>
          </w:tcPr>
          <w:p>
            <w:pPr>
              <w:pStyle w:val="TableContents"/>
              <w:spacing w:before="0" w:after="0"/>
              <w:ind w:left="0" w:right="0" w:firstLine="30"/>
              <w:rPr/>
            </w:pPr>
            <w:r>
              <w:rPr/>
              <w:t> </w:t>
            </w:r>
          </w:p>
        </w:tc>
        <w:tc>
          <w:tcPr>
            <w:tcW w:w="136"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6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787</w:t>
            </w:r>
          </w:p>
        </w:tc>
        <w:tc>
          <w:tcPr>
            <w:tcW w:w="119"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4"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36"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10,649</w:t>
            </w:r>
          </w:p>
        </w:tc>
        <w:tc>
          <w:tcPr>
            <w:tcW w:w="12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317"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502"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12,941</w:t>
            </w:r>
          </w:p>
        </w:tc>
        <w:tc>
          <w:tcPr>
            <w:tcW w:w="28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372"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99"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132</w:t>
            </w:r>
          </w:p>
        </w:tc>
        <w:tc>
          <w:tcPr>
            <w:tcW w:w="9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13,073</w:t>
            </w:r>
          </w:p>
        </w:tc>
        <w:tc>
          <w:tcPr>
            <w:tcW w:w="282"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tbl>
      <w:tblPr>
        <w:tblW w:w="10205" w:type="dxa"/>
        <w:jc w:val="center"/>
        <w:tblInd w:w="0" w:type="dxa"/>
        <w:tblCellMar>
          <w:top w:w="0" w:type="dxa"/>
          <w:left w:w="0" w:type="dxa"/>
          <w:bottom w:w="0" w:type="dxa"/>
          <w:right w:w="0" w:type="dxa"/>
        </w:tblCellMar>
      </w:tblPr>
      <w:tblGrid>
        <w:gridCol w:w="2898"/>
        <w:gridCol w:w="136"/>
        <w:gridCol w:w="528"/>
        <w:gridCol w:w="119"/>
        <w:gridCol w:w="97"/>
        <w:gridCol w:w="136"/>
        <w:gridCol w:w="365"/>
        <w:gridCol w:w="119"/>
        <w:gridCol w:w="90"/>
        <w:gridCol w:w="134"/>
        <w:gridCol w:w="636"/>
        <w:gridCol w:w="120"/>
        <w:gridCol w:w="90"/>
        <w:gridCol w:w="317"/>
        <w:gridCol w:w="1502"/>
        <w:gridCol w:w="280"/>
        <w:gridCol w:w="90"/>
        <w:gridCol w:w="372"/>
        <w:gridCol w:w="999"/>
        <w:gridCol w:w="90"/>
        <w:gridCol w:w="90"/>
        <w:gridCol w:w="125"/>
        <w:gridCol w:w="590"/>
        <w:gridCol w:w="282"/>
      </w:tblGrid>
      <w:tr>
        <w:trPr/>
        <w:tc>
          <w:tcPr>
            <w:tcW w:w="10205" w:type="dxa"/>
            <w:gridSpan w:val="24"/>
            <w:tcBorders/>
            <w:shd w:fill="auto" w:val="clear"/>
            <w:vAlign w:val="center"/>
          </w:tcPr>
          <w:p>
            <w:pPr>
              <w:pStyle w:val="TableContents"/>
              <w:spacing w:before="0" w:after="283"/>
              <w:rPr>
                <w:sz w:val="4"/>
                <w:szCs w:val="4"/>
              </w:rPr>
            </w:pPr>
            <w:r>
              <w:rPr>
                <w:sz w:val="4"/>
                <w:szCs w:val="4"/>
              </w:rPr>
            </w:r>
          </w:p>
        </w:tc>
      </w:tr>
      <w:tr>
        <w:trPr/>
        <w:tc>
          <w:tcPr>
            <w:tcW w:w="2898"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502"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898" w:type="dxa"/>
            <w:tcBorders/>
            <w:shd w:fill="auto" w:val="clear"/>
            <w:vAlign w:val="center"/>
          </w:tcPr>
          <w:p>
            <w:pPr>
              <w:pStyle w:val="TableContents"/>
              <w:spacing w:before="0" w:after="0"/>
              <w:ind w:left="0" w:right="0" w:firstLine="30"/>
              <w:jc w:val="left"/>
              <w:rPr/>
            </w:pPr>
            <w:r>
              <w:rPr/>
              <w:t> </w:t>
            </w:r>
          </w:p>
        </w:tc>
        <w:tc>
          <w:tcPr>
            <w:tcW w:w="2480"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Limited Partners</w:t>
            </w:r>
          </w:p>
        </w:tc>
        <w:tc>
          <w:tcPr>
            <w:tcW w:w="90" w:type="dxa"/>
            <w:tcBorders/>
            <w:shd w:fill="auto" w:val="clear"/>
            <w:vAlign w:val="center"/>
          </w:tcPr>
          <w:p>
            <w:pPr>
              <w:pStyle w:val="TableContents"/>
              <w:spacing w:before="0" w:after="0"/>
              <w:ind w:left="0" w:right="0" w:firstLine="30"/>
              <w:rPr/>
            </w:pPr>
            <w:r>
              <w:rPr/>
              <w:t> </w:t>
            </w:r>
          </w:p>
        </w:tc>
        <w:tc>
          <w:tcPr>
            <w:tcW w:w="2099" w:type="dxa"/>
            <w:gridSpan w:val="3"/>
            <w:vMerge w:val="restart"/>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Partners’</w:t>
            </w:r>
          </w:p>
          <w:p>
            <w:pPr>
              <w:pStyle w:val="TableContents"/>
              <w:spacing w:before="0" w:after="0"/>
              <w:ind w:left="0" w:right="0" w:firstLine="30"/>
              <w:jc w:val="center"/>
              <w:rPr>
                <w:rFonts w:ascii="inherit" w:hAnsi="inherit"/>
                <w:b/>
                <w:sz w:val="13"/>
              </w:rPr>
            </w:pPr>
            <w:r>
              <w:rPr>
                <w:rFonts w:ascii="inherit" w:hAnsi="inherit"/>
                <w:b/>
                <w:sz w:val="13"/>
              </w:rPr>
              <w:t>Capital Excluding Noncontrolling Interests</w:t>
            </w:r>
          </w:p>
        </w:tc>
        <w:tc>
          <w:tcPr>
            <w:tcW w:w="90" w:type="dxa"/>
            <w:tcBorders/>
            <w:shd w:fill="auto" w:val="clear"/>
            <w:vAlign w:val="center"/>
          </w:tcPr>
          <w:p>
            <w:pPr>
              <w:pStyle w:val="TableContents"/>
              <w:spacing w:before="0" w:after="0"/>
              <w:ind w:left="0" w:right="0" w:firstLine="30"/>
              <w:rPr/>
            </w:pPr>
            <w:r>
              <w:rPr/>
              <w:t> </w:t>
            </w:r>
          </w:p>
        </w:tc>
        <w:tc>
          <w:tcPr>
            <w:tcW w:w="1461"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Noncontrolling Interests</w:t>
            </w:r>
          </w:p>
        </w:tc>
        <w:tc>
          <w:tcPr>
            <w:tcW w:w="90" w:type="dxa"/>
            <w:tcBorders/>
            <w:shd w:fill="auto" w:val="clear"/>
            <w:vAlign w:val="center"/>
          </w:tcPr>
          <w:p>
            <w:pPr>
              <w:pStyle w:val="TableContents"/>
              <w:spacing w:before="0" w:after="0"/>
              <w:ind w:left="0" w:right="0" w:firstLine="30"/>
              <w:rPr/>
            </w:pPr>
            <w:r>
              <w:rPr/>
              <w:t> </w:t>
            </w:r>
          </w:p>
        </w:tc>
        <w:tc>
          <w:tcPr>
            <w:tcW w:w="997" w:type="dxa"/>
            <w:gridSpan w:val="3"/>
            <w:vMerge w:val="restart"/>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Total</w:t>
            </w:r>
          </w:p>
          <w:p>
            <w:pPr>
              <w:pStyle w:val="TableContents"/>
              <w:spacing w:before="0" w:after="0"/>
              <w:jc w:val="center"/>
              <w:rPr>
                <w:rFonts w:ascii="inherit" w:hAnsi="inherit"/>
                <w:b/>
                <w:sz w:val="13"/>
              </w:rPr>
            </w:pPr>
            <w:r>
              <w:rPr>
                <w:rFonts w:ascii="inherit" w:hAnsi="inherit"/>
                <w:b/>
                <w:sz w:val="13"/>
              </w:rPr>
              <w:t>Partners’</w:t>
            </w:r>
          </w:p>
          <w:p>
            <w:pPr>
              <w:pStyle w:val="TableContents"/>
              <w:spacing w:before="0" w:after="0"/>
              <w:ind w:left="0" w:right="0" w:firstLine="30"/>
              <w:jc w:val="center"/>
              <w:rPr>
                <w:rFonts w:ascii="inherit" w:hAnsi="inherit"/>
                <w:b/>
                <w:sz w:val="13"/>
              </w:rPr>
            </w:pPr>
            <w:r>
              <w:rPr>
                <w:rFonts w:ascii="inherit" w:hAnsi="inherit"/>
                <w:b/>
                <w:sz w:val="13"/>
              </w:rPr>
              <w:t>Capital</w:t>
            </w:r>
          </w:p>
        </w:tc>
      </w:tr>
      <w:tr>
        <w:trPr/>
        <w:tc>
          <w:tcPr>
            <w:tcW w:w="2898" w:type="dxa"/>
            <w:tcBorders/>
            <w:shd w:fill="auto" w:val="clear"/>
            <w:vAlign w:val="center"/>
          </w:tcPr>
          <w:p>
            <w:pPr>
              <w:pStyle w:val="TableContents"/>
              <w:spacing w:before="0" w:after="0"/>
              <w:ind w:left="0" w:right="0" w:firstLine="30"/>
              <w:rPr/>
            </w:pPr>
            <w:r>
              <w:rPr/>
              <w:t> </w:t>
            </w:r>
          </w:p>
        </w:tc>
        <w:tc>
          <w:tcPr>
            <w:tcW w:w="1500"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Preferred Unitholders</w:t>
            </w:r>
          </w:p>
        </w:tc>
        <w:tc>
          <w:tcPr>
            <w:tcW w:w="90" w:type="dxa"/>
            <w:tcBorders/>
            <w:shd w:fill="auto" w:val="clear"/>
            <w:vAlign w:val="center"/>
          </w:tcPr>
          <w:p>
            <w:pPr>
              <w:pStyle w:val="TableContents"/>
              <w:spacing w:before="0" w:after="0"/>
              <w:ind w:left="0" w:right="0" w:firstLine="30"/>
              <w:rPr/>
            </w:pPr>
            <w:r>
              <w:rPr/>
              <w:t> </w:t>
            </w:r>
          </w:p>
        </w:tc>
        <w:tc>
          <w:tcPr>
            <w:tcW w:w="890" w:type="dxa"/>
            <w:gridSpan w:val="3"/>
            <w:vMerge w:val="restart"/>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Common</w:t>
            </w:r>
          </w:p>
          <w:p>
            <w:pPr>
              <w:pStyle w:val="TableContents"/>
              <w:spacing w:before="0" w:after="0"/>
              <w:ind w:left="0" w:right="0" w:firstLine="30"/>
              <w:jc w:val="center"/>
              <w:rPr>
                <w:rFonts w:ascii="inherit" w:hAnsi="inherit"/>
                <w:b/>
                <w:sz w:val="13"/>
              </w:rPr>
            </w:pPr>
            <w:r>
              <w:rPr>
                <w:rFonts w:ascii="inherit" w:hAnsi="inherit"/>
                <w:b/>
                <w:sz w:val="13"/>
              </w:rPr>
              <w:t>Unitholders</w:t>
            </w:r>
          </w:p>
        </w:tc>
        <w:tc>
          <w:tcPr>
            <w:tcW w:w="90" w:type="dxa"/>
            <w:tcBorders/>
            <w:shd w:fill="auto" w:val="clear"/>
            <w:vAlign w:val="center"/>
          </w:tcPr>
          <w:p>
            <w:pPr>
              <w:pStyle w:val="TableContents"/>
              <w:spacing w:before="0" w:after="0"/>
              <w:ind w:left="0" w:right="0" w:firstLine="30"/>
              <w:rPr/>
            </w:pPr>
            <w:r>
              <w:rPr/>
              <w:t> </w:t>
            </w:r>
          </w:p>
        </w:tc>
        <w:tc>
          <w:tcPr>
            <w:tcW w:w="2099" w:type="dxa"/>
            <w:gridSpan w:val="3"/>
            <w:vMerge w:val="continue"/>
            <w:tcBorders>
              <w:bottom w:val="single" w:sz="2" w:space="0" w:color="000000"/>
            </w:tcBorders>
            <w:shd w:fill="auto" w:val="clear"/>
            <w:tcMar>
              <w:bottom w:w="30" w:type="dxa"/>
            </w:tcMar>
            <w:vAlign w:val="center"/>
          </w:tcPr>
          <w:p>
            <w:pPr>
              <w:pStyle w:val="Normal"/>
              <w:rPr/>
            </w:pPr>
            <w:r>
              <w:rPr/>
            </w:r>
          </w:p>
        </w:tc>
        <w:tc>
          <w:tcPr>
            <w:tcW w:w="90" w:type="dxa"/>
            <w:tcBorders/>
            <w:shd w:fill="auto" w:val="clear"/>
            <w:vAlign w:val="center"/>
          </w:tcPr>
          <w:p>
            <w:pPr>
              <w:pStyle w:val="TableContents"/>
              <w:spacing w:before="0" w:after="0"/>
              <w:ind w:left="0" w:right="0" w:firstLine="30"/>
              <w:rPr/>
            </w:pPr>
            <w:r>
              <w:rPr/>
              <w:t> </w:t>
            </w:r>
          </w:p>
        </w:tc>
        <w:tc>
          <w:tcPr>
            <w:tcW w:w="1461" w:type="dxa"/>
            <w:gridSpan w:val="3"/>
            <w:vMerge w:val="continue"/>
            <w:tcBorders>
              <w:bottom w:val="single" w:sz="2" w:space="0" w:color="000000"/>
            </w:tcBorders>
            <w:shd w:fill="auto" w:val="clear"/>
            <w:tcMar>
              <w:bottom w:w="30" w:type="dxa"/>
            </w:tcMar>
            <w:vAlign w:val="center"/>
          </w:tcPr>
          <w:p>
            <w:pPr>
              <w:pStyle w:val="Normal"/>
              <w:rPr/>
            </w:pPr>
            <w:r>
              <w:rPr/>
            </w:r>
          </w:p>
        </w:tc>
        <w:tc>
          <w:tcPr>
            <w:tcW w:w="90" w:type="dxa"/>
            <w:tcBorders/>
            <w:shd w:fill="auto" w:val="clear"/>
            <w:vAlign w:val="center"/>
          </w:tcPr>
          <w:p>
            <w:pPr>
              <w:pStyle w:val="TableContents"/>
              <w:spacing w:before="0" w:after="0"/>
              <w:ind w:left="0" w:right="0" w:firstLine="30"/>
              <w:rPr/>
            </w:pPr>
            <w:r>
              <w:rPr/>
              <w:t> </w:t>
            </w:r>
          </w:p>
        </w:tc>
        <w:tc>
          <w:tcPr>
            <w:tcW w:w="997" w:type="dxa"/>
            <w:gridSpan w:val="3"/>
            <w:vMerge w:val="continue"/>
            <w:tcBorders>
              <w:bottom w:val="single" w:sz="2" w:space="0" w:color="000000"/>
            </w:tcBorders>
            <w:shd w:fill="auto" w:val="clear"/>
            <w:tcMar>
              <w:bottom w:w="30" w:type="dxa"/>
            </w:tcMar>
            <w:vAlign w:val="center"/>
          </w:tcPr>
          <w:p>
            <w:pPr>
              <w:pStyle w:val="Normal"/>
              <w:rPr/>
            </w:pPr>
            <w:r>
              <w:rPr/>
            </w:r>
          </w:p>
        </w:tc>
      </w:tr>
      <w:tr>
        <w:trPr/>
        <w:tc>
          <w:tcPr>
            <w:tcW w:w="2898" w:type="dxa"/>
            <w:tcBorders/>
            <w:shd w:fill="auto" w:val="clear"/>
            <w:vAlign w:val="center"/>
          </w:tcPr>
          <w:p>
            <w:pPr>
              <w:pStyle w:val="TableContents"/>
              <w:spacing w:before="0" w:after="0"/>
              <w:ind w:left="0" w:right="0" w:firstLine="30"/>
              <w:rPr/>
            </w:pPr>
            <w:r>
              <w:rPr/>
              <w:t> </w:t>
            </w:r>
          </w:p>
        </w:tc>
        <w:tc>
          <w:tcPr>
            <w:tcW w:w="78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Series A</w:t>
            </w:r>
          </w:p>
        </w:tc>
        <w:tc>
          <w:tcPr>
            <w:tcW w:w="97"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620"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Series B</w:t>
            </w:r>
          </w:p>
        </w:tc>
        <w:tc>
          <w:tcPr>
            <w:tcW w:w="90" w:type="dxa"/>
            <w:tcBorders/>
            <w:shd w:fill="auto" w:val="clear"/>
            <w:vAlign w:val="center"/>
          </w:tcPr>
          <w:p>
            <w:pPr>
              <w:pStyle w:val="TableContents"/>
              <w:spacing w:before="0" w:after="0"/>
              <w:ind w:left="0" w:right="0" w:firstLine="30"/>
              <w:rPr/>
            </w:pPr>
            <w:r>
              <w:rPr/>
              <w:t> </w:t>
            </w:r>
          </w:p>
        </w:tc>
        <w:tc>
          <w:tcPr>
            <w:tcW w:w="890" w:type="dxa"/>
            <w:gridSpan w:val="3"/>
            <w:vMerge w:val="continue"/>
            <w:tcBorders>
              <w:bottom w:val="single" w:sz="2" w:space="0" w:color="000000"/>
            </w:tcBorders>
            <w:shd w:fill="auto" w:val="clear"/>
            <w:tcMar>
              <w:bottom w:w="30" w:type="dxa"/>
            </w:tcMar>
            <w:vAlign w:val="center"/>
          </w:tcPr>
          <w:p>
            <w:pPr>
              <w:pStyle w:val="Normal"/>
              <w:rPr/>
            </w:pPr>
            <w:r>
              <w:rPr/>
            </w:r>
          </w:p>
        </w:tc>
        <w:tc>
          <w:tcPr>
            <w:tcW w:w="90" w:type="dxa"/>
            <w:tcBorders/>
            <w:shd w:fill="auto" w:val="clear"/>
            <w:vAlign w:val="center"/>
          </w:tcPr>
          <w:p>
            <w:pPr>
              <w:pStyle w:val="TableContents"/>
              <w:spacing w:before="0" w:after="0"/>
              <w:ind w:left="0" w:right="0" w:firstLine="30"/>
              <w:rPr/>
            </w:pPr>
            <w:r>
              <w:rPr/>
              <w:t> </w:t>
            </w:r>
          </w:p>
        </w:tc>
        <w:tc>
          <w:tcPr>
            <w:tcW w:w="2099" w:type="dxa"/>
            <w:gridSpan w:val="3"/>
            <w:vMerge w:val="continue"/>
            <w:tcBorders>
              <w:bottom w:val="single" w:sz="2" w:space="0" w:color="000000"/>
            </w:tcBorders>
            <w:shd w:fill="auto" w:val="clear"/>
            <w:tcMar>
              <w:bottom w:w="30" w:type="dxa"/>
            </w:tcMar>
            <w:vAlign w:val="center"/>
          </w:tcPr>
          <w:p>
            <w:pPr>
              <w:pStyle w:val="Normal"/>
              <w:rPr/>
            </w:pPr>
            <w:r>
              <w:rPr/>
            </w:r>
          </w:p>
        </w:tc>
        <w:tc>
          <w:tcPr>
            <w:tcW w:w="90" w:type="dxa"/>
            <w:tcBorders/>
            <w:shd w:fill="auto" w:val="clear"/>
            <w:vAlign w:val="center"/>
          </w:tcPr>
          <w:p>
            <w:pPr>
              <w:pStyle w:val="TableContents"/>
              <w:spacing w:before="0" w:after="0"/>
              <w:ind w:left="0" w:right="0" w:firstLine="30"/>
              <w:rPr/>
            </w:pPr>
            <w:r>
              <w:rPr/>
              <w:t> </w:t>
            </w:r>
          </w:p>
        </w:tc>
        <w:tc>
          <w:tcPr>
            <w:tcW w:w="1461" w:type="dxa"/>
            <w:gridSpan w:val="3"/>
            <w:vMerge w:val="continue"/>
            <w:tcBorders>
              <w:bottom w:val="single" w:sz="2" w:space="0" w:color="000000"/>
            </w:tcBorders>
            <w:shd w:fill="auto" w:val="clear"/>
            <w:tcMar>
              <w:bottom w:w="30" w:type="dxa"/>
            </w:tcMar>
            <w:vAlign w:val="center"/>
          </w:tcPr>
          <w:p>
            <w:pPr>
              <w:pStyle w:val="Normal"/>
              <w:rPr/>
            </w:pPr>
            <w:r>
              <w:rPr/>
            </w:r>
          </w:p>
        </w:tc>
        <w:tc>
          <w:tcPr>
            <w:tcW w:w="90" w:type="dxa"/>
            <w:tcBorders/>
            <w:shd w:fill="auto" w:val="clear"/>
            <w:vAlign w:val="center"/>
          </w:tcPr>
          <w:p>
            <w:pPr>
              <w:pStyle w:val="TableContents"/>
              <w:spacing w:before="0" w:after="0"/>
              <w:ind w:left="0" w:right="0" w:firstLine="30"/>
              <w:rPr/>
            </w:pPr>
            <w:r>
              <w:rPr/>
              <w:t> </w:t>
            </w:r>
          </w:p>
        </w:tc>
        <w:tc>
          <w:tcPr>
            <w:tcW w:w="997" w:type="dxa"/>
            <w:gridSpan w:val="3"/>
            <w:vMerge w:val="continue"/>
            <w:tcBorders>
              <w:bottom w:val="single" w:sz="2" w:space="0" w:color="000000"/>
            </w:tcBorders>
            <w:shd w:fill="auto" w:val="clear"/>
            <w:tcMar>
              <w:bottom w:w="30" w:type="dxa"/>
            </w:tcMar>
            <w:vAlign w:val="center"/>
          </w:tcPr>
          <w:p>
            <w:pPr>
              <w:pStyle w:val="Normal"/>
              <w:rPr/>
            </w:pPr>
            <w:r>
              <w:rPr/>
            </w:r>
          </w:p>
        </w:tc>
      </w:tr>
      <w:tr>
        <w:trPr/>
        <w:tc>
          <w:tcPr>
            <w:tcW w:w="2898" w:type="dxa"/>
            <w:tcBorders/>
            <w:shd w:fill="auto" w:val="clear"/>
            <w:vAlign w:val="center"/>
          </w:tcPr>
          <w:p>
            <w:pPr>
              <w:pStyle w:val="TableContents"/>
              <w:spacing w:before="0" w:after="0"/>
              <w:ind w:left="0" w:right="0" w:firstLine="30"/>
              <w:jc w:val="left"/>
              <w:rPr/>
            </w:pPr>
            <w:r>
              <w:rPr/>
              <w:t> </w:t>
            </w:r>
          </w:p>
        </w:tc>
        <w:tc>
          <w:tcPr>
            <w:tcW w:w="7307" w:type="dxa"/>
            <w:gridSpan w:val="23"/>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(unaudited)</w:t>
            </w:r>
          </w:p>
        </w:tc>
      </w:tr>
      <w:tr>
        <w:trPr/>
        <w:tc>
          <w:tcPr>
            <w:tcW w:w="28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Balance at March 31, 2019</w:t>
            </w:r>
          </w:p>
        </w:tc>
        <w:tc>
          <w:tcPr>
            <w:tcW w:w="136"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28"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1,505</w:t>
            </w:r>
          </w:p>
        </w:tc>
        <w:tc>
          <w:tcPr>
            <w:tcW w:w="119"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CCEEFF" w:val="clear"/>
            <w:vAlign w:val="center"/>
          </w:tcPr>
          <w:p>
            <w:pPr>
              <w:pStyle w:val="TableContents"/>
              <w:spacing w:before="0" w:after="0"/>
              <w:ind w:left="0" w:right="0" w:firstLine="30"/>
              <w:rPr/>
            </w:pPr>
            <w:r>
              <w:rPr/>
              <w:t> </w:t>
            </w:r>
          </w:p>
        </w:tc>
        <w:tc>
          <w:tcPr>
            <w:tcW w:w="136"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6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787</w:t>
            </w:r>
          </w:p>
        </w:tc>
        <w:tc>
          <w:tcPr>
            <w:tcW w:w="119"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34"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3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10,470</w:t>
            </w:r>
          </w:p>
        </w:tc>
        <w:tc>
          <w:tcPr>
            <w:tcW w:w="12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1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50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12,762</w:t>
            </w:r>
          </w:p>
        </w:tc>
        <w:tc>
          <w:tcPr>
            <w:tcW w:w="28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72"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99" w:type="dxa"/>
            <w:tcBorders>
              <w:bottom w:val="double" w:sz="6" w:space="0" w:color="000000"/>
            </w:tcBorders>
            <w:shd w:fill="CCEEFF" w:val="clear"/>
            <w:tcMar>
              <w:bottom w:w="30" w:type="dxa"/>
            </w:tcMar>
            <w:vAlign w:val="center"/>
          </w:tcPr>
          <w:p>
            <w:pPr>
              <w:pStyle w:val="TableContents"/>
              <w:spacing w:before="0" w:after="0"/>
              <w:jc w:val="right"/>
              <w:rPr/>
            </w:pPr>
            <w:r>
              <w:rPr/>
              <w:t>—</w:t>
            </w:r>
          </w:p>
        </w:tc>
        <w:tc>
          <w:tcPr>
            <w:tcW w:w="9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12,762</w:t>
            </w:r>
          </w:p>
        </w:tc>
        <w:tc>
          <w:tcPr>
            <w:tcW w:w="282" w:type="dxa"/>
            <w:tcBorders>
              <w:bottom w:val="double" w:sz="6" w:space="0" w:color="000000"/>
            </w:tcBorders>
            <w:shd w:fill="CCEEFF"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8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6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w:t>
            </w:r>
          </w:p>
        </w:tc>
        <w:tc>
          <w:tcPr>
            <w:tcW w:w="1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auto" w:val="clear"/>
            <w:vAlign w:val="center"/>
          </w:tcPr>
          <w:p>
            <w:pPr>
              <w:pStyle w:val="TableContents"/>
              <w:spacing w:before="0" w:after="0"/>
              <w:ind w:left="0" w:right="0" w:firstLine="30"/>
              <w:rPr/>
            </w:pPr>
            <w:r>
              <w:rPr/>
              <w:t> </w:t>
            </w:r>
          </w:p>
        </w:tc>
        <w:tc>
          <w:tcPr>
            <w:tcW w:w="50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w:t>
            </w:r>
          </w:p>
        </w:tc>
        <w:tc>
          <w:tcPr>
            <w:tcW w:w="1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397</w:t>
            </w:r>
          </w:p>
        </w:tc>
        <w:tc>
          <w:tcPr>
            <w:tcW w:w="1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8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446</w:t>
            </w:r>
          </w:p>
        </w:tc>
        <w:tc>
          <w:tcPr>
            <w:tcW w:w="2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7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448</w:t>
            </w:r>
          </w:p>
        </w:tc>
        <w:tc>
          <w:tcPr>
            <w:tcW w:w="282"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8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Distributions (Note 9)</w:t>
            </w:r>
          </w:p>
        </w:tc>
        <w:tc>
          <w:tcPr>
            <w:tcW w:w="66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w:t>
            </w:r>
          </w:p>
        </w:tc>
        <w:tc>
          <w:tcPr>
            <w:tcW w:w="1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7" w:type="dxa"/>
            <w:tcBorders/>
            <w:shd w:fill="CCEEFF" w:val="clear"/>
            <w:vAlign w:val="center"/>
          </w:tcPr>
          <w:p>
            <w:pPr>
              <w:pStyle w:val="TableContents"/>
              <w:spacing w:before="0" w:after="0"/>
              <w:ind w:left="0" w:right="0" w:firstLine="30"/>
              <w:rPr/>
            </w:pPr>
            <w:r>
              <w:rPr/>
              <w:t> </w:t>
            </w:r>
          </w:p>
        </w:tc>
        <w:tc>
          <w:tcPr>
            <w:tcW w:w="50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w:t>
            </w:r>
          </w:p>
        </w:tc>
        <w:tc>
          <w:tcPr>
            <w:tcW w:w="1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77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(262</w:t>
            </w:r>
          </w:p>
        </w:tc>
        <w:tc>
          <w:tcPr>
            <w:tcW w:w="1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8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(311</w:t>
            </w:r>
          </w:p>
        </w:tc>
        <w:tc>
          <w:tcPr>
            <w:tcW w:w="2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371" w:type="dxa"/>
            <w:gridSpan w:val="2"/>
            <w:tcBorders/>
            <w:shd w:fill="CCEEFF" w:val="clear"/>
            <w:vAlign w:val="center"/>
          </w:tcPr>
          <w:p>
            <w:pPr>
              <w:pStyle w:val="TableContents"/>
              <w:spacing w:before="0" w:after="0"/>
              <w:jc w:val="right"/>
              <w:rPr/>
            </w:pPr>
            <w:r>
              <w:rPr/>
              <w:t>—</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(311</w:t>
            </w:r>
          </w:p>
        </w:tc>
        <w:tc>
          <w:tcPr>
            <w:tcW w:w="282"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28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comprehensive income</w:t>
            </w:r>
          </w:p>
        </w:tc>
        <w:tc>
          <w:tcPr>
            <w:tcW w:w="664" w:type="dxa"/>
            <w:gridSpan w:val="2"/>
            <w:tcBorders/>
            <w:shd w:fill="auto" w:val="clear"/>
            <w:vAlign w:val="center"/>
          </w:tcPr>
          <w:p>
            <w:pPr>
              <w:pStyle w:val="TableContents"/>
              <w:spacing w:before="0" w:after="0"/>
              <w:jc w:val="right"/>
              <w:rPr/>
            </w:pPr>
            <w:r>
              <w:rPr/>
              <w:t>—</w:t>
            </w:r>
          </w:p>
        </w:tc>
        <w:tc>
          <w:tcPr>
            <w:tcW w:w="1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auto" w:val="clear"/>
            <w:vAlign w:val="center"/>
          </w:tcPr>
          <w:p>
            <w:pPr>
              <w:pStyle w:val="TableContents"/>
              <w:spacing w:before="0" w:after="0"/>
              <w:ind w:left="0" w:right="0" w:firstLine="30"/>
              <w:rPr/>
            </w:pPr>
            <w:r>
              <w:rPr/>
              <w:t> </w:t>
            </w:r>
          </w:p>
        </w:tc>
        <w:tc>
          <w:tcPr>
            <w:tcW w:w="501" w:type="dxa"/>
            <w:gridSpan w:val="2"/>
            <w:tcBorders/>
            <w:shd w:fill="auto" w:val="clear"/>
            <w:vAlign w:val="center"/>
          </w:tcPr>
          <w:p>
            <w:pPr>
              <w:pStyle w:val="TableContents"/>
              <w:spacing w:before="0" w:after="0"/>
              <w:jc w:val="right"/>
              <w:rPr/>
            </w:pPr>
            <w:r>
              <w:rPr/>
              <w:t>—</w:t>
            </w:r>
          </w:p>
        </w:tc>
        <w:tc>
          <w:tcPr>
            <w:tcW w:w="1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51</w:t>
            </w:r>
          </w:p>
        </w:tc>
        <w:tc>
          <w:tcPr>
            <w:tcW w:w="1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8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51</w:t>
            </w:r>
          </w:p>
        </w:tc>
        <w:tc>
          <w:tcPr>
            <w:tcW w:w="2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71" w:type="dxa"/>
            <w:gridSpan w:val="2"/>
            <w:tcBorders/>
            <w:shd w:fill="auto" w:val="clear"/>
            <w:vAlign w:val="center"/>
          </w:tcPr>
          <w:p>
            <w:pPr>
              <w:pStyle w:val="TableContents"/>
              <w:spacing w:before="0" w:after="0"/>
              <w:jc w:val="right"/>
              <w:rPr/>
            </w:pPr>
            <w:r>
              <w:rPr/>
              <w:t>—</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51</w:t>
            </w:r>
          </w:p>
        </w:tc>
        <w:tc>
          <w:tcPr>
            <w:tcW w:w="282"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8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Equity-indexed compensation expense</w:t>
            </w:r>
          </w:p>
        </w:tc>
        <w:tc>
          <w:tcPr>
            <w:tcW w:w="664" w:type="dxa"/>
            <w:gridSpan w:val="2"/>
            <w:tcBorders/>
            <w:shd w:fill="CCEEFF" w:val="clear"/>
            <w:vAlign w:val="center"/>
          </w:tcPr>
          <w:p>
            <w:pPr>
              <w:pStyle w:val="TableContents"/>
              <w:spacing w:before="0" w:after="0"/>
              <w:jc w:val="right"/>
              <w:rPr/>
            </w:pPr>
            <w:r>
              <w:rPr/>
              <w:t>—</w:t>
            </w:r>
          </w:p>
        </w:tc>
        <w:tc>
          <w:tcPr>
            <w:tcW w:w="1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CCEEFF" w:val="clear"/>
            <w:vAlign w:val="center"/>
          </w:tcPr>
          <w:p>
            <w:pPr>
              <w:pStyle w:val="TableContents"/>
              <w:spacing w:before="0" w:after="0"/>
              <w:ind w:left="0" w:right="0" w:firstLine="30"/>
              <w:rPr/>
            </w:pPr>
            <w:r>
              <w:rPr/>
              <w:t> </w:t>
            </w:r>
          </w:p>
        </w:tc>
        <w:tc>
          <w:tcPr>
            <w:tcW w:w="501" w:type="dxa"/>
            <w:gridSpan w:val="2"/>
            <w:tcBorders/>
            <w:shd w:fill="CCEEFF" w:val="clear"/>
            <w:vAlign w:val="center"/>
          </w:tcPr>
          <w:p>
            <w:pPr>
              <w:pStyle w:val="TableContents"/>
              <w:spacing w:before="0" w:after="0"/>
              <w:jc w:val="right"/>
              <w:rPr/>
            </w:pPr>
            <w:r>
              <w:rPr/>
              <w:t>—</w:t>
            </w:r>
          </w:p>
        </w:tc>
        <w:tc>
          <w:tcPr>
            <w:tcW w:w="1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7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w:t>
            </w:r>
          </w:p>
        </w:tc>
        <w:tc>
          <w:tcPr>
            <w:tcW w:w="1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81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w:t>
            </w:r>
          </w:p>
        </w:tc>
        <w:tc>
          <w:tcPr>
            <w:tcW w:w="2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371" w:type="dxa"/>
            <w:gridSpan w:val="2"/>
            <w:tcBorders/>
            <w:shd w:fill="CCEEFF" w:val="clear"/>
            <w:vAlign w:val="center"/>
          </w:tcPr>
          <w:p>
            <w:pPr>
              <w:pStyle w:val="TableContents"/>
              <w:spacing w:before="0" w:after="0"/>
              <w:jc w:val="right"/>
              <w:rPr/>
            </w:pPr>
            <w:r>
              <w:rPr/>
              <w:t>—</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w:t>
            </w:r>
          </w:p>
        </w:tc>
        <w:tc>
          <w:tcPr>
            <w:tcW w:w="282"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8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Sale of noncontrolling interest in a subsidiary (Note 9)</w:t>
            </w:r>
          </w:p>
        </w:tc>
        <w:tc>
          <w:tcPr>
            <w:tcW w:w="664" w:type="dxa"/>
            <w:gridSpan w:val="2"/>
            <w:tcBorders/>
            <w:shd w:fill="auto" w:val="clear"/>
            <w:vAlign w:val="center"/>
          </w:tcPr>
          <w:p>
            <w:pPr>
              <w:pStyle w:val="TableContents"/>
              <w:spacing w:before="0" w:after="0"/>
              <w:jc w:val="right"/>
              <w:rPr/>
            </w:pPr>
            <w:r>
              <w:rPr/>
              <w:t>—</w:t>
            </w:r>
          </w:p>
        </w:tc>
        <w:tc>
          <w:tcPr>
            <w:tcW w:w="1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auto" w:val="clear"/>
            <w:vAlign w:val="center"/>
          </w:tcPr>
          <w:p>
            <w:pPr>
              <w:pStyle w:val="TableContents"/>
              <w:spacing w:before="0" w:after="0"/>
              <w:ind w:left="0" w:right="0" w:firstLine="30"/>
              <w:rPr/>
            </w:pPr>
            <w:r>
              <w:rPr/>
              <w:t> </w:t>
            </w:r>
          </w:p>
        </w:tc>
        <w:tc>
          <w:tcPr>
            <w:tcW w:w="501" w:type="dxa"/>
            <w:gridSpan w:val="2"/>
            <w:tcBorders/>
            <w:shd w:fill="auto" w:val="clear"/>
            <w:vAlign w:val="center"/>
          </w:tcPr>
          <w:p>
            <w:pPr>
              <w:pStyle w:val="TableContents"/>
              <w:spacing w:before="0" w:after="0"/>
              <w:jc w:val="right"/>
              <w:rPr/>
            </w:pPr>
            <w:r>
              <w:rPr/>
              <w:t>—</w:t>
            </w:r>
          </w:p>
        </w:tc>
        <w:tc>
          <w:tcPr>
            <w:tcW w:w="11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w:t>
            </w:r>
          </w:p>
        </w:tc>
        <w:tc>
          <w:tcPr>
            <w:tcW w:w="1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8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w:t>
            </w:r>
          </w:p>
        </w:tc>
        <w:tc>
          <w:tcPr>
            <w:tcW w:w="2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37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130</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128</w:t>
            </w:r>
          </w:p>
        </w:tc>
        <w:tc>
          <w:tcPr>
            <w:tcW w:w="282"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8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664"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1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CCEEFF" w:val="clear"/>
            <w:vAlign w:val="center"/>
          </w:tcPr>
          <w:p>
            <w:pPr>
              <w:pStyle w:val="TableContents"/>
              <w:spacing w:before="0" w:after="0"/>
              <w:ind w:left="0" w:right="0" w:firstLine="30"/>
              <w:rPr/>
            </w:pPr>
            <w:r>
              <w:rPr/>
              <w:t> </w:t>
            </w:r>
          </w:p>
        </w:tc>
        <w:tc>
          <w:tcPr>
            <w:tcW w:w="501"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1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7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w:t>
            </w:r>
          </w:p>
        </w:tc>
        <w:tc>
          <w:tcPr>
            <w:tcW w:w="12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81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w:t>
            </w:r>
          </w:p>
        </w:tc>
        <w:tc>
          <w:tcPr>
            <w:tcW w:w="28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371"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9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w:t>
            </w:r>
          </w:p>
        </w:tc>
        <w:tc>
          <w:tcPr>
            <w:tcW w:w="282"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8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Balance at June 30, 2019</w:t>
            </w:r>
          </w:p>
        </w:tc>
        <w:tc>
          <w:tcPr>
            <w:tcW w:w="136"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28"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1,505</w:t>
            </w:r>
          </w:p>
        </w:tc>
        <w:tc>
          <w:tcPr>
            <w:tcW w:w="119"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auto" w:val="clear"/>
            <w:vAlign w:val="center"/>
          </w:tcPr>
          <w:p>
            <w:pPr>
              <w:pStyle w:val="TableContents"/>
              <w:spacing w:before="0" w:after="0"/>
              <w:ind w:left="0" w:right="0" w:firstLine="30"/>
              <w:rPr/>
            </w:pPr>
            <w:r>
              <w:rPr/>
              <w:t> </w:t>
            </w:r>
          </w:p>
        </w:tc>
        <w:tc>
          <w:tcPr>
            <w:tcW w:w="136"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6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787</w:t>
            </w:r>
          </w:p>
        </w:tc>
        <w:tc>
          <w:tcPr>
            <w:tcW w:w="119"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4"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36"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10,649</w:t>
            </w:r>
          </w:p>
        </w:tc>
        <w:tc>
          <w:tcPr>
            <w:tcW w:w="12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317"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502"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12,941</w:t>
            </w:r>
          </w:p>
        </w:tc>
        <w:tc>
          <w:tcPr>
            <w:tcW w:w="28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372"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99"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132</w:t>
            </w:r>
          </w:p>
        </w:tc>
        <w:tc>
          <w:tcPr>
            <w:tcW w:w="9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13,073</w:t>
            </w:r>
          </w:p>
        </w:tc>
        <w:tc>
          <w:tcPr>
            <w:tcW w:w="282"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t>The accompanying notes are an integral part of these condensed consolidated financial statements.</w:t>
      </w:r>
    </w:p>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7</w:t>
      </w:r>
      <w:r>
        <w:br w:type="page"/>
      </w:r>
    </w:p>
    <w:p>
      <w:pPr>
        <w:pStyle w:val="TextBody"/>
        <w:spacing w:lineRule="auto" w:line="288" w:before="0" w:after="0"/>
        <w:rPr/>
      </w:pPr>
      <w:hyperlink w:anchor="s3336AD8A685850CC9B7F2572CB2C0BC3">
        <w:r>
          <w:rPr>
            <w:rStyle w:val="InternetLink"/>
            <w:rFonts w:ascii="inherit" w:hAnsi="inherit"/>
            <w:sz w:val="17"/>
          </w:rPr>
          <w:t>Table of Contents</w:t>
        </w:r>
      </w:hyperlink>
      <w:r>
        <w:rPr>
          <w:sz w:val="17"/>
        </w:rPr>
        <w:t xml:space="preserve"> </w:t>
      </w:r>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PLAINS ALL AMERICAN PIPELINE, L.P. AND SUBSIDIARIES</w:t>
      </w:r>
    </w:p>
    <w:p>
      <w:pPr>
        <w:pStyle w:val="TextBody"/>
        <w:spacing w:lineRule="auto" w:line="288" w:before="0" w:after="0"/>
        <w:jc w:val="center"/>
        <w:rPr>
          <w:rFonts w:ascii="inherit" w:hAnsi="inherit"/>
          <w:b/>
          <w:sz w:val="17"/>
        </w:rPr>
      </w:pPr>
      <w:r>
        <w:rPr>
          <w:rFonts w:ascii="inherit" w:hAnsi="inherit"/>
          <w:b/>
          <w:sz w:val="17"/>
        </w:rPr>
        <w:t>CONDENSED CONSOLIDATED STATEMENTS OF CHANGES IN PARTNERS’ CAPITAL</w:t>
      </w:r>
    </w:p>
    <w:p>
      <w:pPr>
        <w:pStyle w:val="TextBody"/>
        <w:spacing w:lineRule="auto" w:line="288" w:before="0" w:after="0"/>
        <w:jc w:val="center"/>
        <w:rPr>
          <w:rFonts w:ascii="inherit" w:hAnsi="inherit"/>
          <w:b/>
          <w:sz w:val="17"/>
        </w:rPr>
      </w:pPr>
      <w:r>
        <w:rPr>
          <w:rFonts w:ascii="inherit" w:hAnsi="inherit"/>
          <w:b/>
          <w:sz w:val="17"/>
        </w:rPr>
        <w:t>(continued)</w:t>
      </w:r>
    </w:p>
    <w:p>
      <w:pPr>
        <w:pStyle w:val="TextBody"/>
        <w:spacing w:lineRule="auto" w:line="288" w:before="0" w:after="0"/>
        <w:jc w:val="center"/>
        <w:rPr>
          <w:rFonts w:ascii="inherit" w:hAnsi="inherit"/>
          <w:b/>
          <w:sz w:val="17"/>
        </w:rPr>
      </w:pPr>
      <w:r>
        <w:rPr>
          <w:rFonts w:ascii="inherit" w:hAnsi="inherit"/>
          <w:b/>
          <w:sz w:val="17"/>
        </w:rPr>
        <w:t>(in millions)</w:t>
      </w:r>
    </w:p>
    <w:tbl>
      <w:tblPr>
        <w:tblW w:w="7016" w:type="dxa"/>
        <w:jc w:val="center"/>
        <w:tblInd w:w="0" w:type="dxa"/>
        <w:tblCellMar>
          <w:top w:w="0" w:type="dxa"/>
          <w:left w:w="0" w:type="dxa"/>
          <w:bottom w:w="0" w:type="dxa"/>
          <w:right w:w="0" w:type="dxa"/>
        </w:tblCellMar>
      </w:tblPr>
      <w:tblGrid>
        <w:gridCol w:w="3320"/>
        <w:gridCol w:w="148"/>
        <w:gridCol w:w="576"/>
        <w:gridCol w:w="130"/>
        <w:gridCol w:w="106"/>
        <w:gridCol w:w="148"/>
        <w:gridCol w:w="398"/>
        <w:gridCol w:w="130"/>
        <w:gridCol w:w="90"/>
        <w:gridCol w:w="154"/>
        <w:gridCol w:w="599"/>
        <w:gridCol w:w="137"/>
        <w:gridCol w:w="90"/>
        <w:gridCol w:w="125"/>
        <w:gridCol w:w="590"/>
        <w:gridCol w:w="275"/>
      </w:tblGrid>
      <w:tr>
        <w:trPr/>
        <w:tc>
          <w:tcPr>
            <w:tcW w:w="7016" w:type="dxa"/>
            <w:gridSpan w:val="16"/>
            <w:tcBorders/>
            <w:shd w:fill="auto" w:val="clear"/>
            <w:vAlign w:val="center"/>
          </w:tcPr>
          <w:p>
            <w:pPr>
              <w:pStyle w:val="TableContents"/>
              <w:spacing w:before="0" w:after="283"/>
              <w:rPr>
                <w:sz w:val="4"/>
                <w:szCs w:val="4"/>
              </w:rPr>
            </w:pPr>
            <w:r>
              <w:rPr>
                <w:sz w:val="4"/>
                <w:szCs w:val="4"/>
              </w:rPr>
            </w:r>
          </w:p>
        </w:tc>
      </w:tr>
      <w:tr>
        <w:trPr/>
        <w:tc>
          <w:tcPr>
            <w:tcW w:w="3320"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320" w:type="dxa"/>
            <w:tcBorders/>
            <w:shd w:fill="auto" w:val="clear"/>
            <w:vAlign w:val="center"/>
          </w:tcPr>
          <w:p>
            <w:pPr>
              <w:pStyle w:val="TableContents"/>
              <w:spacing w:before="0" w:after="0"/>
              <w:ind w:left="0" w:right="0" w:firstLine="30"/>
              <w:jc w:val="left"/>
              <w:rPr/>
            </w:pPr>
            <w:r>
              <w:rPr/>
              <w:t> </w:t>
            </w:r>
          </w:p>
        </w:tc>
        <w:tc>
          <w:tcPr>
            <w:tcW w:w="2616"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Limited Partners</w:t>
            </w:r>
          </w:p>
        </w:tc>
        <w:tc>
          <w:tcPr>
            <w:tcW w:w="90" w:type="dxa"/>
            <w:tcBorders/>
            <w:shd w:fill="auto" w:val="clear"/>
            <w:vAlign w:val="center"/>
          </w:tcPr>
          <w:p>
            <w:pPr>
              <w:pStyle w:val="TableContents"/>
              <w:spacing w:before="0" w:after="0"/>
              <w:ind w:left="0" w:right="0" w:firstLine="30"/>
              <w:rPr/>
            </w:pPr>
            <w:r>
              <w:rPr/>
              <w:t> </w:t>
            </w:r>
          </w:p>
        </w:tc>
        <w:tc>
          <w:tcPr>
            <w:tcW w:w="990"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Total</w:t>
              <w:br/>
              <w:t>Partners’</w:t>
              <w:br/>
              <w:t>Capital</w:t>
            </w:r>
          </w:p>
        </w:tc>
      </w:tr>
      <w:tr>
        <w:trPr/>
        <w:tc>
          <w:tcPr>
            <w:tcW w:w="3320" w:type="dxa"/>
            <w:tcBorders/>
            <w:shd w:fill="auto" w:val="clear"/>
            <w:vAlign w:val="center"/>
          </w:tcPr>
          <w:p>
            <w:pPr>
              <w:pStyle w:val="TableContents"/>
              <w:spacing w:before="0" w:after="0"/>
              <w:ind w:left="0" w:right="0" w:firstLine="30"/>
              <w:rPr/>
            </w:pPr>
            <w:r>
              <w:rPr/>
              <w:t> </w:t>
            </w:r>
          </w:p>
        </w:tc>
        <w:tc>
          <w:tcPr>
            <w:tcW w:w="1636"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Preferred Unitholders</w:t>
            </w:r>
          </w:p>
        </w:tc>
        <w:tc>
          <w:tcPr>
            <w:tcW w:w="90" w:type="dxa"/>
            <w:tcBorders/>
            <w:shd w:fill="auto" w:val="clear"/>
            <w:vAlign w:val="center"/>
          </w:tcPr>
          <w:p>
            <w:pPr>
              <w:pStyle w:val="TableContents"/>
              <w:spacing w:before="0" w:after="0"/>
              <w:ind w:left="0" w:right="0" w:firstLine="30"/>
              <w:rPr/>
            </w:pPr>
            <w:r>
              <w:rPr/>
              <w:t> </w:t>
            </w:r>
          </w:p>
        </w:tc>
        <w:tc>
          <w:tcPr>
            <w:tcW w:w="890" w:type="dxa"/>
            <w:gridSpan w:val="3"/>
            <w:vMerge w:val="restart"/>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Common</w:t>
            </w:r>
          </w:p>
          <w:p>
            <w:pPr>
              <w:pStyle w:val="TableContents"/>
              <w:spacing w:before="0" w:after="0"/>
              <w:ind w:left="0" w:right="0" w:firstLine="30"/>
              <w:jc w:val="center"/>
              <w:rPr>
                <w:rFonts w:ascii="inherit" w:hAnsi="inherit"/>
                <w:b/>
                <w:sz w:val="13"/>
              </w:rPr>
            </w:pPr>
            <w:r>
              <w:rPr>
                <w:rFonts w:ascii="inherit" w:hAnsi="inherit"/>
                <w:b/>
                <w:sz w:val="13"/>
              </w:rPr>
              <w:t>Unitholders</w:t>
            </w:r>
          </w:p>
        </w:tc>
        <w:tc>
          <w:tcPr>
            <w:tcW w:w="90" w:type="dxa"/>
            <w:tcBorders/>
            <w:shd w:fill="auto" w:val="clear"/>
            <w:vAlign w:val="center"/>
          </w:tcPr>
          <w:p>
            <w:pPr>
              <w:pStyle w:val="TableContents"/>
              <w:spacing w:before="0" w:after="0"/>
              <w:ind w:left="0" w:right="0" w:firstLine="30"/>
              <w:rPr/>
            </w:pPr>
            <w:r>
              <w:rPr/>
              <w:t> </w:t>
            </w:r>
          </w:p>
        </w:tc>
        <w:tc>
          <w:tcPr>
            <w:tcW w:w="990" w:type="dxa"/>
            <w:gridSpan w:val="3"/>
            <w:vMerge w:val="continue"/>
            <w:tcBorders>
              <w:bottom w:val="single" w:sz="2" w:space="0" w:color="000000"/>
            </w:tcBorders>
            <w:shd w:fill="auto" w:val="clear"/>
            <w:tcMar>
              <w:bottom w:w="30" w:type="dxa"/>
            </w:tcMar>
            <w:vAlign w:val="center"/>
          </w:tcPr>
          <w:p>
            <w:pPr>
              <w:pStyle w:val="Normal"/>
              <w:rPr/>
            </w:pPr>
            <w:r>
              <w:rPr/>
            </w:r>
          </w:p>
        </w:tc>
      </w:tr>
      <w:tr>
        <w:trPr/>
        <w:tc>
          <w:tcPr>
            <w:tcW w:w="3320" w:type="dxa"/>
            <w:tcBorders/>
            <w:shd w:fill="auto" w:val="clear"/>
            <w:vAlign w:val="center"/>
          </w:tcPr>
          <w:p>
            <w:pPr>
              <w:pStyle w:val="TableContents"/>
              <w:spacing w:before="0" w:after="0"/>
              <w:ind w:left="0" w:right="0" w:firstLine="30"/>
              <w:rPr/>
            </w:pPr>
            <w:r>
              <w:rPr/>
              <w:t> </w:t>
            </w:r>
          </w:p>
        </w:tc>
        <w:tc>
          <w:tcPr>
            <w:tcW w:w="85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Series A</w:t>
            </w:r>
          </w:p>
        </w:tc>
        <w:tc>
          <w:tcPr>
            <w:tcW w:w="106" w:type="dxa"/>
            <w:tcBorders/>
            <w:shd w:fill="auto" w:val="clear"/>
            <w:vAlign w:val="center"/>
          </w:tcPr>
          <w:p>
            <w:pPr>
              <w:pStyle w:val="TableContents"/>
              <w:spacing w:before="0" w:after="0"/>
              <w:ind w:left="0" w:right="0" w:firstLine="30"/>
              <w:rPr/>
            </w:pPr>
            <w:r>
              <w:rPr/>
              <w:t> </w:t>
            </w:r>
          </w:p>
        </w:tc>
        <w:tc>
          <w:tcPr>
            <w:tcW w:w="67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Series B</w:t>
            </w:r>
          </w:p>
        </w:tc>
        <w:tc>
          <w:tcPr>
            <w:tcW w:w="90" w:type="dxa"/>
            <w:tcBorders/>
            <w:shd w:fill="auto" w:val="clear"/>
            <w:vAlign w:val="center"/>
          </w:tcPr>
          <w:p>
            <w:pPr>
              <w:pStyle w:val="TableContents"/>
              <w:spacing w:before="0" w:after="0"/>
              <w:ind w:left="0" w:right="0" w:firstLine="30"/>
              <w:rPr/>
            </w:pPr>
            <w:r>
              <w:rPr/>
              <w:t> </w:t>
            </w:r>
          </w:p>
        </w:tc>
        <w:tc>
          <w:tcPr>
            <w:tcW w:w="890" w:type="dxa"/>
            <w:gridSpan w:val="3"/>
            <w:vMerge w:val="continue"/>
            <w:tcBorders>
              <w:bottom w:val="single" w:sz="2" w:space="0" w:color="000000"/>
            </w:tcBorders>
            <w:shd w:fill="auto" w:val="clear"/>
            <w:tcMar>
              <w:bottom w:w="30" w:type="dxa"/>
            </w:tcMar>
            <w:vAlign w:val="center"/>
          </w:tcPr>
          <w:p>
            <w:pPr>
              <w:pStyle w:val="Normal"/>
              <w:rPr/>
            </w:pPr>
            <w:r>
              <w:rPr/>
            </w:r>
          </w:p>
        </w:tc>
        <w:tc>
          <w:tcPr>
            <w:tcW w:w="90" w:type="dxa"/>
            <w:tcBorders/>
            <w:shd w:fill="auto" w:val="clear"/>
            <w:vAlign w:val="center"/>
          </w:tcPr>
          <w:p>
            <w:pPr>
              <w:pStyle w:val="TableContents"/>
              <w:spacing w:before="0" w:after="0"/>
              <w:ind w:left="0" w:right="0" w:firstLine="30"/>
              <w:rPr/>
            </w:pPr>
            <w:r>
              <w:rPr/>
              <w:t> </w:t>
            </w:r>
          </w:p>
        </w:tc>
        <w:tc>
          <w:tcPr>
            <w:tcW w:w="990" w:type="dxa"/>
            <w:gridSpan w:val="3"/>
            <w:vMerge w:val="continue"/>
            <w:tcBorders>
              <w:bottom w:val="single" w:sz="2" w:space="0" w:color="000000"/>
            </w:tcBorders>
            <w:shd w:fill="auto" w:val="clear"/>
            <w:tcMar>
              <w:bottom w:w="30" w:type="dxa"/>
            </w:tcMar>
            <w:vAlign w:val="center"/>
          </w:tcPr>
          <w:p>
            <w:pPr>
              <w:pStyle w:val="Normal"/>
              <w:rPr/>
            </w:pPr>
            <w:r>
              <w:rPr/>
            </w:r>
          </w:p>
        </w:tc>
      </w:tr>
      <w:tr>
        <w:trPr/>
        <w:tc>
          <w:tcPr>
            <w:tcW w:w="3320" w:type="dxa"/>
            <w:tcBorders/>
            <w:shd w:fill="auto" w:val="clear"/>
            <w:vAlign w:val="center"/>
          </w:tcPr>
          <w:p>
            <w:pPr>
              <w:pStyle w:val="TableContents"/>
              <w:spacing w:before="0" w:after="0"/>
              <w:ind w:left="0" w:right="0" w:firstLine="30"/>
              <w:jc w:val="left"/>
              <w:rPr/>
            </w:pPr>
            <w:r>
              <w:rPr/>
              <w:t> </w:t>
            </w:r>
          </w:p>
        </w:tc>
        <w:tc>
          <w:tcPr>
            <w:tcW w:w="3696" w:type="dxa"/>
            <w:gridSpan w:val="15"/>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(unaudited)</w:t>
            </w:r>
          </w:p>
        </w:tc>
      </w:tr>
      <w:tr>
        <w:trPr/>
        <w:tc>
          <w:tcPr>
            <w:tcW w:w="33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Balance at December 31, 2017</w:t>
            </w:r>
          </w:p>
        </w:tc>
        <w:tc>
          <w:tcPr>
            <w:tcW w:w="14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7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1,505</w:t>
            </w:r>
          </w:p>
        </w:tc>
        <w:tc>
          <w:tcPr>
            <w:tcW w:w="13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14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98"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788</w:t>
            </w:r>
          </w:p>
        </w:tc>
        <w:tc>
          <w:tcPr>
            <w:tcW w:w="13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4"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9"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8,665</w:t>
            </w:r>
          </w:p>
        </w:tc>
        <w:tc>
          <w:tcPr>
            <w:tcW w:w="137"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10,958</w:t>
            </w:r>
          </w:p>
        </w:tc>
        <w:tc>
          <w:tcPr>
            <w:tcW w:w="275" w:type="dxa"/>
            <w:tcBorders>
              <w:bottom w:val="double" w:sz="6" w:space="0" w:color="000000"/>
            </w:tcBorders>
            <w:shd w:fill="CCEEFF"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3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Impact of adoption of ASU 2017-05</w:t>
            </w:r>
          </w:p>
        </w:tc>
        <w:tc>
          <w:tcPr>
            <w:tcW w:w="724"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auto" w:val="clear"/>
            <w:vAlign w:val="center"/>
          </w:tcPr>
          <w:p>
            <w:pPr>
              <w:pStyle w:val="TableContents"/>
              <w:spacing w:before="0" w:after="0"/>
              <w:ind w:left="0" w:right="0" w:firstLine="30"/>
              <w:rPr/>
            </w:pPr>
            <w:r>
              <w:rPr/>
              <w:t> </w:t>
            </w:r>
          </w:p>
        </w:tc>
        <w:tc>
          <w:tcPr>
            <w:tcW w:w="546"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5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113</w:t>
            </w:r>
          </w:p>
        </w:tc>
        <w:tc>
          <w:tcPr>
            <w:tcW w:w="13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113</w:t>
            </w:r>
          </w:p>
        </w:tc>
        <w:tc>
          <w:tcPr>
            <w:tcW w:w="27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Balance at January 1, 2018</w:t>
            </w:r>
          </w:p>
        </w:tc>
        <w:tc>
          <w:tcPr>
            <w:tcW w:w="72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1,505</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54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788</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5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8,778</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11,071</w:t>
            </w:r>
          </w:p>
        </w:tc>
        <w:tc>
          <w:tcPr>
            <w:tcW w:w="27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3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72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74</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auto" w:val="clear"/>
            <w:vAlign w:val="center"/>
          </w:tcPr>
          <w:p>
            <w:pPr>
              <w:pStyle w:val="TableContents"/>
              <w:spacing w:before="0" w:after="0"/>
              <w:ind w:left="0" w:right="0" w:firstLine="30"/>
              <w:rPr/>
            </w:pPr>
            <w:r>
              <w:rPr/>
              <w:t> </w:t>
            </w:r>
          </w:p>
        </w:tc>
        <w:tc>
          <w:tcPr>
            <w:tcW w:w="54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289</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388</w:t>
            </w:r>
          </w:p>
        </w:tc>
        <w:tc>
          <w:tcPr>
            <w:tcW w:w="27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3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Distributions</w:t>
            </w:r>
          </w:p>
        </w:tc>
        <w:tc>
          <w:tcPr>
            <w:tcW w:w="72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(74</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6" w:type="dxa"/>
            <w:tcBorders/>
            <w:shd w:fill="CCEEFF" w:val="clear"/>
            <w:vAlign w:val="center"/>
          </w:tcPr>
          <w:p>
            <w:pPr>
              <w:pStyle w:val="TableContents"/>
              <w:spacing w:before="0" w:after="0"/>
              <w:ind w:left="0" w:right="0" w:firstLine="30"/>
              <w:rPr/>
            </w:pPr>
            <w:r>
              <w:rPr/>
              <w:t> </w:t>
            </w:r>
          </w:p>
        </w:tc>
        <w:tc>
          <w:tcPr>
            <w:tcW w:w="54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(25</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75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(435</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(534</w:t>
            </w:r>
          </w:p>
        </w:tc>
        <w:tc>
          <w:tcPr>
            <w:tcW w:w="27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33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comprehensive loss</w:t>
            </w:r>
          </w:p>
        </w:tc>
        <w:tc>
          <w:tcPr>
            <w:tcW w:w="724" w:type="dxa"/>
            <w:gridSpan w:val="2"/>
            <w:tcBorders/>
            <w:shd w:fill="auto" w:val="clear"/>
            <w:vAlign w:val="center"/>
          </w:tcPr>
          <w:p>
            <w:pPr>
              <w:pStyle w:val="TableContents"/>
              <w:spacing w:before="0" w:after="0"/>
              <w:jc w:val="right"/>
              <w:rPr/>
            </w:pPr>
            <w:r>
              <w:rPr/>
              <w:t>—</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auto" w:val="clear"/>
            <w:vAlign w:val="center"/>
          </w:tcPr>
          <w:p>
            <w:pPr>
              <w:pStyle w:val="TableContents"/>
              <w:spacing w:before="0" w:after="0"/>
              <w:ind w:left="0" w:right="0" w:firstLine="30"/>
              <w:rPr/>
            </w:pPr>
            <w:r>
              <w:rPr/>
              <w:t> </w:t>
            </w:r>
          </w:p>
        </w:tc>
        <w:tc>
          <w:tcPr>
            <w:tcW w:w="546" w:type="dxa"/>
            <w:gridSpan w:val="2"/>
            <w:tcBorders/>
            <w:shd w:fill="auto" w:val="clear"/>
            <w:vAlign w:val="center"/>
          </w:tcPr>
          <w:p>
            <w:pPr>
              <w:pStyle w:val="TableContents"/>
              <w:spacing w:before="0" w:after="0"/>
              <w:jc w:val="right"/>
              <w:rPr/>
            </w:pPr>
            <w:r>
              <w:rPr/>
              <w:t>—</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(121</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(121</w:t>
            </w:r>
          </w:p>
        </w:tc>
        <w:tc>
          <w:tcPr>
            <w:tcW w:w="27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33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Equity-indexed compensation expense</w:t>
            </w:r>
          </w:p>
        </w:tc>
        <w:tc>
          <w:tcPr>
            <w:tcW w:w="724" w:type="dxa"/>
            <w:gridSpan w:val="2"/>
            <w:tcBorders/>
            <w:shd w:fill="CCEEFF" w:val="clear"/>
            <w:vAlign w:val="center"/>
          </w:tcPr>
          <w:p>
            <w:pPr>
              <w:pStyle w:val="TableContents"/>
              <w:spacing w:before="0" w:after="0"/>
              <w:jc w:val="right"/>
              <w:rPr/>
            </w:pPr>
            <w:r>
              <w:rPr/>
              <w:t>—</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546" w:type="dxa"/>
            <w:gridSpan w:val="2"/>
            <w:tcBorders/>
            <w:shd w:fill="CCEEFF" w:val="clear"/>
            <w:vAlign w:val="center"/>
          </w:tcPr>
          <w:p>
            <w:pPr>
              <w:pStyle w:val="TableContents"/>
              <w:spacing w:before="0" w:after="0"/>
              <w:jc w:val="right"/>
              <w:rPr/>
            </w:pPr>
            <w:r>
              <w:rPr/>
              <w:t>—</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5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w:t>
            </w:r>
          </w:p>
        </w:tc>
        <w:tc>
          <w:tcPr>
            <w:tcW w:w="27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3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724"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auto" w:val="clear"/>
            <w:vAlign w:val="center"/>
          </w:tcPr>
          <w:p>
            <w:pPr>
              <w:pStyle w:val="TableContents"/>
              <w:spacing w:before="0" w:after="0"/>
              <w:ind w:left="0" w:right="0" w:firstLine="30"/>
              <w:rPr/>
            </w:pPr>
            <w:r>
              <w:rPr/>
              <w:t> </w:t>
            </w:r>
          </w:p>
        </w:tc>
        <w:tc>
          <w:tcPr>
            <w:tcW w:w="54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w:t>
            </w:r>
          </w:p>
        </w:tc>
        <w:tc>
          <w:tcPr>
            <w:tcW w:w="13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75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w:t>
            </w:r>
          </w:p>
        </w:tc>
        <w:tc>
          <w:tcPr>
            <w:tcW w:w="137"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w:t>
            </w:r>
          </w:p>
        </w:tc>
        <w:tc>
          <w:tcPr>
            <w:tcW w:w="27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3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Balance at June 30, 2018</w:t>
            </w:r>
          </w:p>
        </w:tc>
        <w:tc>
          <w:tcPr>
            <w:tcW w:w="14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7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1,505</w:t>
            </w:r>
          </w:p>
        </w:tc>
        <w:tc>
          <w:tcPr>
            <w:tcW w:w="13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14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98"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787</w:t>
            </w:r>
          </w:p>
        </w:tc>
        <w:tc>
          <w:tcPr>
            <w:tcW w:w="13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4"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9"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8,532</w:t>
            </w:r>
          </w:p>
        </w:tc>
        <w:tc>
          <w:tcPr>
            <w:tcW w:w="137"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10,824</w:t>
            </w:r>
          </w:p>
        </w:tc>
        <w:tc>
          <w:tcPr>
            <w:tcW w:w="275"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tbl>
      <w:tblPr>
        <w:tblW w:w="7016" w:type="dxa"/>
        <w:jc w:val="left"/>
        <w:tblInd w:w="0" w:type="dxa"/>
        <w:tblCellMar>
          <w:top w:w="0" w:type="dxa"/>
          <w:left w:w="0" w:type="dxa"/>
          <w:bottom w:w="0" w:type="dxa"/>
          <w:right w:w="0" w:type="dxa"/>
        </w:tblCellMar>
      </w:tblPr>
      <w:tblGrid>
        <w:gridCol w:w="3320"/>
        <w:gridCol w:w="148"/>
        <w:gridCol w:w="576"/>
        <w:gridCol w:w="130"/>
        <w:gridCol w:w="106"/>
        <w:gridCol w:w="148"/>
        <w:gridCol w:w="398"/>
        <w:gridCol w:w="130"/>
        <w:gridCol w:w="90"/>
        <w:gridCol w:w="154"/>
        <w:gridCol w:w="599"/>
        <w:gridCol w:w="137"/>
        <w:gridCol w:w="90"/>
        <w:gridCol w:w="125"/>
        <w:gridCol w:w="590"/>
        <w:gridCol w:w="275"/>
      </w:tblGrid>
      <w:tr>
        <w:trPr/>
        <w:tc>
          <w:tcPr>
            <w:tcW w:w="7016" w:type="dxa"/>
            <w:gridSpan w:val="16"/>
            <w:tcBorders/>
            <w:shd w:fill="auto" w:val="clear"/>
            <w:vAlign w:val="center"/>
          </w:tcPr>
          <w:p>
            <w:pPr>
              <w:pStyle w:val="TableContents"/>
              <w:spacing w:before="0" w:after="283"/>
              <w:rPr>
                <w:sz w:val="4"/>
                <w:szCs w:val="4"/>
              </w:rPr>
            </w:pPr>
            <w:r>
              <w:rPr>
                <w:sz w:val="4"/>
                <w:szCs w:val="4"/>
              </w:rPr>
            </w:r>
          </w:p>
        </w:tc>
      </w:tr>
      <w:tr>
        <w:trPr/>
        <w:tc>
          <w:tcPr>
            <w:tcW w:w="3320"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320" w:type="dxa"/>
            <w:tcBorders/>
            <w:shd w:fill="auto" w:val="clear"/>
            <w:vAlign w:val="center"/>
          </w:tcPr>
          <w:p>
            <w:pPr>
              <w:pStyle w:val="TableContents"/>
              <w:spacing w:before="0" w:after="0"/>
              <w:ind w:left="0" w:right="0" w:firstLine="30"/>
              <w:jc w:val="left"/>
              <w:rPr/>
            </w:pPr>
            <w:r>
              <w:rPr/>
              <w:t> </w:t>
            </w:r>
          </w:p>
        </w:tc>
        <w:tc>
          <w:tcPr>
            <w:tcW w:w="2616"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Limited Partners</w:t>
            </w:r>
          </w:p>
        </w:tc>
        <w:tc>
          <w:tcPr>
            <w:tcW w:w="90" w:type="dxa"/>
            <w:tcBorders/>
            <w:shd w:fill="auto" w:val="clear"/>
            <w:vAlign w:val="center"/>
          </w:tcPr>
          <w:p>
            <w:pPr>
              <w:pStyle w:val="TableContents"/>
              <w:spacing w:before="0" w:after="0"/>
              <w:ind w:left="0" w:right="0" w:firstLine="30"/>
              <w:rPr/>
            </w:pPr>
            <w:r>
              <w:rPr/>
              <w:t> </w:t>
            </w:r>
          </w:p>
        </w:tc>
        <w:tc>
          <w:tcPr>
            <w:tcW w:w="990" w:type="dxa"/>
            <w:gridSpan w:val="3"/>
            <w:vMerge w:val="restart"/>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Total</w:t>
            </w:r>
          </w:p>
          <w:p>
            <w:pPr>
              <w:pStyle w:val="TableContents"/>
              <w:spacing w:before="0" w:after="0"/>
              <w:jc w:val="center"/>
              <w:rPr>
                <w:rFonts w:ascii="inherit" w:hAnsi="inherit"/>
                <w:b/>
                <w:sz w:val="13"/>
              </w:rPr>
            </w:pPr>
            <w:r>
              <w:rPr>
                <w:rFonts w:ascii="inherit" w:hAnsi="inherit"/>
                <w:b/>
                <w:sz w:val="13"/>
              </w:rPr>
              <w:t>Partners’</w:t>
            </w:r>
          </w:p>
          <w:p>
            <w:pPr>
              <w:pStyle w:val="TableContents"/>
              <w:spacing w:before="0" w:after="0"/>
              <w:ind w:left="0" w:right="0" w:firstLine="30"/>
              <w:jc w:val="center"/>
              <w:rPr>
                <w:rFonts w:ascii="inherit" w:hAnsi="inherit"/>
                <w:b/>
                <w:sz w:val="13"/>
              </w:rPr>
            </w:pPr>
            <w:r>
              <w:rPr>
                <w:rFonts w:ascii="inherit" w:hAnsi="inherit"/>
                <w:b/>
                <w:sz w:val="13"/>
              </w:rPr>
              <w:t>Capital</w:t>
            </w:r>
          </w:p>
        </w:tc>
      </w:tr>
      <w:tr>
        <w:trPr/>
        <w:tc>
          <w:tcPr>
            <w:tcW w:w="3320" w:type="dxa"/>
            <w:tcBorders/>
            <w:shd w:fill="auto" w:val="clear"/>
            <w:vAlign w:val="center"/>
          </w:tcPr>
          <w:p>
            <w:pPr>
              <w:pStyle w:val="TableContents"/>
              <w:spacing w:before="0" w:after="0"/>
              <w:ind w:left="0" w:right="0" w:firstLine="30"/>
              <w:rPr/>
            </w:pPr>
            <w:r>
              <w:rPr/>
              <w:t> </w:t>
            </w:r>
          </w:p>
        </w:tc>
        <w:tc>
          <w:tcPr>
            <w:tcW w:w="1636"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Preferred Unitholders</w:t>
            </w:r>
          </w:p>
        </w:tc>
        <w:tc>
          <w:tcPr>
            <w:tcW w:w="90" w:type="dxa"/>
            <w:tcBorders/>
            <w:shd w:fill="auto" w:val="clear"/>
            <w:vAlign w:val="center"/>
          </w:tcPr>
          <w:p>
            <w:pPr>
              <w:pStyle w:val="TableContents"/>
              <w:spacing w:before="0" w:after="0"/>
              <w:ind w:left="0" w:right="0" w:firstLine="30"/>
              <w:rPr/>
            </w:pPr>
            <w:r>
              <w:rPr/>
              <w:t> </w:t>
            </w:r>
          </w:p>
        </w:tc>
        <w:tc>
          <w:tcPr>
            <w:tcW w:w="890" w:type="dxa"/>
            <w:gridSpan w:val="3"/>
            <w:vMerge w:val="restart"/>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Common</w:t>
            </w:r>
          </w:p>
          <w:p>
            <w:pPr>
              <w:pStyle w:val="TableContents"/>
              <w:spacing w:before="0" w:after="0"/>
              <w:ind w:left="0" w:right="0" w:firstLine="30"/>
              <w:jc w:val="center"/>
              <w:rPr>
                <w:rFonts w:ascii="inherit" w:hAnsi="inherit"/>
                <w:b/>
                <w:sz w:val="13"/>
              </w:rPr>
            </w:pPr>
            <w:r>
              <w:rPr>
                <w:rFonts w:ascii="inherit" w:hAnsi="inherit"/>
                <w:b/>
                <w:sz w:val="13"/>
              </w:rPr>
              <w:t>Unitholders</w:t>
            </w:r>
          </w:p>
        </w:tc>
        <w:tc>
          <w:tcPr>
            <w:tcW w:w="90" w:type="dxa"/>
            <w:tcBorders/>
            <w:shd w:fill="auto" w:val="clear"/>
            <w:vAlign w:val="center"/>
          </w:tcPr>
          <w:p>
            <w:pPr>
              <w:pStyle w:val="TableContents"/>
              <w:spacing w:before="0" w:after="0"/>
              <w:ind w:left="0" w:right="0" w:firstLine="30"/>
              <w:rPr/>
            </w:pPr>
            <w:r>
              <w:rPr/>
              <w:t> </w:t>
            </w:r>
          </w:p>
        </w:tc>
        <w:tc>
          <w:tcPr>
            <w:tcW w:w="990" w:type="dxa"/>
            <w:gridSpan w:val="3"/>
            <w:vMerge w:val="continue"/>
            <w:tcBorders>
              <w:bottom w:val="single" w:sz="2" w:space="0" w:color="000000"/>
            </w:tcBorders>
            <w:shd w:fill="auto" w:val="clear"/>
            <w:tcMar>
              <w:bottom w:w="30" w:type="dxa"/>
            </w:tcMar>
            <w:vAlign w:val="center"/>
          </w:tcPr>
          <w:p>
            <w:pPr>
              <w:pStyle w:val="Normal"/>
              <w:rPr/>
            </w:pPr>
            <w:r>
              <w:rPr/>
            </w:r>
          </w:p>
        </w:tc>
      </w:tr>
      <w:tr>
        <w:trPr/>
        <w:tc>
          <w:tcPr>
            <w:tcW w:w="3320" w:type="dxa"/>
            <w:tcBorders/>
            <w:shd w:fill="auto" w:val="clear"/>
            <w:vAlign w:val="center"/>
          </w:tcPr>
          <w:p>
            <w:pPr>
              <w:pStyle w:val="TableContents"/>
              <w:spacing w:before="0" w:after="0"/>
              <w:ind w:left="0" w:right="0" w:firstLine="30"/>
              <w:rPr/>
            </w:pPr>
            <w:r>
              <w:rPr/>
              <w:t> </w:t>
            </w:r>
          </w:p>
        </w:tc>
        <w:tc>
          <w:tcPr>
            <w:tcW w:w="85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Series A</w:t>
            </w:r>
          </w:p>
        </w:tc>
        <w:tc>
          <w:tcPr>
            <w:tcW w:w="106"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676"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Series B</w:t>
            </w:r>
          </w:p>
        </w:tc>
        <w:tc>
          <w:tcPr>
            <w:tcW w:w="90" w:type="dxa"/>
            <w:tcBorders/>
            <w:shd w:fill="auto" w:val="clear"/>
            <w:vAlign w:val="center"/>
          </w:tcPr>
          <w:p>
            <w:pPr>
              <w:pStyle w:val="TableContents"/>
              <w:spacing w:before="0" w:after="0"/>
              <w:ind w:left="0" w:right="0" w:firstLine="30"/>
              <w:rPr/>
            </w:pPr>
            <w:r>
              <w:rPr/>
              <w:t> </w:t>
            </w:r>
          </w:p>
        </w:tc>
        <w:tc>
          <w:tcPr>
            <w:tcW w:w="890" w:type="dxa"/>
            <w:gridSpan w:val="3"/>
            <w:vMerge w:val="continue"/>
            <w:tcBorders>
              <w:bottom w:val="single" w:sz="2" w:space="0" w:color="000000"/>
            </w:tcBorders>
            <w:shd w:fill="auto" w:val="clear"/>
            <w:tcMar>
              <w:bottom w:w="30" w:type="dxa"/>
            </w:tcMar>
            <w:vAlign w:val="center"/>
          </w:tcPr>
          <w:p>
            <w:pPr>
              <w:pStyle w:val="Normal"/>
              <w:rPr/>
            </w:pPr>
            <w:r>
              <w:rPr/>
            </w:r>
          </w:p>
        </w:tc>
        <w:tc>
          <w:tcPr>
            <w:tcW w:w="90" w:type="dxa"/>
            <w:tcBorders/>
            <w:shd w:fill="auto" w:val="clear"/>
            <w:vAlign w:val="center"/>
          </w:tcPr>
          <w:p>
            <w:pPr>
              <w:pStyle w:val="TableContents"/>
              <w:spacing w:before="0" w:after="0"/>
              <w:ind w:left="0" w:right="0" w:firstLine="30"/>
              <w:rPr/>
            </w:pPr>
            <w:r>
              <w:rPr/>
              <w:t> </w:t>
            </w:r>
          </w:p>
        </w:tc>
        <w:tc>
          <w:tcPr>
            <w:tcW w:w="990" w:type="dxa"/>
            <w:gridSpan w:val="3"/>
            <w:vMerge w:val="continue"/>
            <w:tcBorders>
              <w:bottom w:val="single" w:sz="2" w:space="0" w:color="000000"/>
            </w:tcBorders>
            <w:shd w:fill="auto" w:val="clear"/>
            <w:tcMar>
              <w:bottom w:w="30" w:type="dxa"/>
            </w:tcMar>
            <w:vAlign w:val="center"/>
          </w:tcPr>
          <w:p>
            <w:pPr>
              <w:pStyle w:val="Normal"/>
              <w:rPr/>
            </w:pPr>
            <w:r>
              <w:rPr/>
            </w:r>
          </w:p>
        </w:tc>
      </w:tr>
      <w:tr>
        <w:trPr/>
        <w:tc>
          <w:tcPr>
            <w:tcW w:w="3320" w:type="dxa"/>
            <w:tcBorders/>
            <w:shd w:fill="auto" w:val="clear"/>
            <w:vAlign w:val="center"/>
          </w:tcPr>
          <w:p>
            <w:pPr>
              <w:pStyle w:val="TableContents"/>
              <w:spacing w:before="0" w:after="0"/>
              <w:ind w:left="0" w:right="0" w:firstLine="30"/>
              <w:jc w:val="left"/>
              <w:rPr/>
            </w:pPr>
            <w:r>
              <w:rPr/>
              <w:t> </w:t>
            </w:r>
          </w:p>
        </w:tc>
        <w:tc>
          <w:tcPr>
            <w:tcW w:w="3696" w:type="dxa"/>
            <w:gridSpan w:val="15"/>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(unaudited)</w:t>
            </w:r>
          </w:p>
        </w:tc>
      </w:tr>
      <w:tr>
        <w:trPr/>
        <w:tc>
          <w:tcPr>
            <w:tcW w:w="33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Balance at March 31, 2018</w:t>
            </w:r>
          </w:p>
        </w:tc>
        <w:tc>
          <w:tcPr>
            <w:tcW w:w="14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7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1,505</w:t>
            </w:r>
          </w:p>
        </w:tc>
        <w:tc>
          <w:tcPr>
            <w:tcW w:w="13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14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98"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787</w:t>
            </w:r>
          </w:p>
        </w:tc>
        <w:tc>
          <w:tcPr>
            <w:tcW w:w="13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4"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9"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8,744</w:t>
            </w:r>
          </w:p>
        </w:tc>
        <w:tc>
          <w:tcPr>
            <w:tcW w:w="137"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11,036</w:t>
            </w:r>
          </w:p>
        </w:tc>
        <w:tc>
          <w:tcPr>
            <w:tcW w:w="275" w:type="dxa"/>
            <w:tcBorders>
              <w:bottom w:val="double" w:sz="6" w:space="0" w:color="000000"/>
            </w:tcBorders>
            <w:shd w:fill="CCEEFF"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3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72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auto" w:val="clear"/>
            <w:vAlign w:val="center"/>
          </w:tcPr>
          <w:p>
            <w:pPr>
              <w:pStyle w:val="TableContents"/>
              <w:spacing w:before="0" w:after="0"/>
              <w:ind w:left="0" w:right="0" w:firstLine="30"/>
              <w:rPr/>
            </w:pPr>
            <w:r>
              <w:rPr/>
              <w:t> </w:t>
            </w:r>
          </w:p>
        </w:tc>
        <w:tc>
          <w:tcPr>
            <w:tcW w:w="54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51</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100</w:t>
            </w:r>
          </w:p>
        </w:tc>
        <w:tc>
          <w:tcPr>
            <w:tcW w:w="27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3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Distributions</w:t>
            </w:r>
          </w:p>
        </w:tc>
        <w:tc>
          <w:tcPr>
            <w:tcW w:w="72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6" w:type="dxa"/>
            <w:tcBorders/>
            <w:shd w:fill="CCEEFF" w:val="clear"/>
            <w:vAlign w:val="center"/>
          </w:tcPr>
          <w:p>
            <w:pPr>
              <w:pStyle w:val="TableContents"/>
              <w:spacing w:before="0" w:after="0"/>
              <w:ind w:left="0" w:right="0" w:firstLine="30"/>
              <w:rPr/>
            </w:pPr>
            <w:r>
              <w:rPr/>
              <w:t> </w:t>
            </w:r>
          </w:p>
        </w:tc>
        <w:tc>
          <w:tcPr>
            <w:tcW w:w="54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75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(218</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(267</w:t>
            </w:r>
          </w:p>
        </w:tc>
        <w:tc>
          <w:tcPr>
            <w:tcW w:w="27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33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comprehensive loss</w:t>
            </w:r>
          </w:p>
        </w:tc>
        <w:tc>
          <w:tcPr>
            <w:tcW w:w="724" w:type="dxa"/>
            <w:gridSpan w:val="2"/>
            <w:tcBorders/>
            <w:shd w:fill="auto" w:val="clear"/>
            <w:vAlign w:val="center"/>
          </w:tcPr>
          <w:p>
            <w:pPr>
              <w:pStyle w:val="TableContents"/>
              <w:spacing w:before="0" w:after="0"/>
              <w:jc w:val="right"/>
              <w:rPr/>
            </w:pPr>
            <w:r>
              <w:rPr/>
              <w:t>—</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auto" w:val="clear"/>
            <w:vAlign w:val="center"/>
          </w:tcPr>
          <w:p>
            <w:pPr>
              <w:pStyle w:val="TableContents"/>
              <w:spacing w:before="0" w:after="0"/>
              <w:ind w:left="0" w:right="0" w:firstLine="30"/>
              <w:rPr/>
            </w:pPr>
            <w:r>
              <w:rPr/>
              <w:t> </w:t>
            </w:r>
          </w:p>
        </w:tc>
        <w:tc>
          <w:tcPr>
            <w:tcW w:w="546" w:type="dxa"/>
            <w:gridSpan w:val="2"/>
            <w:tcBorders/>
            <w:shd w:fill="auto" w:val="clear"/>
            <w:vAlign w:val="center"/>
          </w:tcPr>
          <w:p>
            <w:pPr>
              <w:pStyle w:val="TableContents"/>
              <w:spacing w:before="0" w:after="0"/>
              <w:jc w:val="right"/>
              <w:rPr/>
            </w:pPr>
            <w:r>
              <w:rPr/>
              <w:t>—</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(56</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(56</w:t>
            </w:r>
          </w:p>
        </w:tc>
        <w:tc>
          <w:tcPr>
            <w:tcW w:w="27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33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Equity-indexed compensation expense</w:t>
            </w:r>
          </w:p>
        </w:tc>
        <w:tc>
          <w:tcPr>
            <w:tcW w:w="724" w:type="dxa"/>
            <w:gridSpan w:val="2"/>
            <w:tcBorders/>
            <w:shd w:fill="CCEEFF" w:val="clear"/>
            <w:vAlign w:val="center"/>
          </w:tcPr>
          <w:p>
            <w:pPr>
              <w:pStyle w:val="TableContents"/>
              <w:spacing w:before="0" w:after="0"/>
              <w:jc w:val="right"/>
              <w:rPr/>
            </w:pPr>
            <w:r>
              <w:rPr/>
              <w:t>—</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546" w:type="dxa"/>
            <w:gridSpan w:val="2"/>
            <w:tcBorders/>
            <w:shd w:fill="CCEEFF" w:val="clear"/>
            <w:vAlign w:val="center"/>
          </w:tcPr>
          <w:p>
            <w:pPr>
              <w:pStyle w:val="TableContents"/>
              <w:spacing w:before="0" w:after="0"/>
              <w:jc w:val="right"/>
              <w:rPr/>
            </w:pPr>
            <w:r>
              <w:rPr/>
              <w:t>—</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5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w:t>
            </w:r>
          </w:p>
        </w:tc>
        <w:tc>
          <w:tcPr>
            <w:tcW w:w="27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3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724"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auto" w:val="clear"/>
            <w:vAlign w:val="center"/>
          </w:tcPr>
          <w:p>
            <w:pPr>
              <w:pStyle w:val="TableContents"/>
              <w:spacing w:before="0" w:after="0"/>
              <w:ind w:left="0" w:right="0" w:firstLine="30"/>
              <w:rPr/>
            </w:pPr>
            <w:r>
              <w:rPr/>
              <w:t> </w:t>
            </w:r>
          </w:p>
        </w:tc>
        <w:tc>
          <w:tcPr>
            <w:tcW w:w="546"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5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w:t>
            </w:r>
          </w:p>
        </w:tc>
        <w:tc>
          <w:tcPr>
            <w:tcW w:w="137"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w:t>
            </w:r>
          </w:p>
        </w:tc>
        <w:tc>
          <w:tcPr>
            <w:tcW w:w="27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3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Balance at June 30, 2018</w:t>
            </w:r>
          </w:p>
        </w:tc>
        <w:tc>
          <w:tcPr>
            <w:tcW w:w="14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7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1,505</w:t>
            </w:r>
          </w:p>
        </w:tc>
        <w:tc>
          <w:tcPr>
            <w:tcW w:w="13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6" w:type="dxa"/>
            <w:tcBorders/>
            <w:shd w:fill="CCEEFF" w:val="clear"/>
            <w:vAlign w:val="center"/>
          </w:tcPr>
          <w:p>
            <w:pPr>
              <w:pStyle w:val="TableContents"/>
              <w:spacing w:before="0" w:after="0"/>
              <w:ind w:left="0" w:right="0" w:firstLine="30"/>
              <w:rPr/>
            </w:pPr>
            <w:r>
              <w:rPr/>
              <w:t> </w:t>
            </w:r>
          </w:p>
        </w:tc>
        <w:tc>
          <w:tcPr>
            <w:tcW w:w="14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98"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787</w:t>
            </w:r>
          </w:p>
        </w:tc>
        <w:tc>
          <w:tcPr>
            <w:tcW w:w="13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4"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9"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8,532</w:t>
            </w:r>
          </w:p>
        </w:tc>
        <w:tc>
          <w:tcPr>
            <w:tcW w:w="137"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10,824</w:t>
            </w:r>
          </w:p>
        </w:tc>
        <w:tc>
          <w:tcPr>
            <w:tcW w:w="275"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t>The accompanying notes are an integral part of these condensed consolidated financial statements.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8</w:t>
      </w:r>
      <w:r>
        <w:br w:type="page"/>
      </w:r>
    </w:p>
    <w:p>
      <w:pPr>
        <w:pStyle w:val="TextBody"/>
        <w:spacing w:lineRule="auto" w:line="288" w:before="0" w:after="0"/>
        <w:rPr/>
      </w:pPr>
      <w:hyperlink w:anchor="s3336AD8A685850CC9B7F2572CB2C0BC3">
        <w:bookmarkStart w:id="13" w:name="s7BFAB7DFF7DA5960B4BDAA0A67A803B0"/>
        <w:bookmarkEnd w:id="13"/>
        <w:r>
          <w:rPr>
            <w:rStyle w:val="InternetLink"/>
            <w:rFonts w:ascii="inherit" w:hAnsi="inherit"/>
            <w:sz w:val="17"/>
          </w:rPr>
          <w:t>Table of Contents</w:t>
        </w:r>
      </w:hyperlink>
      <w:r>
        <w:rPr>
          <w:sz w:val="17"/>
        </w:rPr>
        <w:t xml:space="preserve"> </w:t>
      </w:r>
    </w:p>
    <w:p>
      <w:pPr>
        <w:pStyle w:val="TextBody"/>
        <w:spacing w:lineRule="auto" w:line="288" w:before="0" w:after="0"/>
        <w:jc w:val="center"/>
        <w:rPr>
          <w:rFonts w:ascii="inherit" w:hAnsi="inherit"/>
          <w:b/>
          <w:sz w:val="17"/>
        </w:rPr>
      </w:pPr>
      <w:r>
        <w:rPr>
          <w:rFonts w:ascii="inherit" w:hAnsi="inherit"/>
          <w:b/>
          <w:sz w:val="17"/>
        </w:rPr>
        <w:t>PLAINS ALL AMERICAN PIPELINE, L.P. AND SUBSIDIARIES</w:t>
      </w:r>
    </w:p>
    <w:p>
      <w:pPr>
        <w:pStyle w:val="TextBody"/>
        <w:spacing w:lineRule="auto" w:line="288" w:before="0" w:after="0"/>
        <w:jc w:val="center"/>
        <w:rPr>
          <w:rFonts w:ascii="inherit" w:hAnsi="inherit"/>
          <w:b/>
          <w:sz w:val="17"/>
        </w:rPr>
      </w:pPr>
      <w:r>
        <w:rPr>
          <w:rFonts w:ascii="inherit" w:hAnsi="inherit"/>
          <w:b/>
          <w:sz w:val="17"/>
        </w:rPr>
        <w:t>NOTES TO THE UNAUDITED CONDENSED CONSOLIDATED FINANCIAL STATEMENTS</w:t>
      </w:r>
    </w:p>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rPr/>
      </w:pPr>
      <w:r>
        <w:rPr/>
        <w:t> </w:t>
      </w:r>
    </w:p>
    <w:p>
      <w:pPr>
        <w:pStyle w:val="TextBody"/>
        <w:spacing w:lineRule="auto" w:line="288" w:before="0" w:after="0"/>
        <w:rPr>
          <w:rFonts w:ascii="inherit" w:hAnsi="inherit"/>
          <w:b/>
          <w:sz w:val="17"/>
        </w:rPr>
      </w:pPr>
      <w:bookmarkStart w:id="14" w:name="s1B90D3E4B7985791BADC916C510A7057"/>
      <w:bookmarkEnd w:id="14"/>
      <w:r>
        <w:rPr>
          <w:rFonts w:ascii="inherit" w:hAnsi="inherit"/>
          <w:b/>
          <w:sz w:val="17"/>
        </w:rPr>
        <w:t>Note 1—Organization and Basis of Consolidation and Presentation</w:t>
      </w:r>
    </w:p>
    <w:p>
      <w:pPr>
        <w:pStyle w:val="TextBody"/>
        <w:spacing w:lineRule="auto" w:line="288" w:before="0" w:after="0"/>
        <w:rPr/>
      </w:pPr>
      <w:r>
        <w:rPr/>
        <w:t> </w:t>
      </w:r>
    </w:p>
    <w:p>
      <w:pPr>
        <w:pStyle w:val="TextBody"/>
        <w:spacing w:lineRule="auto" w:line="288" w:before="0" w:after="0"/>
        <w:rPr>
          <w:rFonts w:ascii="inherit" w:hAnsi="inherit"/>
          <w:b/>
          <w:i/>
          <w:sz w:val="17"/>
        </w:rPr>
      </w:pPr>
      <w:r>
        <w:rPr>
          <w:rFonts w:ascii="inherit" w:hAnsi="inherit"/>
          <w:b/>
          <w:i/>
          <w:sz w:val="17"/>
        </w:rPr>
        <w:t>Organization</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Plains All American Pipeline, L.P. (“PAA”) is a Delaware limited partnership formed in 1998. Our operations are conducted directly and indirectly through our primary operating subsidiaries. As used in this Form 10-Q and unless the context indicates otherwise, the terms “Partnership,” “we,” “us,” “our,” “ours” and similar terms refer to PAA and its subsidiaries.</w:t>
      </w:r>
    </w:p>
    <w:p>
      <w:pPr>
        <w:pStyle w:val="TextBody"/>
        <w:spacing w:lineRule="auto" w:line="288" w:before="0" w:after="0"/>
        <w:rPr/>
      </w:pPr>
      <w:r>
        <w:rPr/>
        <w:t> </w:t>
      </w:r>
    </w:p>
    <w:p>
      <w:pPr>
        <w:pStyle w:val="TextBody"/>
        <w:spacing w:lineRule="auto" w:line="288" w:before="0" w:after="0"/>
        <w:ind w:left="0" w:right="0" w:firstLine="720"/>
        <w:rPr>
          <w:sz w:val="17"/>
        </w:rPr>
      </w:pPr>
      <w:r>
        <w:rPr>
          <w:rFonts w:ascii="inherit" w:hAnsi="inherit"/>
          <w:sz w:val="17"/>
        </w:rPr>
        <w:t>We own and operate midstream energy infrastructure and provide logistics services primarily for crude oil, natural gas liquids (“NGL”) and natural gas. We own an extensive network of pipeline transportation, terminalling, storage and gathering assets in key crude oil and NGL producing basins and transportation corridors and at major market hubs in the United States and Canada. Our business activities are conducted through three</w:t>
      </w:r>
      <w:r>
        <w:rPr>
          <w:sz w:val="17"/>
        </w:rPr>
        <w:t xml:space="preserve"> </w:t>
      </w:r>
      <w:r>
        <w:rPr>
          <w:rFonts w:ascii="inherit" w:hAnsi="inherit"/>
          <w:sz w:val="17"/>
        </w:rPr>
        <w:t xml:space="preserve">operating segments: Transportation, Facilities and Supply and Logistics. See </w:t>
      </w:r>
      <w:r>
        <w:rPr>
          <w:b w:val="false"/>
          <w:sz w:val="17"/>
        </w:rPr>
        <w:t>Note 14</w:t>
      </w:r>
      <w:r>
        <w:rPr>
          <w:sz w:val="17"/>
        </w:rPr>
        <w:t xml:space="preserve"> </w:t>
      </w:r>
      <w:r>
        <w:rPr>
          <w:rFonts w:ascii="inherit" w:hAnsi="inherit"/>
          <w:sz w:val="17"/>
        </w:rPr>
        <w:t>for further discussion of our operating segments.</w:t>
      </w:r>
    </w:p>
    <w:p>
      <w:pPr>
        <w:pStyle w:val="TextBody"/>
        <w:spacing w:lineRule="auto" w:line="288" w:before="0" w:after="0"/>
        <w:rPr/>
      </w:pPr>
      <w:r>
        <w:rPr/>
        <w:t> </w:t>
      </w:r>
    </w:p>
    <w:p>
      <w:pPr>
        <w:pStyle w:val="TextBody"/>
        <w:spacing w:lineRule="auto" w:line="288" w:before="0" w:after="0"/>
        <w:ind w:left="0" w:right="0" w:firstLine="720"/>
        <w:rPr>
          <w:sz w:val="17"/>
        </w:rPr>
      </w:pPr>
      <w:r>
        <w:rPr>
          <w:rFonts w:ascii="inherit" w:hAnsi="inherit"/>
          <w:sz w:val="17"/>
        </w:rPr>
        <w:t>Our non-economic general partner interest is held by PAA GP LLC (“PAA GP”), a Delaware limited liability company, whose sole member is Plains AAP, L.P. (“AAP”), a Delaware limited partnership. In addition to its ownership of PAA GP, as of June 30, 2019, AAP also owned a limited partner interest in us through its ownership of approximately 268.5</w:t>
      </w:r>
      <w:r>
        <w:rPr>
          <w:sz w:val="17"/>
        </w:rPr>
        <w:t xml:space="preserve"> </w:t>
      </w:r>
      <w:r>
        <w:rPr>
          <w:rFonts w:ascii="inherit" w:hAnsi="inherit"/>
          <w:sz w:val="17"/>
        </w:rPr>
        <w:t>million of our common units (approximately 34%</w:t>
      </w:r>
      <w:r>
        <w:rPr>
          <w:sz w:val="17"/>
        </w:rPr>
        <w:t xml:space="preserve"> </w:t>
      </w:r>
      <w:r>
        <w:rPr>
          <w:rFonts w:ascii="inherit" w:hAnsi="inherit"/>
          <w:sz w:val="17"/>
        </w:rPr>
        <w:t>of our total outstanding common units and Series A preferred units combined). Plains All American GP LLC (“GP LLC”), a Delaware limited liability company, is AAP’s general partner. Plains GP Holdings, L.P. (“PAGP”) is the sole and managing member of GP LLC, and, at June 30, 2019, owned an approximate 63%</w:t>
      </w:r>
      <w:r>
        <w:rPr>
          <w:sz w:val="17"/>
        </w:rPr>
        <w:t xml:space="preserve"> </w:t>
      </w:r>
      <w:r>
        <w:rPr>
          <w:rFonts w:ascii="inherit" w:hAnsi="inherit"/>
          <w:sz w:val="17"/>
        </w:rPr>
        <w:t>limited partner interest in AAP. PAA GP Holdings LLC (“PAGP GP”) is the general partner of PAGP.</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 xml:space="preserve">As the sole member of GP LLC, PAGP has responsibility for conducting our business and managing our operations; however, the board of directors of PAGP GP has ultimate responsibility for managing the business and affairs of PAGP, AAP and us. GP LLC employs our domestic officers and personnel; our Canadian officers and personnel are employed by our subsidiary, Plains Midstream Canada ULC. </w:t>
      </w:r>
    </w:p>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lineRule="auto" w:line="288" w:before="0" w:after="0"/>
        <w:ind w:left="0" w:right="0" w:firstLine="720"/>
        <w:rPr>
          <w:rFonts w:ascii="inherit" w:hAnsi="inherit"/>
          <w:sz w:val="17"/>
        </w:rPr>
      </w:pPr>
      <w:r>
        <w:rPr>
          <w:rFonts w:ascii="inherit" w:hAnsi="inherit"/>
          <w:sz w:val="17"/>
        </w:rPr>
        <w:t>References to our “general partner,” as the context requires, include any or all of PAGP GP, PAGP, GP LLC, AAP and PAA GP.</w:t>
      </w:r>
    </w:p>
    <w:p>
      <w:pPr>
        <w:pStyle w:val="TextBody"/>
        <w:spacing w:lineRule="auto" w:line="288" w:before="0" w:after="0"/>
        <w:rPr/>
      </w:pPr>
      <w:r>
        <w:rPr/>
        <w:t>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9</w:t>
      </w:r>
      <w:r>
        <w:br w:type="page"/>
      </w:r>
    </w:p>
    <w:p>
      <w:pPr>
        <w:pStyle w:val="TextBody"/>
        <w:spacing w:lineRule="auto" w:line="288" w:before="0" w:after="0"/>
        <w:rPr/>
      </w:pPr>
      <w:hyperlink w:anchor="s3336AD8A685850CC9B7F2572CB2C0BC3">
        <w:r>
          <w:rPr>
            <w:rStyle w:val="InternetLink"/>
            <w:rFonts w:ascii="inherit" w:hAnsi="inherit"/>
            <w:sz w:val="17"/>
          </w:rPr>
          <w:t>Table of Contents</w:t>
        </w:r>
      </w:hyperlink>
      <w:r>
        <w:rPr>
          <w:sz w:val="17"/>
        </w:rPr>
        <w:t xml:space="preserve"> </w:t>
      </w:r>
    </w:p>
    <w:p>
      <w:pPr>
        <w:pStyle w:val="TextBody"/>
        <w:spacing w:lineRule="auto" w:line="288" w:before="0" w:after="0"/>
        <w:jc w:val="center"/>
        <w:rPr>
          <w:rFonts w:ascii="inherit" w:hAnsi="inherit"/>
          <w:b/>
          <w:sz w:val="17"/>
        </w:rPr>
      </w:pPr>
      <w:r>
        <w:rPr>
          <w:rFonts w:ascii="inherit" w:hAnsi="inherit"/>
          <w:b/>
          <w:sz w:val="17"/>
        </w:rPr>
        <w:t>PLAINS ALL AMERICAN PIPELINE, L.P. AND SUBSIDIARIES</w:t>
      </w:r>
    </w:p>
    <w:p>
      <w:pPr>
        <w:pStyle w:val="TextBody"/>
        <w:spacing w:lineRule="auto" w:line="288" w:before="0" w:after="0"/>
        <w:jc w:val="center"/>
        <w:rPr>
          <w:rFonts w:ascii="inherit" w:hAnsi="inherit"/>
          <w:b/>
          <w:sz w:val="17"/>
        </w:rPr>
      </w:pPr>
      <w:r>
        <w:rPr>
          <w:rFonts w:ascii="inherit" w:hAnsi="inherit"/>
          <w:b/>
          <w:sz w:val="17"/>
        </w:rPr>
        <w:t>NOTES TO THE UNAUDITED CONDENSED CONSOLIDATED FINANCIAL STATEMENTS</w:t>
      </w:r>
    </w:p>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rPr>
          <w:rFonts w:ascii="inherit" w:hAnsi="inherit"/>
          <w:b/>
          <w:i/>
          <w:sz w:val="17"/>
        </w:rPr>
      </w:pPr>
      <w:r>
        <w:rPr>
          <w:rFonts w:ascii="inherit" w:hAnsi="inherit"/>
          <w:b/>
          <w:i/>
          <w:sz w:val="17"/>
        </w:rPr>
        <w:t>Definitions</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Additional defined terms are used in this Form 10-Q and shall have the meanings indicated below:</w:t>
      </w:r>
    </w:p>
    <w:tbl>
      <w:tblPr>
        <w:tblW w:w="6120" w:type="dxa"/>
        <w:jc w:val="left"/>
        <w:tblInd w:w="0" w:type="dxa"/>
        <w:tblCellMar>
          <w:top w:w="0" w:type="dxa"/>
          <w:left w:w="0" w:type="dxa"/>
          <w:bottom w:w="0" w:type="dxa"/>
          <w:right w:w="0" w:type="dxa"/>
        </w:tblCellMar>
      </w:tblPr>
      <w:tblGrid>
        <w:gridCol w:w="680"/>
        <w:gridCol w:w="185"/>
        <w:gridCol w:w="5255"/>
      </w:tblGrid>
      <w:tr>
        <w:trPr/>
        <w:tc>
          <w:tcPr>
            <w:tcW w:w="6120" w:type="dxa"/>
            <w:gridSpan w:val="3"/>
            <w:tcBorders/>
            <w:shd w:fill="auto" w:val="clear"/>
            <w:vAlign w:val="center"/>
          </w:tcPr>
          <w:p>
            <w:pPr>
              <w:pStyle w:val="TableContents"/>
              <w:spacing w:before="0" w:after="283"/>
              <w:rPr>
                <w:sz w:val="4"/>
                <w:szCs w:val="4"/>
              </w:rPr>
            </w:pPr>
            <w:r>
              <w:rPr>
                <w:sz w:val="4"/>
                <w:szCs w:val="4"/>
              </w:rPr>
            </w:r>
          </w:p>
        </w:tc>
      </w:tr>
      <w:tr>
        <w:trPr/>
        <w:tc>
          <w:tcPr>
            <w:tcW w:w="680"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525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AOCI</w:t>
            </w:r>
          </w:p>
        </w:tc>
        <w:tc>
          <w:tcPr>
            <w:tcW w:w="18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w:t>
            </w:r>
          </w:p>
        </w:tc>
        <w:tc>
          <w:tcPr>
            <w:tcW w:w="52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Accumulated other comprehensive income/(loss)</w:t>
            </w:r>
          </w:p>
        </w:tc>
      </w:tr>
      <w:tr>
        <w:trPr/>
        <w:tc>
          <w:tcPr>
            <w:tcW w:w="6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ASC</w:t>
            </w:r>
          </w:p>
        </w:tc>
        <w:tc>
          <w:tcPr>
            <w:tcW w:w="18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w:t>
            </w:r>
          </w:p>
        </w:tc>
        <w:tc>
          <w:tcPr>
            <w:tcW w:w="52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Accounting Standards Codification</w:t>
            </w:r>
          </w:p>
        </w:tc>
      </w:tr>
      <w:tr>
        <w:trPr/>
        <w:tc>
          <w:tcPr>
            <w:tcW w:w="6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ASU</w:t>
            </w:r>
          </w:p>
        </w:tc>
        <w:tc>
          <w:tcPr>
            <w:tcW w:w="18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w:t>
            </w:r>
          </w:p>
        </w:tc>
        <w:tc>
          <w:tcPr>
            <w:tcW w:w="52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Accounting Standards Update</w:t>
            </w:r>
          </w:p>
        </w:tc>
      </w:tr>
      <w:tr>
        <w:trPr/>
        <w:tc>
          <w:tcPr>
            <w:tcW w:w="6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Bcf</w:t>
            </w:r>
          </w:p>
        </w:tc>
        <w:tc>
          <w:tcPr>
            <w:tcW w:w="18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w:t>
            </w:r>
          </w:p>
        </w:tc>
        <w:tc>
          <w:tcPr>
            <w:tcW w:w="52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Billion cubic feet</w:t>
            </w:r>
          </w:p>
        </w:tc>
      </w:tr>
      <w:tr>
        <w:trPr/>
        <w:tc>
          <w:tcPr>
            <w:tcW w:w="6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Btu</w:t>
            </w:r>
          </w:p>
        </w:tc>
        <w:tc>
          <w:tcPr>
            <w:tcW w:w="18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w:t>
            </w:r>
          </w:p>
        </w:tc>
        <w:tc>
          <w:tcPr>
            <w:tcW w:w="52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British thermal unit</w:t>
            </w:r>
          </w:p>
        </w:tc>
      </w:tr>
      <w:tr>
        <w:trPr/>
        <w:tc>
          <w:tcPr>
            <w:tcW w:w="6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CAD</w:t>
            </w:r>
          </w:p>
        </w:tc>
        <w:tc>
          <w:tcPr>
            <w:tcW w:w="18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w:t>
            </w:r>
          </w:p>
        </w:tc>
        <w:tc>
          <w:tcPr>
            <w:tcW w:w="52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Canadian dollar</w:t>
            </w:r>
          </w:p>
        </w:tc>
      </w:tr>
      <w:tr>
        <w:trPr/>
        <w:tc>
          <w:tcPr>
            <w:tcW w:w="6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CODM</w:t>
            </w:r>
          </w:p>
        </w:tc>
        <w:tc>
          <w:tcPr>
            <w:tcW w:w="18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w:t>
            </w:r>
          </w:p>
        </w:tc>
        <w:tc>
          <w:tcPr>
            <w:tcW w:w="52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Chief Operating Decision Maker</w:t>
            </w:r>
          </w:p>
        </w:tc>
      </w:tr>
      <w:tr>
        <w:trPr/>
        <w:tc>
          <w:tcPr>
            <w:tcW w:w="6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DERs</w:t>
            </w:r>
          </w:p>
        </w:tc>
        <w:tc>
          <w:tcPr>
            <w:tcW w:w="18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w:t>
            </w:r>
          </w:p>
        </w:tc>
        <w:tc>
          <w:tcPr>
            <w:tcW w:w="52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Distribution equivalent rights</w:t>
            </w:r>
          </w:p>
        </w:tc>
      </w:tr>
      <w:tr>
        <w:trPr/>
        <w:tc>
          <w:tcPr>
            <w:tcW w:w="6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EBITDA</w:t>
            </w:r>
          </w:p>
        </w:tc>
        <w:tc>
          <w:tcPr>
            <w:tcW w:w="18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w:t>
            </w:r>
          </w:p>
        </w:tc>
        <w:tc>
          <w:tcPr>
            <w:tcW w:w="52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Earnings before interest, taxes, depreciation and amortization</w:t>
            </w:r>
          </w:p>
        </w:tc>
      </w:tr>
      <w:tr>
        <w:trPr/>
        <w:tc>
          <w:tcPr>
            <w:tcW w:w="6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EPA</w:t>
            </w:r>
          </w:p>
        </w:tc>
        <w:tc>
          <w:tcPr>
            <w:tcW w:w="18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w:t>
            </w:r>
          </w:p>
        </w:tc>
        <w:tc>
          <w:tcPr>
            <w:tcW w:w="52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United States Environmental Protection Agency</w:t>
            </w:r>
          </w:p>
        </w:tc>
      </w:tr>
      <w:tr>
        <w:trPr/>
        <w:tc>
          <w:tcPr>
            <w:tcW w:w="6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FASB</w:t>
            </w:r>
          </w:p>
        </w:tc>
        <w:tc>
          <w:tcPr>
            <w:tcW w:w="18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w:t>
            </w:r>
          </w:p>
        </w:tc>
        <w:tc>
          <w:tcPr>
            <w:tcW w:w="52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Financial Accounting Standards Board</w:t>
            </w:r>
          </w:p>
        </w:tc>
      </w:tr>
      <w:tr>
        <w:trPr/>
        <w:tc>
          <w:tcPr>
            <w:tcW w:w="6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GAAP</w:t>
            </w:r>
          </w:p>
        </w:tc>
        <w:tc>
          <w:tcPr>
            <w:tcW w:w="18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w:t>
            </w:r>
          </w:p>
        </w:tc>
        <w:tc>
          <w:tcPr>
            <w:tcW w:w="52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Generally accepted accounting principles in the United States</w:t>
            </w:r>
          </w:p>
        </w:tc>
      </w:tr>
      <w:tr>
        <w:trPr/>
        <w:tc>
          <w:tcPr>
            <w:tcW w:w="6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ICE</w:t>
            </w:r>
          </w:p>
        </w:tc>
        <w:tc>
          <w:tcPr>
            <w:tcW w:w="18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w:t>
            </w:r>
          </w:p>
        </w:tc>
        <w:tc>
          <w:tcPr>
            <w:tcW w:w="52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Intercontinental Exchange</w:t>
            </w:r>
          </w:p>
        </w:tc>
      </w:tr>
      <w:tr>
        <w:trPr/>
        <w:tc>
          <w:tcPr>
            <w:tcW w:w="6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ISDA</w:t>
            </w:r>
          </w:p>
        </w:tc>
        <w:tc>
          <w:tcPr>
            <w:tcW w:w="18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w:t>
            </w:r>
          </w:p>
        </w:tc>
        <w:tc>
          <w:tcPr>
            <w:tcW w:w="52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International Swaps and Derivatives Association</w:t>
            </w:r>
          </w:p>
        </w:tc>
      </w:tr>
      <w:tr>
        <w:trPr/>
        <w:tc>
          <w:tcPr>
            <w:tcW w:w="6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LIBOR</w:t>
            </w:r>
          </w:p>
        </w:tc>
        <w:tc>
          <w:tcPr>
            <w:tcW w:w="18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w:t>
            </w:r>
          </w:p>
        </w:tc>
        <w:tc>
          <w:tcPr>
            <w:tcW w:w="52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London Interbank Offered Rate</w:t>
            </w:r>
          </w:p>
        </w:tc>
      </w:tr>
      <w:tr>
        <w:trPr/>
        <w:tc>
          <w:tcPr>
            <w:tcW w:w="6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LTIP</w:t>
            </w:r>
          </w:p>
        </w:tc>
        <w:tc>
          <w:tcPr>
            <w:tcW w:w="18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w:t>
            </w:r>
          </w:p>
        </w:tc>
        <w:tc>
          <w:tcPr>
            <w:tcW w:w="52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Long-term incentive plan</w:t>
            </w:r>
          </w:p>
        </w:tc>
      </w:tr>
      <w:tr>
        <w:trPr/>
        <w:tc>
          <w:tcPr>
            <w:tcW w:w="6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Mcf</w:t>
            </w:r>
          </w:p>
        </w:tc>
        <w:tc>
          <w:tcPr>
            <w:tcW w:w="18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w:t>
            </w:r>
          </w:p>
        </w:tc>
        <w:tc>
          <w:tcPr>
            <w:tcW w:w="52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Thousand cubic feet</w:t>
            </w:r>
          </w:p>
        </w:tc>
      </w:tr>
      <w:tr>
        <w:trPr/>
        <w:tc>
          <w:tcPr>
            <w:tcW w:w="6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NGL</w:t>
            </w:r>
          </w:p>
        </w:tc>
        <w:tc>
          <w:tcPr>
            <w:tcW w:w="18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w:t>
            </w:r>
          </w:p>
        </w:tc>
        <w:tc>
          <w:tcPr>
            <w:tcW w:w="52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Natural gas liquids, including ethane, propane and butane</w:t>
            </w:r>
          </w:p>
        </w:tc>
      </w:tr>
      <w:tr>
        <w:trPr/>
        <w:tc>
          <w:tcPr>
            <w:tcW w:w="6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NYMEX</w:t>
            </w:r>
          </w:p>
        </w:tc>
        <w:tc>
          <w:tcPr>
            <w:tcW w:w="18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w:t>
            </w:r>
          </w:p>
        </w:tc>
        <w:tc>
          <w:tcPr>
            <w:tcW w:w="52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New York Mercantile Exchange</w:t>
            </w:r>
          </w:p>
        </w:tc>
      </w:tr>
      <w:tr>
        <w:trPr/>
        <w:tc>
          <w:tcPr>
            <w:tcW w:w="6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Oxy</w:t>
            </w:r>
          </w:p>
        </w:tc>
        <w:tc>
          <w:tcPr>
            <w:tcW w:w="18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w:t>
            </w:r>
          </w:p>
        </w:tc>
        <w:tc>
          <w:tcPr>
            <w:tcW w:w="52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Occidental Petroleum Corporation or its subsidiaries</w:t>
            </w:r>
          </w:p>
        </w:tc>
      </w:tr>
      <w:tr>
        <w:trPr/>
        <w:tc>
          <w:tcPr>
            <w:tcW w:w="6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PLA</w:t>
            </w:r>
          </w:p>
        </w:tc>
        <w:tc>
          <w:tcPr>
            <w:tcW w:w="18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w:t>
            </w:r>
          </w:p>
        </w:tc>
        <w:tc>
          <w:tcPr>
            <w:tcW w:w="52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Pipeline loss allowance</w:t>
            </w:r>
          </w:p>
        </w:tc>
      </w:tr>
      <w:tr>
        <w:trPr/>
        <w:tc>
          <w:tcPr>
            <w:tcW w:w="6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SEC</w:t>
            </w:r>
          </w:p>
        </w:tc>
        <w:tc>
          <w:tcPr>
            <w:tcW w:w="18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w:t>
            </w:r>
          </w:p>
        </w:tc>
        <w:tc>
          <w:tcPr>
            <w:tcW w:w="52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United States Securities and Exchange Commission</w:t>
            </w:r>
          </w:p>
        </w:tc>
      </w:tr>
      <w:tr>
        <w:trPr/>
        <w:tc>
          <w:tcPr>
            <w:tcW w:w="6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TWh</w:t>
            </w:r>
          </w:p>
        </w:tc>
        <w:tc>
          <w:tcPr>
            <w:tcW w:w="18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w:t>
            </w:r>
          </w:p>
        </w:tc>
        <w:tc>
          <w:tcPr>
            <w:tcW w:w="52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Terawatt hour</w:t>
            </w:r>
          </w:p>
        </w:tc>
      </w:tr>
      <w:tr>
        <w:trPr/>
        <w:tc>
          <w:tcPr>
            <w:tcW w:w="6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USD</w:t>
            </w:r>
          </w:p>
        </w:tc>
        <w:tc>
          <w:tcPr>
            <w:tcW w:w="18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w:t>
            </w:r>
          </w:p>
        </w:tc>
        <w:tc>
          <w:tcPr>
            <w:tcW w:w="52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United States dollar</w:t>
            </w:r>
          </w:p>
        </w:tc>
      </w:tr>
      <w:tr>
        <w:trPr/>
        <w:tc>
          <w:tcPr>
            <w:tcW w:w="6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WTI</w:t>
            </w:r>
          </w:p>
        </w:tc>
        <w:tc>
          <w:tcPr>
            <w:tcW w:w="18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w:t>
            </w:r>
          </w:p>
        </w:tc>
        <w:tc>
          <w:tcPr>
            <w:tcW w:w="5255" w:type="dxa"/>
            <w:tcBorders/>
            <w:shd w:fill="auto" w:val="clear"/>
            <w:vAlign w:val="center"/>
          </w:tcPr>
          <w:p>
            <w:pPr>
              <w:pStyle w:val="TableContents"/>
              <w:spacing w:before="0" w:after="0"/>
              <w:jc w:val="left"/>
              <w:rPr>
                <w:rFonts w:ascii="inherit" w:hAnsi="inherit"/>
                <w:sz w:val="17"/>
              </w:rPr>
            </w:pPr>
            <w:r>
              <w:rPr>
                <w:rFonts w:ascii="inherit" w:hAnsi="inherit"/>
                <w:sz w:val="17"/>
              </w:rPr>
              <w:t>West Texas Intermediate</w:t>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b/>
          <w:i/>
          <w:sz w:val="17"/>
        </w:rPr>
      </w:pPr>
      <w:r>
        <w:rPr>
          <w:rFonts w:ascii="inherit" w:hAnsi="inherit"/>
          <w:b/>
          <w:i/>
          <w:sz w:val="17"/>
        </w:rPr>
        <w:t>Basis of Consolidation and Presentation</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 xml:space="preserve">The accompanying unaudited condensed consolidated interim financial statements and related notes thereto should be read in conjunction with our 2018 Annual Report on Form 10-K. The accompanying condensed consolidated financial statements include the accounts of PAA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 The financial statements have been prepared in accordance with the instructions for interim reporting as set forth by the SEC. All adjustments (consisting only of normal recurring adjustments) that in the opinion of management were necessary for a fair statement of the results for the interim periods have been reflected. All significant intercompany transactions have been eliminated in consolidation, and certain reclassifications have been made to information from previous years to conform to the current presentation. </w:t>
      </w:r>
    </w:p>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lineRule="auto" w:line="288" w:before="0" w:after="0"/>
        <w:ind w:left="0" w:right="0" w:firstLine="720"/>
        <w:rPr>
          <w:rFonts w:ascii="inherit" w:hAnsi="inherit"/>
          <w:sz w:val="17"/>
        </w:rPr>
      </w:pPr>
      <w:r>
        <w:rPr>
          <w:rFonts w:ascii="inherit" w:hAnsi="inherit"/>
          <w:sz w:val="17"/>
        </w:rPr>
        <w:t>Effective for the fourth quarter of 2018, we present “(Gains)/losses on asset sales and asset impairments, net” as a separate line item on our Condensed Consolidated Statements of Operations. To conform to the current year presentation, amounts related to gains and losses on asset sales and asset impairments previously presented in “Depreciation and amortization” are now presented in “(Gains)/losses on asset sales and asset impairments, net” on our Condensed Consolidated Statements of Operations. This change was applied retrospectively and does not affect Operating income, Net income or Net income attributable to PAA.</w:t>
      </w:r>
    </w:p>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lineRule="auto" w:line="288" w:before="0" w:after="0"/>
        <w:ind w:left="0" w:right="0" w:firstLine="720"/>
        <w:rPr>
          <w:sz w:val="17"/>
        </w:rPr>
      </w:pPr>
      <w:r>
        <w:rPr>
          <w:rFonts w:ascii="inherit" w:hAnsi="inherit"/>
          <w:sz w:val="17"/>
        </w:rPr>
        <w:t>The condensed consolidated balance sheet data as of December 31, 2018</w:t>
      </w:r>
      <w:r>
        <w:rPr>
          <w:sz w:val="17"/>
        </w:rPr>
        <w:t xml:space="preserve"> </w:t>
      </w:r>
      <w:r>
        <w:rPr>
          <w:rFonts w:ascii="inherit" w:hAnsi="inherit"/>
          <w:sz w:val="17"/>
        </w:rPr>
        <w:t>was derived from audited financial statements, but does not include all disclosures required by GAAP. The results of operations for the three and six</w:t>
      </w:r>
      <w:r>
        <w:rPr>
          <w:sz w:val="17"/>
        </w:rPr>
        <w:t xml:space="preserve"> </w:t>
      </w:r>
      <w:r>
        <w:rPr>
          <w:rFonts w:ascii="inherit" w:hAnsi="inherit"/>
          <w:sz w:val="17"/>
        </w:rPr>
        <w:t>months ended June 30, 2019</w:t>
      </w:r>
      <w:r>
        <w:rPr>
          <w:sz w:val="17"/>
        </w:rPr>
        <w:t xml:space="preserve"> </w:t>
      </w:r>
      <w:r>
        <w:rPr>
          <w:rFonts w:ascii="inherit" w:hAnsi="inherit"/>
          <w:sz w:val="17"/>
        </w:rPr>
        <w:t>should not be taken as indicative of results to be expected for the entire year.</w:t>
      </w:r>
    </w:p>
    <w:p>
      <w:pPr>
        <w:pStyle w:val="TextBody"/>
        <w:spacing w:lineRule="auto" w:line="288" w:before="0" w:after="0"/>
        <w:rPr/>
      </w:pPr>
      <w:r>
        <w:rPr/>
        <w:t>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10</w:t>
      </w:r>
      <w:r>
        <w:br w:type="page"/>
      </w:r>
    </w:p>
    <w:p>
      <w:pPr>
        <w:pStyle w:val="TextBody"/>
        <w:spacing w:lineRule="auto" w:line="288" w:before="0" w:after="0"/>
        <w:rPr/>
      </w:pPr>
      <w:hyperlink w:anchor="s3336AD8A685850CC9B7F2572CB2C0BC3">
        <w:r>
          <w:rPr>
            <w:rStyle w:val="InternetLink"/>
            <w:rFonts w:ascii="inherit" w:hAnsi="inherit"/>
            <w:sz w:val="17"/>
          </w:rPr>
          <w:t>Table of Contents</w:t>
        </w:r>
      </w:hyperlink>
      <w:r>
        <w:rPr>
          <w:sz w:val="17"/>
        </w:rPr>
        <w:t xml:space="preserve"> </w:t>
      </w:r>
    </w:p>
    <w:p>
      <w:pPr>
        <w:pStyle w:val="TextBody"/>
        <w:spacing w:lineRule="auto" w:line="288" w:before="0" w:after="0"/>
        <w:jc w:val="center"/>
        <w:rPr>
          <w:rFonts w:ascii="inherit" w:hAnsi="inherit"/>
          <w:b/>
          <w:sz w:val="17"/>
        </w:rPr>
      </w:pPr>
      <w:r>
        <w:rPr>
          <w:rFonts w:ascii="inherit" w:hAnsi="inherit"/>
          <w:b/>
          <w:sz w:val="17"/>
        </w:rPr>
        <w:t>PLAINS ALL AMERICAN PIPELINE, L.P. AND SUBSIDIARIES</w:t>
      </w:r>
    </w:p>
    <w:p>
      <w:pPr>
        <w:pStyle w:val="TextBody"/>
        <w:spacing w:lineRule="auto" w:line="288" w:before="0" w:after="0"/>
        <w:jc w:val="center"/>
        <w:rPr>
          <w:rFonts w:ascii="inherit" w:hAnsi="inherit"/>
          <w:b/>
          <w:sz w:val="17"/>
        </w:rPr>
      </w:pPr>
      <w:r>
        <w:rPr>
          <w:rFonts w:ascii="inherit" w:hAnsi="inherit"/>
          <w:b/>
          <w:sz w:val="17"/>
        </w:rPr>
        <w:t>NOTES TO THE UNAUDITED CONDENSED CONSOLIDATED FINANCIAL STATEMENTS</w:t>
      </w:r>
    </w:p>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720"/>
        <w:rPr>
          <w:rFonts w:ascii="inherit" w:hAnsi="inherit"/>
          <w:sz w:val="17"/>
        </w:rPr>
      </w:pPr>
      <w:r>
        <w:rPr>
          <w:rFonts w:ascii="inherit" w:hAnsi="inherit"/>
          <w:sz w:val="17"/>
        </w:rPr>
        <w:t>Subsequent events have been evaluated through the financial statements issuance date and have been included in the following footnotes where applicable. </w:t>
      </w:r>
    </w:p>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lineRule="auto" w:line="288" w:before="0" w:after="0"/>
        <w:rPr>
          <w:sz w:val="17"/>
        </w:rPr>
      </w:pPr>
      <w:bookmarkStart w:id="15" w:name="s1FC4B38172E05519B99EB08A569F0C5C"/>
      <w:bookmarkEnd w:id="15"/>
      <w:r>
        <w:rPr>
          <w:b/>
          <w:sz w:val="17"/>
        </w:rPr>
        <w:t>Note 2</w:t>
      </w:r>
      <w:r>
        <w:rPr>
          <w:sz w:val="17"/>
        </w:rPr>
        <w:t>—</w:t>
      </w:r>
      <w:r>
        <w:rPr>
          <w:rFonts w:ascii="inherit" w:hAnsi="inherit"/>
          <w:b/>
          <w:sz w:val="17"/>
        </w:rPr>
        <w:t>Summary of Significant Accounting Policies</w:t>
      </w:r>
    </w:p>
    <w:p>
      <w:pPr>
        <w:pStyle w:val="TextBody"/>
        <w:spacing w:lineRule="auto" w:line="288" w:before="0" w:after="0"/>
        <w:rPr/>
      </w:pPr>
      <w:r>
        <w:rPr/>
        <w:t> </w:t>
      </w:r>
    </w:p>
    <w:p>
      <w:pPr>
        <w:pStyle w:val="TextBody"/>
        <w:spacing w:lineRule="auto" w:line="288" w:before="0" w:after="0"/>
        <w:rPr>
          <w:rFonts w:ascii="inherit" w:hAnsi="inherit"/>
          <w:b/>
          <w:i/>
          <w:sz w:val="17"/>
        </w:rPr>
      </w:pPr>
      <w:r>
        <w:rPr>
          <w:rFonts w:ascii="inherit" w:hAnsi="inherit"/>
          <w:b/>
          <w:i/>
          <w:sz w:val="17"/>
        </w:rPr>
        <w:t>Restricted Cash</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ind w:left="0" w:right="0" w:firstLine="720"/>
        <w:jc w:val="left"/>
        <w:rPr>
          <w:rFonts w:ascii="inherit" w:hAnsi="inherit"/>
          <w:sz w:val="17"/>
        </w:rPr>
      </w:pPr>
      <w:r>
        <w:rPr>
          <w:rFonts w:ascii="inherit" w:hAnsi="inherit"/>
          <w:sz w:val="17"/>
        </w:rPr>
        <w:t>Restricted cash includes cash held by us that is unavailable for general use and is comprised of amounts advanced to us by certain equity method investees related to the construction of fixed assets where we serve as construction manager. The following table presents a reconciliation of cash and cash equivalents and restricted cash reported on our Condensed Consolidated Balance Sheet that sum to the total of the amounts shown on our Condensed Consolidated Statement of Cash Flows as of the end of the period (in millions):</w:t>
      </w:r>
    </w:p>
    <w:p>
      <w:pPr>
        <w:pStyle w:val="TextBody"/>
        <w:spacing w:lineRule="auto" w:line="288" w:before="0" w:after="0"/>
        <w:ind w:left="0" w:right="0" w:firstLine="720"/>
        <w:jc w:val="left"/>
        <w:rPr>
          <w:rFonts w:ascii="inherit" w:hAnsi="inherit"/>
          <w:sz w:val="17"/>
        </w:rPr>
      </w:pPr>
      <w:r>
        <w:rPr>
          <w:rFonts w:ascii="inherit" w:hAnsi="inherit"/>
          <w:sz w:val="17"/>
        </w:rPr>
      </w:r>
    </w:p>
    <w:tbl>
      <w:tblPr>
        <w:tblW w:w="5085" w:type="dxa"/>
        <w:jc w:val="center"/>
        <w:tblInd w:w="0" w:type="dxa"/>
        <w:tblCellMar>
          <w:top w:w="0" w:type="dxa"/>
          <w:left w:w="0" w:type="dxa"/>
          <w:bottom w:w="0" w:type="dxa"/>
          <w:right w:w="0" w:type="dxa"/>
        </w:tblCellMar>
      </w:tblPr>
      <w:tblGrid>
        <w:gridCol w:w="4430"/>
        <w:gridCol w:w="125"/>
        <w:gridCol w:w="335"/>
        <w:gridCol w:w="195"/>
      </w:tblGrid>
      <w:tr>
        <w:trPr/>
        <w:tc>
          <w:tcPr>
            <w:tcW w:w="5085" w:type="dxa"/>
            <w:gridSpan w:val="4"/>
            <w:tcBorders/>
            <w:shd w:fill="auto" w:val="clear"/>
            <w:vAlign w:val="center"/>
          </w:tcPr>
          <w:p>
            <w:pPr>
              <w:pStyle w:val="TableContents"/>
              <w:spacing w:before="0" w:after="283"/>
              <w:rPr>
                <w:sz w:val="4"/>
                <w:szCs w:val="4"/>
              </w:rPr>
            </w:pPr>
            <w:r>
              <w:rPr>
                <w:sz w:val="4"/>
                <w:szCs w:val="4"/>
              </w:rPr>
            </w:r>
          </w:p>
        </w:tc>
      </w:tr>
      <w:tr>
        <w:trPr/>
        <w:tc>
          <w:tcPr>
            <w:tcW w:w="443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430" w:type="dxa"/>
            <w:tcBorders/>
            <w:shd w:fill="auto" w:val="clear"/>
            <w:vAlign w:val="center"/>
          </w:tcPr>
          <w:p>
            <w:pPr>
              <w:pStyle w:val="TableContents"/>
              <w:spacing w:before="0" w:after="0"/>
              <w:ind w:left="0" w:right="0" w:firstLine="30"/>
              <w:rPr/>
            </w:pPr>
            <w:r>
              <w:rPr/>
              <w:t> </w:t>
            </w:r>
          </w:p>
        </w:tc>
        <w:tc>
          <w:tcPr>
            <w:tcW w:w="65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June 30,</w:t>
              <w:br/>
              <w:t>2019</w:t>
            </w:r>
          </w:p>
        </w:tc>
      </w:tr>
      <w:tr>
        <w:trPr/>
        <w:tc>
          <w:tcPr>
            <w:tcW w:w="44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Cash and cash equivalents</w:t>
            </w:r>
          </w:p>
        </w:tc>
        <w:tc>
          <w:tcPr>
            <w:tcW w:w="125"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335"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419</w:t>
            </w:r>
          </w:p>
        </w:tc>
        <w:tc>
          <w:tcPr>
            <w:tcW w:w="19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4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Restricted cash</w:t>
            </w:r>
          </w:p>
        </w:tc>
        <w:tc>
          <w:tcPr>
            <w:tcW w:w="46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42</w:t>
            </w:r>
          </w:p>
        </w:tc>
        <w:tc>
          <w:tcPr>
            <w:tcW w:w="195" w:type="dxa"/>
            <w:tcBorders>
              <w:bottom w:val="single" w:sz="2" w:space="0" w:color="000000"/>
            </w:tcBorders>
            <w:shd w:fill="auto"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4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Total cash and cash equivalents and restricted cash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3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461</w:t>
            </w:r>
          </w:p>
        </w:tc>
        <w:tc>
          <w:tcPr>
            <w:tcW w:w="19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ind w:left="0" w:right="0" w:firstLine="720"/>
        <w:rPr>
          <w:rFonts w:ascii="inherit" w:hAnsi="inherit"/>
          <w:sz w:val="17"/>
        </w:rPr>
      </w:pPr>
      <w:r>
        <w:rPr>
          <w:rFonts w:ascii="inherit" w:hAnsi="inherit"/>
          <w:sz w:val="17"/>
        </w:rPr>
        <w:t xml:space="preserve">We did not have any restricted cash as of December 31, 2018. </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b/>
          <w:i/>
          <w:sz w:val="17"/>
        </w:rPr>
      </w:pPr>
      <w:r>
        <w:rPr>
          <w:rFonts w:ascii="inherit" w:hAnsi="inherit"/>
          <w:b/>
          <w:i/>
          <w:sz w:val="17"/>
        </w:rPr>
        <w:t>Recent Accounting Pronouncements</w:t>
      </w:r>
    </w:p>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lineRule="auto" w:line="288" w:before="0" w:after="0"/>
        <w:ind w:left="0" w:right="0" w:firstLine="720"/>
        <w:rPr>
          <w:sz w:val="17"/>
        </w:rPr>
      </w:pPr>
      <w:r>
        <w:rPr>
          <w:rFonts w:ascii="inherit" w:hAnsi="inherit"/>
          <w:sz w:val="17"/>
        </w:rPr>
        <w:t>Except as discussed below and in our 2018</w:t>
      </w:r>
      <w:r>
        <w:rPr>
          <w:sz w:val="17"/>
        </w:rPr>
        <w:t xml:space="preserve"> </w:t>
      </w:r>
      <w:r>
        <w:rPr>
          <w:rFonts w:ascii="inherit" w:hAnsi="inherit"/>
          <w:sz w:val="17"/>
        </w:rPr>
        <w:t>Annual Report on Form 10-K, there have been no new accounting pronouncements that have become effective or have been issued during the six months ended June 30, 2019</w:t>
      </w:r>
      <w:r>
        <w:rPr>
          <w:sz w:val="17"/>
        </w:rPr>
        <w:t xml:space="preserve"> </w:t>
      </w:r>
      <w:r>
        <w:rPr>
          <w:rFonts w:ascii="inherit" w:hAnsi="inherit"/>
          <w:sz w:val="17"/>
        </w:rPr>
        <w:t xml:space="preserve">that are of significance or potential significance to us. </w:t>
      </w:r>
    </w:p>
    <w:p>
      <w:pPr>
        <w:pStyle w:val="TextBody"/>
        <w:spacing w:lineRule="auto" w:line="288" w:before="0" w:after="0"/>
        <w:rPr/>
      </w:pPr>
      <w:r>
        <w:rPr/>
        <w:t> </w:t>
      </w:r>
    </w:p>
    <w:p>
      <w:pPr>
        <w:pStyle w:val="TextBody"/>
        <w:spacing w:lineRule="auto" w:line="288" w:before="0" w:after="0"/>
        <w:rPr>
          <w:rFonts w:ascii="inherit" w:hAnsi="inherit"/>
          <w:b/>
          <w:sz w:val="17"/>
        </w:rPr>
      </w:pPr>
      <w:r>
        <w:rPr>
          <w:rFonts w:ascii="inherit" w:hAnsi="inherit"/>
          <w:b/>
          <w:sz w:val="17"/>
        </w:rPr>
        <w:t>Accounting Standards Updates Adopted During the Period</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ind w:left="0" w:right="0" w:firstLine="720"/>
        <w:rPr>
          <w:sz w:val="17"/>
        </w:rPr>
      </w:pPr>
      <w:r>
        <w:rPr>
          <w:rFonts w:ascii="inherit" w:hAnsi="inherit"/>
          <w:sz w:val="17"/>
        </w:rPr>
        <w:t>In February 2016, the FASB issued ASU 2016-02, </w:t>
      </w:r>
      <w:r>
        <w:rPr>
          <w:rFonts w:ascii="inherit" w:hAnsi="inherit"/>
          <w:i/>
          <w:sz w:val="17"/>
        </w:rPr>
        <w:t>Leases</w:t>
      </w:r>
      <w:r>
        <w:rPr>
          <w:rFonts w:ascii="inherit" w:hAnsi="inherit"/>
          <w:sz w:val="17"/>
        </w:rPr>
        <w:t>,</w:t>
      </w:r>
      <w:r>
        <w:rPr>
          <w:sz w:val="17"/>
        </w:rPr>
        <w:t xml:space="preserve"> </w:t>
      </w:r>
      <w:r>
        <w:rPr>
          <w:rFonts w:ascii="inherit" w:hAnsi="inherit"/>
          <w:sz w:val="17"/>
        </w:rPr>
        <w:t>(followed by a series of related accounting standard updates</w:t>
      </w:r>
      <w:r>
        <w:rPr>
          <w:sz w:val="17"/>
        </w:rPr>
        <w:t xml:space="preserve"> </w:t>
      </w:r>
      <w:r>
        <w:rPr>
          <w:rFonts w:ascii="inherit" w:hAnsi="inherit"/>
          <w:sz w:val="17"/>
        </w:rPr>
        <w:t>(collectively referred to as</w:t>
      </w:r>
      <w:r>
        <w:rPr>
          <w:sz w:val="17"/>
        </w:rPr>
        <w:t xml:space="preserve"> “</w:t>
      </w:r>
      <w:r>
        <w:rPr>
          <w:rFonts w:ascii="inherit" w:hAnsi="inherit"/>
          <w:sz w:val="17"/>
        </w:rPr>
        <w:t>Topic 842”)), that revises the historical accounting model for leases. The most significant changes are the clarification of the definition of a lease and required lessee recognition on the balance sheet of right-of-use assets and lease liabilities with lease terms of more than 12 months (with the election of the practical expedient to exclude short-term leases on the balance sheet), including extensive quantitative and qualitative disclosures. This guidance became effective for interim and annual periods beginning after December 15, 2018. We adopted this guidance effective January 1, 2019. Our adoption resulted in the recording of additional net lease right-of-use assets and lease liabilities of approximately $560 million</w:t>
      </w:r>
      <w:r>
        <w:rPr>
          <w:sz w:val="17"/>
        </w:rPr>
        <w:t xml:space="preserve"> </w:t>
      </w:r>
      <w:r>
        <w:rPr>
          <w:rFonts w:ascii="inherit" w:hAnsi="inherit"/>
          <w:sz w:val="17"/>
        </w:rPr>
        <w:t>and $570 million, respectively, on January 1, 2019 and did not have a material impact on our results of operations or cash flows.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ind w:left="0" w:right="0" w:firstLine="720"/>
        <w:rPr>
          <w:sz w:val="17"/>
        </w:rPr>
      </w:pPr>
      <w:r>
        <w:rPr>
          <w:rFonts w:ascii="inherit" w:hAnsi="inherit"/>
          <w:sz w:val="17"/>
        </w:rPr>
        <w:t xml:space="preserve">We elected the package of practical expedients permitted under the transition guidance within Topic 842, which, among other things, allowed us to carry forward the historical accounting related to lease identification, classification and indirect costs. We also elected the practical expedient related to land easements, allowing us to carry forward our accounting treatment for land easements (including rights of way) on existing agreements. Additionally, we elected the non-lease component separation practical expedient for certain classes of assets where we are the lessee and for all classes of assets where we are the lessor. Further, we elected the practical expedient which provides us with an optional transitional method, thereby applying the new guidance at the effective date, without adjusting the comparative periods and, if necessary, recognizing a cumulative-effect adjustment to the opening balance of Partners’ Capital upon adoption. There was no impact to retained earnings related to our adoption. We did not elect the practical expedient related to using hindsight in determining the lease term as this was not relevant following our election of the optional transitional method. We implemented a process to evaluate the impact of adopting this guidance on each type of lease contract we have entered into with counterparties. Our implementation team determined appropriate changes to our business processes, systems and controls to support recognition and disclosure under Topic 842. In addition to the above, which primarily relates to our accounting as a lessee, our accounting from a lessor perspective remains substantially unchanged under Topic 842. See </w:t>
      </w:r>
      <w:r>
        <w:rPr>
          <w:b w:val="false"/>
          <w:sz w:val="17"/>
        </w:rPr>
        <w:t>Note 11</w:t>
      </w:r>
      <w:r>
        <w:rPr>
          <w:sz w:val="17"/>
        </w:rPr>
        <w:t xml:space="preserve"> </w:t>
      </w:r>
      <w:r>
        <w:rPr>
          <w:rFonts w:ascii="inherit" w:hAnsi="inherit"/>
          <w:sz w:val="17"/>
        </w:rPr>
        <w:t>for information about our leases.</w:t>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11</w:t>
      </w:r>
      <w:r>
        <w:br w:type="page"/>
      </w:r>
    </w:p>
    <w:p>
      <w:pPr>
        <w:pStyle w:val="TextBody"/>
        <w:spacing w:lineRule="auto" w:line="288" w:before="0" w:after="0"/>
        <w:rPr/>
      </w:pPr>
      <w:hyperlink w:anchor="s3336AD8A685850CC9B7F2572CB2C0BC3">
        <w:r>
          <w:rPr>
            <w:rStyle w:val="InternetLink"/>
            <w:rFonts w:ascii="inherit" w:hAnsi="inherit"/>
            <w:sz w:val="17"/>
          </w:rPr>
          <w:t>Table of Contents</w:t>
        </w:r>
      </w:hyperlink>
      <w:r>
        <w:rPr>
          <w:sz w:val="17"/>
        </w:rPr>
        <w:t xml:space="preserve"> </w:t>
      </w:r>
    </w:p>
    <w:p>
      <w:pPr>
        <w:pStyle w:val="TextBody"/>
        <w:spacing w:lineRule="auto" w:line="288" w:before="0" w:after="0"/>
        <w:jc w:val="center"/>
        <w:rPr>
          <w:rFonts w:ascii="inherit" w:hAnsi="inherit"/>
          <w:b/>
          <w:sz w:val="17"/>
        </w:rPr>
      </w:pPr>
      <w:r>
        <w:rPr>
          <w:rFonts w:ascii="inherit" w:hAnsi="inherit"/>
          <w:b/>
          <w:sz w:val="17"/>
        </w:rPr>
        <w:t>PLAINS ALL AMERICAN PIPELINE, L.P. AND SUBSIDIARIES</w:t>
      </w:r>
    </w:p>
    <w:p>
      <w:pPr>
        <w:pStyle w:val="TextBody"/>
        <w:spacing w:lineRule="auto" w:line="288" w:before="0" w:after="0"/>
        <w:jc w:val="center"/>
        <w:rPr>
          <w:rFonts w:ascii="inherit" w:hAnsi="inherit"/>
          <w:b/>
          <w:sz w:val="17"/>
        </w:rPr>
      </w:pPr>
      <w:r>
        <w:rPr>
          <w:rFonts w:ascii="inherit" w:hAnsi="inherit"/>
          <w:b/>
          <w:sz w:val="17"/>
        </w:rPr>
        <w:t>NOTES TO THE UNAUDITED CONDENSED CONSOLIDATED FINANCIAL STATEMENTS</w:t>
      </w:r>
    </w:p>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720"/>
        <w:rPr>
          <w:rFonts w:ascii="inherit" w:hAnsi="inherit"/>
          <w:sz w:val="17"/>
        </w:rPr>
      </w:pPr>
      <w:r>
        <w:rPr>
          <w:rFonts w:ascii="inherit" w:hAnsi="inherit"/>
          <w:sz w:val="17"/>
        </w:rPr>
        <w:t>We also adopted the ASUs listed below effective January 1, 2019 and our adoption did not have a material impact to our financial position, results of operations or cash flows (see Note 2 to our Consolidated Financial Statements included in Part IV of our 2018 Annual Report on Form 10-K for additional information regarding these ASUs):</w:t>
      </w:r>
    </w:p>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ASU 2018-16, Derivatives and Hedging (Topic 815): Inclusion of the Secured Overnight Financing Rate (SOFR) Overnight Index Swap (OIS) Rate as a Benchmark Interest Rate for Hedge Accounting Purposes;</w:t>
            </w:r>
          </w:p>
        </w:tc>
      </w:tr>
    </w:tbl>
    <w:tbl>
      <w:tblPr>
        <w:tblW w:w="4375" w:type="dxa"/>
        <w:jc w:val="left"/>
        <w:tblInd w:w="0" w:type="dxa"/>
        <w:tblCellMar>
          <w:top w:w="0" w:type="dxa"/>
          <w:left w:w="0" w:type="dxa"/>
          <w:bottom w:w="0" w:type="dxa"/>
          <w:right w:w="0" w:type="dxa"/>
        </w:tblCellMar>
      </w:tblPr>
      <w:tblGrid>
        <w:gridCol w:w="845"/>
        <w:gridCol w:w="3530"/>
      </w:tblGrid>
      <w:tr>
        <w:trPr/>
        <w:tc>
          <w:tcPr>
            <w:tcW w:w="845" w:type="dxa"/>
            <w:tcBorders/>
            <w:shd w:fill="auto" w:val="clear"/>
            <w:vAlign w:val="center"/>
          </w:tcPr>
          <w:p>
            <w:pPr>
              <w:pStyle w:val="TableContents"/>
              <w:spacing w:before="0" w:after="283"/>
              <w:rPr>
                <w:sz w:val="4"/>
                <w:szCs w:val="4"/>
              </w:rPr>
            </w:pPr>
            <w:r>
              <w:rPr>
                <w:sz w:val="4"/>
                <w:szCs w:val="4"/>
              </w:rPr>
            </w:r>
          </w:p>
        </w:tc>
        <w:tc>
          <w:tcPr>
            <w:tcW w:w="353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353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ASU 2018-09, Codification Improvements;</w:t>
            </w:r>
          </w:p>
        </w:tc>
      </w:tr>
    </w:tbl>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ASU 2018-07, Compensation—Stock Compensation (Topic 718): Improvements to Nonemployee Share-Based Payment Accounting; and</w:t>
            </w:r>
          </w:p>
        </w:tc>
      </w:tr>
    </w:tbl>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ASU 2017-12, Derivatives and Hedging (Topic 815): Targeted Improvements to Accounting for Hedging Activities.</w:t>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b/>
          <w:sz w:val="17"/>
        </w:rPr>
      </w:pPr>
      <w:r>
        <w:rPr>
          <w:rFonts w:ascii="inherit" w:hAnsi="inherit"/>
          <w:b/>
          <w:sz w:val="17"/>
        </w:rPr>
        <w:t>Accounting Standards Updates Issued During the Period</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ind w:left="0" w:right="0" w:firstLine="720"/>
        <w:rPr>
          <w:sz w:val="17"/>
        </w:rPr>
      </w:pPr>
      <w:r>
        <w:rPr>
          <w:rFonts w:ascii="inherit" w:hAnsi="inherit"/>
          <w:sz w:val="17"/>
        </w:rPr>
        <w:t xml:space="preserve">In May 2019, the FASB issued 2019-05, </w:t>
      </w:r>
      <w:r>
        <w:rPr>
          <w:rFonts w:ascii="inherit" w:hAnsi="inherit"/>
          <w:i/>
          <w:sz w:val="17"/>
        </w:rPr>
        <w:t>Financial Instruments—Credit Losses (Topic 326): Targeted Transition Relief</w:t>
      </w:r>
      <w:r>
        <w:rPr>
          <w:rFonts w:ascii="inherit" w:hAnsi="inherit"/>
          <w:sz w:val="17"/>
        </w:rPr>
        <w:t>, which provides transition relief and allows entities to elect the fair value option on certain financial instruments.</w:t>
      </w:r>
      <w:r>
        <w:rPr>
          <w:sz w:val="17"/>
        </w:rPr>
        <w:t xml:space="preserve"> </w:t>
      </w:r>
      <w:r>
        <w:rPr>
          <w:rFonts w:ascii="inherit" w:hAnsi="inherit"/>
          <w:sz w:val="17"/>
        </w:rPr>
        <w:t>We expect to adopt this guidance on January 1, 2020, and we are currently evaluating the effect that our adoption will have on our financial position, results of operations and cash flows.</w:t>
      </w:r>
    </w:p>
    <w:p>
      <w:pPr>
        <w:pStyle w:val="TextBody"/>
        <w:spacing w:lineRule="auto" w:line="288" w:before="0" w:after="0"/>
        <w:ind w:left="0" w:right="0" w:firstLine="720"/>
        <w:rPr/>
      </w:pPr>
      <w:r>
        <w:rPr/>
        <w:t>    </w:t>
      </w:r>
    </w:p>
    <w:p>
      <w:pPr>
        <w:pStyle w:val="TextBody"/>
        <w:spacing w:lineRule="auto" w:line="288" w:before="0" w:after="0"/>
        <w:ind w:left="0" w:right="0" w:firstLine="720"/>
        <w:rPr>
          <w:sz w:val="17"/>
        </w:rPr>
      </w:pPr>
      <w:r>
        <w:rPr>
          <w:rFonts w:ascii="inherit" w:hAnsi="inherit"/>
          <w:sz w:val="17"/>
        </w:rPr>
        <w:t xml:space="preserve">In April 2019, the FASB issued 2019-04, </w:t>
      </w:r>
      <w:r>
        <w:rPr>
          <w:rFonts w:ascii="inherit" w:hAnsi="inherit"/>
          <w:i/>
          <w:sz w:val="17"/>
        </w:rPr>
        <w:t>Codification Improvements to Topic 326, Financial Instruments—Credit Losses, Topic 815, Derivatives and Hedging, and Topic 825, Financial Instruments</w:t>
      </w:r>
      <w:r>
        <w:rPr>
          <w:rFonts w:ascii="inherit" w:hAnsi="inherit"/>
          <w:sz w:val="17"/>
        </w:rPr>
        <w:t>, which clarifies certain aspects of accounting for credit losses, hedging activities and financial instruments. We expect to adopt this guidance on January 1, 2020, and we are currently evaluating the effect that our adoption will have on our financial position, results of operations and cash flows.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sz w:val="17"/>
        </w:rPr>
      </w:pPr>
      <w:bookmarkStart w:id="16" w:name="s74AFFAF7168957798C2F57D34942F2BF"/>
      <w:bookmarkEnd w:id="16"/>
      <w:r>
        <w:rPr>
          <w:b/>
          <w:sz w:val="17"/>
        </w:rPr>
        <w:t>Note 3</w:t>
      </w:r>
      <w:r>
        <w:rPr>
          <w:sz w:val="17"/>
        </w:rPr>
        <w:t>—</w:t>
      </w:r>
      <w:r>
        <w:rPr>
          <w:rFonts w:ascii="inherit" w:hAnsi="inherit"/>
          <w:b/>
          <w:sz w:val="17"/>
        </w:rPr>
        <w:t>Revenues and Accounts Receivable</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left"/>
        <w:rPr>
          <w:rFonts w:ascii="inherit" w:hAnsi="inherit"/>
          <w:b/>
          <w:i/>
          <w:sz w:val="17"/>
        </w:rPr>
      </w:pPr>
      <w:r>
        <w:rPr>
          <w:rFonts w:ascii="inherit" w:hAnsi="inherit"/>
          <w:b/>
          <w:i/>
          <w:sz w:val="17"/>
        </w:rPr>
        <w:t>Revenue Recognition</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ind w:left="0" w:right="0" w:firstLine="720"/>
        <w:jc w:val="left"/>
        <w:rPr>
          <w:sz w:val="17"/>
        </w:rPr>
      </w:pPr>
      <w:r>
        <w:rPr>
          <w:rFonts w:ascii="inherit" w:hAnsi="inherit"/>
          <w:sz w:val="17"/>
        </w:rPr>
        <w:t xml:space="preserve">We disaggregate our revenues by segment and type of activity under ASC Topic 606, </w:t>
      </w:r>
      <w:r>
        <w:rPr>
          <w:rFonts w:ascii="inherit" w:hAnsi="inherit"/>
          <w:i/>
          <w:sz w:val="17"/>
        </w:rPr>
        <w:t>Revenues from Contracts with Customers</w:t>
      </w:r>
      <w:r>
        <w:rPr>
          <w:sz w:val="17"/>
        </w:rPr>
        <w:t xml:space="preserve"> </w:t>
      </w:r>
      <w:r>
        <w:rPr>
          <w:rFonts w:ascii="inherit" w:hAnsi="inherit"/>
          <w:sz w:val="17"/>
        </w:rPr>
        <w:t>(“Topic 606”). These categories depict how the nature, amount, timing and uncertainty of revenues and cash flows are affected by economic factors. See Note 3 to our Consolidated Financial Statements included in Part IV of our 2018 Annual Report on Form 10-K for additional information regarding our types of revenues and policies for revenue recognition.</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ind w:left="0" w:right="0" w:firstLine="720"/>
        <w:jc w:val="left"/>
        <w:rPr>
          <w:rFonts w:ascii="inherit" w:hAnsi="inherit"/>
          <w:sz w:val="17"/>
        </w:rPr>
      </w:pPr>
      <w:r>
        <w:rPr>
          <w:rFonts w:ascii="inherit" w:hAnsi="inherit"/>
          <w:sz w:val="17"/>
        </w:rPr>
        <w:t>The following tables present our Supply and Logistics segment, Transportation segment and Facilities segment revenues from contracts with customers disaggregated by type of activity (in millions):</w:t>
      </w:r>
    </w:p>
    <w:p>
      <w:pPr>
        <w:pStyle w:val="TextBody"/>
        <w:spacing w:lineRule="auto" w:line="288" w:before="0" w:after="0"/>
        <w:jc w:val="left"/>
        <w:rPr>
          <w:rFonts w:ascii="inherit" w:hAnsi="inherit"/>
          <w:sz w:val="17"/>
        </w:rPr>
      </w:pPr>
      <w:r>
        <w:rPr>
          <w:rFonts w:ascii="inherit" w:hAnsi="inherit"/>
          <w:sz w:val="17"/>
        </w:rPr>
      </w:r>
    </w:p>
    <w:tbl>
      <w:tblPr>
        <w:tblW w:w="10105" w:type="dxa"/>
        <w:jc w:val="center"/>
        <w:tblInd w:w="0" w:type="dxa"/>
        <w:tblCellMar>
          <w:top w:w="0" w:type="dxa"/>
          <w:left w:w="0" w:type="dxa"/>
          <w:bottom w:w="0" w:type="dxa"/>
          <w:right w:w="0" w:type="dxa"/>
        </w:tblCellMar>
      </w:tblPr>
      <w:tblGrid>
        <w:gridCol w:w="6725"/>
        <w:gridCol w:w="141"/>
        <w:gridCol w:w="548"/>
        <w:gridCol w:w="33"/>
        <w:gridCol w:w="101"/>
        <w:gridCol w:w="141"/>
        <w:gridCol w:w="548"/>
        <w:gridCol w:w="33"/>
        <w:gridCol w:w="90"/>
        <w:gridCol w:w="125"/>
        <w:gridCol w:w="590"/>
        <w:gridCol w:w="30"/>
        <w:gridCol w:w="90"/>
        <w:gridCol w:w="125"/>
        <w:gridCol w:w="590"/>
        <w:gridCol w:w="195"/>
      </w:tblGrid>
      <w:tr>
        <w:trPr/>
        <w:tc>
          <w:tcPr>
            <w:tcW w:w="10105" w:type="dxa"/>
            <w:gridSpan w:val="16"/>
            <w:tcBorders/>
            <w:shd w:fill="auto" w:val="clear"/>
            <w:vAlign w:val="center"/>
          </w:tcPr>
          <w:p>
            <w:pPr>
              <w:pStyle w:val="TableContents"/>
              <w:spacing w:before="0" w:after="283"/>
              <w:rPr>
                <w:sz w:val="4"/>
                <w:szCs w:val="4"/>
              </w:rPr>
            </w:pPr>
            <w:r>
              <w:rPr>
                <w:sz w:val="4"/>
                <w:szCs w:val="4"/>
              </w:rPr>
            </w:r>
          </w:p>
        </w:tc>
      </w:tr>
      <w:tr>
        <w:trPr/>
        <w:tc>
          <w:tcPr>
            <w:tcW w:w="6725"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33"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3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725" w:type="dxa"/>
            <w:tcBorders/>
            <w:shd w:fill="auto" w:val="clear"/>
            <w:vAlign w:val="center"/>
          </w:tcPr>
          <w:p>
            <w:pPr>
              <w:pStyle w:val="TableContents"/>
              <w:spacing w:before="0" w:after="0"/>
              <w:ind w:left="0" w:right="0" w:firstLine="30"/>
              <w:rPr/>
            </w:pPr>
            <w:r>
              <w:rPr/>
              <w:t> </w:t>
            </w:r>
          </w:p>
        </w:tc>
        <w:tc>
          <w:tcPr>
            <w:tcW w:w="1545"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w:t>
              <w:br/>
              <w:t>June 30,</w:t>
            </w:r>
          </w:p>
        </w:tc>
        <w:tc>
          <w:tcPr>
            <w:tcW w:w="90" w:type="dxa"/>
            <w:tcBorders/>
            <w:shd w:fill="auto" w:val="clear"/>
            <w:vAlign w:val="center"/>
          </w:tcPr>
          <w:p>
            <w:pPr>
              <w:pStyle w:val="TableContents"/>
              <w:spacing w:before="0" w:after="0"/>
              <w:ind w:left="0" w:right="0" w:firstLine="30"/>
              <w:rPr/>
            </w:pPr>
            <w:r>
              <w:rPr/>
              <w:t> </w:t>
            </w:r>
          </w:p>
        </w:tc>
        <w:tc>
          <w:tcPr>
            <w:tcW w:w="1745"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w:t>
              <w:br/>
              <w:t>June 30,</w:t>
            </w:r>
          </w:p>
        </w:tc>
      </w:tr>
      <w:tr>
        <w:trPr/>
        <w:tc>
          <w:tcPr>
            <w:tcW w:w="6725" w:type="dxa"/>
            <w:tcBorders/>
            <w:shd w:fill="auto" w:val="clear"/>
            <w:vAlign w:val="center"/>
          </w:tcPr>
          <w:p>
            <w:pPr>
              <w:pStyle w:val="TableContents"/>
              <w:spacing w:before="0" w:after="0"/>
              <w:ind w:left="0" w:right="0" w:firstLine="30"/>
              <w:rPr/>
            </w:pPr>
            <w:r>
              <w:rPr/>
              <w:t> </w:t>
            </w:r>
          </w:p>
        </w:tc>
        <w:tc>
          <w:tcPr>
            <w:tcW w:w="72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101" w:type="dxa"/>
            <w:tcBorders/>
            <w:shd w:fill="auto" w:val="clear"/>
            <w:vAlign w:val="center"/>
          </w:tcPr>
          <w:p>
            <w:pPr>
              <w:pStyle w:val="TableContents"/>
              <w:spacing w:before="0" w:after="0"/>
              <w:ind w:left="0" w:right="0" w:firstLine="30"/>
              <w:rPr/>
            </w:pPr>
            <w:r>
              <w:rPr/>
              <w:t> </w:t>
            </w:r>
          </w:p>
        </w:tc>
        <w:tc>
          <w:tcPr>
            <w:tcW w:w="72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0" w:type="dxa"/>
            <w:tcBorders/>
            <w:shd w:fill="auto" w:val="clear"/>
            <w:vAlign w:val="center"/>
          </w:tcPr>
          <w:p>
            <w:pPr>
              <w:pStyle w:val="TableContents"/>
              <w:spacing w:before="0" w:after="0"/>
              <w:ind w:left="0" w:right="0" w:firstLine="30"/>
              <w:rPr/>
            </w:pPr>
            <w:r>
              <w:rPr/>
              <w:t> </w:t>
            </w:r>
          </w:p>
        </w:tc>
        <w:tc>
          <w:tcPr>
            <w:tcW w:w="74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90" w:type="dxa"/>
            <w:tcBorders/>
            <w:shd w:fill="auto" w:val="clear"/>
            <w:vAlign w:val="center"/>
          </w:tcPr>
          <w:p>
            <w:pPr>
              <w:pStyle w:val="TableContents"/>
              <w:spacing w:before="0" w:after="0"/>
              <w:ind w:left="0" w:right="0" w:firstLine="30"/>
              <w:rPr/>
            </w:pPr>
            <w:r>
              <w:rPr/>
              <w:t> </w:t>
            </w:r>
          </w:p>
        </w:tc>
        <w:tc>
          <w:tcPr>
            <w:tcW w:w="91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r>
      <w:tr>
        <w:trPr/>
        <w:tc>
          <w:tcPr>
            <w:tcW w:w="6725" w:type="dxa"/>
            <w:tcBorders/>
            <w:shd w:fill="CCEEFF" w:val="clear"/>
            <w:vAlign w:val="center"/>
          </w:tcPr>
          <w:p>
            <w:pPr>
              <w:pStyle w:val="TableContents"/>
              <w:spacing w:before="0" w:after="0"/>
              <w:ind w:left="0" w:right="0" w:firstLine="30"/>
              <w:rPr>
                <w:rFonts w:ascii="inherit" w:hAnsi="inherit"/>
                <w:b/>
                <w:sz w:val="17"/>
              </w:rPr>
            </w:pPr>
            <w:r>
              <w:rPr>
                <w:rFonts w:ascii="inherit" w:hAnsi="inherit"/>
                <w:b/>
                <w:sz w:val="17"/>
              </w:rPr>
              <w:t>Supply and Logistics segment revenues from contracts with customers</w:t>
            </w:r>
          </w:p>
        </w:tc>
        <w:tc>
          <w:tcPr>
            <w:tcW w:w="722" w:type="dxa"/>
            <w:gridSpan w:val="3"/>
            <w:tcBorders/>
            <w:shd w:fill="CCEEFF" w:val="clear"/>
            <w:vAlign w:val="center"/>
          </w:tcPr>
          <w:p>
            <w:pPr>
              <w:pStyle w:val="TableContents"/>
              <w:spacing w:before="0" w:after="0"/>
              <w:ind w:left="0" w:right="0" w:firstLine="30"/>
              <w:rPr/>
            </w:pPr>
            <w:r>
              <w:rPr/>
              <w:t> </w:t>
            </w:r>
          </w:p>
        </w:tc>
        <w:tc>
          <w:tcPr>
            <w:tcW w:w="101" w:type="dxa"/>
            <w:tcBorders/>
            <w:shd w:fill="CCEEFF" w:val="clear"/>
            <w:vAlign w:val="center"/>
          </w:tcPr>
          <w:p>
            <w:pPr>
              <w:pStyle w:val="TableContents"/>
              <w:spacing w:before="0" w:after="0"/>
              <w:ind w:left="0" w:right="0" w:firstLine="30"/>
              <w:rPr/>
            </w:pPr>
            <w:r>
              <w:rPr/>
              <w:t> </w:t>
            </w:r>
          </w:p>
        </w:tc>
        <w:tc>
          <w:tcPr>
            <w:tcW w:w="722"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4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10" w:type="dxa"/>
            <w:gridSpan w:val="3"/>
            <w:tcBorders/>
            <w:shd w:fill="CCEEFF" w:val="clear"/>
            <w:vAlign w:val="center"/>
          </w:tcPr>
          <w:p>
            <w:pPr>
              <w:pStyle w:val="TableContents"/>
              <w:spacing w:before="0" w:after="0"/>
              <w:ind w:left="0" w:right="0" w:firstLine="180"/>
              <w:rPr/>
            </w:pPr>
            <w:r>
              <w:rPr/>
              <w:t> </w:t>
            </w:r>
          </w:p>
        </w:tc>
      </w:tr>
      <w:tr>
        <w:trPr/>
        <w:tc>
          <w:tcPr>
            <w:tcW w:w="67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Crude oil transactions</w:t>
            </w:r>
          </w:p>
        </w:tc>
        <w:tc>
          <w:tcPr>
            <w:tcW w:w="14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48" w:type="dxa"/>
            <w:tcBorders/>
            <w:shd w:fill="auto" w:val="clear"/>
            <w:vAlign w:val="center"/>
          </w:tcPr>
          <w:p>
            <w:pPr>
              <w:pStyle w:val="TableContents"/>
              <w:spacing w:before="0" w:after="0"/>
              <w:jc w:val="right"/>
              <w:rPr>
                <w:rFonts w:ascii="inherit" w:hAnsi="inherit"/>
                <w:sz w:val="17"/>
              </w:rPr>
            </w:pPr>
            <w:r>
              <w:rPr>
                <w:rFonts w:ascii="inherit" w:hAnsi="inherit"/>
                <w:sz w:val="17"/>
              </w:rPr>
              <w:t>7,595</w:t>
            </w:r>
          </w:p>
        </w:tc>
        <w:tc>
          <w:tcPr>
            <w:tcW w:w="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auto" w:val="clear"/>
            <w:vAlign w:val="center"/>
          </w:tcPr>
          <w:p>
            <w:pPr>
              <w:pStyle w:val="TableContents"/>
              <w:spacing w:before="0" w:after="0"/>
              <w:ind w:left="0" w:right="0" w:firstLine="30"/>
              <w:rPr/>
            </w:pPr>
            <w:r>
              <w:rPr/>
              <w:t> </w:t>
            </w:r>
          </w:p>
        </w:tc>
        <w:tc>
          <w:tcPr>
            <w:tcW w:w="14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48" w:type="dxa"/>
            <w:tcBorders/>
            <w:shd w:fill="auto" w:val="clear"/>
            <w:vAlign w:val="center"/>
          </w:tcPr>
          <w:p>
            <w:pPr>
              <w:pStyle w:val="TableContents"/>
              <w:spacing w:before="0" w:after="0"/>
              <w:jc w:val="right"/>
              <w:rPr>
                <w:rFonts w:ascii="inherit" w:hAnsi="inherit"/>
                <w:sz w:val="17"/>
              </w:rPr>
            </w:pPr>
            <w:r>
              <w:rPr>
                <w:rFonts w:ascii="inherit" w:hAnsi="inherit"/>
                <w:sz w:val="17"/>
              </w:rPr>
              <w:t>7,649</w:t>
            </w:r>
          </w:p>
        </w:tc>
        <w:tc>
          <w:tcPr>
            <w:tcW w:w="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14,532</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14,672</w:t>
            </w:r>
          </w:p>
        </w:tc>
        <w:tc>
          <w:tcPr>
            <w:tcW w:w="19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7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NGL and other transactions</w:t>
            </w:r>
          </w:p>
        </w:tc>
        <w:tc>
          <w:tcPr>
            <w:tcW w:w="68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269</w:t>
            </w:r>
          </w:p>
        </w:tc>
        <w:tc>
          <w:tcPr>
            <w:tcW w:w="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68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475</w:t>
            </w:r>
          </w:p>
        </w:tc>
        <w:tc>
          <w:tcPr>
            <w:tcW w:w="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1,178</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1,626</w:t>
            </w:r>
          </w:p>
        </w:tc>
        <w:tc>
          <w:tcPr>
            <w:tcW w:w="1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7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Supply and Logistics segment revenues from contracts with customers</w:t>
            </w:r>
          </w:p>
        </w:tc>
        <w:tc>
          <w:tcPr>
            <w:tcW w:w="14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4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7,864</w:t>
            </w:r>
          </w:p>
        </w:tc>
        <w:tc>
          <w:tcPr>
            <w:tcW w:w="33"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auto" w:val="clear"/>
            <w:vAlign w:val="center"/>
          </w:tcPr>
          <w:p>
            <w:pPr>
              <w:pStyle w:val="TableContents"/>
              <w:spacing w:before="0" w:after="0"/>
              <w:ind w:left="0" w:right="0" w:firstLine="30"/>
              <w:rPr/>
            </w:pPr>
            <w:r>
              <w:rPr/>
              <w:t> </w:t>
            </w:r>
          </w:p>
        </w:tc>
        <w:tc>
          <w:tcPr>
            <w:tcW w:w="14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4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8,124</w:t>
            </w:r>
          </w:p>
        </w:tc>
        <w:tc>
          <w:tcPr>
            <w:tcW w:w="33"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15,710</w:t>
            </w:r>
          </w:p>
        </w:tc>
        <w:tc>
          <w:tcPr>
            <w:tcW w:w="3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16,298</w:t>
            </w:r>
          </w:p>
        </w:tc>
        <w:tc>
          <w:tcPr>
            <w:tcW w:w="19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12</w:t>
      </w:r>
      <w:r>
        <w:br w:type="page"/>
      </w:r>
    </w:p>
    <w:p>
      <w:pPr>
        <w:pStyle w:val="TextBody"/>
        <w:spacing w:lineRule="auto" w:line="288" w:before="0" w:after="0"/>
        <w:rPr/>
      </w:pPr>
      <w:hyperlink w:anchor="s3336AD8A685850CC9B7F2572CB2C0BC3">
        <w:r>
          <w:rPr>
            <w:rStyle w:val="InternetLink"/>
            <w:rFonts w:ascii="inherit" w:hAnsi="inherit"/>
            <w:sz w:val="17"/>
          </w:rPr>
          <w:t>Table of Contents</w:t>
        </w:r>
      </w:hyperlink>
      <w:r>
        <w:rPr>
          <w:sz w:val="17"/>
        </w:rPr>
        <w:t xml:space="preserve"> </w:t>
      </w:r>
    </w:p>
    <w:p>
      <w:pPr>
        <w:pStyle w:val="TextBody"/>
        <w:spacing w:lineRule="auto" w:line="288" w:before="0" w:after="0"/>
        <w:jc w:val="center"/>
        <w:rPr>
          <w:rFonts w:ascii="inherit" w:hAnsi="inherit"/>
          <w:b/>
          <w:sz w:val="17"/>
        </w:rPr>
      </w:pPr>
      <w:r>
        <w:rPr>
          <w:rFonts w:ascii="inherit" w:hAnsi="inherit"/>
          <w:b/>
          <w:sz w:val="17"/>
        </w:rPr>
        <w:t>PLAINS ALL AMERICAN PIPELINE, L.P. AND SUBSIDIARIES</w:t>
      </w:r>
    </w:p>
    <w:p>
      <w:pPr>
        <w:pStyle w:val="TextBody"/>
        <w:spacing w:lineRule="auto" w:line="288" w:before="0" w:after="0"/>
        <w:jc w:val="center"/>
        <w:rPr>
          <w:rFonts w:ascii="inherit" w:hAnsi="inherit"/>
          <w:b/>
          <w:sz w:val="17"/>
        </w:rPr>
      </w:pPr>
      <w:r>
        <w:rPr>
          <w:rFonts w:ascii="inherit" w:hAnsi="inherit"/>
          <w:b/>
          <w:sz w:val="17"/>
        </w:rPr>
        <w:t>NOTES TO THE UNAUDITED CONDENSED CONSOLIDATED FINANCIAL STATEMENTS</w:t>
      </w:r>
    </w:p>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tbl>
      <w:tblPr>
        <w:tblW w:w="9418" w:type="dxa"/>
        <w:jc w:val="center"/>
        <w:tblInd w:w="0" w:type="dxa"/>
        <w:tblCellMar>
          <w:top w:w="0" w:type="dxa"/>
          <w:left w:w="0" w:type="dxa"/>
          <w:bottom w:w="0" w:type="dxa"/>
          <w:right w:w="0" w:type="dxa"/>
        </w:tblCellMar>
      </w:tblPr>
      <w:tblGrid>
        <w:gridCol w:w="6155"/>
        <w:gridCol w:w="181"/>
        <w:gridCol w:w="485"/>
        <w:gridCol w:w="43"/>
        <w:gridCol w:w="130"/>
        <w:gridCol w:w="181"/>
        <w:gridCol w:w="485"/>
        <w:gridCol w:w="43"/>
        <w:gridCol w:w="90"/>
        <w:gridCol w:w="125"/>
        <w:gridCol w:w="485"/>
        <w:gridCol w:w="30"/>
        <w:gridCol w:w="90"/>
        <w:gridCol w:w="125"/>
        <w:gridCol w:w="335"/>
        <w:gridCol w:w="435"/>
      </w:tblGrid>
      <w:tr>
        <w:trPr/>
        <w:tc>
          <w:tcPr>
            <w:tcW w:w="9418" w:type="dxa"/>
            <w:gridSpan w:val="16"/>
            <w:tcBorders/>
            <w:shd w:fill="auto" w:val="clear"/>
            <w:vAlign w:val="center"/>
          </w:tcPr>
          <w:p>
            <w:pPr>
              <w:pStyle w:val="TableContents"/>
              <w:spacing w:before="0" w:after="283"/>
              <w:rPr>
                <w:sz w:val="4"/>
                <w:szCs w:val="4"/>
              </w:rPr>
            </w:pPr>
            <w:r>
              <w:rPr>
                <w:sz w:val="4"/>
                <w:szCs w:val="4"/>
              </w:rPr>
            </w:r>
          </w:p>
        </w:tc>
      </w:tr>
      <w:tr>
        <w:trPr/>
        <w:tc>
          <w:tcPr>
            <w:tcW w:w="6155"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3"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155" w:type="dxa"/>
            <w:tcBorders/>
            <w:shd w:fill="auto" w:val="clear"/>
            <w:vAlign w:val="center"/>
          </w:tcPr>
          <w:p>
            <w:pPr>
              <w:pStyle w:val="TableContents"/>
              <w:spacing w:before="0" w:after="0"/>
              <w:ind w:left="0" w:right="0" w:firstLine="30"/>
              <w:rPr/>
            </w:pPr>
            <w:r>
              <w:rPr/>
              <w:t> </w:t>
            </w:r>
          </w:p>
        </w:tc>
        <w:tc>
          <w:tcPr>
            <w:tcW w:w="1548"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w:t>
              <w:br/>
              <w:t>June 30,</w:t>
            </w:r>
          </w:p>
        </w:tc>
        <w:tc>
          <w:tcPr>
            <w:tcW w:w="90" w:type="dxa"/>
            <w:tcBorders/>
            <w:shd w:fill="auto" w:val="clear"/>
            <w:vAlign w:val="center"/>
          </w:tcPr>
          <w:p>
            <w:pPr>
              <w:pStyle w:val="TableContents"/>
              <w:spacing w:before="0" w:after="0"/>
              <w:ind w:left="0" w:right="0" w:firstLine="30"/>
              <w:rPr/>
            </w:pPr>
            <w:r>
              <w:rPr/>
              <w:t> </w:t>
            </w:r>
          </w:p>
        </w:tc>
        <w:tc>
          <w:tcPr>
            <w:tcW w:w="1625"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w:t>
              <w:br/>
              <w:t>June 30,</w:t>
            </w:r>
          </w:p>
        </w:tc>
      </w:tr>
      <w:tr>
        <w:trPr/>
        <w:tc>
          <w:tcPr>
            <w:tcW w:w="6155" w:type="dxa"/>
            <w:tcBorders/>
            <w:shd w:fill="auto" w:val="clear"/>
            <w:vAlign w:val="center"/>
          </w:tcPr>
          <w:p>
            <w:pPr>
              <w:pStyle w:val="TableContents"/>
              <w:spacing w:before="0" w:after="0"/>
              <w:ind w:left="0" w:right="0" w:firstLine="30"/>
              <w:rPr/>
            </w:pPr>
            <w:r>
              <w:rPr/>
              <w:t> </w:t>
            </w:r>
          </w:p>
        </w:tc>
        <w:tc>
          <w:tcPr>
            <w:tcW w:w="70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130" w:type="dxa"/>
            <w:tcBorders/>
            <w:shd w:fill="auto" w:val="clear"/>
            <w:vAlign w:val="center"/>
          </w:tcPr>
          <w:p>
            <w:pPr>
              <w:pStyle w:val="TableContents"/>
              <w:spacing w:before="0" w:after="0"/>
              <w:ind w:left="0" w:right="0" w:firstLine="30"/>
              <w:rPr/>
            </w:pPr>
            <w:r>
              <w:rPr/>
              <w:t> </w:t>
            </w:r>
          </w:p>
        </w:tc>
        <w:tc>
          <w:tcPr>
            <w:tcW w:w="70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0" w:type="dxa"/>
            <w:tcBorders/>
            <w:shd w:fill="auto" w:val="clear"/>
            <w:vAlign w:val="center"/>
          </w:tcPr>
          <w:p>
            <w:pPr>
              <w:pStyle w:val="TableContents"/>
              <w:spacing w:before="0" w:after="0"/>
              <w:ind w:left="0" w:right="0" w:firstLine="30"/>
              <w:rPr/>
            </w:pPr>
            <w:r>
              <w:rPr/>
              <w:t> </w:t>
            </w:r>
          </w:p>
        </w:tc>
        <w:tc>
          <w:tcPr>
            <w:tcW w:w="64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90" w:type="dxa"/>
            <w:tcBorders/>
            <w:shd w:fill="auto" w:val="clear"/>
            <w:vAlign w:val="center"/>
          </w:tcPr>
          <w:p>
            <w:pPr>
              <w:pStyle w:val="TableContents"/>
              <w:spacing w:before="0" w:after="0"/>
              <w:ind w:left="0" w:right="0" w:firstLine="30"/>
              <w:rPr/>
            </w:pPr>
            <w:r>
              <w:rPr/>
              <w:t> </w:t>
            </w:r>
          </w:p>
        </w:tc>
        <w:tc>
          <w:tcPr>
            <w:tcW w:w="89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r>
      <w:tr>
        <w:trPr/>
        <w:tc>
          <w:tcPr>
            <w:tcW w:w="6155" w:type="dxa"/>
            <w:tcBorders/>
            <w:shd w:fill="CCEEFF" w:val="clear"/>
            <w:vAlign w:val="center"/>
          </w:tcPr>
          <w:p>
            <w:pPr>
              <w:pStyle w:val="TableContents"/>
              <w:spacing w:before="0" w:after="0"/>
              <w:ind w:left="0" w:right="0" w:firstLine="30"/>
              <w:rPr>
                <w:rFonts w:ascii="inherit" w:hAnsi="inherit"/>
                <w:b/>
                <w:sz w:val="17"/>
              </w:rPr>
            </w:pPr>
            <w:r>
              <w:rPr>
                <w:rFonts w:ascii="inherit" w:hAnsi="inherit"/>
                <w:b/>
                <w:sz w:val="17"/>
              </w:rPr>
              <w:t>Transportation segment revenues from contracts with customers</w:t>
            </w:r>
          </w:p>
        </w:tc>
        <w:tc>
          <w:tcPr>
            <w:tcW w:w="709"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709"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64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95" w:type="dxa"/>
            <w:gridSpan w:val="3"/>
            <w:tcBorders/>
            <w:shd w:fill="CCEEFF" w:val="clear"/>
            <w:vAlign w:val="center"/>
          </w:tcPr>
          <w:p>
            <w:pPr>
              <w:pStyle w:val="TableContents"/>
              <w:spacing w:before="0" w:after="0"/>
              <w:ind w:left="0" w:right="0" w:firstLine="180"/>
              <w:rPr/>
            </w:pPr>
            <w:r>
              <w:rPr/>
              <w:t> </w:t>
            </w:r>
          </w:p>
        </w:tc>
      </w:tr>
      <w:tr>
        <w:trPr/>
        <w:tc>
          <w:tcPr>
            <w:tcW w:w="6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Tariff activities:</w:t>
            </w:r>
          </w:p>
        </w:tc>
        <w:tc>
          <w:tcPr>
            <w:tcW w:w="709"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709"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40" w:type="dxa"/>
            <w:gridSpan w:val="3"/>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95" w:type="dxa"/>
            <w:gridSpan w:val="3"/>
            <w:tcBorders/>
            <w:shd w:fill="auto" w:val="clear"/>
            <w:vAlign w:val="center"/>
          </w:tcPr>
          <w:p>
            <w:pPr>
              <w:pStyle w:val="TableContents"/>
              <w:spacing w:before="0" w:after="0"/>
              <w:ind w:left="0" w:right="0" w:firstLine="300"/>
              <w:rPr/>
            </w:pPr>
            <w:r>
              <w:rPr/>
              <w:t> </w:t>
            </w:r>
          </w:p>
        </w:tc>
      </w:tr>
      <w:tr>
        <w:trPr/>
        <w:tc>
          <w:tcPr>
            <w:tcW w:w="6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Crude oil pipelines</w:t>
            </w:r>
          </w:p>
        </w:tc>
        <w:tc>
          <w:tcPr>
            <w:tcW w:w="18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494</w:t>
            </w:r>
          </w:p>
        </w:tc>
        <w:tc>
          <w:tcPr>
            <w:tcW w:w="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8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412</w:t>
            </w:r>
          </w:p>
        </w:tc>
        <w:tc>
          <w:tcPr>
            <w:tcW w:w="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971</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335" w:type="dxa"/>
            <w:tcBorders/>
            <w:shd w:fill="CCEEFF" w:val="clear"/>
            <w:vAlign w:val="center"/>
          </w:tcPr>
          <w:p>
            <w:pPr>
              <w:pStyle w:val="TableContents"/>
              <w:spacing w:before="0" w:after="0"/>
              <w:jc w:val="right"/>
              <w:rPr>
                <w:rFonts w:ascii="inherit" w:hAnsi="inherit"/>
                <w:sz w:val="17"/>
              </w:rPr>
            </w:pPr>
            <w:r>
              <w:rPr>
                <w:rFonts w:ascii="inherit" w:hAnsi="inherit"/>
                <w:sz w:val="17"/>
              </w:rPr>
              <w:t>801</w:t>
            </w:r>
          </w:p>
        </w:tc>
        <w:tc>
          <w:tcPr>
            <w:tcW w:w="435"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6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NGL pipelines</w:t>
            </w:r>
          </w:p>
        </w:tc>
        <w:tc>
          <w:tcPr>
            <w:tcW w:w="66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22</w:t>
            </w:r>
          </w:p>
        </w:tc>
        <w:tc>
          <w:tcPr>
            <w:tcW w:w="4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66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24</w:t>
            </w:r>
          </w:p>
        </w:tc>
        <w:tc>
          <w:tcPr>
            <w:tcW w:w="4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50</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6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51</w:t>
            </w:r>
          </w:p>
        </w:tc>
        <w:tc>
          <w:tcPr>
            <w:tcW w:w="435"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tariff activities</w:t>
            </w:r>
          </w:p>
        </w:tc>
        <w:tc>
          <w:tcPr>
            <w:tcW w:w="66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516</w:t>
            </w:r>
          </w:p>
        </w:tc>
        <w:tc>
          <w:tcPr>
            <w:tcW w:w="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66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436</w:t>
            </w:r>
          </w:p>
        </w:tc>
        <w:tc>
          <w:tcPr>
            <w:tcW w:w="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1,021</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46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852</w:t>
            </w:r>
          </w:p>
        </w:tc>
        <w:tc>
          <w:tcPr>
            <w:tcW w:w="43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Trucking</w:t>
            </w:r>
          </w:p>
        </w:tc>
        <w:tc>
          <w:tcPr>
            <w:tcW w:w="66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35</w:t>
            </w:r>
          </w:p>
        </w:tc>
        <w:tc>
          <w:tcPr>
            <w:tcW w:w="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66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34</w:t>
            </w:r>
          </w:p>
        </w:tc>
        <w:tc>
          <w:tcPr>
            <w:tcW w:w="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74</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6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68</w:t>
            </w:r>
          </w:p>
        </w:tc>
        <w:tc>
          <w:tcPr>
            <w:tcW w:w="4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Transportation segment revenues from contracts with customers</w:t>
            </w:r>
          </w:p>
        </w:tc>
        <w:tc>
          <w:tcPr>
            <w:tcW w:w="18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551</w:t>
            </w:r>
          </w:p>
        </w:tc>
        <w:tc>
          <w:tcPr>
            <w:tcW w:w="43"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8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470</w:t>
            </w:r>
          </w:p>
        </w:tc>
        <w:tc>
          <w:tcPr>
            <w:tcW w:w="43"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1,095</w:t>
            </w:r>
          </w:p>
        </w:tc>
        <w:tc>
          <w:tcPr>
            <w:tcW w:w="3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3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920</w:t>
            </w:r>
          </w:p>
        </w:tc>
        <w:tc>
          <w:tcPr>
            <w:tcW w:w="43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r>
    </w:p>
    <w:tbl>
      <w:tblPr>
        <w:tblW w:w="8619" w:type="dxa"/>
        <w:jc w:val="center"/>
        <w:tblInd w:w="0" w:type="dxa"/>
        <w:tblCellMar>
          <w:top w:w="0" w:type="dxa"/>
          <w:left w:w="0" w:type="dxa"/>
          <w:bottom w:w="0" w:type="dxa"/>
          <w:right w:w="0" w:type="dxa"/>
        </w:tblCellMar>
      </w:tblPr>
      <w:tblGrid>
        <w:gridCol w:w="5615"/>
        <w:gridCol w:w="181"/>
        <w:gridCol w:w="485"/>
        <w:gridCol w:w="43"/>
        <w:gridCol w:w="130"/>
        <w:gridCol w:w="181"/>
        <w:gridCol w:w="485"/>
        <w:gridCol w:w="43"/>
        <w:gridCol w:w="90"/>
        <w:gridCol w:w="138"/>
        <w:gridCol w:w="371"/>
        <w:gridCol w:w="33"/>
        <w:gridCol w:w="99"/>
        <w:gridCol w:w="138"/>
        <w:gridCol w:w="371"/>
        <w:gridCol w:w="216"/>
      </w:tblGrid>
      <w:tr>
        <w:trPr/>
        <w:tc>
          <w:tcPr>
            <w:tcW w:w="8619" w:type="dxa"/>
            <w:gridSpan w:val="16"/>
            <w:tcBorders/>
            <w:shd w:fill="auto" w:val="clear"/>
            <w:vAlign w:val="center"/>
          </w:tcPr>
          <w:p>
            <w:pPr>
              <w:pStyle w:val="TableContents"/>
              <w:spacing w:before="0" w:after="283"/>
              <w:rPr>
                <w:sz w:val="4"/>
                <w:szCs w:val="4"/>
              </w:rPr>
            </w:pPr>
            <w:r>
              <w:rPr>
                <w:sz w:val="4"/>
                <w:szCs w:val="4"/>
              </w:rPr>
            </w:r>
          </w:p>
        </w:tc>
      </w:tr>
      <w:tr>
        <w:trPr/>
        <w:tc>
          <w:tcPr>
            <w:tcW w:w="5615"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3"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3"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615" w:type="dxa"/>
            <w:tcBorders/>
            <w:shd w:fill="auto" w:val="clear"/>
            <w:vAlign w:val="center"/>
          </w:tcPr>
          <w:p>
            <w:pPr>
              <w:pStyle w:val="TableContents"/>
              <w:spacing w:before="0" w:after="0"/>
              <w:ind w:left="0" w:right="0" w:firstLine="30"/>
              <w:rPr/>
            </w:pPr>
            <w:r>
              <w:rPr/>
              <w:t> </w:t>
            </w:r>
          </w:p>
        </w:tc>
        <w:tc>
          <w:tcPr>
            <w:tcW w:w="1548"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w:t>
              <w:br/>
              <w:t>June 30,</w:t>
            </w:r>
          </w:p>
        </w:tc>
        <w:tc>
          <w:tcPr>
            <w:tcW w:w="90" w:type="dxa"/>
            <w:tcBorders/>
            <w:shd w:fill="auto" w:val="clear"/>
            <w:vAlign w:val="center"/>
          </w:tcPr>
          <w:p>
            <w:pPr>
              <w:pStyle w:val="TableContents"/>
              <w:spacing w:before="0" w:after="0"/>
              <w:ind w:left="0" w:right="0" w:firstLine="30"/>
              <w:rPr/>
            </w:pPr>
            <w:r>
              <w:rPr/>
              <w:t> </w:t>
            </w:r>
          </w:p>
        </w:tc>
        <w:tc>
          <w:tcPr>
            <w:tcW w:w="1366"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w:t>
              <w:br/>
              <w:t>June 30,</w:t>
            </w:r>
          </w:p>
        </w:tc>
      </w:tr>
      <w:tr>
        <w:trPr/>
        <w:tc>
          <w:tcPr>
            <w:tcW w:w="5615" w:type="dxa"/>
            <w:tcBorders/>
            <w:shd w:fill="auto" w:val="clear"/>
            <w:vAlign w:val="center"/>
          </w:tcPr>
          <w:p>
            <w:pPr>
              <w:pStyle w:val="TableContents"/>
              <w:spacing w:before="0" w:after="0"/>
              <w:ind w:left="0" w:right="0" w:firstLine="30"/>
              <w:rPr/>
            </w:pPr>
            <w:r>
              <w:rPr/>
              <w:t> </w:t>
            </w:r>
          </w:p>
        </w:tc>
        <w:tc>
          <w:tcPr>
            <w:tcW w:w="70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130" w:type="dxa"/>
            <w:tcBorders/>
            <w:shd w:fill="auto" w:val="clear"/>
            <w:vAlign w:val="center"/>
          </w:tcPr>
          <w:p>
            <w:pPr>
              <w:pStyle w:val="TableContents"/>
              <w:spacing w:before="0" w:after="0"/>
              <w:ind w:left="0" w:right="0" w:firstLine="30"/>
              <w:rPr/>
            </w:pPr>
            <w:r>
              <w:rPr/>
              <w:t> </w:t>
            </w:r>
          </w:p>
        </w:tc>
        <w:tc>
          <w:tcPr>
            <w:tcW w:w="70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0" w:type="dxa"/>
            <w:tcBorders/>
            <w:shd w:fill="auto" w:val="clear"/>
            <w:vAlign w:val="center"/>
          </w:tcPr>
          <w:p>
            <w:pPr>
              <w:pStyle w:val="TableContents"/>
              <w:spacing w:before="0" w:after="0"/>
              <w:ind w:left="0" w:right="0" w:firstLine="30"/>
              <w:rPr/>
            </w:pPr>
            <w:r>
              <w:rPr/>
              <w:t> </w:t>
            </w:r>
          </w:p>
        </w:tc>
        <w:tc>
          <w:tcPr>
            <w:tcW w:w="54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99" w:type="dxa"/>
            <w:tcBorders/>
            <w:shd w:fill="auto" w:val="clear"/>
            <w:vAlign w:val="center"/>
          </w:tcPr>
          <w:p>
            <w:pPr>
              <w:pStyle w:val="TableContents"/>
              <w:spacing w:before="0" w:after="0"/>
              <w:ind w:left="0" w:right="0" w:firstLine="30"/>
              <w:rPr/>
            </w:pPr>
            <w:r>
              <w:rPr/>
              <w:t> </w:t>
            </w:r>
          </w:p>
        </w:tc>
        <w:tc>
          <w:tcPr>
            <w:tcW w:w="72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r>
      <w:tr>
        <w:trPr/>
        <w:tc>
          <w:tcPr>
            <w:tcW w:w="5615" w:type="dxa"/>
            <w:tcBorders/>
            <w:shd w:fill="CCEEFF" w:val="clear"/>
            <w:vAlign w:val="center"/>
          </w:tcPr>
          <w:p>
            <w:pPr>
              <w:pStyle w:val="TableContents"/>
              <w:spacing w:before="0" w:after="0"/>
              <w:ind w:left="0" w:right="0" w:firstLine="30"/>
              <w:rPr>
                <w:rFonts w:ascii="inherit" w:hAnsi="inherit"/>
                <w:b/>
                <w:sz w:val="17"/>
              </w:rPr>
            </w:pPr>
            <w:r>
              <w:rPr>
                <w:rFonts w:ascii="inherit" w:hAnsi="inherit"/>
                <w:b/>
                <w:sz w:val="17"/>
              </w:rPr>
              <w:t>Facilities segment revenues from contracts with customers</w:t>
            </w:r>
          </w:p>
        </w:tc>
        <w:tc>
          <w:tcPr>
            <w:tcW w:w="709"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709"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542" w:type="dxa"/>
            <w:gridSpan w:val="3"/>
            <w:tcBorders/>
            <w:shd w:fill="CCEEFF" w:val="clear"/>
            <w:vAlign w:val="center"/>
          </w:tcPr>
          <w:p>
            <w:pPr>
              <w:pStyle w:val="TableContents"/>
              <w:spacing w:before="0" w:after="0"/>
              <w:ind w:left="0" w:right="0" w:firstLine="30"/>
              <w:rPr/>
            </w:pPr>
            <w:r>
              <w:rPr/>
              <w:t> </w:t>
            </w:r>
          </w:p>
        </w:tc>
        <w:tc>
          <w:tcPr>
            <w:tcW w:w="99" w:type="dxa"/>
            <w:tcBorders/>
            <w:shd w:fill="CCEEFF" w:val="clear"/>
            <w:vAlign w:val="center"/>
          </w:tcPr>
          <w:p>
            <w:pPr>
              <w:pStyle w:val="TableContents"/>
              <w:spacing w:before="0" w:after="0"/>
              <w:ind w:left="0" w:right="0" w:firstLine="30"/>
              <w:rPr/>
            </w:pPr>
            <w:r>
              <w:rPr/>
              <w:t> </w:t>
            </w:r>
          </w:p>
        </w:tc>
        <w:tc>
          <w:tcPr>
            <w:tcW w:w="725" w:type="dxa"/>
            <w:gridSpan w:val="3"/>
            <w:tcBorders/>
            <w:shd w:fill="CCEEFF" w:val="clear"/>
            <w:vAlign w:val="center"/>
          </w:tcPr>
          <w:p>
            <w:pPr>
              <w:pStyle w:val="TableContents"/>
              <w:spacing w:before="0" w:after="0"/>
              <w:ind w:left="0" w:right="0" w:firstLine="180"/>
              <w:rPr/>
            </w:pPr>
            <w:r>
              <w:rPr/>
              <w:t> </w:t>
            </w:r>
          </w:p>
        </w:tc>
      </w:tr>
      <w:tr>
        <w:trPr/>
        <w:tc>
          <w:tcPr>
            <w:tcW w:w="56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Crude oil, NGL and other terminalling and storage</w:t>
            </w:r>
          </w:p>
        </w:tc>
        <w:tc>
          <w:tcPr>
            <w:tcW w:w="18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auto" w:val="clear"/>
            <w:vAlign w:val="center"/>
          </w:tcPr>
          <w:p>
            <w:pPr>
              <w:pStyle w:val="TableContents"/>
              <w:spacing w:before="0" w:after="0"/>
              <w:jc w:val="right"/>
              <w:rPr>
                <w:rFonts w:ascii="inherit" w:hAnsi="inherit"/>
                <w:sz w:val="17"/>
              </w:rPr>
            </w:pPr>
            <w:r>
              <w:rPr>
                <w:rFonts w:ascii="inherit" w:hAnsi="inherit"/>
                <w:sz w:val="17"/>
              </w:rPr>
              <w:t>177</w:t>
            </w:r>
          </w:p>
        </w:tc>
        <w:tc>
          <w:tcPr>
            <w:tcW w:w="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8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auto" w:val="clear"/>
            <w:vAlign w:val="center"/>
          </w:tcPr>
          <w:p>
            <w:pPr>
              <w:pStyle w:val="TableContents"/>
              <w:spacing w:before="0" w:after="0"/>
              <w:jc w:val="right"/>
              <w:rPr>
                <w:rFonts w:ascii="inherit" w:hAnsi="inherit"/>
                <w:sz w:val="17"/>
              </w:rPr>
            </w:pPr>
            <w:r>
              <w:rPr>
                <w:rFonts w:ascii="inherit" w:hAnsi="inherit"/>
                <w:sz w:val="17"/>
              </w:rPr>
              <w:t>171</w:t>
            </w:r>
          </w:p>
        </w:tc>
        <w:tc>
          <w:tcPr>
            <w:tcW w:w="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371" w:type="dxa"/>
            <w:tcBorders/>
            <w:shd w:fill="auto" w:val="clear"/>
            <w:vAlign w:val="center"/>
          </w:tcPr>
          <w:p>
            <w:pPr>
              <w:pStyle w:val="TableContents"/>
              <w:spacing w:before="0" w:after="0"/>
              <w:jc w:val="right"/>
              <w:rPr>
                <w:rFonts w:ascii="inherit" w:hAnsi="inherit"/>
                <w:sz w:val="17"/>
              </w:rPr>
            </w:pPr>
            <w:r>
              <w:rPr>
                <w:rFonts w:ascii="inherit" w:hAnsi="inherit"/>
                <w:sz w:val="17"/>
              </w:rPr>
              <w:t>349</w:t>
            </w:r>
          </w:p>
        </w:tc>
        <w:tc>
          <w:tcPr>
            <w:tcW w:w="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9" w:type="dxa"/>
            <w:tcBorders/>
            <w:shd w:fill="auto" w:val="clear"/>
            <w:vAlign w:val="center"/>
          </w:tcPr>
          <w:p>
            <w:pPr>
              <w:pStyle w:val="TableContents"/>
              <w:spacing w:before="0" w:after="0"/>
              <w:ind w:left="0" w:right="0" w:firstLine="30"/>
              <w:rPr/>
            </w:pPr>
            <w:r>
              <w:rPr/>
              <w:t> </w:t>
            </w:r>
          </w:p>
        </w:tc>
        <w:tc>
          <w:tcPr>
            <w:tcW w:w="13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371" w:type="dxa"/>
            <w:tcBorders/>
            <w:shd w:fill="auto" w:val="clear"/>
            <w:vAlign w:val="center"/>
          </w:tcPr>
          <w:p>
            <w:pPr>
              <w:pStyle w:val="TableContents"/>
              <w:spacing w:before="0" w:after="0"/>
              <w:jc w:val="right"/>
              <w:rPr>
                <w:rFonts w:ascii="inherit" w:hAnsi="inherit"/>
                <w:sz w:val="17"/>
              </w:rPr>
            </w:pPr>
            <w:r>
              <w:rPr>
                <w:rFonts w:ascii="inherit" w:hAnsi="inherit"/>
                <w:sz w:val="17"/>
              </w:rPr>
              <w:t>337</w:t>
            </w:r>
          </w:p>
        </w:tc>
        <w:tc>
          <w:tcPr>
            <w:tcW w:w="216"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6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NGL and natural gas processing and fractionation</w:t>
            </w:r>
          </w:p>
        </w:tc>
        <w:tc>
          <w:tcPr>
            <w:tcW w:w="66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87</w:t>
            </w:r>
          </w:p>
        </w:tc>
        <w:tc>
          <w:tcPr>
            <w:tcW w:w="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66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91</w:t>
            </w:r>
          </w:p>
        </w:tc>
        <w:tc>
          <w:tcPr>
            <w:tcW w:w="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175</w:t>
            </w:r>
          </w:p>
        </w:tc>
        <w:tc>
          <w:tcPr>
            <w:tcW w:w="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9" w:type="dxa"/>
            <w:tcBorders/>
            <w:shd w:fill="CCEEFF" w:val="clear"/>
            <w:vAlign w:val="center"/>
          </w:tcPr>
          <w:p>
            <w:pPr>
              <w:pStyle w:val="TableContents"/>
              <w:spacing w:before="0" w:after="0"/>
              <w:ind w:left="0" w:right="0" w:firstLine="30"/>
              <w:rPr/>
            </w:pPr>
            <w:r>
              <w:rPr/>
              <w:t> </w:t>
            </w:r>
          </w:p>
        </w:tc>
        <w:tc>
          <w:tcPr>
            <w:tcW w:w="50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191</w:t>
            </w:r>
          </w:p>
        </w:tc>
        <w:tc>
          <w:tcPr>
            <w:tcW w:w="216"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6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Rail load / unload</w:t>
            </w:r>
          </w:p>
        </w:tc>
        <w:tc>
          <w:tcPr>
            <w:tcW w:w="66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w:t>
            </w:r>
          </w:p>
        </w:tc>
        <w:tc>
          <w:tcPr>
            <w:tcW w:w="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66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w:t>
            </w:r>
          </w:p>
        </w:tc>
        <w:tc>
          <w:tcPr>
            <w:tcW w:w="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39</w:t>
            </w:r>
          </w:p>
        </w:tc>
        <w:tc>
          <w:tcPr>
            <w:tcW w:w="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9" w:type="dxa"/>
            <w:tcBorders/>
            <w:shd w:fill="auto" w:val="clear"/>
            <w:vAlign w:val="center"/>
          </w:tcPr>
          <w:p>
            <w:pPr>
              <w:pStyle w:val="TableContents"/>
              <w:spacing w:before="0" w:after="0"/>
              <w:ind w:left="0" w:right="0" w:firstLine="30"/>
              <w:rPr/>
            </w:pPr>
            <w:r>
              <w:rPr/>
              <w:t> </w:t>
            </w:r>
          </w:p>
        </w:tc>
        <w:tc>
          <w:tcPr>
            <w:tcW w:w="50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32</w:t>
            </w:r>
          </w:p>
        </w:tc>
        <w:tc>
          <w:tcPr>
            <w:tcW w:w="2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6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Facilities segment revenues from contracts with customers</w:t>
            </w:r>
          </w:p>
        </w:tc>
        <w:tc>
          <w:tcPr>
            <w:tcW w:w="18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283</w:t>
            </w:r>
          </w:p>
        </w:tc>
        <w:tc>
          <w:tcPr>
            <w:tcW w:w="43"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8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278</w:t>
            </w:r>
          </w:p>
        </w:tc>
        <w:tc>
          <w:tcPr>
            <w:tcW w:w="43"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3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7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563</w:t>
            </w:r>
          </w:p>
        </w:tc>
        <w:tc>
          <w:tcPr>
            <w:tcW w:w="33"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9" w:type="dxa"/>
            <w:tcBorders/>
            <w:shd w:fill="CCEEFF" w:val="clear"/>
            <w:vAlign w:val="center"/>
          </w:tcPr>
          <w:p>
            <w:pPr>
              <w:pStyle w:val="TableContents"/>
              <w:spacing w:before="0" w:after="0"/>
              <w:ind w:left="0" w:right="0" w:firstLine="30"/>
              <w:rPr/>
            </w:pPr>
            <w:r>
              <w:rPr/>
              <w:t> </w:t>
            </w:r>
          </w:p>
        </w:tc>
        <w:tc>
          <w:tcPr>
            <w:tcW w:w="13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7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560</w:t>
            </w:r>
          </w:p>
        </w:tc>
        <w:tc>
          <w:tcPr>
            <w:tcW w:w="21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720"/>
        <w:jc w:val="left"/>
        <w:rPr>
          <w:sz w:val="17"/>
        </w:rPr>
      </w:pPr>
      <w:r>
        <w:rPr>
          <w:rFonts w:ascii="inherit" w:hAnsi="inherit"/>
          <w:i/>
          <w:sz w:val="17"/>
        </w:rPr>
        <w:t xml:space="preserve">Reconciliation to Total Revenues of Reportable Segments. </w:t>
      </w:r>
      <w:r>
        <w:rPr>
          <w:rFonts w:ascii="inherit" w:hAnsi="inherit"/>
          <w:sz w:val="17"/>
        </w:rPr>
        <w:t>The following table presents the reconciliation of our revenues from contracts with customers to segment revenues and total revenues as disclosed in our Condensed Consolidated Statements of Operations (in millions):</w:t>
      </w:r>
    </w:p>
    <w:p>
      <w:pPr>
        <w:pStyle w:val="TextBody"/>
        <w:spacing w:lineRule="auto" w:line="288" w:before="0" w:after="0"/>
        <w:jc w:val="left"/>
        <w:rPr>
          <w:rFonts w:ascii="inherit" w:hAnsi="inherit"/>
          <w:sz w:val="17"/>
        </w:rPr>
      </w:pPr>
      <w:r>
        <w:rPr>
          <w:rFonts w:ascii="inherit" w:hAnsi="inherit"/>
          <w:sz w:val="17"/>
        </w:rPr>
      </w:r>
    </w:p>
    <w:tbl>
      <w:tblPr>
        <w:tblW w:w="7445" w:type="dxa"/>
        <w:jc w:val="center"/>
        <w:tblInd w:w="0" w:type="dxa"/>
        <w:tblCellMar>
          <w:top w:w="0" w:type="dxa"/>
          <w:left w:w="0" w:type="dxa"/>
          <w:bottom w:w="0" w:type="dxa"/>
          <w:right w:w="0" w:type="dxa"/>
        </w:tblCellMar>
      </w:tblPr>
      <w:tblGrid>
        <w:gridCol w:w="3500"/>
        <w:gridCol w:w="90"/>
        <w:gridCol w:w="288"/>
        <w:gridCol w:w="772"/>
        <w:gridCol w:w="70"/>
        <w:gridCol w:w="90"/>
        <w:gridCol w:w="181"/>
        <w:gridCol w:w="485"/>
        <w:gridCol w:w="44"/>
        <w:gridCol w:w="90"/>
        <w:gridCol w:w="167"/>
        <w:gridCol w:w="651"/>
        <w:gridCol w:w="42"/>
        <w:gridCol w:w="90"/>
        <w:gridCol w:w="125"/>
        <w:gridCol w:w="485"/>
        <w:gridCol w:w="275"/>
      </w:tblGrid>
      <w:tr>
        <w:trPr/>
        <w:tc>
          <w:tcPr>
            <w:tcW w:w="7445" w:type="dxa"/>
            <w:gridSpan w:val="17"/>
            <w:tcBorders/>
            <w:shd w:fill="auto" w:val="clear"/>
            <w:vAlign w:val="center"/>
          </w:tcPr>
          <w:p>
            <w:pPr>
              <w:pStyle w:val="TableContents"/>
              <w:spacing w:before="0" w:after="283"/>
              <w:rPr>
                <w:sz w:val="4"/>
                <w:szCs w:val="4"/>
              </w:rPr>
            </w:pPr>
            <w:r>
              <w:rPr>
                <w:sz w:val="4"/>
                <w:szCs w:val="4"/>
              </w:rPr>
            </w:r>
          </w:p>
        </w:tc>
      </w:tr>
      <w:tr>
        <w:trPr/>
        <w:tc>
          <w:tcPr>
            <w:tcW w:w="350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4"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651" w:type="dxa"/>
            <w:tcBorders/>
            <w:shd w:fill="auto" w:val="clear"/>
            <w:vAlign w:val="center"/>
          </w:tcPr>
          <w:p>
            <w:pPr>
              <w:pStyle w:val="TableContents"/>
              <w:spacing w:before="0" w:after="283"/>
              <w:rPr>
                <w:sz w:val="4"/>
                <w:szCs w:val="4"/>
              </w:rPr>
            </w:pPr>
            <w:r>
              <w:rPr>
                <w:sz w:val="4"/>
                <w:szCs w:val="4"/>
              </w:rPr>
            </w:r>
          </w:p>
        </w:tc>
        <w:tc>
          <w:tcPr>
            <w:tcW w:w="4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50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3"/>
              </w:rPr>
            </w:pPr>
            <w:r>
              <w:rPr>
                <w:rFonts w:ascii="inherit" w:hAnsi="inherit"/>
                <w:b/>
                <w:sz w:val="13"/>
              </w:rPr>
              <w:t>Three Months Ended June 30, 2019</w:t>
            </w:r>
          </w:p>
        </w:tc>
        <w:tc>
          <w:tcPr>
            <w:tcW w:w="90" w:type="dxa"/>
            <w:tcBorders/>
            <w:shd w:fill="auto" w:val="clear"/>
            <w:vAlign w:val="center"/>
          </w:tcPr>
          <w:p>
            <w:pPr>
              <w:pStyle w:val="TableContents"/>
              <w:spacing w:before="0" w:after="0"/>
              <w:ind w:left="0" w:right="0" w:firstLine="30"/>
              <w:rPr/>
            </w:pPr>
            <w:r>
              <w:rPr/>
              <w:t> </w:t>
            </w:r>
          </w:p>
        </w:tc>
        <w:tc>
          <w:tcPr>
            <w:tcW w:w="113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Transportation</w:t>
            </w:r>
          </w:p>
        </w:tc>
        <w:tc>
          <w:tcPr>
            <w:tcW w:w="90" w:type="dxa"/>
            <w:tcBorders/>
            <w:shd w:fill="auto" w:val="clear"/>
            <w:vAlign w:val="center"/>
          </w:tcPr>
          <w:p>
            <w:pPr>
              <w:pStyle w:val="TableContents"/>
              <w:spacing w:before="0" w:after="0"/>
              <w:ind w:left="0" w:right="0" w:firstLine="30"/>
              <w:rPr/>
            </w:pPr>
            <w:r>
              <w:rPr/>
              <w:t> </w:t>
            </w:r>
          </w:p>
        </w:tc>
        <w:tc>
          <w:tcPr>
            <w:tcW w:w="71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Facilities</w:t>
            </w:r>
          </w:p>
        </w:tc>
        <w:tc>
          <w:tcPr>
            <w:tcW w:w="90" w:type="dxa"/>
            <w:tcBorders/>
            <w:shd w:fill="auto" w:val="clear"/>
            <w:vAlign w:val="center"/>
          </w:tcPr>
          <w:p>
            <w:pPr>
              <w:pStyle w:val="TableContents"/>
              <w:spacing w:before="0" w:after="0"/>
              <w:ind w:left="0" w:right="0" w:firstLine="30"/>
              <w:rPr/>
            </w:pPr>
            <w:r>
              <w:rPr/>
              <w:t> </w:t>
            </w:r>
          </w:p>
        </w:tc>
        <w:tc>
          <w:tcPr>
            <w:tcW w:w="86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Supply and</w:t>
              <w:br/>
              <w:t>Logistics</w:t>
            </w:r>
          </w:p>
        </w:tc>
        <w:tc>
          <w:tcPr>
            <w:tcW w:w="90" w:type="dxa"/>
            <w:tcBorders/>
            <w:shd w:fill="auto" w:val="clear"/>
            <w:vAlign w:val="center"/>
          </w:tcPr>
          <w:p>
            <w:pPr>
              <w:pStyle w:val="TableContents"/>
              <w:spacing w:before="0" w:after="0"/>
              <w:ind w:left="0" w:right="0" w:firstLine="30"/>
              <w:rPr/>
            </w:pPr>
            <w:r>
              <w:rPr/>
              <w:t> </w:t>
            </w:r>
          </w:p>
        </w:tc>
        <w:tc>
          <w:tcPr>
            <w:tcW w:w="88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Total</w:t>
            </w:r>
          </w:p>
        </w:tc>
      </w:tr>
      <w:tr>
        <w:trPr/>
        <w:tc>
          <w:tcPr>
            <w:tcW w:w="35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 from contracts with customers</w:t>
            </w:r>
          </w:p>
        </w:tc>
        <w:tc>
          <w:tcPr>
            <w:tcW w:w="90" w:type="dxa"/>
            <w:tcBorders/>
            <w:shd w:fill="CCEEFF" w:val="clear"/>
            <w:vAlign w:val="center"/>
          </w:tcPr>
          <w:p>
            <w:pPr>
              <w:pStyle w:val="TableContents"/>
              <w:spacing w:before="0" w:after="0"/>
              <w:ind w:left="0" w:right="0" w:firstLine="30"/>
              <w:rPr/>
            </w:pPr>
            <w:r>
              <w:rPr/>
              <w:t> </w:t>
            </w:r>
          </w:p>
        </w:tc>
        <w:tc>
          <w:tcPr>
            <w:tcW w:w="28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72" w:type="dxa"/>
            <w:tcBorders/>
            <w:shd w:fill="CCEEFF" w:val="clear"/>
            <w:vAlign w:val="center"/>
          </w:tcPr>
          <w:p>
            <w:pPr>
              <w:pStyle w:val="TableContents"/>
              <w:spacing w:before="0" w:after="0"/>
              <w:jc w:val="right"/>
              <w:rPr>
                <w:rFonts w:ascii="inherit" w:hAnsi="inherit"/>
                <w:sz w:val="17"/>
              </w:rPr>
            </w:pPr>
            <w:r>
              <w:rPr>
                <w:rFonts w:ascii="inherit" w:hAnsi="inherit"/>
                <w:sz w:val="17"/>
              </w:rPr>
              <w:t>551</w:t>
            </w:r>
          </w:p>
        </w:tc>
        <w:tc>
          <w:tcPr>
            <w:tcW w:w="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8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283</w:t>
            </w:r>
          </w:p>
        </w:tc>
        <w:tc>
          <w:tcPr>
            <w:tcW w:w="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6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51" w:type="dxa"/>
            <w:tcBorders/>
            <w:shd w:fill="CCEEFF" w:val="clear"/>
            <w:vAlign w:val="center"/>
          </w:tcPr>
          <w:p>
            <w:pPr>
              <w:pStyle w:val="TableContents"/>
              <w:spacing w:before="0" w:after="0"/>
              <w:jc w:val="right"/>
              <w:rPr>
                <w:rFonts w:ascii="inherit" w:hAnsi="inherit"/>
                <w:sz w:val="17"/>
              </w:rPr>
            </w:pPr>
            <w:r>
              <w:rPr>
                <w:rFonts w:ascii="inherit" w:hAnsi="inherit"/>
                <w:sz w:val="17"/>
              </w:rPr>
              <w:t>7,864</w:t>
            </w:r>
          </w:p>
        </w:tc>
        <w:tc>
          <w:tcPr>
            <w:tcW w:w="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8,698</w:t>
            </w:r>
          </w:p>
        </w:tc>
        <w:tc>
          <w:tcPr>
            <w:tcW w:w="2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items in revenues</w:t>
            </w:r>
          </w:p>
        </w:tc>
        <w:tc>
          <w:tcPr>
            <w:tcW w:w="90" w:type="dxa"/>
            <w:tcBorders/>
            <w:shd w:fill="auto" w:val="clear"/>
            <w:vAlign w:val="center"/>
          </w:tcPr>
          <w:p>
            <w:pPr>
              <w:pStyle w:val="TableContents"/>
              <w:spacing w:before="0" w:after="0"/>
              <w:ind w:left="0" w:right="0" w:firstLine="30"/>
              <w:rPr/>
            </w:pPr>
            <w:r>
              <w:rPr/>
              <w:t> </w:t>
            </w:r>
          </w:p>
        </w:tc>
        <w:tc>
          <w:tcPr>
            <w:tcW w:w="106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w:t>
            </w:r>
          </w:p>
        </w:tc>
        <w:tc>
          <w:tcPr>
            <w:tcW w:w="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6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w:t>
            </w:r>
          </w:p>
        </w:tc>
        <w:tc>
          <w:tcPr>
            <w:tcW w:w="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1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51</w:t>
            </w:r>
          </w:p>
        </w:tc>
        <w:tc>
          <w:tcPr>
            <w:tcW w:w="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67</w:t>
            </w:r>
          </w:p>
        </w:tc>
        <w:tc>
          <w:tcPr>
            <w:tcW w:w="27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5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 of reportable segments</w:t>
            </w:r>
          </w:p>
        </w:tc>
        <w:tc>
          <w:tcPr>
            <w:tcW w:w="90" w:type="dxa"/>
            <w:tcBorders/>
            <w:shd w:fill="CCEEFF" w:val="clear"/>
            <w:vAlign w:val="center"/>
          </w:tcPr>
          <w:p>
            <w:pPr>
              <w:pStyle w:val="TableContents"/>
              <w:spacing w:before="0" w:after="0"/>
              <w:ind w:left="0" w:right="0" w:firstLine="30"/>
              <w:rPr/>
            </w:pPr>
            <w:r>
              <w:rPr/>
              <w:t> </w:t>
            </w:r>
          </w:p>
        </w:tc>
        <w:tc>
          <w:tcPr>
            <w:tcW w:w="288"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72"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559</w:t>
            </w:r>
          </w:p>
        </w:tc>
        <w:tc>
          <w:tcPr>
            <w:tcW w:w="70"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81"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291</w:t>
            </w:r>
          </w:p>
        </w:tc>
        <w:tc>
          <w:tcPr>
            <w:tcW w:w="44"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67"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51"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7,915</w:t>
            </w:r>
          </w:p>
        </w:tc>
        <w:tc>
          <w:tcPr>
            <w:tcW w:w="42"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8,765</w:t>
            </w:r>
          </w:p>
        </w:tc>
        <w:tc>
          <w:tcPr>
            <w:tcW w:w="27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Intersegment revenues</w:t>
            </w:r>
          </w:p>
        </w:tc>
        <w:tc>
          <w:tcPr>
            <w:tcW w:w="90" w:type="dxa"/>
            <w:tcBorders/>
            <w:shd w:fill="auto" w:val="clear"/>
            <w:vAlign w:val="center"/>
          </w:tcPr>
          <w:p>
            <w:pPr>
              <w:pStyle w:val="TableContents"/>
              <w:spacing w:before="0" w:after="0"/>
              <w:ind w:left="0" w:right="0" w:firstLine="30"/>
              <w:rPr/>
            </w:pPr>
            <w:r>
              <w:rPr/>
              <w:t> </w:t>
            </w:r>
          </w:p>
        </w:tc>
        <w:tc>
          <w:tcPr>
            <w:tcW w:w="113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1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6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(512</w:t>
            </w:r>
          </w:p>
        </w:tc>
        <w:tc>
          <w:tcPr>
            <w:tcW w:w="275" w:type="dxa"/>
            <w:tcBorders>
              <w:top w:val="single" w:sz="2" w:space="0" w:color="000000"/>
            </w:tcBorders>
            <w:shd w:fill="auto" w:val="clear"/>
            <w:tcMar>
              <w:top w:w="30" w:type="dxa"/>
            </w:tcM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35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90" w:type="dxa"/>
            <w:tcBorders/>
            <w:shd w:fill="CCEEFF" w:val="clear"/>
            <w:vAlign w:val="center"/>
          </w:tcPr>
          <w:p>
            <w:pPr>
              <w:pStyle w:val="TableContents"/>
              <w:spacing w:before="0" w:after="0"/>
              <w:ind w:left="0" w:right="0" w:firstLine="30"/>
              <w:rPr/>
            </w:pPr>
            <w:r>
              <w:rPr/>
              <w:t> </w:t>
            </w:r>
          </w:p>
        </w:tc>
        <w:tc>
          <w:tcPr>
            <w:tcW w:w="113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1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6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8,253</w:t>
            </w:r>
          </w:p>
        </w:tc>
        <w:tc>
          <w:tcPr>
            <w:tcW w:w="27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tbl>
      <w:tblPr>
        <w:tblW w:w="7445" w:type="dxa"/>
        <w:jc w:val="center"/>
        <w:tblInd w:w="0" w:type="dxa"/>
        <w:tblCellMar>
          <w:top w:w="0" w:type="dxa"/>
          <w:left w:w="0" w:type="dxa"/>
          <w:bottom w:w="0" w:type="dxa"/>
          <w:right w:w="0" w:type="dxa"/>
        </w:tblCellMar>
      </w:tblPr>
      <w:tblGrid>
        <w:gridCol w:w="3500"/>
        <w:gridCol w:w="90"/>
        <w:gridCol w:w="288"/>
        <w:gridCol w:w="772"/>
        <w:gridCol w:w="70"/>
        <w:gridCol w:w="90"/>
        <w:gridCol w:w="181"/>
        <w:gridCol w:w="485"/>
        <w:gridCol w:w="44"/>
        <w:gridCol w:w="90"/>
        <w:gridCol w:w="149"/>
        <w:gridCol w:w="579"/>
        <w:gridCol w:w="132"/>
        <w:gridCol w:w="90"/>
        <w:gridCol w:w="125"/>
        <w:gridCol w:w="485"/>
        <w:gridCol w:w="275"/>
      </w:tblGrid>
      <w:tr>
        <w:trPr/>
        <w:tc>
          <w:tcPr>
            <w:tcW w:w="7445" w:type="dxa"/>
            <w:gridSpan w:val="17"/>
            <w:tcBorders/>
            <w:shd w:fill="auto" w:val="clear"/>
            <w:vAlign w:val="center"/>
          </w:tcPr>
          <w:p>
            <w:pPr>
              <w:pStyle w:val="TableContents"/>
              <w:spacing w:before="0" w:after="283"/>
              <w:rPr>
                <w:sz w:val="4"/>
                <w:szCs w:val="4"/>
              </w:rPr>
            </w:pPr>
            <w:r>
              <w:rPr>
                <w:sz w:val="4"/>
                <w:szCs w:val="4"/>
              </w:rPr>
            </w:r>
          </w:p>
        </w:tc>
      </w:tr>
      <w:tr>
        <w:trPr/>
        <w:tc>
          <w:tcPr>
            <w:tcW w:w="350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4"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50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3"/>
              </w:rPr>
            </w:pPr>
            <w:r>
              <w:rPr>
                <w:rFonts w:ascii="inherit" w:hAnsi="inherit"/>
                <w:b/>
                <w:sz w:val="13"/>
              </w:rPr>
              <w:t>Three Months Ended June 30, 2018</w:t>
            </w:r>
          </w:p>
        </w:tc>
        <w:tc>
          <w:tcPr>
            <w:tcW w:w="90" w:type="dxa"/>
            <w:tcBorders/>
            <w:shd w:fill="auto" w:val="clear"/>
            <w:vAlign w:val="center"/>
          </w:tcPr>
          <w:p>
            <w:pPr>
              <w:pStyle w:val="TableContents"/>
              <w:spacing w:before="0" w:after="0"/>
              <w:ind w:left="0" w:right="0" w:firstLine="30"/>
              <w:rPr/>
            </w:pPr>
            <w:r>
              <w:rPr/>
              <w:t> </w:t>
            </w:r>
          </w:p>
        </w:tc>
        <w:tc>
          <w:tcPr>
            <w:tcW w:w="113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Transportation</w:t>
            </w:r>
          </w:p>
        </w:tc>
        <w:tc>
          <w:tcPr>
            <w:tcW w:w="90" w:type="dxa"/>
            <w:tcBorders/>
            <w:shd w:fill="auto" w:val="clear"/>
            <w:vAlign w:val="center"/>
          </w:tcPr>
          <w:p>
            <w:pPr>
              <w:pStyle w:val="TableContents"/>
              <w:spacing w:before="0" w:after="0"/>
              <w:ind w:left="0" w:right="0" w:firstLine="30"/>
              <w:rPr/>
            </w:pPr>
            <w:r>
              <w:rPr/>
              <w:t> </w:t>
            </w:r>
          </w:p>
        </w:tc>
        <w:tc>
          <w:tcPr>
            <w:tcW w:w="71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Facilities</w:t>
            </w:r>
          </w:p>
        </w:tc>
        <w:tc>
          <w:tcPr>
            <w:tcW w:w="90" w:type="dxa"/>
            <w:tcBorders/>
            <w:shd w:fill="auto" w:val="clear"/>
            <w:vAlign w:val="center"/>
          </w:tcPr>
          <w:p>
            <w:pPr>
              <w:pStyle w:val="TableContents"/>
              <w:spacing w:before="0" w:after="0"/>
              <w:ind w:left="0" w:right="0" w:firstLine="30"/>
              <w:rPr/>
            </w:pPr>
            <w:r>
              <w:rPr/>
              <w:t> </w:t>
            </w:r>
          </w:p>
        </w:tc>
        <w:tc>
          <w:tcPr>
            <w:tcW w:w="86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Supply and</w:t>
              <w:br/>
              <w:t>Logistics</w:t>
            </w:r>
          </w:p>
        </w:tc>
        <w:tc>
          <w:tcPr>
            <w:tcW w:w="90" w:type="dxa"/>
            <w:tcBorders/>
            <w:shd w:fill="auto" w:val="clear"/>
            <w:vAlign w:val="center"/>
          </w:tcPr>
          <w:p>
            <w:pPr>
              <w:pStyle w:val="TableContents"/>
              <w:spacing w:before="0" w:after="0"/>
              <w:ind w:left="0" w:right="0" w:firstLine="30"/>
              <w:rPr/>
            </w:pPr>
            <w:r>
              <w:rPr/>
              <w:t> </w:t>
            </w:r>
          </w:p>
        </w:tc>
        <w:tc>
          <w:tcPr>
            <w:tcW w:w="88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Total</w:t>
            </w:r>
          </w:p>
        </w:tc>
      </w:tr>
      <w:tr>
        <w:trPr/>
        <w:tc>
          <w:tcPr>
            <w:tcW w:w="35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 from contracts with customers</w:t>
            </w:r>
          </w:p>
        </w:tc>
        <w:tc>
          <w:tcPr>
            <w:tcW w:w="90" w:type="dxa"/>
            <w:tcBorders/>
            <w:shd w:fill="CCEEFF" w:val="clear"/>
            <w:vAlign w:val="center"/>
          </w:tcPr>
          <w:p>
            <w:pPr>
              <w:pStyle w:val="TableContents"/>
              <w:spacing w:before="0" w:after="0"/>
              <w:ind w:left="0" w:right="0" w:firstLine="30"/>
              <w:rPr/>
            </w:pPr>
            <w:r>
              <w:rPr/>
              <w:t> </w:t>
            </w:r>
          </w:p>
        </w:tc>
        <w:tc>
          <w:tcPr>
            <w:tcW w:w="28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72" w:type="dxa"/>
            <w:tcBorders/>
            <w:shd w:fill="CCEEFF" w:val="clear"/>
            <w:vAlign w:val="center"/>
          </w:tcPr>
          <w:p>
            <w:pPr>
              <w:pStyle w:val="TableContents"/>
              <w:spacing w:before="0" w:after="0"/>
              <w:jc w:val="right"/>
              <w:rPr>
                <w:rFonts w:ascii="inherit" w:hAnsi="inherit"/>
                <w:sz w:val="17"/>
              </w:rPr>
            </w:pPr>
            <w:r>
              <w:rPr>
                <w:rFonts w:ascii="inherit" w:hAnsi="inherit"/>
                <w:sz w:val="17"/>
              </w:rPr>
              <w:t>470</w:t>
            </w:r>
          </w:p>
        </w:tc>
        <w:tc>
          <w:tcPr>
            <w:tcW w:w="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8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278</w:t>
            </w:r>
          </w:p>
        </w:tc>
        <w:tc>
          <w:tcPr>
            <w:tcW w:w="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4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79" w:type="dxa"/>
            <w:tcBorders/>
            <w:shd w:fill="CCEEFF" w:val="clear"/>
            <w:vAlign w:val="center"/>
          </w:tcPr>
          <w:p>
            <w:pPr>
              <w:pStyle w:val="TableContents"/>
              <w:spacing w:before="0" w:after="0"/>
              <w:jc w:val="right"/>
              <w:rPr>
                <w:rFonts w:ascii="inherit" w:hAnsi="inherit"/>
                <w:sz w:val="17"/>
              </w:rPr>
            </w:pPr>
            <w:r>
              <w:rPr>
                <w:rFonts w:ascii="inherit" w:hAnsi="inherit"/>
                <w:sz w:val="17"/>
              </w:rPr>
              <w:t>8,124</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8,872</w:t>
            </w:r>
          </w:p>
        </w:tc>
        <w:tc>
          <w:tcPr>
            <w:tcW w:w="2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items in revenues</w:t>
            </w:r>
          </w:p>
        </w:tc>
        <w:tc>
          <w:tcPr>
            <w:tcW w:w="90" w:type="dxa"/>
            <w:tcBorders/>
            <w:shd w:fill="auto" w:val="clear"/>
            <w:vAlign w:val="center"/>
          </w:tcPr>
          <w:p>
            <w:pPr>
              <w:pStyle w:val="TableContents"/>
              <w:spacing w:before="0" w:after="0"/>
              <w:ind w:left="0" w:right="0" w:firstLine="30"/>
              <w:rPr/>
            </w:pPr>
            <w:r>
              <w:rPr/>
              <w:t> </w:t>
            </w:r>
          </w:p>
        </w:tc>
        <w:tc>
          <w:tcPr>
            <w:tcW w:w="106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w:t>
            </w:r>
          </w:p>
        </w:tc>
        <w:tc>
          <w:tcPr>
            <w:tcW w:w="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6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w:t>
            </w:r>
          </w:p>
        </w:tc>
        <w:tc>
          <w:tcPr>
            <w:tcW w:w="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2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(343</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(332</w:t>
            </w:r>
          </w:p>
        </w:tc>
        <w:tc>
          <w:tcPr>
            <w:tcW w:w="27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35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 of reportable segments</w:t>
            </w:r>
          </w:p>
        </w:tc>
        <w:tc>
          <w:tcPr>
            <w:tcW w:w="90" w:type="dxa"/>
            <w:tcBorders/>
            <w:shd w:fill="CCEEFF" w:val="clear"/>
            <w:vAlign w:val="center"/>
          </w:tcPr>
          <w:p>
            <w:pPr>
              <w:pStyle w:val="TableContents"/>
              <w:spacing w:before="0" w:after="0"/>
              <w:ind w:left="0" w:right="0" w:firstLine="30"/>
              <w:rPr/>
            </w:pPr>
            <w:r>
              <w:rPr/>
              <w:t> </w:t>
            </w:r>
          </w:p>
        </w:tc>
        <w:tc>
          <w:tcPr>
            <w:tcW w:w="288"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72"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475</w:t>
            </w:r>
          </w:p>
        </w:tc>
        <w:tc>
          <w:tcPr>
            <w:tcW w:w="70"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81"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284</w:t>
            </w:r>
          </w:p>
        </w:tc>
        <w:tc>
          <w:tcPr>
            <w:tcW w:w="44"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49"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79"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7,781</w:t>
            </w:r>
          </w:p>
        </w:tc>
        <w:tc>
          <w:tcPr>
            <w:tcW w:w="132"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8,540</w:t>
            </w:r>
          </w:p>
        </w:tc>
        <w:tc>
          <w:tcPr>
            <w:tcW w:w="27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Intersegment revenues</w:t>
            </w:r>
          </w:p>
        </w:tc>
        <w:tc>
          <w:tcPr>
            <w:tcW w:w="90" w:type="dxa"/>
            <w:tcBorders/>
            <w:shd w:fill="auto" w:val="clear"/>
            <w:vAlign w:val="center"/>
          </w:tcPr>
          <w:p>
            <w:pPr>
              <w:pStyle w:val="TableContents"/>
              <w:spacing w:before="0" w:after="0"/>
              <w:ind w:left="0" w:right="0" w:firstLine="30"/>
              <w:rPr/>
            </w:pPr>
            <w:r>
              <w:rPr/>
              <w:t> </w:t>
            </w:r>
          </w:p>
        </w:tc>
        <w:tc>
          <w:tcPr>
            <w:tcW w:w="113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1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6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(460</w:t>
            </w:r>
          </w:p>
        </w:tc>
        <w:tc>
          <w:tcPr>
            <w:tcW w:w="275" w:type="dxa"/>
            <w:tcBorders>
              <w:top w:val="single" w:sz="2" w:space="0" w:color="000000"/>
            </w:tcBorders>
            <w:shd w:fill="auto" w:val="clear"/>
            <w:tcMar>
              <w:top w:w="30" w:type="dxa"/>
            </w:tcM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35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90" w:type="dxa"/>
            <w:tcBorders/>
            <w:shd w:fill="CCEEFF" w:val="clear"/>
            <w:vAlign w:val="center"/>
          </w:tcPr>
          <w:p>
            <w:pPr>
              <w:pStyle w:val="TableContents"/>
              <w:spacing w:before="0" w:after="0"/>
              <w:ind w:left="0" w:right="0" w:firstLine="30"/>
              <w:rPr/>
            </w:pPr>
            <w:r>
              <w:rPr/>
              <w:t> </w:t>
            </w:r>
          </w:p>
        </w:tc>
        <w:tc>
          <w:tcPr>
            <w:tcW w:w="113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1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6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8,080</w:t>
            </w:r>
          </w:p>
        </w:tc>
        <w:tc>
          <w:tcPr>
            <w:tcW w:w="27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13</w:t>
      </w:r>
      <w:r>
        <w:br w:type="page"/>
      </w:r>
    </w:p>
    <w:p>
      <w:pPr>
        <w:pStyle w:val="TextBody"/>
        <w:spacing w:lineRule="auto" w:line="288" w:before="0" w:after="0"/>
        <w:rPr/>
      </w:pPr>
      <w:hyperlink w:anchor="s3336AD8A685850CC9B7F2572CB2C0BC3">
        <w:r>
          <w:rPr>
            <w:rStyle w:val="InternetLink"/>
            <w:rFonts w:ascii="inherit" w:hAnsi="inherit"/>
            <w:sz w:val="17"/>
          </w:rPr>
          <w:t>Table of Contents</w:t>
        </w:r>
      </w:hyperlink>
      <w:r>
        <w:rPr>
          <w:sz w:val="17"/>
        </w:rPr>
        <w:t xml:space="preserve"> </w:t>
      </w:r>
    </w:p>
    <w:p>
      <w:pPr>
        <w:pStyle w:val="TextBody"/>
        <w:spacing w:lineRule="auto" w:line="288" w:before="0" w:after="0"/>
        <w:jc w:val="center"/>
        <w:rPr>
          <w:rFonts w:ascii="inherit" w:hAnsi="inherit"/>
          <w:b/>
          <w:sz w:val="17"/>
        </w:rPr>
      </w:pPr>
      <w:r>
        <w:rPr>
          <w:rFonts w:ascii="inherit" w:hAnsi="inherit"/>
          <w:b/>
          <w:sz w:val="17"/>
        </w:rPr>
        <w:t>PLAINS ALL AMERICAN PIPELINE, L.P. AND SUBSIDIARIES</w:t>
      </w:r>
    </w:p>
    <w:p>
      <w:pPr>
        <w:pStyle w:val="TextBody"/>
        <w:spacing w:lineRule="auto" w:line="288" w:before="0" w:after="0"/>
        <w:jc w:val="center"/>
        <w:rPr>
          <w:rFonts w:ascii="inherit" w:hAnsi="inherit"/>
          <w:b/>
          <w:sz w:val="17"/>
        </w:rPr>
      </w:pPr>
      <w:r>
        <w:rPr>
          <w:rFonts w:ascii="inherit" w:hAnsi="inherit"/>
          <w:b/>
          <w:sz w:val="17"/>
        </w:rPr>
        <w:t>NOTES TO THE UNAUDITED CONDENSED CONSOLIDATED FINANCIAL STATEMENTS</w:t>
      </w:r>
    </w:p>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tbl>
      <w:tblPr>
        <w:tblW w:w="7550" w:type="dxa"/>
        <w:jc w:val="center"/>
        <w:tblInd w:w="0" w:type="dxa"/>
        <w:tblCellMar>
          <w:top w:w="0" w:type="dxa"/>
          <w:left w:w="0" w:type="dxa"/>
          <w:bottom w:w="0" w:type="dxa"/>
          <w:right w:w="0" w:type="dxa"/>
        </w:tblCellMar>
      </w:tblPr>
      <w:tblGrid>
        <w:gridCol w:w="3500"/>
        <w:gridCol w:w="90"/>
        <w:gridCol w:w="220"/>
        <w:gridCol w:w="856"/>
        <w:gridCol w:w="54"/>
        <w:gridCol w:w="90"/>
        <w:gridCol w:w="181"/>
        <w:gridCol w:w="485"/>
        <w:gridCol w:w="44"/>
        <w:gridCol w:w="90"/>
        <w:gridCol w:w="144"/>
        <w:gridCol w:w="681"/>
        <w:gridCol w:w="35"/>
        <w:gridCol w:w="90"/>
        <w:gridCol w:w="125"/>
        <w:gridCol w:w="590"/>
        <w:gridCol w:w="275"/>
      </w:tblGrid>
      <w:tr>
        <w:trPr/>
        <w:tc>
          <w:tcPr>
            <w:tcW w:w="7550" w:type="dxa"/>
            <w:gridSpan w:val="17"/>
            <w:tcBorders/>
            <w:shd w:fill="auto" w:val="clear"/>
            <w:vAlign w:val="center"/>
          </w:tcPr>
          <w:p>
            <w:pPr>
              <w:pStyle w:val="TableContents"/>
              <w:spacing w:before="0" w:after="283"/>
              <w:rPr>
                <w:sz w:val="4"/>
                <w:szCs w:val="4"/>
              </w:rPr>
            </w:pPr>
            <w:r>
              <w:rPr>
                <w:sz w:val="4"/>
                <w:szCs w:val="4"/>
              </w:rPr>
            </w:r>
          </w:p>
        </w:tc>
      </w:tr>
      <w:tr>
        <w:trPr/>
        <w:tc>
          <w:tcPr>
            <w:tcW w:w="350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54"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4"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3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50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3"/>
              </w:rPr>
            </w:pPr>
            <w:r>
              <w:rPr>
                <w:rFonts w:ascii="inherit" w:hAnsi="inherit"/>
                <w:b/>
                <w:sz w:val="13"/>
              </w:rPr>
              <w:t>Six Months Ended June 30, 2019</w:t>
            </w:r>
          </w:p>
        </w:tc>
        <w:tc>
          <w:tcPr>
            <w:tcW w:w="90" w:type="dxa"/>
            <w:tcBorders/>
            <w:shd w:fill="auto" w:val="clear"/>
            <w:vAlign w:val="center"/>
          </w:tcPr>
          <w:p>
            <w:pPr>
              <w:pStyle w:val="TableContents"/>
              <w:spacing w:before="0" w:after="0"/>
              <w:ind w:left="0" w:right="0" w:firstLine="30"/>
              <w:rPr/>
            </w:pPr>
            <w:r>
              <w:rPr/>
              <w:t> </w:t>
            </w:r>
          </w:p>
        </w:tc>
        <w:tc>
          <w:tcPr>
            <w:tcW w:w="113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Transportation</w:t>
            </w:r>
          </w:p>
        </w:tc>
        <w:tc>
          <w:tcPr>
            <w:tcW w:w="90" w:type="dxa"/>
            <w:tcBorders/>
            <w:shd w:fill="auto" w:val="clear"/>
            <w:vAlign w:val="center"/>
          </w:tcPr>
          <w:p>
            <w:pPr>
              <w:pStyle w:val="TableContents"/>
              <w:spacing w:before="0" w:after="0"/>
              <w:ind w:left="0" w:right="0" w:firstLine="30"/>
              <w:rPr/>
            </w:pPr>
            <w:r>
              <w:rPr/>
              <w:t> </w:t>
            </w:r>
          </w:p>
        </w:tc>
        <w:tc>
          <w:tcPr>
            <w:tcW w:w="71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Facilities</w:t>
            </w:r>
          </w:p>
        </w:tc>
        <w:tc>
          <w:tcPr>
            <w:tcW w:w="90" w:type="dxa"/>
            <w:tcBorders/>
            <w:shd w:fill="auto" w:val="clear"/>
            <w:vAlign w:val="center"/>
          </w:tcPr>
          <w:p>
            <w:pPr>
              <w:pStyle w:val="TableContents"/>
              <w:spacing w:before="0" w:after="0"/>
              <w:ind w:left="0" w:right="0" w:firstLine="30"/>
              <w:rPr/>
            </w:pPr>
            <w:r>
              <w:rPr/>
              <w:t> </w:t>
            </w:r>
          </w:p>
        </w:tc>
        <w:tc>
          <w:tcPr>
            <w:tcW w:w="86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Supply and</w:t>
              <w:br/>
              <w:t>Logistics</w:t>
            </w:r>
          </w:p>
        </w:tc>
        <w:tc>
          <w:tcPr>
            <w:tcW w:w="90" w:type="dxa"/>
            <w:tcBorders/>
            <w:shd w:fill="auto" w:val="clear"/>
            <w:vAlign w:val="center"/>
          </w:tcPr>
          <w:p>
            <w:pPr>
              <w:pStyle w:val="TableContents"/>
              <w:spacing w:before="0" w:after="0"/>
              <w:ind w:left="0" w:right="0" w:firstLine="30"/>
              <w:rPr/>
            </w:pPr>
            <w:r>
              <w:rPr/>
              <w:t> </w:t>
            </w:r>
          </w:p>
        </w:tc>
        <w:tc>
          <w:tcPr>
            <w:tcW w:w="99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Total</w:t>
            </w:r>
          </w:p>
        </w:tc>
      </w:tr>
      <w:tr>
        <w:trPr/>
        <w:tc>
          <w:tcPr>
            <w:tcW w:w="35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 from contracts with customers</w:t>
            </w:r>
          </w:p>
        </w:tc>
        <w:tc>
          <w:tcPr>
            <w:tcW w:w="90" w:type="dxa"/>
            <w:tcBorders/>
            <w:shd w:fill="CCEEFF" w:val="clear"/>
            <w:vAlign w:val="center"/>
          </w:tcPr>
          <w:p>
            <w:pPr>
              <w:pStyle w:val="TableContents"/>
              <w:spacing w:before="0" w:after="0"/>
              <w:ind w:left="0" w:right="0" w:firstLine="30"/>
              <w:rPr/>
            </w:pPr>
            <w:r>
              <w:rPr/>
              <w:t> </w:t>
            </w:r>
          </w:p>
        </w:tc>
        <w:tc>
          <w:tcPr>
            <w:tcW w:w="22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56" w:type="dxa"/>
            <w:tcBorders/>
            <w:shd w:fill="CCEEFF" w:val="clear"/>
            <w:vAlign w:val="center"/>
          </w:tcPr>
          <w:p>
            <w:pPr>
              <w:pStyle w:val="TableContents"/>
              <w:spacing w:before="0" w:after="0"/>
              <w:jc w:val="right"/>
              <w:rPr>
                <w:rFonts w:ascii="inherit" w:hAnsi="inherit"/>
                <w:sz w:val="17"/>
              </w:rPr>
            </w:pPr>
            <w:r>
              <w:rPr>
                <w:rFonts w:ascii="inherit" w:hAnsi="inherit"/>
                <w:sz w:val="17"/>
              </w:rPr>
              <w:t>1,095</w:t>
            </w:r>
          </w:p>
        </w:tc>
        <w:tc>
          <w:tcPr>
            <w:tcW w:w="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8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563</w:t>
            </w:r>
          </w:p>
        </w:tc>
        <w:tc>
          <w:tcPr>
            <w:tcW w:w="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4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81" w:type="dxa"/>
            <w:tcBorders/>
            <w:shd w:fill="CCEEFF" w:val="clear"/>
            <w:vAlign w:val="center"/>
          </w:tcPr>
          <w:p>
            <w:pPr>
              <w:pStyle w:val="TableContents"/>
              <w:spacing w:before="0" w:after="0"/>
              <w:jc w:val="right"/>
              <w:rPr>
                <w:rFonts w:ascii="inherit" w:hAnsi="inherit"/>
                <w:sz w:val="17"/>
              </w:rPr>
            </w:pPr>
            <w:r>
              <w:rPr>
                <w:rFonts w:ascii="inherit" w:hAnsi="inherit"/>
                <w:sz w:val="17"/>
              </w:rPr>
              <w:t>15,710</w:t>
            </w:r>
          </w:p>
        </w:tc>
        <w:tc>
          <w:tcPr>
            <w:tcW w:w="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CCEEFF" w:val="clear"/>
            <w:vAlign w:val="center"/>
          </w:tcPr>
          <w:p>
            <w:pPr>
              <w:pStyle w:val="TableContents"/>
              <w:spacing w:before="0" w:after="0"/>
              <w:jc w:val="right"/>
              <w:rPr>
                <w:rFonts w:ascii="inherit" w:hAnsi="inherit"/>
                <w:sz w:val="17"/>
              </w:rPr>
            </w:pPr>
            <w:r>
              <w:rPr>
                <w:rFonts w:ascii="inherit" w:hAnsi="inherit"/>
                <w:sz w:val="17"/>
              </w:rPr>
              <w:t>17,368</w:t>
            </w:r>
          </w:p>
        </w:tc>
        <w:tc>
          <w:tcPr>
            <w:tcW w:w="2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items in revenues</w:t>
            </w:r>
          </w:p>
        </w:tc>
        <w:tc>
          <w:tcPr>
            <w:tcW w:w="90" w:type="dxa"/>
            <w:tcBorders/>
            <w:shd w:fill="auto" w:val="clear"/>
            <w:vAlign w:val="center"/>
          </w:tcPr>
          <w:p>
            <w:pPr>
              <w:pStyle w:val="TableContents"/>
              <w:spacing w:before="0" w:after="0"/>
              <w:ind w:left="0" w:right="0" w:firstLine="30"/>
              <w:rPr/>
            </w:pPr>
            <w:r>
              <w:rPr/>
              <w:t> </w:t>
            </w:r>
          </w:p>
        </w:tc>
        <w:tc>
          <w:tcPr>
            <w:tcW w:w="10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w:t>
            </w:r>
          </w:p>
        </w:tc>
        <w:tc>
          <w:tcPr>
            <w:tcW w:w="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6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w:t>
            </w:r>
          </w:p>
        </w:tc>
        <w:tc>
          <w:tcPr>
            <w:tcW w:w="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228</w:t>
            </w:r>
          </w:p>
        </w:tc>
        <w:tc>
          <w:tcPr>
            <w:tcW w:w="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274</w:t>
            </w:r>
          </w:p>
        </w:tc>
        <w:tc>
          <w:tcPr>
            <w:tcW w:w="27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5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 of reportable segments</w:t>
            </w:r>
          </w:p>
        </w:tc>
        <w:tc>
          <w:tcPr>
            <w:tcW w:w="90" w:type="dxa"/>
            <w:tcBorders/>
            <w:shd w:fill="CCEEFF" w:val="clear"/>
            <w:vAlign w:val="center"/>
          </w:tcPr>
          <w:p>
            <w:pPr>
              <w:pStyle w:val="TableContents"/>
              <w:spacing w:before="0" w:after="0"/>
              <w:ind w:left="0" w:right="0" w:firstLine="30"/>
              <w:rPr/>
            </w:pPr>
            <w:r>
              <w:rPr/>
              <w:t> </w:t>
            </w:r>
          </w:p>
        </w:tc>
        <w:tc>
          <w:tcPr>
            <w:tcW w:w="22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56"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1,115</w:t>
            </w:r>
          </w:p>
        </w:tc>
        <w:tc>
          <w:tcPr>
            <w:tcW w:w="54"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81"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589</w:t>
            </w:r>
          </w:p>
        </w:tc>
        <w:tc>
          <w:tcPr>
            <w:tcW w:w="44"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44"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81"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15,938</w:t>
            </w:r>
          </w:p>
        </w:tc>
        <w:tc>
          <w:tcPr>
            <w:tcW w:w="35"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17,642</w:t>
            </w:r>
          </w:p>
        </w:tc>
        <w:tc>
          <w:tcPr>
            <w:tcW w:w="27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Intersegment revenues</w:t>
            </w:r>
          </w:p>
        </w:tc>
        <w:tc>
          <w:tcPr>
            <w:tcW w:w="90" w:type="dxa"/>
            <w:tcBorders/>
            <w:shd w:fill="auto" w:val="clear"/>
            <w:vAlign w:val="center"/>
          </w:tcPr>
          <w:p>
            <w:pPr>
              <w:pStyle w:val="TableContents"/>
              <w:spacing w:before="0" w:after="0"/>
              <w:ind w:left="0" w:right="0" w:firstLine="30"/>
              <w:rPr/>
            </w:pPr>
            <w:r>
              <w:rPr/>
              <w:t> </w:t>
            </w:r>
          </w:p>
        </w:tc>
        <w:tc>
          <w:tcPr>
            <w:tcW w:w="113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1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6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(1,014</w:t>
            </w:r>
          </w:p>
        </w:tc>
        <w:tc>
          <w:tcPr>
            <w:tcW w:w="275" w:type="dxa"/>
            <w:tcBorders>
              <w:top w:val="single" w:sz="2" w:space="0" w:color="000000"/>
            </w:tcBorders>
            <w:shd w:fill="auto" w:val="clear"/>
            <w:tcMar>
              <w:top w:w="30" w:type="dxa"/>
            </w:tcM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35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90" w:type="dxa"/>
            <w:tcBorders/>
            <w:shd w:fill="CCEEFF" w:val="clear"/>
            <w:vAlign w:val="center"/>
          </w:tcPr>
          <w:p>
            <w:pPr>
              <w:pStyle w:val="TableContents"/>
              <w:spacing w:before="0" w:after="0"/>
              <w:ind w:left="0" w:right="0" w:firstLine="30"/>
              <w:rPr/>
            </w:pPr>
            <w:r>
              <w:rPr/>
              <w:t> </w:t>
            </w:r>
          </w:p>
        </w:tc>
        <w:tc>
          <w:tcPr>
            <w:tcW w:w="113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1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6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16,628</w:t>
            </w:r>
          </w:p>
        </w:tc>
        <w:tc>
          <w:tcPr>
            <w:tcW w:w="27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tbl>
      <w:tblPr>
        <w:tblW w:w="7550" w:type="dxa"/>
        <w:jc w:val="center"/>
        <w:tblInd w:w="0" w:type="dxa"/>
        <w:tblCellMar>
          <w:top w:w="0" w:type="dxa"/>
          <w:left w:w="0" w:type="dxa"/>
          <w:bottom w:w="0" w:type="dxa"/>
          <w:right w:w="0" w:type="dxa"/>
        </w:tblCellMar>
      </w:tblPr>
      <w:tblGrid>
        <w:gridCol w:w="3500"/>
        <w:gridCol w:w="90"/>
        <w:gridCol w:w="288"/>
        <w:gridCol w:w="772"/>
        <w:gridCol w:w="70"/>
        <w:gridCol w:w="90"/>
        <w:gridCol w:w="181"/>
        <w:gridCol w:w="485"/>
        <w:gridCol w:w="44"/>
        <w:gridCol w:w="90"/>
        <w:gridCol w:w="130"/>
        <w:gridCol w:w="615"/>
        <w:gridCol w:w="115"/>
        <w:gridCol w:w="90"/>
        <w:gridCol w:w="125"/>
        <w:gridCol w:w="590"/>
        <w:gridCol w:w="275"/>
      </w:tblGrid>
      <w:tr>
        <w:trPr/>
        <w:tc>
          <w:tcPr>
            <w:tcW w:w="7550" w:type="dxa"/>
            <w:gridSpan w:val="17"/>
            <w:tcBorders/>
            <w:shd w:fill="auto" w:val="clear"/>
            <w:vAlign w:val="center"/>
          </w:tcPr>
          <w:p>
            <w:pPr>
              <w:pStyle w:val="TableContents"/>
              <w:spacing w:before="0" w:after="283"/>
              <w:rPr>
                <w:sz w:val="4"/>
                <w:szCs w:val="4"/>
              </w:rPr>
            </w:pPr>
            <w:r>
              <w:rPr>
                <w:sz w:val="4"/>
                <w:szCs w:val="4"/>
              </w:rPr>
            </w:r>
          </w:p>
        </w:tc>
      </w:tr>
      <w:tr>
        <w:trPr/>
        <w:tc>
          <w:tcPr>
            <w:tcW w:w="350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4"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50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3"/>
              </w:rPr>
            </w:pPr>
            <w:r>
              <w:rPr>
                <w:rFonts w:ascii="inherit" w:hAnsi="inherit"/>
                <w:b/>
                <w:sz w:val="13"/>
              </w:rPr>
              <w:t>Six Months Ended June 30, 2018</w:t>
            </w:r>
          </w:p>
        </w:tc>
        <w:tc>
          <w:tcPr>
            <w:tcW w:w="90" w:type="dxa"/>
            <w:tcBorders/>
            <w:shd w:fill="auto" w:val="clear"/>
            <w:vAlign w:val="center"/>
          </w:tcPr>
          <w:p>
            <w:pPr>
              <w:pStyle w:val="TableContents"/>
              <w:spacing w:before="0" w:after="0"/>
              <w:ind w:left="0" w:right="0" w:firstLine="30"/>
              <w:rPr/>
            </w:pPr>
            <w:r>
              <w:rPr/>
              <w:t> </w:t>
            </w:r>
          </w:p>
        </w:tc>
        <w:tc>
          <w:tcPr>
            <w:tcW w:w="113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Transportation</w:t>
            </w:r>
          </w:p>
        </w:tc>
        <w:tc>
          <w:tcPr>
            <w:tcW w:w="90" w:type="dxa"/>
            <w:tcBorders/>
            <w:shd w:fill="auto" w:val="clear"/>
            <w:vAlign w:val="center"/>
          </w:tcPr>
          <w:p>
            <w:pPr>
              <w:pStyle w:val="TableContents"/>
              <w:spacing w:before="0" w:after="0"/>
              <w:ind w:left="0" w:right="0" w:firstLine="30"/>
              <w:rPr/>
            </w:pPr>
            <w:r>
              <w:rPr/>
              <w:t> </w:t>
            </w:r>
          </w:p>
        </w:tc>
        <w:tc>
          <w:tcPr>
            <w:tcW w:w="71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Facilities</w:t>
            </w:r>
          </w:p>
        </w:tc>
        <w:tc>
          <w:tcPr>
            <w:tcW w:w="90" w:type="dxa"/>
            <w:tcBorders/>
            <w:shd w:fill="auto" w:val="clear"/>
            <w:vAlign w:val="center"/>
          </w:tcPr>
          <w:p>
            <w:pPr>
              <w:pStyle w:val="TableContents"/>
              <w:spacing w:before="0" w:after="0"/>
              <w:ind w:left="0" w:right="0" w:firstLine="30"/>
              <w:rPr/>
            </w:pPr>
            <w:r>
              <w:rPr/>
              <w:t> </w:t>
            </w:r>
          </w:p>
        </w:tc>
        <w:tc>
          <w:tcPr>
            <w:tcW w:w="86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Supply and</w:t>
              <w:br/>
              <w:t>Logistics</w:t>
            </w:r>
          </w:p>
        </w:tc>
        <w:tc>
          <w:tcPr>
            <w:tcW w:w="90" w:type="dxa"/>
            <w:tcBorders/>
            <w:shd w:fill="auto" w:val="clear"/>
            <w:vAlign w:val="center"/>
          </w:tcPr>
          <w:p>
            <w:pPr>
              <w:pStyle w:val="TableContents"/>
              <w:spacing w:before="0" w:after="0"/>
              <w:ind w:left="0" w:right="0" w:firstLine="30"/>
              <w:rPr/>
            </w:pPr>
            <w:r>
              <w:rPr/>
              <w:t> </w:t>
            </w:r>
          </w:p>
        </w:tc>
        <w:tc>
          <w:tcPr>
            <w:tcW w:w="99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Total</w:t>
            </w:r>
          </w:p>
        </w:tc>
      </w:tr>
      <w:tr>
        <w:trPr/>
        <w:tc>
          <w:tcPr>
            <w:tcW w:w="35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 from contracts with customers</w:t>
            </w:r>
          </w:p>
        </w:tc>
        <w:tc>
          <w:tcPr>
            <w:tcW w:w="90" w:type="dxa"/>
            <w:tcBorders/>
            <w:shd w:fill="CCEEFF" w:val="clear"/>
            <w:vAlign w:val="center"/>
          </w:tcPr>
          <w:p>
            <w:pPr>
              <w:pStyle w:val="TableContents"/>
              <w:spacing w:before="0" w:after="0"/>
              <w:ind w:left="0" w:right="0" w:firstLine="30"/>
              <w:rPr/>
            </w:pPr>
            <w:r>
              <w:rPr/>
              <w:t> </w:t>
            </w:r>
          </w:p>
        </w:tc>
        <w:tc>
          <w:tcPr>
            <w:tcW w:w="28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72" w:type="dxa"/>
            <w:tcBorders/>
            <w:shd w:fill="CCEEFF" w:val="clear"/>
            <w:vAlign w:val="center"/>
          </w:tcPr>
          <w:p>
            <w:pPr>
              <w:pStyle w:val="TableContents"/>
              <w:spacing w:before="0" w:after="0"/>
              <w:jc w:val="right"/>
              <w:rPr>
                <w:rFonts w:ascii="inherit" w:hAnsi="inherit"/>
                <w:sz w:val="17"/>
              </w:rPr>
            </w:pPr>
            <w:r>
              <w:rPr>
                <w:rFonts w:ascii="inherit" w:hAnsi="inherit"/>
                <w:sz w:val="17"/>
              </w:rPr>
              <w:t>920</w:t>
            </w:r>
          </w:p>
        </w:tc>
        <w:tc>
          <w:tcPr>
            <w:tcW w:w="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8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560</w:t>
            </w:r>
          </w:p>
        </w:tc>
        <w:tc>
          <w:tcPr>
            <w:tcW w:w="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15" w:type="dxa"/>
            <w:tcBorders/>
            <w:shd w:fill="CCEEFF" w:val="clear"/>
            <w:vAlign w:val="center"/>
          </w:tcPr>
          <w:p>
            <w:pPr>
              <w:pStyle w:val="TableContents"/>
              <w:spacing w:before="0" w:after="0"/>
              <w:jc w:val="right"/>
              <w:rPr>
                <w:rFonts w:ascii="inherit" w:hAnsi="inherit"/>
                <w:sz w:val="17"/>
              </w:rPr>
            </w:pPr>
            <w:r>
              <w:rPr>
                <w:rFonts w:ascii="inherit" w:hAnsi="inherit"/>
                <w:sz w:val="17"/>
              </w:rPr>
              <w:t>16,298</w:t>
            </w:r>
          </w:p>
        </w:tc>
        <w:tc>
          <w:tcPr>
            <w:tcW w:w="1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CCEEFF" w:val="clear"/>
            <w:vAlign w:val="center"/>
          </w:tcPr>
          <w:p>
            <w:pPr>
              <w:pStyle w:val="TableContents"/>
              <w:spacing w:before="0" w:after="0"/>
              <w:jc w:val="right"/>
              <w:rPr>
                <w:rFonts w:ascii="inherit" w:hAnsi="inherit"/>
                <w:sz w:val="17"/>
              </w:rPr>
            </w:pPr>
            <w:r>
              <w:rPr>
                <w:rFonts w:ascii="inherit" w:hAnsi="inherit"/>
                <w:sz w:val="17"/>
              </w:rPr>
              <w:t>17,778</w:t>
            </w:r>
          </w:p>
        </w:tc>
        <w:tc>
          <w:tcPr>
            <w:tcW w:w="2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items in revenues</w:t>
            </w:r>
          </w:p>
        </w:tc>
        <w:tc>
          <w:tcPr>
            <w:tcW w:w="90" w:type="dxa"/>
            <w:tcBorders/>
            <w:shd w:fill="auto" w:val="clear"/>
            <w:vAlign w:val="center"/>
          </w:tcPr>
          <w:p>
            <w:pPr>
              <w:pStyle w:val="TableContents"/>
              <w:spacing w:before="0" w:after="0"/>
              <w:ind w:left="0" w:right="0" w:firstLine="30"/>
              <w:rPr/>
            </w:pPr>
            <w:r>
              <w:rPr/>
              <w:t> </w:t>
            </w:r>
          </w:p>
        </w:tc>
        <w:tc>
          <w:tcPr>
            <w:tcW w:w="106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w:t>
            </w:r>
          </w:p>
        </w:tc>
        <w:tc>
          <w:tcPr>
            <w:tcW w:w="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6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w:t>
            </w:r>
          </w:p>
        </w:tc>
        <w:tc>
          <w:tcPr>
            <w:tcW w:w="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(405</w:t>
            </w:r>
          </w:p>
        </w:tc>
        <w:tc>
          <w:tcPr>
            <w:tcW w:w="1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(380</w:t>
            </w:r>
          </w:p>
        </w:tc>
        <w:tc>
          <w:tcPr>
            <w:tcW w:w="27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35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 of reportable segments</w:t>
            </w:r>
          </w:p>
        </w:tc>
        <w:tc>
          <w:tcPr>
            <w:tcW w:w="90" w:type="dxa"/>
            <w:tcBorders/>
            <w:shd w:fill="CCEEFF" w:val="clear"/>
            <w:vAlign w:val="center"/>
          </w:tcPr>
          <w:p>
            <w:pPr>
              <w:pStyle w:val="TableContents"/>
              <w:spacing w:before="0" w:after="0"/>
              <w:ind w:left="0" w:right="0" w:firstLine="30"/>
              <w:rPr/>
            </w:pPr>
            <w:r>
              <w:rPr/>
              <w:t> </w:t>
            </w:r>
          </w:p>
        </w:tc>
        <w:tc>
          <w:tcPr>
            <w:tcW w:w="288"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72"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929</w:t>
            </w:r>
          </w:p>
        </w:tc>
        <w:tc>
          <w:tcPr>
            <w:tcW w:w="70"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81"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576</w:t>
            </w:r>
          </w:p>
        </w:tc>
        <w:tc>
          <w:tcPr>
            <w:tcW w:w="44"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3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15"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15,893</w:t>
            </w:r>
          </w:p>
        </w:tc>
        <w:tc>
          <w:tcPr>
            <w:tcW w:w="115"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17,398</w:t>
            </w:r>
          </w:p>
        </w:tc>
        <w:tc>
          <w:tcPr>
            <w:tcW w:w="27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Intersegment revenues</w:t>
            </w:r>
          </w:p>
        </w:tc>
        <w:tc>
          <w:tcPr>
            <w:tcW w:w="90" w:type="dxa"/>
            <w:tcBorders/>
            <w:shd w:fill="auto" w:val="clear"/>
            <w:vAlign w:val="center"/>
          </w:tcPr>
          <w:p>
            <w:pPr>
              <w:pStyle w:val="TableContents"/>
              <w:spacing w:before="0" w:after="0"/>
              <w:ind w:left="0" w:right="0" w:firstLine="30"/>
              <w:rPr/>
            </w:pPr>
            <w:r>
              <w:rPr/>
              <w:t> </w:t>
            </w:r>
          </w:p>
        </w:tc>
        <w:tc>
          <w:tcPr>
            <w:tcW w:w="113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1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6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(920</w:t>
            </w:r>
          </w:p>
        </w:tc>
        <w:tc>
          <w:tcPr>
            <w:tcW w:w="275" w:type="dxa"/>
            <w:tcBorders>
              <w:top w:val="single" w:sz="2" w:space="0" w:color="000000"/>
            </w:tcBorders>
            <w:shd w:fill="auto" w:val="clear"/>
            <w:tcMar>
              <w:top w:w="30" w:type="dxa"/>
            </w:tcM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35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90" w:type="dxa"/>
            <w:tcBorders/>
            <w:shd w:fill="CCEEFF" w:val="clear"/>
            <w:vAlign w:val="center"/>
          </w:tcPr>
          <w:p>
            <w:pPr>
              <w:pStyle w:val="TableContents"/>
              <w:spacing w:before="0" w:after="0"/>
              <w:ind w:left="0" w:right="0" w:firstLine="30"/>
              <w:rPr/>
            </w:pPr>
            <w:r>
              <w:rPr/>
              <w:t> </w:t>
            </w:r>
          </w:p>
        </w:tc>
        <w:tc>
          <w:tcPr>
            <w:tcW w:w="113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1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6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16,478</w:t>
            </w:r>
          </w:p>
        </w:tc>
        <w:tc>
          <w:tcPr>
            <w:tcW w:w="27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ind w:left="0" w:right="0" w:firstLine="720"/>
        <w:jc w:val="left"/>
        <w:rPr/>
      </w:pPr>
      <w:r>
        <w:rPr/>
        <w:t>    </w:t>
      </w:r>
    </w:p>
    <w:p>
      <w:pPr>
        <w:pStyle w:val="TextBody"/>
        <w:spacing w:lineRule="auto" w:line="288" w:before="0" w:after="0"/>
        <w:ind w:left="0" w:right="0" w:firstLine="720"/>
        <w:jc w:val="left"/>
        <w:rPr>
          <w:sz w:val="17"/>
        </w:rPr>
      </w:pPr>
      <w:r>
        <w:rPr>
          <w:rFonts w:ascii="inherit" w:hAnsi="inherit"/>
          <w:i/>
          <w:sz w:val="17"/>
        </w:rPr>
        <w:t xml:space="preserve">Minimum Volume Commitments. </w:t>
      </w:r>
      <w:r>
        <w:rPr>
          <w:rFonts w:ascii="inherit" w:hAnsi="inherit"/>
          <w:sz w:val="17"/>
        </w:rPr>
        <w:t>We have certain agreements that require counterparties to transport or throughput a minimum volume over an agreed upon period. At June 30, 2019</w:t>
      </w:r>
      <w:r>
        <w:rPr>
          <w:sz w:val="17"/>
        </w:rPr>
        <w:t xml:space="preserve"> </w:t>
      </w:r>
      <w:r>
        <w:rPr>
          <w:rFonts w:ascii="inherit" w:hAnsi="inherit"/>
          <w:sz w:val="17"/>
        </w:rPr>
        <w:t>and December 31, 2018, counterparty deficiencies associated with contracts with customers and buy/sell arrangements that include minimum volume commitments totaled $54 million</w:t>
      </w:r>
      <w:r>
        <w:rPr>
          <w:sz w:val="17"/>
        </w:rPr>
        <w:t xml:space="preserve"> </w:t>
      </w:r>
      <w:r>
        <w:rPr>
          <w:rFonts w:ascii="inherit" w:hAnsi="inherit"/>
          <w:sz w:val="17"/>
        </w:rPr>
        <w:t>and $62 million, respectively, of which $35 million</w:t>
      </w:r>
      <w:r>
        <w:rPr>
          <w:sz w:val="17"/>
        </w:rPr>
        <w:t xml:space="preserve"> </w:t>
      </w:r>
      <w:r>
        <w:rPr>
          <w:rFonts w:ascii="inherit" w:hAnsi="inherit"/>
          <w:sz w:val="17"/>
        </w:rPr>
        <w:t>and $40 million, respectively, was recorded as a contract liability. The remaining balance of $19 million</w:t>
      </w:r>
      <w:r>
        <w:rPr>
          <w:sz w:val="17"/>
        </w:rPr>
        <w:t xml:space="preserve"> </w:t>
      </w:r>
      <w:r>
        <w:rPr>
          <w:rFonts w:ascii="inherit" w:hAnsi="inherit"/>
          <w:sz w:val="17"/>
        </w:rPr>
        <w:t>and $22 million</w:t>
      </w:r>
      <w:r>
        <w:rPr>
          <w:sz w:val="17"/>
        </w:rPr>
        <w:t xml:space="preserve"> </w:t>
      </w:r>
      <w:r>
        <w:rPr>
          <w:rFonts w:ascii="inherit" w:hAnsi="inherit"/>
          <w:sz w:val="17"/>
        </w:rPr>
        <w:t>at June 30, 2019</w:t>
      </w:r>
      <w:r>
        <w:rPr>
          <w:sz w:val="17"/>
        </w:rPr>
        <w:t xml:space="preserve"> </w:t>
      </w:r>
      <w:r>
        <w:rPr>
          <w:rFonts w:ascii="inherit" w:hAnsi="inherit"/>
          <w:sz w:val="17"/>
        </w:rPr>
        <w:t>and December 31, 2018, respectively, was related to deficiencies for which the counterparties had not met their contractual minimum commitments and were not reflected in our Condensed Consolidated Financial Statements as we had not yet billed or collected such amounts.</w:t>
      </w:r>
    </w:p>
    <w:p>
      <w:pPr>
        <w:pStyle w:val="TextBody"/>
        <w:spacing w:lineRule="auto" w:line="288" w:before="0" w:after="0"/>
        <w:ind w:left="0" w:right="0" w:firstLine="720"/>
        <w:jc w:val="left"/>
        <w:rPr>
          <w:rFonts w:ascii="inherit" w:hAnsi="inherit"/>
          <w:sz w:val="17"/>
        </w:rPr>
      </w:pPr>
      <w:r>
        <w:rPr>
          <w:rFonts w:ascii="inherit" w:hAnsi="inherit"/>
          <w:sz w:val="17"/>
        </w:rPr>
      </w:r>
    </w:p>
    <w:p>
      <w:pPr>
        <w:pStyle w:val="TextBody"/>
        <w:spacing w:lineRule="auto" w:line="288" w:before="0" w:after="0"/>
        <w:ind w:left="0" w:right="0" w:firstLine="720"/>
        <w:jc w:val="left"/>
        <w:rPr>
          <w:sz w:val="17"/>
        </w:rPr>
      </w:pPr>
      <w:r>
        <w:rPr>
          <w:rFonts w:ascii="inherit" w:hAnsi="inherit"/>
          <w:i/>
          <w:sz w:val="17"/>
        </w:rPr>
        <w:t>Contract Balances</w:t>
      </w:r>
      <w:r>
        <w:rPr>
          <w:rFonts w:ascii="inherit" w:hAnsi="inherit"/>
          <w:sz w:val="17"/>
        </w:rPr>
        <w:t>. Our contract balances consist of amounts received associated with services or sales for which we have not yet completed the related performance obligation. The following table presents the change in the contract liability balance during the six months ended June 30, 2019</w:t>
      </w:r>
      <w:r>
        <w:rPr>
          <w:sz w:val="17"/>
        </w:rPr>
        <w:t xml:space="preserve"> </w:t>
      </w:r>
      <w:r>
        <w:rPr>
          <w:rFonts w:ascii="inherit" w:hAnsi="inherit"/>
          <w:sz w:val="17"/>
        </w:rPr>
        <w:t>(in millions):</w:t>
      </w:r>
    </w:p>
    <w:p>
      <w:pPr>
        <w:pStyle w:val="TextBody"/>
        <w:spacing w:lineRule="auto" w:line="288" w:before="0" w:after="0"/>
        <w:jc w:val="left"/>
        <w:rPr>
          <w:rFonts w:ascii="inherit" w:hAnsi="inherit"/>
          <w:sz w:val="17"/>
        </w:rPr>
      </w:pPr>
      <w:r>
        <w:rPr>
          <w:rFonts w:ascii="inherit" w:hAnsi="inherit"/>
          <w:sz w:val="17"/>
        </w:rPr>
      </w:r>
    </w:p>
    <w:tbl>
      <w:tblPr>
        <w:tblW w:w="4328" w:type="dxa"/>
        <w:jc w:val="center"/>
        <w:tblInd w:w="0" w:type="dxa"/>
        <w:tblCellMar>
          <w:top w:w="0" w:type="dxa"/>
          <w:left w:w="0" w:type="dxa"/>
          <w:bottom w:w="0" w:type="dxa"/>
          <w:right w:w="0" w:type="dxa"/>
        </w:tblCellMar>
      </w:tblPr>
      <w:tblGrid>
        <w:gridCol w:w="2780"/>
        <w:gridCol w:w="90"/>
        <w:gridCol w:w="247"/>
        <w:gridCol w:w="663"/>
        <w:gridCol w:w="548"/>
      </w:tblGrid>
      <w:tr>
        <w:trPr/>
        <w:tc>
          <w:tcPr>
            <w:tcW w:w="4328" w:type="dxa"/>
            <w:gridSpan w:val="5"/>
            <w:tcBorders/>
            <w:shd w:fill="auto" w:val="clear"/>
            <w:vAlign w:val="center"/>
          </w:tcPr>
          <w:p>
            <w:pPr>
              <w:pStyle w:val="TableContents"/>
              <w:spacing w:before="0" w:after="283"/>
              <w:rPr>
                <w:sz w:val="4"/>
                <w:szCs w:val="4"/>
              </w:rPr>
            </w:pPr>
            <w:r>
              <w:rPr>
                <w:sz w:val="4"/>
                <w:szCs w:val="4"/>
              </w:rPr>
            </w:r>
          </w:p>
        </w:tc>
      </w:tr>
      <w:tr>
        <w:trPr/>
        <w:tc>
          <w:tcPr>
            <w:tcW w:w="278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78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145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Contract Liabilities</w:t>
            </w:r>
          </w:p>
        </w:tc>
      </w:tr>
      <w:tr>
        <w:trPr/>
        <w:tc>
          <w:tcPr>
            <w:tcW w:w="27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Balance at December 31, 2018</w:t>
            </w:r>
          </w:p>
        </w:tc>
        <w:tc>
          <w:tcPr>
            <w:tcW w:w="90" w:type="dxa"/>
            <w:tcBorders/>
            <w:shd w:fill="CCEEFF" w:val="clear"/>
            <w:vAlign w:val="center"/>
          </w:tcPr>
          <w:p>
            <w:pPr>
              <w:pStyle w:val="TableContents"/>
              <w:spacing w:before="0" w:after="0"/>
              <w:ind w:left="0" w:right="0" w:firstLine="30"/>
              <w:rPr/>
            </w:pPr>
            <w:r>
              <w:rPr/>
              <w:t> </w:t>
            </w:r>
          </w:p>
        </w:tc>
        <w:tc>
          <w:tcPr>
            <w:tcW w:w="24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6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338</w:t>
            </w:r>
          </w:p>
        </w:tc>
        <w:tc>
          <w:tcPr>
            <w:tcW w:w="548" w:type="dxa"/>
            <w:tcBorders>
              <w:bottom w:val="double" w:sz="6" w:space="0" w:color="000000"/>
            </w:tcBorders>
            <w:shd w:fill="CCEEFF"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7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Amounts recognized as revenue</w:t>
            </w:r>
          </w:p>
        </w:tc>
        <w:tc>
          <w:tcPr>
            <w:tcW w:w="90" w:type="dxa"/>
            <w:tcBorders/>
            <w:shd w:fill="auto" w:val="clear"/>
            <w:vAlign w:val="center"/>
          </w:tcPr>
          <w:p>
            <w:pPr>
              <w:pStyle w:val="TableContents"/>
              <w:spacing w:before="0" w:after="0"/>
              <w:ind w:left="0" w:right="0" w:firstLine="30"/>
              <w:rPr/>
            </w:pPr>
            <w:r>
              <w:rPr/>
              <w:t> </w:t>
            </w:r>
          </w:p>
        </w:tc>
        <w:tc>
          <w:tcPr>
            <w:tcW w:w="910" w:type="dxa"/>
            <w:gridSpan w:val="2"/>
            <w:tcBorders>
              <w:top w:val="double" w:sz="6"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(225</w:t>
            </w:r>
          </w:p>
        </w:tc>
        <w:tc>
          <w:tcPr>
            <w:tcW w:w="548" w:type="dxa"/>
            <w:tcBorders>
              <w:top w:val="double" w:sz="6" w:space="0" w:color="000000"/>
            </w:tcBorders>
            <w:shd w:fill="auto" w:val="clear"/>
            <w:tcMar>
              <w:top w:w="30" w:type="dxa"/>
            </w:tcM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2780" w:type="dxa"/>
            <w:tcBorders/>
            <w:shd w:fill="CCEEFF" w:val="clear"/>
            <w:vAlign w:val="center"/>
          </w:tcPr>
          <w:p>
            <w:pPr>
              <w:pStyle w:val="TableContents"/>
              <w:spacing w:lineRule="auto" w:line="288" w:before="0" w:after="0"/>
              <w:ind w:left="0" w:right="0" w:firstLine="30"/>
              <w:rPr>
                <w:sz w:val="17"/>
              </w:rPr>
            </w:pPr>
            <w:r>
              <w:rPr>
                <w:rFonts w:ascii="inherit" w:hAnsi="inherit"/>
                <w:sz w:val="17"/>
              </w:rPr>
              <w:t xml:space="preserve">Additions </w:t>
            </w:r>
            <w:r>
              <w:rPr>
                <w:rFonts w:ascii="inherit" w:hAnsi="inherit"/>
                <w:sz w:val="12"/>
              </w:rPr>
              <w:t>(1)</w:t>
            </w:r>
          </w:p>
        </w:tc>
        <w:tc>
          <w:tcPr>
            <w:tcW w:w="90" w:type="dxa"/>
            <w:tcBorders/>
            <w:shd w:fill="CCEEFF" w:val="clear"/>
            <w:vAlign w:val="center"/>
          </w:tcPr>
          <w:p>
            <w:pPr>
              <w:pStyle w:val="TableContents"/>
              <w:spacing w:before="0" w:after="0"/>
              <w:ind w:left="0" w:right="0" w:firstLine="30"/>
              <w:rPr/>
            </w:pPr>
            <w:r>
              <w:rPr/>
              <w:t> </w:t>
            </w:r>
          </w:p>
        </w:tc>
        <w:tc>
          <w:tcPr>
            <w:tcW w:w="9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206</w:t>
            </w:r>
          </w:p>
        </w:tc>
        <w:tc>
          <w:tcPr>
            <w:tcW w:w="548"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7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90" w:type="dxa"/>
            <w:tcBorders/>
            <w:shd w:fill="auto" w:val="clear"/>
            <w:vAlign w:val="center"/>
          </w:tcPr>
          <w:p>
            <w:pPr>
              <w:pStyle w:val="TableContents"/>
              <w:spacing w:before="0" w:after="0"/>
              <w:ind w:left="0" w:right="0" w:firstLine="30"/>
              <w:rPr/>
            </w:pPr>
            <w:r>
              <w:rPr/>
              <w:t> </w:t>
            </w:r>
          </w:p>
        </w:tc>
        <w:tc>
          <w:tcPr>
            <w:tcW w:w="9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5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7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Balance at June 30, 2019</w:t>
            </w:r>
          </w:p>
        </w:tc>
        <w:tc>
          <w:tcPr>
            <w:tcW w:w="90" w:type="dxa"/>
            <w:tcBorders/>
            <w:shd w:fill="CCEEFF" w:val="clear"/>
            <w:vAlign w:val="center"/>
          </w:tcPr>
          <w:p>
            <w:pPr>
              <w:pStyle w:val="TableContents"/>
              <w:spacing w:before="0" w:after="0"/>
              <w:ind w:left="0" w:right="0" w:firstLine="30"/>
              <w:rPr/>
            </w:pPr>
            <w:r>
              <w:rPr/>
              <w:t> </w:t>
            </w:r>
          </w:p>
        </w:tc>
        <w:tc>
          <w:tcPr>
            <w:tcW w:w="24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6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318</w:t>
            </w:r>
          </w:p>
        </w:tc>
        <w:tc>
          <w:tcPr>
            <w:tcW w:w="548"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sz w:val="4"/>
                <w:szCs w:val="4"/>
              </w:rPr>
            </w:pPr>
            <w:r>
              <w:rPr>
                <w:sz w:val="4"/>
                <w:szCs w:val="4"/>
              </w:rPr>
            </w:r>
          </w:p>
        </w:tc>
      </w:tr>
      <w:tr>
        <w:trPr/>
        <w:tc>
          <w:tcPr>
            <w:tcW w:w="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 w:type="dxa"/>
            <w:tcBorders>
              <w:bottom w:val="single" w:sz="2" w:space="0" w:color="000000"/>
            </w:tcBorders>
            <w:shd w:fill="auto" w:val="clear"/>
            <w:tcMar>
              <w:bottom w:w="30" w:type="dxa"/>
            </w:tcMar>
            <w:vAlign w:val="center"/>
          </w:tcPr>
          <w:p>
            <w:pPr>
              <w:pStyle w:val="TableContents"/>
              <w:spacing w:before="0" w:after="0"/>
              <w:rPr/>
            </w:pPr>
            <w:r>
              <w:rPr/>
              <w:t> </w:t>
            </w:r>
          </w:p>
        </w:tc>
      </w:tr>
    </w:tbl>
    <w:tbl>
      <w:tblPr>
        <w:tblW w:w="10205" w:type="dxa"/>
        <w:jc w:val="left"/>
        <w:tblInd w:w="0" w:type="dxa"/>
        <w:tblCellMar>
          <w:top w:w="0" w:type="dxa"/>
          <w:left w:w="0" w:type="dxa"/>
          <w:bottom w:w="0" w:type="dxa"/>
          <w:right w:w="0" w:type="dxa"/>
        </w:tblCellMar>
      </w:tblPr>
      <w:tblGrid>
        <w:gridCol w:w="176"/>
        <w:gridCol w:w="10029"/>
      </w:tblGrid>
      <w:tr>
        <w:trPr/>
        <w:tc>
          <w:tcPr>
            <w:tcW w:w="176" w:type="dxa"/>
            <w:tcBorders/>
            <w:shd w:fill="auto" w:val="clear"/>
            <w:vAlign w:val="center"/>
          </w:tcPr>
          <w:p>
            <w:pPr>
              <w:pStyle w:val="TableContents"/>
              <w:spacing w:before="0" w:after="283"/>
              <w:rPr>
                <w:sz w:val="4"/>
                <w:szCs w:val="4"/>
              </w:rPr>
            </w:pPr>
            <w:r>
              <w:rPr>
                <w:sz w:val="4"/>
                <w:szCs w:val="4"/>
              </w:rPr>
            </w:r>
          </w:p>
        </w:tc>
        <w:tc>
          <w:tcPr>
            <w:tcW w:w="10029" w:type="dxa"/>
            <w:tcBorders/>
            <w:shd w:fill="auto" w:val="clear"/>
            <w:vAlign w:val="center"/>
          </w:tcPr>
          <w:p>
            <w:pPr>
              <w:pStyle w:val="TableContents"/>
              <w:spacing w:before="0" w:after="283"/>
              <w:rPr>
                <w:sz w:val="4"/>
                <w:szCs w:val="4"/>
              </w:rPr>
            </w:pPr>
            <w:r>
              <w:rPr>
                <w:sz w:val="4"/>
                <w:szCs w:val="4"/>
              </w:rPr>
            </w:r>
          </w:p>
        </w:tc>
      </w:tr>
      <w:tr>
        <w:trPr/>
        <w:tc>
          <w:tcPr>
            <w:tcW w:w="176"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(1)</w:t>
            </w:r>
            <w:r>
              <w:rPr>
                <w:rFonts w:ascii="inherit" w:hAnsi="inherit"/>
                <w:sz w:val="17"/>
              </w:rPr>
              <w:t> </w:t>
            </w:r>
          </w:p>
        </w:tc>
        <w:tc>
          <w:tcPr>
            <w:tcW w:w="10029" w:type="dxa"/>
            <w:tcBorders/>
            <w:shd w:fill="auto" w:val="clear"/>
            <w:vAlign w:val="center"/>
          </w:tcPr>
          <w:p>
            <w:pPr>
              <w:pStyle w:val="TableContents"/>
              <w:spacing w:lineRule="auto" w:line="288" w:before="0" w:after="0"/>
              <w:rPr>
                <w:sz w:val="17"/>
              </w:rPr>
            </w:pPr>
            <w:r>
              <w:rPr>
                <w:rFonts w:ascii="inherit" w:hAnsi="inherit"/>
                <w:sz w:val="17"/>
              </w:rPr>
              <w:t>Includes approximately $130 million</w:t>
            </w:r>
            <w:r>
              <w:rPr>
                <w:sz w:val="17"/>
              </w:rPr>
              <w:t xml:space="preserve"> </w:t>
            </w:r>
            <w:r>
              <w:rPr>
                <w:rFonts w:ascii="inherit" w:hAnsi="inherit"/>
                <w:sz w:val="17"/>
              </w:rPr>
              <w:t xml:space="preserve">associated with crude oil sales agreements that were entered into in conjunction with storage arrangements and future inventory exchanges. Such amount is expected to be recognized as revenue in the third quarter of 2019. The inventory that has been sold under these agreements is reflected in “Other current assets” on our Condensed Consolidated Balance Sheet until all of our performance obligations are complete. </w:t>
            </w:r>
          </w:p>
        </w:tc>
      </w:tr>
    </w:tbl>
    <w:p>
      <w:pPr>
        <w:pStyle w:val="TextBody"/>
        <w:spacing w:lineRule="auto" w:line="288" w:before="0" w:after="0"/>
        <w:ind w:left="0" w:right="0" w:hanging="72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14</w:t>
      </w:r>
      <w:r>
        <w:br w:type="page"/>
      </w:r>
    </w:p>
    <w:p>
      <w:pPr>
        <w:pStyle w:val="TextBody"/>
        <w:spacing w:lineRule="auto" w:line="288" w:before="0" w:after="0"/>
        <w:rPr/>
      </w:pPr>
      <w:hyperlink w:anchor="s3336AD8A685850CC9B7F2572CB2C0BC3">
        <w:r>
          <w:rPr>
            <w:rStyle w:val="InternetLink"/>
            <w:rFonts w:ascii="inherit" w:hAnsi="inherit"/>
            <w:sz w:val="17"/>
          </w:rPr>
          <w:t>Table of Contents</w:t>
        </w:r>
      </w:hyperlink>
      <w:r>
        <w:rPr>
          <w:sz w:val="17"/>
        </w:rPr>
        <w:t xml:space="preserve"> </w:t>
      </w:r>
    </w:p>
    <w:p>
      <w:pPr>
        <w:pStyle w:val="TextBody"/>
        <w:spacing w:lineRule="auto" w:line="288" w:before="0" w:after="0"/>
        <w:jc w:val="center"/>
        <w:rPr>
          <w:rFonts w:ascii="inherit" w:hAnsi="inherit"/>
          <w:b/>
          <w:sz w:val="17"/>
        </w:rPr>
      </w:pPr>
      <w:r>
        <w:rPr>
          <w:rFonts w:ascii="inherit" w:hAnsi="inherit"/>
          <w:b/>
          <w:sz w:val="17"/>
        </w:rPr>
        <w:t>PLAINS ALL AMERICAN PIPELINE, L.P. AND SUBSIDIARIES</w:t>
      </w:r>
    </w:p>
    <w:p>
      <w:pPr>
        <w:pStyle w:val="TextBody"/>
        <w:spacing w:lineRule="auto" w:line="288" w:before="0" w:after="0"/>
        <w:jc w:val="center"/>
        <w:rPr>
          <w:rFonts w:ascii="inherit" w:hAnsi="inherit"/>
          <w:b/>
          <w:sz w:val="17"/>
        </w:rPr>
      </w:pPr>
      <w:r>
        <w:rPr>
          <w:rFonts w:ascii="inherit" w:hAnsi="inherit"/>
          <w:b/>
          <w:sz w:val="17"/>
        </w:rPr>
        <w:t>NOTES TO THE UNAUDITED CONDENSED CONSOLIDATED FINANCIAL STATEMENTS</w:t>
      </w:r>
    </w:p>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720"/>
        <w:jc w:val="left"/>
        <w:rPr>
          <w:sz w:val="17"/>
        </w:rPr>
      </w:pPr>
      <w:r>
        <w:rPr>
          <w:rFonts w:ascii="inherit" w:hAnsi="inherit"/>
          <w:i/>
          <w:sz w:val="17"/>
        </w:rPr>
        <w:t>Remaining Performance Obligations</w:t>
      </w:r>
      <w:r>
        <w:rPr>
          <w:rFonts w:ascii="inherit" w:hAnsi="inherit"/>
          <w:sz w:val="17"/>
        </w:rPr>
        <w:t>. Topic 606 requires a presentation of information about partially and wholly unsatisfied performance obligations under contracts that exist as of the end of the period. The information includes the amount of consideration allocated to those remaining performance obligations and the timing of revenue recognition of those remaining performance obligations. Certain contracts meet the requirements for the presentation as remaining performance obligations. These arrangements include a fixed minimum level of service, typically a set volume of service, and do not contain any variability other than expected timing within a limited range. These contracts are all within the scope of Topic 606. The following table presents the amount of consideration associated with remaining performance obligations for the population of contracts with external customers meeting the presentation requirements as of June 30, 2019</w:t>
      </w:r>
      <w:r>
        <w:rPr>
          <w:sz w:val="17"/>
        </w:rPr>
        <w:t xml:space="preserve"> </w:t>
      </w:r>
      <w:r>
        <w:rPr>
          <w:rFonts w:ascii="inherit" w:hAnsi="inherit"/>
          <w:sz w:val="17"/>
        </w:rPr>
        <w:t>(in millions):</w:t>
      </w:r>
    </w:p>
    <w:tbl>
      <w:tblPr>
        <w:tblW w:w="10205" w:type="dxa"/>
        <w:jc w:val="center"/>
        <w:tblInd w:w="0" w:type="dxa"/>
        <w:tblCellMar>
          <w:top w:w="0" w:type="dxa"/>
          <w:left w:w="0" w:type="dxa"/>
          <w:bottom w:w="0" w:type="dxa"/>
          <w:right w:w="0" w:type="dxa"/>
        </w:tblCellMar>
      </w:tblPr>
      <w:tblGrid>
        <w:gridCol w:w="5226"/>
        <w:gridCol w:w="307"/>
        <w:gridCol w:w="825"/>
        <w:gridCol w:w="75"/>
        <w:gridCol w:w="90"/>
        <w:gridCol w:w="125"/>
        <w:gridCol w:w="335"/>
        <w:gridCol w:w="30"/>
        <w:gridCol w:w="90"/>
        <w:gridCol w:w="125"/>
        <w:gridCol w:w="335"/>
        <w:gridCol w:w="30"/>
        <w:gridCol w:w="90"/>
        <w:gridCol w:w="125"/>
        <w:gridCol w:w="335"/>
        <w:gridCol w:w="30"/>
        <w:gridCol w:w="90"/>
        <w:gridCol w:w="125"/>
        <w:gridCol w:w="335"/>
        <w:gridCol w:w="30"/>
        <w:gridCol w:w="90"/>
        <w:gridCol w:w="162"/>
        <w:gridCol w:w="631"/>
        <w:gridCol w:w="569"/>
      </w:tblGrid>
      <w:tr>
        <w:trPr/>
        <w:tc>
          <w:tcPr>
            <w:tcW w:w="10205" w:type="dxa"/>
            <w:gridSpan w:val="24"/>
            <w:tcBorders/>
            <w:shd w:fill="auto" w:val="clear"/>
            <w:vAlign w:val="center"/>
          </w:tcPr>
          <w:p>
            <w:pPr>
              <w:pStyle w:val="TableContents"/>
              <w:spacing w:before="0" w:after="283"/>
              <w:rPr>
                <w:sz w:val="4"/>
                <w:szCs w:val="4"/>
              </w:rPr>
            </w:pPr>
            <w:r>
              <w:rPr>
                <w:sz w:val="4"/>
                <w:szCs w:val="4"/>
              </w:rPr>
            </w:r>
          </w:p>
        </w:tc>
      </w:tr>
      <w:tr>
        <w:trPr/>
        <w:tc>
          <w:tcPr>
            <w:tcW w:w="5226"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226" w:type="dxa"/>
            <w:tcBorders/>
            <w:shd w:fill="auto" w:val="clear"/>
            <w:vAlign w:val="center"/>
          </w:tcPr>
          <w:p>
            <w:pPr>
              <w:pStyle w:val="TableContents"/>
              <w:spacing w:before="0" w:after="0"/>
              <w:ind w:left="0" w:right="0" w:firstLine="30"/>
              <w:rPr/>
            </w:pPr>
            <w:r>
              <w:rPr/>
              <w:t> </w:t>
            </w:r>
          </w:p>
        </w:tc>
        <w:tc>
          <w:tcPr>
            <w:tcW w:w="120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Remainder of 2019</w:t>
            </w:r>
          </w:p>
        </w:tc>
        <w:tc>
          <w:tcPr>
            <w:tcW w:w="90" w:type="dxa"/>
            <w:tcBorders/>
            <w:shd w:fill="auto" w:val="clear"/>
            <w:vAlign w:val="center"/>
          </w:tcPr>
          <w:p>
            <w:pPr>
              <w:pStyle w:val="TableContents"/>
              <w:spacing w:before="0" w:after="0"/>
              <w:ind w:left="0" w:right="0" w:firstLine="30"/>
              <w:rPr/>
            </w:pPr>
            <w:r>
              <w:rPr/>
              <w:t> </w:t>
            </w:r>
          </w:p>
        </w:tc>
        <w:tc>
          <w:tcPr>
            <w:tcW w:w="49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2020</w:t>
            </w:r>
          </w:p>
        </w:tc>
        <w:tc>
          <w:tcPr>
            <w:tcW w:w="90" w:type="dxa"/>
            <w:tcBorders/>
            <w:shd w:fill="auto" w:val="clear"/>
            <w:vAlign w:val="center"/>
          </w:tcPr>
          <w:p>
            <w:pPr>
              <w:pStyle w:val="TableContents"/>
              <w:spacing w:before="0" w:after="0"/>
              <w:ind w:left="0" w:right="0" w:firstLine="30"/>
              <w:rPr/>
            </w:pPr>
            <w:r>
              <w:rPr/>
              <w:t> </w:t>
            </w:r>
          </w:p>
        </w:tc>
        <w:tc>
          <w:tcPr>
            <w:tcW w:w="49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2021</w:t>
            </w:r>
          </w:p>
        </w:tc>
        <w:tc>
          <w:tcPr>
            <w:tcW w:w="90" w:type="dxa"/>
            <w:tcBorders/>
            <w:shd w:fill="auto" w:val="clear"/>
            <w:vAlign w:val="center"/>
          </w:tcPr>
          <w:p>
            <w:pPr>
              <w:pStyle w:val="TableContents"/>
              <w:spacing w:before="0" w:after="0"/>
              <w:ind w:left="0" w:right="0" w:firstLine="30"/>
              <w:rPr/>
            </w:pPr>
            <w:r>
              <w:rPr/>
              <w:t> </w:t>
            </w:r>
          </w:p>
        </w:tc>
        <w:tc>
          <w:tcPr>
            <w:tcW w:w="49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2022</w:t>
            </w:r>
          </w:p>
        </w:tc>
        <w:tc>
          <w:tcPr>
            <w:tcW w:w="90" w:type="dxa"/>
            <w:tcBorders/>
            <w:shd w:fill="auto" w:val="clear"/>
            <w:vAlign w:val="center"/>
          </w:tcPr>
          <w:p>
            <w:pPr>
              <w:pStyle w:val="TableContents"/>
              <w:spacing w:before="0" w:after="0"/>
              <w:ind w:left="0" w:right="0" w:firstLine="30"/>
              <w:rPr/>
            </w:pPr>
            <w:r>
              <w:rPr/>
              <w:t> </w:t>
            </w:r>
          </w:p>
        </w:tc>
        <w:tc>
          <w:tcPr>
            <w:tcW w:w="49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2023</w:t>
            </w:r>
          </w:p>
        </w:tc>
        <w:tc>
          <w:tcPr>
            <w:tcW w:w="90" w:type="dxa"/>
            <w:tcBorders/>
            <w:shd w:fill="auto" w:val="clear"/>
            <w:vAlign w:val="center"/>
          </w:tcPr>
          <w:p>
            <w:pPr>
              <w:pStyle w:val="TableContents"/>
              <w:spacing w:before="0" w:after="0"/>
              <w:ind w:left="0" w:right="0" w:firstLine="30"/>
              <w:rPr/>
            </w:pPr>
            <w:r>
              <w:rPr/>
              <w:t> </w:t>
            </w:r>
          </w:p>
        </w:tc>
        <w:tc>
          <w:tcPr>
            <w:tcW w:w="136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2024 and Thereafter</w:t>
            </w:r>
          </w:p>
        </w:tc>
      </w:tr>
      <w:tr>
        <w:trPr/>
        <w:tc>
          <w:tcPr>
            <w:tcW w:w="5226" w:type="dxa"/>
            <w:tcBorders/>
            <w:shd w:fill="CCEEFF" w:val="clear"/>
            <w:vAlign w:val="center"/>
          </w:tcPr>
          <w:p>
            <w:pPr>
              <w:pStyle w:val="TableContents"/>
              <w:spacing w:lineRule="auto" w:line="288" w:before="0" w:after="0"/>
              <w:ind w:left="0" w:right="0" w:firstLine="30"/>
              <w:rPr>
                <w:sz w:val="17"/>
              </w:rPr>
            </w:pPr>
            <w:r>
              <w:rPr>
                <w:rFonts w:ascii="inherit" w:hAnsi="inherit"/>
                <w:sz w:val="17"/>
              </w:rPr>
              <w:t xml:space="preserve">Pipeline revenues supported by minimum volume commitments and capacity agreements </w:t>
            </w:r>
            <w:r>
              <w:rPr>
                <w:rFonts w:ascii="inherit" w:hAnsi="inherit"/>
                <w:sz w:val="12"/>
              </w:rPr>
              <w:t>(1)</w:t>
            </w:r>
          </w:p>
        </w:tc>
        <w:tc>
          <w:tcPr>
            <w:tcW w:w="30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25" w:type="dxa"/>
            <w:tcBorders/>
            <w:shd w:fill="CCEEFF" w:val="clear"/>
            <w:vAlign w:val="center"/>
          </w:tcPr>
          <w:p>
            <w:pPr>
              <w:pStyle w:val="TableContents"/>
              <w:spacing w:before="0" w:after="0"/>
              <w:jc w:val="right"/>
              <w:rPr>
                <w:rFonts w:ascii="inherit" w:hAnsi="inherit"/>
                <w:sz w:val="17"/>
              </w:rPr>
            </w:pPr>
            <w:r>
              <w:rPr>
                <w:rFonts w:ascii="inherit" w:hAnsi="inherit"/>
                <w:sz w:val="17"/>
              </w:rPr>
              <w:t>79</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335" w:type="dxa"/>
            <w:tcBorders/>
            <w:shd w:fill="CCEEFF" w:val="clear"/>
            <w:vAlign w:val="center"/>
          </w:tcPr>
          <w:p>
            <w:pPr>
              <w:pStyle w:val="TableContents"/>
              <w:spacing w:before="0" w:after="0"/>
              <w:jc w:val="right"/>
              <w:rPr>
                <w:rFonts w:ascii="inherit" w:hAnsi="inherit"/>
                <w:sz w:val="17"/>
              </w:rPr>
            </w:pPr>
            <w:r>
              <w:rPr>
                <w:rFonts w:ascii="inherit" w:hAnsi="inherit"/>
                <w:sz w:val="17"/>
              </w:rPr>
              <w:t>156</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335" w:type="dxa"/>
            <w:tcBorders/>
            <w:shd w:fill="CCEEFF" w:val="clear"/>
            <w:vAlign w:val="center"/>
          </w:tcPr>
          <w:p>
            <w:pPr>
              <w:pStyle w:val="TableContents"/>
              <w:spacing w:before="0" w:after="0"/>
              <w:jc w:val="right"/>
              <w:rPr>
                <w:rFonts w:ascii="inherit" w:hAnsi="inherit"/>
                <w:sz w:val="17"/>
              </w:rPr>
            </w:pPr>
            <w:r>
              <w:rPr>
                <w:rFonts w:ascii="inherit" w:hAnsi="inherit"/>
                <w:sz w:val="17"/>
              </w:rPr>
              <w:t>163</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335" w:type="dxa"/>
            <w:tcBorders/>
            <w:shd w:fill="CCEEFF" w:val="clear"/>
            <w:vAlign w:val="center"/>
          </w:tcPr>
          <w:p>
            <w:pPr>
              <w:pStyle w:val="TableContents"/>
              <w:spacing w:before="0" w:after="0"/>
              <w:jc w:val="right"/>
              <w:rPr>
                <w:rFonts w:ascii="inherit" w:hAnsi="inherit"/>
                <w:sz w:val="17"/>
              </w:rPr>
            </w:pPr>
            <w:r>
              <w:rPr>
                <w:rFonts w:ascii="inherit" w:hAnsi="inherit"/>
                <w:sz w:val="17"/>
              </w:rPr>
              <w:t>159</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335" w:type="dxa"/>
            <w:tcBorders/>
            <w:shd w:fill="CCEEFF" w:val="clear"/>
            <w:vAlign w:val="center"/>
          </w:tcPr>
          <w:p>
            <w:pPr>
              <w:pStyle w:val="TableContents"/>
              <w:spacing w:before="0" w:after="0"/>
              <w:jc w:val="right"/>
              <w:rPr>
                <w:rFonts w:ascii="inherit" w:hAnsi="inherit"/>
                <w:sz w:val="17"/>
              </w:rPr>
            </w:pPr>
            <w:r>
              <w:rPr>
                <w:rFonts w:ascii="inherit" w:hAnsi="inherit"/>
                <w:sz w:val="17"/>
              </w:rPr>
              <w:t>158</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6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31" w:type="dxa"/>
            <w:tcBorders/>
            <w:shd w:fill="CCEEFF" w:val="clear"/>
            <w:vAlign w:val="center"/>
          </w:tcPr>
          <w:p>
            <w:pPr>
              <w:pStyle w:val="TableContents"/>
              <w:spacing w:before="0" w:after="0"/>
              <w:jc w:val="right"/>
              <w:rPr>
                <w:rFonts w:ascii="inherit" w:hAnsi="inherit"/>
                <w:sz w:val="17"/>
              </w:rPr>
            </w:pPr>
            <w:r>
              <w:rPr>
                <w:rFonts w:ascii="inherit" w:hAnsi="inherit"/>
                <w:sz w:val="17"/>
              </w:rPr>
              <w:t>805</w:t>
            </w:r>
          </w:p>
        </w:tc>
        <w:tc>
          <w:tcPr>
            <w:tcW w:w="56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2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Storage, terminalling and throughput agreement revenues</w:t>
            </w:r>
          </w:p>
        </w:tc>
        <w:tc>
          <w:tcPr>
            <w:tcW w:w="113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220</w:t>
            </w:r>
          </w:p>
        </w:tc>
        <w:tc>
          <w:tcPr>
            <w:tcW w:w="7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6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361</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6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256</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6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195</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6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160</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9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355</w:t>
            </w:r>
          </w:p>
        </w:tc>
        <w:tc>
          <w:tcPr>
            <w:tcW w:w="569"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2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30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2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299</w:t>
            </w:r>
          </w:p>
        </w:tc>
        <w:tc>
          <w:tcPr>
            <w:tcW w:w="75"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3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517</w:t>
            </w:r>
          </w:p>
        </w:tc>
        <w:tc>
          <w:tcPr>
            <w:tcW w:w="3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3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419</w:t>
            </w:r>
          </w:p>
        </w:tc>
        <w:tc>
          <w:tcPr>
            <w:tcW w:w="3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3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354</w:t>
            </w:r>
          </w:p>
        </w:tc>
        <w:tc>
          <w:tcPr>
            <w:tcW w:w="3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3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318</w:t>
            </w:r>
          </w:p>
        </w:tc>
        <w:tc>
          <w:tcPr>
            <w:tcW w:w="3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62"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3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1,160</w:t>
            </w:r>
          </w:p>
        </w:tc>
        <w:tc>
          <w:tcPr>
            <w:tcW w:w="569"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sz w:val="4"/>
                <w:szCs w:val="4"/>
              </w:rPr>
            </w:pPr>
            <w:r>
              <w:rPr>
                <w:sz w:val="4"/>
                <w:szCs w:val="4"/>
              </w:rPr>
            </w:r>
          </w:p>
        </w:tc>
      </w:tr>
      <w:tr>
        <w:trPr/>
        <w:tc>
          <w:tcPr>
            <w:tcW w:w="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 w:type="dxa"/>
            <w:tcBorders>
              <w:bottom w:val="single" w:sz="2" w:space="0" w:color="000000"/>
            </w:tcBorders>
            <w:shd w:fill="auto" w:val="clear"/>
            <w:tcMar>
              <w:bottom w:w="30" w:type="dxa"/>
            </w:tcMar>
            <w:vAlign w:val="center"/>
          </w:tcPr>
          <w:p>
            <w:pPr>
              <w:pStyle w:val="TableContents"/>
              <w:spacing w:before="0" w:after="0"/>
              <w:rPr/>
            </w:pPr>
            <w:r>
              <w:rPr/>
              <w:t> </w:t>
            </w:r>
          </w:p>
        </w:tc>
      </w:tr>
    </w:tbl>
    <w:tbl>
      <w:tblPr>
        <w:tblW w:w="8410" w:type="dxa"/>
        <w:jc w:val="left"/>
        <w:tblInd w:w="0" w:type="dxa"/>
        <w:tblCellMar>
          <w:top w:w="0" w:type="dxa"/>
          <w:left w:w="0" w:type="dxa"/>
          <w:bottom w:w="0" w:type="dxa"/>
          <w:right w:w="0" w:type="dxa"/>
        </w:tblCellMar>
      </w:tblPr>
      <w:tblGrid>
        <w:gridCol w:w="245"/>
        <w:gridCol w:w="8165"/>
      </w:tblGrid>
      <w:tr>
        <w:trPr/>
        <w:tc>
          <w:tcPr>
            <w:tcW w:w="245" w:type="dxa"/>
            <w:tcBorders/>
            <w:shd w:fill="auto" w:val="clear"/>
            <w:vAlign w:val="center"/>
          </w:tcPr>
          <w:p>
            <w:pPr>
              <w:pStyle w:val="TableContents"/>
              <w:spacing w:before="0" w:after="283"/>
              <w:rPr>
                <w:sz w:val="4"/>
                <w:szCs w:val="4"/>
              </w:rPr>
            </w:pPr>
            <w:r>
              <w:rPr>
                <w:sz w:val="4"/>
                <w:szCs w:val="4"/>
              </w:rPr>
            </w:r>
          </w:p>
        </w:tc>
        <w:tc>
          <w:tcPr>
            <w:tcW w:w="8165"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(1)</w:t>
            </w:r>
            <w:r>
              <w:rPr>
                <w:rFonts w:ascii="inherit" w:hAnsi="inherit"/>
                <w:sz w:val="17"/>
              </w:rPr>
              <w:t> </w:t>
            </w:r>
          </w:p>
        </w:tc>
        <w:tc>
          <w:tcPr>
            <w:tcW w:w="8165" w:type="dxa"/>
            <w:tcBorders/>
            <w:shd w:fill="auto" w:val="clear"/>
            <w:vAlign w:val="center"/>
          </w:tcPr>
          <w:p>
            <w:pPr>
              <w:pStyle w:val="TableContents"/>
              <w:spacing w:lineRule="auto" w:line="288" w:before="0" w:after="0"/>
              <w:rPr>
                <w:rFonts w:ascii="inherit" w:hAnsi="inherit"/>
                <w:sz w:val="17"/>
              </w:rPr>
            </w:pPr>
            <w:r>
              <w:rPr>
                <w:rFonts w:ascii="inherit" w:hAnsi="inherit"/>
                <w:sz w:val="17"/>
              </w:rPr>
              <w:t xml:space="preserve">Calculated as volumes committed under contracts multiplied by the current applicable tariff rate. </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ind w:left="0" w:right="0" w:firstLine="720"/>
        <w:jc w:val="left"/>
        <w:rPr>
          <w:rFonts w:ascii="inherit" w:hAnsi="inherit"/>
          <w:sz w:val="17"/>
        </w:rPr>
      </w:pPr>
      <w:r>
        <w:rPr>
          <w:rFonts w:ascii="inherit" w:hAnsi="inherit"/>
          <w:sz w:val="17"/>
        </w:rPr>
        <w:t>The presentation above does not include (i) expected revenues from legacy shippers not underpinned by minimum volume commitments, including pipelines where there are no or limited alternative pipeline transportation options, (ii) intersegment revenues and (iii) the amount of consideration associated with certain income generating contracts, which include a fixed minimum level of service, that are either not within the scope of Topic 606 or do not meet the requirements for presentation as remaining performance obligations under Topic 606. The following are examples of contracts that are not included in the table above because they are not within the scope of Topic 606 or do not meet the Topic 606 requirements for presentation:</w:t>
      </w:r>
    </w:p>
    <w:p>
      <w:pPr>
        <w:pStyle w:val="TextBody"/>
        <w:spacing w:lineRule="auto" w:line="288" w:before="0" w:after="0"/>
        <w:jc w:val="left"/>
        <w:rPr>
          <w:rFonts w:ascii="inherit" w:hAnsi="inherit"/>
          <w:sz w:val="17"/>
        </w:rPr>
      </w:pPr>
      <w:r>
        <w:rPr>
          <w:rFonts w:ascii="inherit" w:hAnsi="inherit"/>
          <w:sz w:val="17"/>
        </w:rPr>
      </w:r>
    </w:p>
    <w:tbl>
      <w:tblPr>
        <w:tblW w:w="7615" w:type="dxa"/>
        <w:jc w:val="left"/>
        <w:tblInd w:w="0" w:type="dxa"/>
        <w:tblCellMar>
          <w:top w:w="0" w:type="dxa"/>
          <w:left w:w="0" w:type="dxa"/>
          <w:bottom w:w="0" w:type="dxa"/>
          <w:right w:w="0" w:type="dxa"/>
        </w:tblCellMar>
      </w:tblPr>
      <w:tblGrid>
        <w:gridCol w:w="845"/>
        <w:gridCol w:w="6770"/>
      </w:tblGrid>
      <w:tr>
        <w:trPr/>
        <w:tc>
          <w:tcPr>
            <w:tcW w:w="845" w:type="dxa"/>
            <w:tcBorders/>
            <w:shd w:fill="auto" w:val="clear"/>
            <w:vAlign w:val="center"/>
          </w:tcPr>
          <w:p>
            <w:pPr>
              <w:pStyle w:val="TableContents"/>
              <w:spacing w:before="0" w:after="283"/>
              <w:rPr>
                <w:sz w:val="4"/>
                <w:szCs w:val="4"/>
              </w:rPr>
            </w:pPr>
            <w:r>
              <w:rPr>
                <w:sz w:val="4"/>
                <w:szCs w:val="4"/>
              </w:rPr>
            </w:r>
          </w:p>
        </w:tc>
        <w:tc>
          <w:tcPr>
            <w:tcW w:w="677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677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Minimum volume commitments on certain of our joint venture pipeline systems; </w:t>
            </w:r>
          </w:p>
        </w:tc>
      </w:tr>
    </w:tbl>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Acreage dedications — Contracts include those related to the Permian Basin, Eagle Ford, Central, Rocky Mountain and Canada regions;</w:t>
            </w:r>
          </w:p>
        </w:tc>
      </w:tr>
    </w:tbl>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Supply and Logistics buy/sell arrangements — Contracts include agreements with future committed volumes on certain Permian Basin, Eagle Ford, Central and Canada region systems;</w:t>
            </w:r>
          </w:p>
        </w:tc>
      </w:tr>
    </w:tbl>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All other Supply and Logistics contracts, due to the election of practical expedients related to variable consideration and short-term contracts;</w:t>
            </w:r>
          </w:p>
        </w:tc>
      </w:tr>
    </w:tbl>
    <w:tbl>
      <w:tblPr>
        <w:tblW w:w="5785" w:type="dxa"/>
        <w:jc w:val="left"/>
        <w:tblInd w:w="0" w:type="dxa"/>
        <w:tblCellMar>
          <w:top w:w="0" w:type="dxa"/>
          <w:left w:w="0" w:type="dxa"/>
          <w:bottom w:w="0" w:type="dxa"/>
          <w:right w:w="0" w:type="dxa"/>
        </w:tblCellMar>
      </w:tblPr>
      <w:tblGrid>
        <w:gridCol w:w="845"/>
        <w:gridCol w:w="4940"/>
      </w:tblGrid>
      <w:tr>
        <w:trPr/>
        <w:tc>
          <w:tcPr>
            <w:tcW w:w="845" w:type="dxa"/>
            <w:tcBorders/>
            <w:shd w:fill="auto" w:val="clear"/>
            <w:vAlign w:val="center"/>
          </w:tcPr>
          <w:p>
            <w:pPr>
              <w:pStyle w:val="TableContents"/>
              <w:spacing w:before="0" w:after="283"/>
              <w:rPr>
                <w:sz w:val="4"/>
                <w:szCs w:val="4"/>
              </w:rPr>
            </w:pPr>
            <w:r>
              <w:rPr>
                <w:sz w:val="4"/>
                <w:szCs w:val="4"/>
              </w:rPr>
            </w:r>
          </w:p>
        </w:tc>
        <w:tc>
          <w:tcPr>
            <w:tcW w:w="494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494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Transportation and Facilities contracts that are short-term;</w:t>
            </w:r>
          </w:p>
        </w:tc>
      </w:tr>
    </w:tbl>
    <w:tbl>
      <w:tblPr>
        <w:tblW w:w="5635" w:type="dxa"/>
        <w:jc w:val="left"/>
        <w:tblInd w:w="0" w:type="dxa"/>
        <w:tblCellMar>
          <w:top w:w="0" w:type="dxa"/>
          <w:left w:w="0" w:type="dxa"/>
          <w:bottom w:w="0" w:type="dxa"/>
          <w:right w:w="0" w:type="dxa"/>
        </w:tblCellMar>
      </w:tblPr>
      <w:tblGrid>
        <w:gridCol w:w="845"/>
        <w:gridCol w:w="4790"/>
      </w:tblGrid>
      <w:tr>
        <w:trPr/>
        <w:tc>
          <w:tcPr>
            <w:tcW w:w="845" w:type="dxa"/>
            <w:tcBorders/>
            <w:shd w:fill="auto" w:val="clear"/>
            <w:vAlign w:val="center"/>
          </w:tcPr>
          <w:p>
            <w:pPr>
              <w:pStyle w:val="TableContents"/>
              <w:spacing w:before="0" w:after="283"/>
              <w:rPr>
                <w:sz w:val="4"/>
                <w:szCs w:val="4"/>
              </w:rPr>
            </w:pPr>
            <w:r>
              <w:rPr>
                <w:sz w:val="4"/>
                <w:szCs w:val="4"/>
              </w:rPr>
            </w:r>
          </w:p>
        </w:tc>
        <w:tc>
          <w:tcPr>
            <w:tcW w:w="479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4790" w:type="dxa"/>
            <w:tcBorders/>
            <w:shd w:fill="auto" w:val="clear"/>
            <w:vAlign w:val="center"/>
          </w:tcPr>
          <w:p>
            <w:pPr>
              <w:pStyle w:val="TableContents"/>
              <w:spacing w:lineRule="auto" w:line="288" w:before="0" w:after="0"/>
              <w:jc w:val="left"/>
              <w:rPr>
                <w:sz w:val="17"/>
              </w:rPr>
            </w:pPr>
            <w:r>
              <w:rPr>
                <w:rFonts w:ascii="inherit" w:hAnsi="inherit"/>
                <w:sz w:val="17"/>
              </w:rPr>
              <w:t xml:space="preserve">Contracts within the scope of ASC Topic 842, </w:t>
            </w:r>
            <w:r>
              <w:rPr>
                <w:rFonts w:ascii="inherit" w:hAnsi="inherit"/>
                <w:i/>
                <w:sz w:val="17"/>
              </w:rPr>
              <w:t>Leases</w:t>
            </w:r>
            <w:r>
              <w:rPr>
                <w:rFonts w:ascii="inherit" w:hAnsi="inherit"/>
                <w:sz w:val="17"/>
              </w:rPr>
              <w:t>; and</w:t>
            </w:r>
          </w:p>
        </w:tc>
      </w:tr>
    </w:tbl>
    <w:tbl>
      <w:tblPr>
        <w:tblW w:w="6730" w:type="dxa"/>
        <w:jc w:val="left"/>
        <w:tblInd w:w="0" w:type="dxa"/>
        <w:tblCellMar>
          <w:top w:w="0" w:type="dxa"/>
          <w:left w:w="0" w:type="dxa"/>
          <w:bottom w:w="0" w:type="dxa"/>
          <w:right w:w="0" w:type="dxa"/>
        </w:tblCellMar>
      </w:tblPr>
      <w:tblGrid>
        <w:gridCol w:w="845"/>
        <w:gridCol w:w="5885"/>
      </w:tblGrid>
      <w:tr>
        <w:trPr/>
        <w:tc>
          <w:tcPr>
            <w:tcW w:w="845" w:type="dxa"/>
            <w:tcBorders/>
            <w:shd w:fill="auto" w:val="clear"/>
            <w:vAlign w:val="center"/>
          </w:tcPr>
          <w:p>
            <w:pPr>
              <w:pStyle w:val="TableContents"/>
              <w:spacing w:before="0" w:after="283"/>
              <w:rPr>
                <w:sz w:val="4"/>
                <w:szCs w:val="4"/>
              </w:rPr>
            </w:pPr>
            <w:r>
              <w:rPr>
                <w:sz w:val="4"/>
                <w:szCs w:val="4"/>
              </w:rPr>
            </w:r>
          </w:p>
        </w:tc>
        <w:tc>
          <w:tcPr>
            <w:tcW w:w="5885"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5885" w:type="dxa"/>
            <w:tcBorders/>
            <w:shd w:fill="auto" w:val="clear"/>
            <w:vAlign w:val="center"/>
          </w:tcPr>
          <w:p>
            <w:pPr>
              <w:pStyle w:val="TableContents"/>
              <w:spacing w:lineRule="auto" w:line="288" w:before="0" w:after="0"/>
              <w:jc w:val="left"/>
              <w:rPr>
                <w:sz w:val="17"/>
              </w:rPr>
            </w:pPr>
            <w:r>
              <w:rPr>
                <w:rFonts w:ascii="inherit" w:hAnsi="inherit"/>
                <w:sz w:val="17"/>
              </w:rPr>
              <w:t xml:space="preserve">Contracts within the scope of ASC Topic 815, </w:t>
            </w:r>
            <w:r>
              <w:rPr>
                <w:rFonts w:ascii="inherit" w:hAnsi="inherit"/>
                <w:i/>
                <w:sz w:val="17"/>
              </w:rPr>
              <w:t>Derivatives and Hedging</w:t>
            </w:r>
            <w:r>
              <w:rPr>
                <w:rFonts w:ascii="inherit" w:hAnsi="inherit"/>
                <w:sz w:val="17"/>
              </w:rPr>
              <w:t>.</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b/>
          <w:i/>
          <w:sz w:val="17"/>
        </w:rPr>
      </w:pPr>
      <w:r>
        <w:rPr>
          <w:rFonts w:ascii="inherit" w:hAnsi="inherit"/>
          <w:b/>
          <w:i/>
          <w:sz w:val="17"/>
        </w:rPr>
        <w:t xml:space="preserve">Trade Accounts Receivable and Other Receivables, Net </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ind w:left="0" w:right="0" w:firstLine="720"/>
        <w:jc w:val="left"/>
        <w:rPr>
          <w:rFonts w:ascii="inherit" w:hAnsi="inherit"/>
          <w:sz w:val="17"/>
        </w:rPr>
      </w:pPr>
      <w:r>
        <w:rPr>
          <w:rFonts w:ascii="inherit" w:hAnsi="inherit"/>
          <w:sz w:val="17"/>
        </w:rPr>
        <w:t>Our accounts receivable are primarily from purchasers and shippers of crude oil and, to a lesser extent, purchasers of NGL. To mitigate credit risk related to our accounts receivable, we utilize a rigorous credit review process. We closely monitor market conditions and perform credit reviews of each customer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credit insurance or parental guarantees. Additionally, in an effort to mitigate credit risk, a significant portion of our transactions with counterparties are settled on a net-cash basis. For a majority of these net-cash arrangements, we also enter into netting agreements (contractual agreements that allow us to offset receivables and payables with those counterparties against each other on our balance sheet).</w:t>
      </w:r>
    </w:p>
    <w:p>
      <w:pPr>
        <w:pStyle w:val="TextBody"/>
        <w:spacing w:lineRule="auto" w:line="288" w:before="0" w:after="0"/>
        <w:rPr/>
      </w:pPr>
      <w:r>
        <w:rPr/>
        <w:t>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15</w:t>
      </w:r>
      <w:r>
        <w:br w:type="page"/>
      </w:r>
    </w:p>
    <w:p>
      <w:pPr>
        <w:pStyle w:val="TextBody"/>
        <w:spacing w:lineRule="auto" w:line="288" w:before="0" w:after="0"/>
        <w:rPr/>
      </w:pPr>
      <w:hyperlink w:anchor="s3336AD8A685850CC9B7F2572CB2C0BC3">
        <w:r>
          <w:rPr>
            <w:rStyle w:val="InternetLink"/>
            <w:rFonts w:ascii="inherit" w:hAnsi="inherit"/>
            <w:sz w:val="17"/>
          </w:rPr>
          <w:t>Table of Contents</w:t>
        </w:r>
      </w:hyperlink>
      <w:r>
        <w:rPr>
          <w:sz w:val="17"/>
        </w:rPr>
        <w:t xml:space="preserve"> </w:t>
      </w:r>
    </w:p>
    <w:p>
      <w:pPr>
        <w:pStyle w:val="TextBody"/>
        <w:spacing w:lineRule="auto" w:line="288" w:before="0" w:after="0"/>
        <w:jc w:val="center"/>
        <w:rPr>
          <w:rFonts w:ascii="inherit" w:hAnsi="inherit"/>
          <w:b/>
          <w:sz w:val="17"/>
        </w:rPr>
      </w:pPr>
      <w:r>
        <w:rPr>
          <w:rFonts w:ascii="inherit" w:hAnsi="inherit"/>
          <w:b/>
          <w:sz w:val="17"/>
        </w:rPr>
        <w:t>PLAINS ALL AMERICAN PIPELINE, L.P. AND SUBSIDIARIES</w:t>
      </w:r>
    </w:p>
    <w:p>
      <w:pPr>
        <w:pStyle w:val="TextBody"/>
        <w:spacing w:lineRule="auto" w:line="288" w:before="0" w:after="0"/>
        <w:jc w:val="center"/>
        <w:rPr>
          <w:rFonts w:ascii="inherit" w:hAnsi="inherit"/>
          <w:b/>
          <w:sz w:val="17"/>
        </w:rPr>
      </w:pPr>
      <w:r>
        <w:rPr>
          <w:rFonts w:ascii="inherit" w:hAnsi="inherit"/>
          <w:b/>
          <w:sz w:val="17"/>
        </w:rPr>
        <w:t>NOTES TO THE UNAUDITED CONDENSED CONSOLIDATED FINANCIAL STATEMENTS</w:t>
      </w:r>
    </w:p>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720"/>
        <w:jc w:val="left"/>
        <w:rPr>
          <w:sz w:val="17"/>
        </w:rPr>
      </w:pPr>
      <w:r>
        <w:rPr>
          <w:rFonts w:ascii="inherit" w:hAnsi="inherit"/>
          <w:sz w:val="17"/>
        </w:rPr>
        <w:t>Accounts receivable from the sale of crude oil are generally settled with counterparties on the industry settlement date, which is typically in the month following the month in which the title transfers. Otherwise, we generally invoice customers within 30 days</w:t>
      </w:r>
      <w:r>
        <w:rPr>
          <w:sz w:val="17"/>
        </w:rPr>
        <w:t xml:space="preserve"> </w:t>
      </w:r>
      <w:r>
        <w:rPr>
          <w:rFonts w:ascii="inherit" w:hAnsi="inherit"/>
          <w:sz w:val="17"/>
        </w:rPr>
        <w:t>of when the products or services were provided and generally require payment within 30 days</w:t>
      </w:r>
      <w:r>
        <w:rPr>
          <w:sz w:val="17"/>
        </w:rPr>
        <w:t xml:space="preserve"> </w:t>
      </w:r>
      <w:r>
        <w:rPr>
          <w:rFonts w:ascii="inherit" w:hAnsi="inherit"/>
          <w:sz w:val="17"/>
        </w:rPr>
        <w:t>of the invoice date. We review all outstanding accounts receivable balances on a monthly basis and record a reserve for amounts that we expect will not be fully recovered. We do not apply actual balances against the reserve until we have exhausted substantially all collection efforts. At June 30, 2019</w:t>
      </w:r>
      <w:r>
        <w:rPr>
          <w:sz w:val="17"/>
        </w:rPr>
        <w:t xml:space="preserve"> </w:t>
      </w:r>
      <w:r>
        <w:rPr>
          <w:rFonts w:ascii="inherit" w:hAnsi="inherit"/>
          <w:sz w:val="17"/>
        </w:rPr>
        <w:t>and December 31, 2018, substantially all of our trade accounts receivable (net of allowance for doubtful accounts) were less than 30</w:t>
      </w:r>
      <w:r>
        <w:rPr>
          <w:sz w:val="17"/>
        </w:rPr>
        <w:t xml:space="preserve"> </w:t>
      </w:r>
      <w:r>
        <w:rPr>
          <w:rFonts w:ascii="inherit" w:hAnsi="inherit"/>
          <w:sz w:val="17"/>
        </w:rPr>
        <w:t>days past their scheduled invoice date. Our allowance for doubtful accounts receivable totaled $3 million</w:t>
      </w:r>
      <w:r>
        <w:rPr>
          <w:sz w:val="17"/>
        </w:rPr>
        <w:t xml:space="preserve"> </w:t>
      </w:r>
      <w:r>
        <w:rPr>
          <w:rFonts w:ascii="inherit" w:hAnsi="inherit"/>
          <w:sz w:val="17"/>
        </w:rPr>
        <w:t>at both June 30, 2019</w:t>
      </w:r>
      <w:r>
        <w:rPr>
          <w:sz w:val="17"/>
        </w:rPr>
        <w:t xml:space="preserve"> </w:t>
      </w:r>
      <w:r>
        <w:rPr>
          <w:rFonts w:ascii="inherit" w:hAnsi="inherit"/>
          <w:sz w:val="17"/>
        </w:rPr>
        <w:t>and December 31, 2018. Although we consider our allowance for doubtful accounts receivable to be adequate, actual amounts could vary significantly from estimated amounts.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ind w:left="0" w:right="0" w:firstLine="720"/>
        <w:jc w:val="left"/>
        <w:rPr>
          <w:rFonts w:ascii="inherit" w:hAnsi="inherit"/>
          <w:sz w:val="17"/>
        </w:rPr>
      </w:pPr>
      <w:r>
        <w:rPr>
          <w:rFonts w:ascii="inherit" w:hAnsi="inherit"/>
          <w:sz w:val="17"/>
        </w:rPr>
        <w:t xml:space="preserve">The following is a reconciliation of trade accounts receivable from revenues from contracts with customers to total Trade accounts receivable and other receivables, net as presented on our Condensed Consolidated Balance Sheets (in millions): </w:t>
      </w:r>
    </w:p>
    <w:p>
      <w:pPr>
        <w:pStyle w:val="TextBody"/>
        <w:spacing w:lineRule="auto" w:line="288" w:before="0" w:after="0"/>
        <w:jc w:val="left"/>
        <w:rPr>
          <w:rFonts w:ascii="inherit" w:hAnsi="inherit"/>
          <w:sz w:val="17"/>
        </w:rPr>
      </w:pPr>
      <w:r>
        <w:rPr>
          <w:rFonts w:ascii="inherit" w:hAnsi="inherit"/>
          <w:sz w:val="17"/>
        </w:rPr>
      </w:r>
    </w:p>
    <w:tbl>
      <w:tblPr>
        <w:tblW w:w="9069" w:type="dxa"/>
        <w:jc w:val="center"/>
        <w:tblInd w:w="0" w:type="dxa"/>
        <w:tblCellMar>
          <w:top w:w="0" w:type="dxa"/>
          <w:left w:w="0" w:type="dxa"/>
          <w:bottom w:w="0" w:type="dxa"/>
          <w:right w:w="0" w:type="dxa"/>
        </w:tblCellMar>
      </w:tblPr>
      <w:tblGrid>
        <w:gridCol w:w="6785"/>
        <w:gridCol w:w="125"/>
        <w:gridCol w:w="485"/>
        <w:gridCol w:w="110"/>
        <w:gridCol w:w="90"/>
        <w:gridCol w:w="208"/>
        <w:gridCol w:w="808"/>
        <w:gridCol w:w="458"/>
      </w:tblGrid>
      <w:tr>
        <w:trPr/>
        <w:tc>
          <w:tcPr>
            <w:tcW w:w="9069" w:type="dxa"/>
            <w:gridSpan w:val="8"/>
            <w:tcBorders/>
            <w:shd w:fill="auto" w:val="clear"/>
            <w:vAlign w:val="center"/>
          </w:tcPr>
          <w:p>
            <w:pPr>
              <w:pStyle w:val="TableContents"/>
              <w:spacing w:before="0" w:after="283"/>
              <w:rPr>
                <w:sz w:val="4"/>
                <w:szCs w:val="4"/>
              </w:rPr>
            </w:pPr>
            <w:r>
              <w:rPr>
                <w:sz w:val="4"/>
                <w:szCs w:val="4"/>
              </w:rPr>
            </w:r>
          </w:p>
        </w:tc>
      </w:tr>
      <w:tr>
        <w:trPr/>
        <w:tc>
          <w:tcPr>
            <w:tcW w:w="678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785" w:type="dxa"/>
            <w:tcBorders/>
            <w:shd w:fill="auto" w:val="clear"/>
            <w:vAlign w:val="center"/>
          </w:tcPr>
          <w:p>
            <w:pPr>
              <w:pStyle w:val="TableContents"/>
              <w:spacing w:before="0" w:after="0"/>
              <w:ind w:left="0" w:right="0" w:firstLine="30"/>
              <w:rPr/>
            </w:pPr>
            <w:r>
              <w:rPr/>
              <w:t> </w:t>
            </w:r>
          </w:p>
        </w:tc>
        <w:tc>
          <w:tcPr>
            <w:tcW w:w="72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June 30,</w:t>
              <w:br/>
              <w:t>2019</w:t>
            </w:r>
          </w:p>
        </w:tc>
        <w:tc>
          <w:tcPr>
            <w:tcW w:w="90" w:type="dxa"/>
            <w:tcBorders/>
            <w:shd w:fill="auto" w:val="clear"/>
            <w:vAlign w:val="center"/>
          </w:tcPr>
          <w:p>
            <w:pPr>
              <w:pStyle w:val="TableContents"/>
              <w:spacing w:before="0" w:after="0"/>
              <w:ind w:left="0" w:right="0" w:firstLine="30"/>
              <w:rPr/>
            </w:pPr>
            <w:r>
              <w:rPr/>
              <w:t> </w:t>
            </w:r>
          </w:p>
        </w:tc>
        <w:tc>
          <w:tcPr>
            <w:tcW w:w="147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December 31, 2018</w:t>
            </w:r>
          </w:p>
        </w:tc>
      </w:tr>
      <w:tr>
        <w:trPr/>
        <w:tc>
          <w:tcPr>
            <w:tcW w:w="67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Trade accounts receivable arising from revenues from contracts with customers</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2,563</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0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08" w:type="dxa"/>
            <w:tcBorders/>
            <w:shd w:fill="CCEEFF" w:val="clear"/>
            <w:vAlign w:val="center"/>
          </w:tcPr>
          <w:p>
            <w:pPr>
              <w:pStyle w:val="TableContents"/>
              <w:spacing w:before="0" w:after="0"/>
              <w:jc w:val="right"/>
              <w:rPr>
                <w:rFonts w:ascii="inherit" w:hAnsi="inherit"/>
                <w:sz w:val="17"/>
              </w:rPr>
            </w:pPr>
            <w:r>
              <w:rPr>
                <w:rFonts w:ascii="inherit" w:hAnsi="inherit"/>
                <w:sz w:val="17"/>
              </w:rPr>
              <w:t>2,277</w:t>
            </w:r>
          </w:p>
        </w:tc>
        <w:tc>
          <w:tcPr>
            <w:tcW w:w="4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785" w:type="dxa"/>
            <w:tcBorders/>
            <w:shd w:fill="auto" w:val="clear"/>
            <w:vAlign w:val="center"/>
          </w:tcPr>
          <w:p>
            <w:pPr>
              <w:pStyle w:val="TableContents"/>
              <w:spacing w:lineRule="auto" w:line="288" w:before="0" w:after="0"/>
              <w:ind w:left="0" w:right="0" w:firstLine="30"/>
              <w:jc w:val="left"/>
              <w:rPr>
                <w:sz w:val="17"/>
              </w:rPr>
            </w:pPr>
            <w:r>
              <w:rPr>
                <w:rFonts w:ascii="inherit" w:hAnsi="inherit"/>
                <w:sz w:val="17"/>
              </w:rPr>
              <w:t xml:space="preserve">Other trade accounts receivables and other receivables </w:t>
            </w:r>
            <w:r>
              <w:rPr>
                <w:rFonts w:ascii="inherit" w:hAnsi="inherit"/>
                <w:sz w:val="12"/>
              </w:rPr>
              <w:t>(1)</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3,722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1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2,732</w:t>
            </w:r>
          </w:p>
        </w:tc>
        <w:tc>
          <w:tcPr>
            <w:tcW w:w="4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7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Impact due to contractual rights of offset with counterparties</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(3,450</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01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(2,555</w:t>
            </w:r>
          </w:p>
        </w:tc>
        <w:tc>
          <w:tcPr>
            <w:tcW w:w="458"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67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Trade accounts receivable and other receivables, net</w:t>
            </w:r>
          </w:p>
        </w:tc>
        <w:tc>
          <w:tcPr>
            <w:tcW w:w="12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2,835</w:t>
            </w:r>
          </w:p>
        </w:tc>
        <w:tc>
          <w:tcPr>
            <w:tcW w:w="11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0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0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2,454</w:t>
            </w:r>
          </w:p>
        </w:tc>
        <w:tc>
          <w:tcPr>
            <w:tcW w:w="458"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sz w:val="4"/>
                <w:szCs w:val="4"/>
              </w:rPr>
            </w:pPr>
            <w:r>
              <w:rPr>
                <w:sz w:val="4"/>
                <w:szCs w:val="4"/>
              </w:rPr>
            </w:r>
          </w:p>
        </w:tc>
      </w:tr>
      <w:tr>
        <w:trPr/>
        <w:tc>
          <w:tcPr>
            <w:tcW w:w="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 w:type="dxa"/>
            <w:tcBorders>
              <w:bottom w:val="single" w:sz="2" w:space="0" w:color="000000"/>
            </w:tcBorders>
            <w:shd w:fill="auto" w:val="clear"/>
            <w:tcMar>
              <w:bottom w:w="30" w:type="dxa"/>
            </w:tcMar>
            <w:vAlign w:val="center"/>
          </w:tcPr>
          <w:p>
            <w:pPr>
              <w:pStyle w:val="TableContents"/>
              <w:spacing w:before="0" w:after="0"/>
              <w:rPr/>
            </w:pPr>
            <w:r>
              <w:rPr/>
              <w:t> </w:t>
            </w:r>
          </w:p>
        </w:tc>
      </w:tr>
    </w:tbl>
    <w:tbl>
      <w:tblPr>
        <w:tblW w:w="10205" w:type="dxa"/>
        <w:jc w:val="left"/>
        <w:tblInd w:w="0" w:type="dxa"/>
        <w:tblCellMar>
          <w:top w:w="0" w:type="dxa"/>
          <w:left w:w="0" w:type="dxa"/>
          <w:bottom w:w="0" w:type="dxa"/>
          <w:right w:w="0" w:type="dxa"/>
        </w:tblCellMar>
      </w:tblPr>
      <w:tblGrid>
        <w:gridCol w:w="230"/>
        <w:gridCol w:w="9975"/>
      </w:tblGrid>
      <w:tr>
        <w:trPr/>
        <w:tc>
          <w:tcPr>
            <w:tcW w:w="230" w:type="dxa"/>
            <w:tcBorders/>
            <w:shd w:fill="auto" w:val="clear"/>
            <w:vAlign w:val="center"/>
          </w:tcPr>
          <w:p>
            <w:pPr>
              <w:pStyle w:val="TableContents"/>
              <w:spacing w:before="0" w:after="283"/>
              <w:rPr>
                <w:sz w:val="4"/>
                <w:szCs w:val="4"/>
              </w:rPr>
            </w:pPr>
            <w:r>
              <w:rPr>
                <w:sz w:val="4"/>
                <w:szCs w:val="4"/>
              </w:rPr>
            </w:r>
          </w:p>
        </w:tc>
        <w:tc>
          <w:tcPr>
            <w:tcW w:w="9975" w:type="dxa"/>
            <w:tcBorders/>
            <w:shd w:fill="auto" w:val="clear"/>
            <w:vAlign w:val="center"/>
          </w:tcPr>
          <w:p>
            <w:pPr>
              <w:pStyle w:val="TableContents"/>
              <w:spacing w:before="0" w:after="283"/>
              <w:rPr>
                <w:sz w:val="4"/>
                <w:szCs w:val="4"/>
              </w:rPr>
            </w:pPr>
            <w:r>
              <w:rPr>
                <w:sz w:val="4"/>
                <w:szCs w:val="4"/>
              </w:rPr>
            </w:r>
          </w:p>
        </w:tc>
      </w:tr>
      <w:tr>
        <w:trPr/>
        <w:tc>
          <w:tcPr>
            <w:tcW w:w="230"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(1)</w:t>
            </w:r>
            <w:r>
              <w:rPr>
                <w:rFonts w:ascii="inherit" w:hAnsi="inherit"/>
                <w:sz w:val="17"/>
              </w:rPr>
              <w:t> </w:t>
            </w:r>
          </w:p>
        </w:tc>
        <w:tc>
          <w:tcPr>
            <w:tcW w:w="9975" w:type="dxa"/>
            <w:tcBorders/>
            <w:shd w:fill="auto" w:val="clear"/>
            <w:vAlign w:val="center"/>
          </w:tcPr>
          <w:p>
            <w:pPr>
              <w:pStyle w:val="TableContents"/>
              <w:spacing w:lineRule="auto" w:line="288" w:before="0" w:after="0"/>
              <w:rPr>
                <w:rFonts w:ascii="inherit" w:hAnsi="inherit"/>
                <w:sz w:val="17"/>
              </w:rPr>
            </w:pPr>
            <w:r>
              <w:rPr>
                <w:rFonts w:ascii="inherit" w:hAnsi="inherit"/>
                <w:sz w:val="17"/>
              </w:rPr>
              <w:t>The balance is comprised primarily of accounts receivable associated with buy/sell arrangements that are not within the scope of Topic 606.</w:t>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sz w:val="17"/>
        </w:rPr>
      </w:pPr>
      <w:bookmarkStart w:id="17" w:name="sAEA3A87441FD5B759A82283E17DDBEC3"/>
      <w:bookmarkEnd w:id="17"/>
      <w:r>
        <w:rPr>
          <w:b/>
          <w:sz w:val="17"/>
        </w:rPr>
        <w:t>Note 4</w:t>
      </w:r>
      <w:r>
        <w:rPr>
          <w:sz w:val="17"/>
        </w:rPr>
        <w:t>—</w:t>
      </w:r>
      <w:r>
        <w:rPr>
          <w:rFonts w:ascii="inherit" w:hAnsi="inherit"/>
          <w:b/>
          <w:sz w:val="17"/>
        </w:rPr>
        <w:t>Net Income Per Common Unit</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We calculate basic and diluted net income per common unit by dividing net income attributable to PAA (after deducting amounts allocated to preferred unitholders and participating securities) by the basic and diluted weighted average number of common units outstanding during the period. Participating securities include LTIP awards that have vested DERs, which entitle the grantee to a cash payment equal to the cash distribution paid on our outstanding common units.</w:t>
      </w:r>
    </w:p>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lineRule="auto" w:line="288" w:before="0" w:after="0"/>
        <w:ind w:left="0" w:right="0" w:firstLine="720"/>
        <w:rPr>
          <w:sz w:val="17"/>
        </w:rPr>
      </w:pPr>
      <w:r>
        <w:rPr>
          <w:rFonts w:ascii="inherit" w:hAnsi="inherit"/>
          <w:sz w:val="17"/>
        </w:rPr>
        <w:t>The diluted weighted average number of common units is computed based on the weighted average number of common units plus the effect of potentially dilutive securities outstanding during the period, which include (i) our Series A preferred units and (ii) our equity-indexed compensation plan awards. When applying the if-converted method prescribed by FASB guidance, the possible conversion of our Series A preferred units was excluded from the calculation of diluted net income per common unit for the three and six months ended June 30, 2018</w:t>
      </w:r>
      <w:r>
        <w:rPr>
          <w:sz w:val="17"/>
        </w:rPr>
        <w:t xml:space="preserve"> </w:t>
      </w:r>
      <w:r>
        <w:rPr>
          <w:rFonts w:ascii="inherit" w:hAnsi="inherit"/>
          <w:sz w:val="17"/>
        </w:rPr>
        <w:t>as the effect was antidilutive. Our equity-indexed compensation plan awards that contemplate the issuance of common units are considered dilutive unless (i) they become vested only upon the satisfaction of a performance condition and (ii) that performance condition has yet to be satisfied. Equity-indexed compensation plan awards that were deemed to be dilutive during the three and six</w:t>
      </w:r>
      <w:r>
        <w:rPr>
          <w:sz w:val="17"/>
        </w:rPr>
        <w:t xml:space="preserve"> </w:t>
      </w:r>
      <w:r>
        <w:rPr>
          <w:rFonts w:ascii="inherit" w:hAnsi="inherit"/>
          <w:sz w:val="17"/>
        </w:rPr>
        <w:t>months ended June 30, 2019</w:t>
      </w:r>
      <w:r>
        <w:rPr>
          <w:sz w:val="17"/>
        </w:rPr>
        <w:t xml:space="preserve"> </w:t>
      </w:r>
      <w:r>
        <w:rPr>
          <w:rFonts w:ascii="inherit" w:hAnsi="inherit"/>
          <w:sz w:val="17"/>
        </w:rPr>
        <w:t>and 2018</w:t>
      </w:r>
      <w:r>
        <w:rPr>
          <w:sz w:val="17"/>
        </w:rPr>
        <w:t xml:space="preserve"> </w:t>
      </w:r>
      <w:r>
        <w:rPr>
          <w:rFonts w:ascii="inherit" w:hAnsi="inherit"/>
          <w:sz w:val="17"/>
        </w:rPr>
        <w:t>were reduced by a hypothetical common unit repurchase based on the remaining unamortized fair value, as prescribed by the treasury stock method in guidance issued by the FASB. See Note 17 to our Consolidated Financial Statements included in Part IV of our 2018</w:t>
      </w:r>
      <w:r>
        <w:rPr>
          <w:sz w:val="17"/>
        </w:rPr>
        <w:t xml:space="preserve"> </w:t>
      </w:r>
      <w:r>
        <w:rPr>
          <w:rFonts w:ascii="inherit" w:hAnsi="inherit"/>
          <w:sz w:val="17"/>
        </w:rPr>
        <w:t>Annual Report on Form 10-K for a complete discussion of our equity-indexed compensation plan awards.</w:t>
      </w:r>
    </w:p>
    <w:p>
      <w:pPr>
        <w:pStyle w:val="TextBody"/>
        <w:spacing w:lineRule="auto" w:line="288" w:before="0" w:after="0"/>
        <w:rPr/>
      </w:pPr>
      <w:r>
        <w:rPr/>
        <w:t>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16</w:t>
      </w:r>
      <w:r>
        <w:br w:type="page"/>
      </w:r>
    </w:p>
    <w:p>
      <w:pPr>
        <w:pStyle w:val="TextBody"/>
        <w:spacing w:lineRule="auto" w:line="288" w:before="0" w:after="0"/>
        <w:rPr/>
      </w:pPr>
      <w:hyperlink w:anchor="s3336AD8A685850CC9B7F2572CB2C0BC3">
        <w:r>
          <w:rPr>
            <w:rStyle w:val="InternetLink"/>
            <w:rFonts w:ascii="inherit" w:hAnsi="inherit"/>
            <w:sz w:val="17"/>
          </w:rPr>
          <w:t>Table of Contents</w:t>
        </w:r>
      </w:hyperlink>
      <w:r>
        <w:rPr>
          <w:sz w:val="17"/>
        </w:rPr>
        <w:t xml:space="preserve"> </w:t>
      </w:r>
    </w:p>
    <w:p>
      <w:pPr>
        <w:pStyle w:val="TextBody"/>
        <w:spacing w:lineRule="auto" w:line="288" w:before="0" w:after="0"/>
        <w:jc w:val="center"/>
        <w:rPr>
          <w:rFonts w:ascii="inherit" w:hAnsi="inherit"/>
          <w:b/>
          <w:sz w:val="17"/>
        </w:rPr>
      </w:pPr>
      <w:r>
        <w:rPr>
          <w:rFonts w:ascii="inherit" w:hAnsi="inherit"/>
          <w:b/>
          <w:sz w:val="17"/>
        </w:rPr>
        <w:t>PLAINS ALL AMERICAN PIPELINE, L.P. AND SUBSIDIARIES</w:t>
      </w:r>
    </w:p>
    <w:p>
      <w:pPr>
        <w:pStyle w:val="TextBody"/>
        <w:spacing w:lineRule="auto" w:line="288" w:before="0" w:after="0"/>
        <w:jc w:val="center"/>
        <w:rPr>
          <w:rFonts w:ascii="inherit" w:hAnsi="inherit"/>
          <w:b/>
          <w:sz w:val="17"/>
        </w:rPr>
      </w:pPr>
      <w:r>
        <w:rPr>
          <w:rFonts w:ascii="inherit" w:hAnsi="inherit"/>
          <w:b/>
          <w:sz w:val="17"/>
        </w:rPr>
        <w:t>NOTES TO THE UNAUDITED CONDENSED CONSOLIDATED FINANCIAL STATEMENTS</w:t>
      </w:r>
    </w:p>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720"/>
        <w:rPr>
          <w:rFonts w:ascii="inherit" w:hAnsi="inherit"/>
          <w:sz w:val="17"/>
        </w:rPr>
      </w:pPr>
      <w:r>
        <w:rPr>
          <w:rFonts w:ascii="inherit" w:hAnsi="inherit"/>
          <w:sz w:val="17"/>
        </w:rPr>
        <w:t>The following table sets forth the computation of basic and diluted net income per common unit (in millions, except per unit data):</w:t>
      </w:r>
    </w:p>
    <w:tbl>
      <w:tblPr>
        <w:tblW w:w="7552" w:type="dxa"/>
        <w:jc w:val="left"/>
        <w:tblInd w:w="0" w:type="dxa"/>
        <w:tblCellMar>
          <w:top w:w="0" w:type="dxa"/>
          <w:left w:w="0" w:type="dxa"/>
          <w:bottom w:w="0" w:type="dxa"/>
          <w:right w:w="0" w:type="dxa"/>
        </w:tblCellMar>
      </w:tblPr>
      <w:tblGrid>
        <w:gridCol w:w="4475"/>
        <w:gridCol w:w="146"/>
        <w:gridCol w:w="446"/>
        <w:gridCol w:w="129"/>
        <w:gridCol w:w="105"/>
        <w:gridCol w:w="146"/>
        <w:gridCol w:w="446"/>
        <w:gridCol w:w="129"/>
        <w:gridCol w:w="90"/>
        <w:gridCol w:w="125"/>
        <w:gridCol w:w="485"/>
        <w:gridCol w:w="110"/>
        <w:gridCol w:w="90"/>
        <w:gridCol w:w="125"/>
        <w:gridCol w:w="380"/>
        <w:gridCol w:w="125"/>
      </w:tblGrid>
      <w:tr>
        <w:trPr/>
        <w:tc>
          <w:tcPr>
            <w:tcW w:w="7552" w:type="dxa"/>
            <w:gridSpan w:val="16"/>
            <w:tcBorders/>
            <w:shd w:fill="auto" w:val="clear"/>
            <w:vAlign w:val="center"/>
          </w:tcPr>
          <w:p>
            <w:pPr>
              <w:pStyle w:val="TableContents"/>
              <w:spacing w:before="0" w:after="283"/>
              <w:rPr>
                <w:sz w:val="4"/>
                <w:szCs w:val="4"/>
              </w:rPr>
            </w:pPr>
            <w:r>
              <w:rPr>
                <w:sz w:val="4"/>
                <w:szCs w:val="4"/>
              </w:rPr>
            </w:r>
          </w:p>
        </w:tc>
      </w:tr>
      <w:tr>
        <w:trPr/>
        <w:tc>
          <w:tcPr>
            <w:tcW w:w="447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475" w:type="dxa"/>
            <w:tcBorders/>
            <w:shd w:fill="auto" w:val="clear"/>
            <w:vAlign w:val="center"/>
          </w:tcPr>
          <w:p>
            <w:pPr>
              <w:pStyle w:val="TableContents"/>
              <w:spacing w:before="0" w:after="0"/>
              <w:ind w:left="0" w:right="0" w:firstLine="30"/>
              <w:jc w:val="left"/>
              <w:rPr/>
            </w:pPr>
            <w:r>
              <w:rPr/>
              <w:t> </w:t>
            </w:r>
          </w:p>
        </w:tc>
        <w:tc>
          <w:tcPr>
            <w:tcW w:w="1547"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w:t>
              <w:br/>
              <w:t>June 30,</w:t>
            </w:r>
          </w:p>
        </w:tc>
        <w:tc>
          <w:tcPr>
            <w:tcW w:w="90" w:type="dxa"/>
            <w:tcBorders/>
            <w:shd w:fill="auto" w:val="clear"/>
            <w:vAlign w:val="center"/>
          </w:tcPr>
          <w:p>
            <w:pPr>
              <w:pStyle w:val="TableContents"/>
              <w:spacing w:before="0" w:after="0"/>
              <w:ind w:left="0" w:right="0" w:firstLine="30"/>
              <w:rPr/>
            </w:pPr>
            <w:r>
              <w:rPr/>
              <w:t> </w:t>
            </w:r>
          </w:p>
        </w:tc>
        <w:tc>
          <w:tcPr>
            <w:tcW w:w="1440"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w:t>
              <w:br/>
              <w:t>June 30,</w:t>
            </w:r>
          </w:p>
        </w:tc>
      </w:tr>
      <w:tr>
        <w:trPr/>
        <w:tc>
          <w:tcPr>
            <w:tcW w:w="4475" w:type="dxa"/>
            <w:tcBorders/>
            <w:shd w:fill="auto" w:val="clear"/>
            <w:vAlign w:val="center"/>
          </w:tcPr>
          <w:p>
            <w:pPr>
              <w:pStyle w:val="TableContents"/>
              <w:spacing w:before="0" w:after="0"/>
              <w:ind w:left="0" w:right="0" w:firstLine="30"/>
              <w:jc w:val="left"/>
              <w:rPr/>
            </w:pPr>
            <w:r>
              <w:rPr/>
              <w:t> </w:t>
            </w:r>
          </w:p>
        </w:tc>
        <w:tc>
          <w:tcPr>
            <w:tcW w:w="72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105" w:type="dxa"/>
            <w:tcBorders/>
            <w:shd w:fill="auto" w:val="clear"/>
            <w:vAlign w:val="center"/>
          </w:tcPr>
          <w:p>
            <w:pPr>
              <w:pStyle w:val="TableContents"/>
              <w:spacing w:before="0" w:after="0"/>
              <w:ind w:left="0" w:right="0" w:firstLine="30"/>
              <w:rPr/>
            </w:pPr>
            <w:r>
              <w:rPr/>
              <w:t> </w:t>
            </w:r>
          </w:p>
        </w:tc>
        <w:tc>
          <w:tcPr>
            <w:tcW w:w="72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0" w:type="dxa"/>
            <w:tcBorders/>
            <w:shd w:fill="auto" w:val="clear"/>
            <w:vAlign w:val="center"/>
          </w:tcPr>
          <w:p>
            <w:pPr>
              <w:pStyle w:val="TableContents"/>
              <w:spacing w:before="0" w:after="0"/>
              <w:ind w:left="0" w:right="0" w:firstLine="30"/>
              <w:rPr/>
            </w:pPr>
            <w:r>
              <w:rPr/>
              <w:t> </w:t>
            </w:r>
          </w:p>
        </w:tc>
        <w:tc>
          <w:tcPr>
            <w:tcW w:w="72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90" w:type="dxa"/>
            <w:tcBorders/>
            <w:shd w:fill="auto" w:val="clear"/>
            <w:vAlign w:val="center"/>
          </w:tcPr>
          <w:p>
            <w:pPr>
              <w:pStyle w:val="TableContents"/>
              <w:spacing w:before="0" w:after="0"/>
              <w:ind w:left="0" w:right="0" w:firstLine="30"/>
              <w:rPr/>
            </w:pPr>
            <w:r>
              <w:rPr/>
              <w:t> </w:t>
            </w:r>
          </w:p>
        </w:tc>
        <w:tc>
          <w:tcPr>
            <w:tcW w:w="63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r>
      <w:tr>
        <w:trPr/>
        <w:tc>
          <w:tcPr>
            <w:tcW w:w="4475"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Basic Net Income per Common Unit</w:t>
            </w:r>
          </w:p>
        </w:tc>
        <w:tc>
          <w:tcPr>
            <w:tcW w:w="592" w:type="dxa"/>
            <w:gridSpan w:val="2"/>
            <w:tcBorders/>
            <w:shd w:fill="CCEEFF" w:val="clear"/>
            <w:vAlign w:val="center"/>
          </w:tcPr>
          <w:p>
            <w:pPr>
              <w:pStyle w:val="TableContents"/>
              <w:spacing w:before="0" w:after="0"/>
              <w:jc w:val="right"/>
              <w:rPr/>
            </w:pPr>
            <w:r>
              <w:rPr/>
              <w:t> </w:t>
            </w:r>
          </w:p>
        </w:tc>
        <w:tc>
          <w:tcPr>
            <w:tcW w:w="1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 w:type="dxa"/>
            <w:tcBorders/>
            <w:shd w:fill="CCEEFF" w:val="clear"/>
            <w:vAlign w:val="center"/>
          </w:tcPr>
          <w:p>
            <w:pPr>
              <w:pStyle w:val="TableContents"/>
              <w:spacing w:before="0" w:after="0"/>
              <w:ind w:left="0" w:right="0" w:firstLine="30"/>
              <w:rPr/>
            </w:pPr>
            <w:r>
              <w:rPr/>
              <w:t> </w:t>
            </w:r>
          </w:p>
        </w:tc>
        <w:tc>
          <w:tcPr>
            <w:tcW w:w="592" w:type="dxa"/>
            <w:gridSpan w:val="2"/>
            <w:tcBorders/>
            <w:shd w:fill="CCEEFF" w:val="clear"/>
            <w:vAlign w:val="center"/>
          </w:tcPr>
          <w:p>
            <w:pPr>
              <w:pStyle w:val="TableContents"/>
              <w:spacing w:before="0" w:after="0"/>
              <w:jc w:val="right"/>
              <w:rPr/>
            </w:pPr>
            <w:r>
              <w:rPr/>
              <w:t> </w:t>
            </w:r>
          </w:p>
        </w:tc>
        <w:tc>
          <w:tcPr>
            <w:tcW w:w="1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05" w:type="dxa"/>
            <w:gridSpan w:val="2"/>
            <w:tcBorders/>
            <w:shd w:fill="CCEEFF" w:val="clear"/>
            <w:vAlign w:val="center"/>
          </w:tcPr>
          <w:p>
            <w:pPr>
              <w:pStyle w:val="TableContents"/>
              <w:spacing w:before="0" w:after="0"/>
              <w:jc w:val="right"/>
              <w:rPr/>
            </w:pPr>
            <w:r>
              <w:rPr/>
              <w:t> </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4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PAA</w:t>
            </w:r>
          </w:p>
        </w:tc>
        <w:tc>
          <w:tcPr>
            <w:tcW w:w="14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46" w:type="dxa"/>
            <w:tcBorders/>
            <w:shd w:fill="auto" w:val="clear"/>
            <w:vAlign w:val="center"/>
          </w:tcPr>
          <w:p>
            <w:pPr>
              <w:pStyle w:val="TableContents"/>
              <w:spacing w:before="0" w:after="0"/>
              <w:jc w:val="right"/>
              <w:rPr>
                <w:rFonts w:ascii="inherit" w:hAnsi="inherit"/>
                <w:sz w:val="17"/>
              </w:rPr>
            </w:pPr>
            <w:r>
              <w:rPr>
                <w:rFonts w:ascii="inherit" w:hAnsi="inherit"/>
                <w:sz w:val="17"/>
              </w:rPr>
              <w:t>446</w:t>
            </w:r>
          </w:p>
        </w:tc>
        <w:tc>
          <w:tcPr>
            <w:tcW w:w="12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 w:type="dxa"/>
            <w:tcBorders/>
            <w:shd w:fill="auto" w:val="clear"/>
            <w:vAlign w:val="center"/>
          </w:tcPr>
          <w:p>
            <w:pPr>
              <w:pStyle w:val="TableContents"/>
              <w:spacing w:before="0" w:after="0"/>
              <w:ind w:left="0" w:right="0" w:firstLine="30"/>
              <w:rPr/>
            </w:pPr>
            <w:r>
              <w:rPr/>
              <w:t> </w:t>
            </w:r>
          </w:p>
        </w:tc>
        <w:tc>
          <w:tcPr>
            <w:tcW w:w="14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46" w:type="dxa"/>
            <w:tcBorders/>
            <w:shd w:fill="auto" w:val="clear"/>
            <w:vAlign w:val="center"/>
          </w:tcPr>
          <w:p>
            <w:pPr>
              <w:pStyle w:val="TableContents"/>
              <w:spacing w:before="0" w:after="0"/>
              <w:jc w:val="right"/>
              <w:rPr>
                <w:rFonts w:ascii="inherit" w:hAnsi="inherit"/>
                <w:sz w:val="17"/>
              </w:rPr>
            </w:pPr>
            <w:r>
              <w:rPr>
                <w:rFonts w:ascii="inherit" w:hAnsi="inherit"/>
                <w:sz w:val="17"/>
              </w:rPr>
              <w:t>100</w:t>
            </w:r>
          </w:p>
        </w:tc>
        <w:tc>
          <w:tcPr>
            <w:tcW w:w="12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auto" w:val="clear"/>
            <w:vAlign w:val="center"/>
          </w:tcPr>
          <w:p>
            <w:pPr>
              <w:pStyle w:val="TableContents"/>
              <w:spacing w:before="0" w:after="0"/>
              <w:jc w:val="right"/>
              <w:rPr>
                <w:rFonts w:ascii="inherit" w:hAnsi="inherit"/>
                <w:sz w:val="17"/>
              </w:rPr>
            </w:pPr>
            <w:r>
              <w:rPr>
                <w:rFonts w:ascii="inherit" w:hAnsi="inherit"/>
                <w:sz w:val="17"/>
              </w:rPr>
              <w:t>1,416</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380" w:type="dxa"/>
            <w:tcBorders/>
            <w:shd w:fill="auto" w:val="clear"/>
            <w:vAlign w:val="center"/>
          </w:tcPr>
          <w:p>
            <w:pPr>
              <w:pStyle w:val="TableContents"/>
              <w:spacing w:before="0" w:after="0"/>
              <w:jc w:val="right"/>
              <w:rPr>
                <w:rFonts w:ascii="inherit" w:hAnsi="inherit"/>
                <w:sz w:val="17"/>
              </w:rPr>
            </w:pPr>
            <w:r>
              <w:rPr>
                <w:rFonts w:ascii="inherit" w:hAnsi="inherit"/>
                <w:sz w:val="17"/>
              </w:rPr>
              <w:t>388</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4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Distributions to Series A preferred unitholders</w:t>
            </w:r>
          </w:p>
        </w:tc>
        <w:tc>
          <w:tcPr>
            <w:tcW w:w="59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w:t>
            </w:r>
          </w:p>
        </w:tc>
        <w:tc>
          <w:tcPr>
            <w:tcW w:w="1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5" w:type="dxa"/>
            <w:tcBorders/>
            <w:shd w:fill="CCEEFF" w:val="clear"/>
            <w:vAlign w:val="center"/>
          </w:tcPr>
          <w:p>
            <w:pPr>
              <w:pStyle w:val="TableContents"/>
              <w:spacing w:before="0" w:after="0"/>
              <w:ind w:left="0" w:right="0" w:firstLine="30"/>
              <w:rPr/>
            </w:pPr>
            <w:r>
              <w:rPr/>
              <w:t> </w:t>
            </w:r>
          </w:p>
        </w:tc>
        <w:tc>
          <w:tcPr>
            <w:tcW w:w="59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w:t>
            </w:r>
          </w:p>
        </w:tc>
        <w:tc>
          <w:tcPr>
            <w:tcW w:w="1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(74</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50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(74</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4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Distributions to Series B preferred unitholders</w:t>
            </w:r>
          </w:p>
        </w:tc>
        <w:tc>
          <w:tcPr>
            <w:tcW w:w="59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w:t>
            </w:r>
          </w:p>
        </w:tc>
        <w:tc>
          <w:tcPr>
            <w:tcW w:w="12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5" w:type="dxa"/>
            <w:tcBorders/>
            <w:shd w:fill="auto" w:val="clear"/>
            <w:vAlign w:val="center"/>
          </w:tcPr>
          <w:p>
            <w:pPr>
              <w:pStyle w:val="TableContents"/>
              <w:spacing w:before="0" w:after="0"/>
              <w:ind w:left="0" w:right="0" w:firstLine="30"/>
              <w:rPr/>
            </w:pPr>
            <w:r>
              <w:rPr/>
              <w:t> </w:t>
            </w:r>
          </w:p>
        </w:tc>
        <w:tc>
          <w:tcPr>
            <w:tcW w:w="59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w:t>
            </w:r>
          </w:p>
        </w:tc>
        <w:tc>
          <w:tcPr>
            <w:tcW w:w="12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50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4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Distributions to participating securities</w:t>
            </w:r>
          </w:p>
        </w:tc>
        <w:tc>
          <w:tcPr>
            <w:tcW w:w="59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w:t>
            </w:r>
          </w:p>
        </w:tc>
        <w:tc>
          <w:tcPr>
            <w:tcW w:w="1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5" w:type="dxa"/>
            <w:tcBorders/>
            <w:shd w:fill="CCEEFF" w:val="clear"/>
            <w:vAlign w:val="center"/>
          </w:tcPr>
          <w:p>
            <w:pPr>
              <w:pStyle w:val="TableContents"/>
              <w:spacing w:before="0" w:after="0"/>
              <w:ind w:left="0" w:right="0" w:firstLine="30"/>
              <w:rPr/>
            </w:pPr>
            <w:r>
              <w:rPr/>
              <w:t> </w:t>
            </w:r>
          </w:p>
        </w:tc>
        <w:tc>
          <w:tcPr>
            <w:tcW w:w="59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w:t>
            </w:r>
          </w:p>
        </w:tc>
        <w:tc>
          <w:tcPr>
            <w:tcW w:w="1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50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4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59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w:t>
            </w:r>
          </w:p>
        </w:tc>
        <w:tc>
          <w:tcPr>
            <w:tcW w:w="12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5" w:type="dxa"/>
            <w:tcBorders/>
            <w:shd w:fill="auto" w:val="clear"/>
            <w:vAlign w:val="center"/>
          </w:tcPr>
          <w:p>
            <w:pPr>
              <w:pStyle w:val="TableContents"/>
              <w:spacing w:before="0" w:after="0"/>
              <w:ind w:left="0" w:right="0" w:firstLine="30"/>
              <w:rPr/>
            </w:pPr>
            <w:r>
              <w:rPr/>
              <w:t> </w:t>
            </w:r>
          </w:p>
        </w:tc>
        <w:tc>
          <w:tcPr>
            <w:tcW w:w="592"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2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w:t>
            </w:r>
          </w:p>
        </w:tc>
        <w:tc>
          <w:tcPr>
            <w:tcW w:w="11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50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w:t>
            </w:r>
          </w:p>
        </w:tc>
        <w:tc>
          <w:tcPr>
            <w:tcW w:w="12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475" w:type="dxa"/>
            <w:tcBorders/>
            <w:shd w:fill="CCEEFF" w:val="clear"/>
            <w:vAlign w:val="center"/>
          </w:tcPr>
          <w:p>
            <w:pPr>
              <w:pStyle w:val="TableContents"/>
              <w:spacing w:lineRule="auto" w:line="288" w:before="0" w:after="0"/>
              <w:ind w:left="0" w:right="0" w:firstLine="30"/>
              <w:jc w:val="left"/>
              <w:rPr>
                <w:sz w:val="17"/>
              </w:rPr>
            </w:pPr>
            <w:r>
              <w:rPr>
                <w:rFonts w:ascii="inherit" w:hAnsi="inherit"/>
                <w:sz w:val="17"/>
              </w:rPr>
              <w:t xml:space="preserve">Net income allocated to common unitholders </w:t>
            </w:r>
            <w:r>
              <w:rPr>
                <w:rFonts w:ascii="inherit" w:hAnsi="inherit"/>
                <w:sz w:val="12"/>
              </w:rPr>
              <w:t>(1)</w:t>
            </w:r>
          </w:p>
        </w:tc>
        <w:tc>
          <w:tcPr>
            <w:tcW w:w="146"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4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395</w:t>
            </w:r>
          </w:p>
        </w:tc>
        <w:tc>
          <w:tcPr>
            <w:tcW w:w="129"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 w:type="dxa"/>
            <w:tcBorders/>
            <w:shd w:fill="CCEEFF" w:val="clear"/>
            <w:vAlign w:val="center"/>
          </w:tcPr>
          <w:p>
            <w:pPr>
              <w:pStyle w:val="TableContents"/>
              <w:spacing w:before="0" w:after="0"/>
              <w:ind w:left="0" w:right="0" w:firstLine="30"/>
              <w:rPr/>
            </w:pPr>
            <w:r>
              <w:rPr/>
              <w:t> </w:t>
            </w:r>
          </w:p>
        </w:tc>
        <w:tc>
          <w:tcPr>
            <w:tcW w:w="146"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4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50</w:t>
            </w:r>
          </w:p>
        </w:tc>
        <w:tc>
          <w:tcPr>
            <w:tcW w:w="129"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1,311</w:t>
            </w:r>
          </w:p>
        </w:tc>
        <w:tc>
          <w:tcPr>
            <w:tcW w:w="11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8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286</w:t>
            </w:r>
          </w:p>
        </w:tc>
        <w:tc>
          <w:tcPr>
            <w:tcW w:w="125"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475" w:type="dxa"/>
            <w:tcBorders/>
            <w:shd w:fill="auto" w:val="clear"/>
            <w:vAlign w:val="center"/>
          </w:tcPr>
          <w:p>
            <w:pPr>
              <w:pStyle w:val="TableContents"/>
              <w:spacing w:before="0" w:after="0"/>
              <w:ind w:left="0" w:right="0" w:firstLine="30"/>
              <w:rPr/>
            </w:pPr>
            <w:r>
              <w:rPr/>
              <w:t> </w:t>
            </w:r>
          </w:p>
        </w:tc>
        <w:tc>
          <w:tcPr>
            <w:tcW w:w="721" w:type="dxa"/>
            <w:gridSpan w:val="3"/>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c>
          <w:tcPr>
            <w:tcW w:w="721"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2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30" w:type="dxa"/>
            <w:gridSpan w:val="3"/>
            <w:tcBorders/>
            <w:shd w:fill="auto" w:val="clear"/>
            <w:vAlign w:val="center"/>
          </w:tcPr>
          <w:p>
            <w:pPr>
              <w:pStyle w:val="TableContents"/>
              <w:spacing w:before="0" w:after="0"/>
              <w:ind w:left="0" w:right="0" w:firstLine="30"/>
              <w:rPr/>
            </w:pPr>
            <w:r>
              <w:rPr/>
              <w:t> </w:t>
            </w:r>
          </w:p>
        </w:tc>
      </w:tr>
      <w:tr>
        <w:trPr/>
        <w:tc>
          <w:tcPr>
            <w:tcW w:w="44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Basic weighted average common units outstanding</w:t>
            </w:r>
          </w:p>
        </w:tc>
        <w:tc>
          <w:tcPr>
            <w:tcW w:w="59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727</w:t>
            </w:r>
          </w:p>
        </w:tc>
        <w:tc>
          <w:tcPr>
            <w:tcW w:w="1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 w:type="dxa"/>
            <w:tcBorders/>
            <w:shd w:fill="CCEEFF" w:val="clear"/>
            <w:vAlign w:val="center"/>
          </w:tcPr>
          <w:p>
            <w:pPr>
              <w:pStyle w:val="TableContents"/>
              <w:spacing w:before="0" w:after="0"/>
              <w:ind w:left="0" w:right="0" w:firstLine="30"/>
              <w:rPr/>
            </w:pPr>
            <w:r>
              <w:rPr/>
              <w:t> </w:t>
            </w:r>
          </w:p>
        </w:tc>
        <w:tc>
          <w:tcPr>
            <w:tcW w:w="59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725</w:t>
            </w:r>
          </w:p>
        </w:tc>
        <w:tc>
          <w:tcPr>
            <w:tcW w:w="1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727</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0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725</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475" w:type="dxa"/>
            <w:tcBorders/>
            <w:shd w:fill="auto" w:val="clear"/>
            <w:vAlign w:val="center"/>
          </w:tcPr>
          <w:p>
            <w:pPr>
              <w:pStyle w:val="TableContents"/>
              <w:spacing w:before="0" w:after="0"/>
              <w:ind w:left="0" w:right="0" w:firstLine="30"/>
              <w:rPr/>
            </w:pPr>
            <w:r>
              <w:rPr/>
              <w:t> </w:t>
            </w:r>
          </w:p>
        </w:tc>
        <w:tc>
          <w:tcPr>
            <w:tcW w:w="721" w:type="dxa"/>
            <w:gridSpan w:val="3"/>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c>
          <w:tcPr>
            <w:tcW w:w="721"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2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30" w:type="dxa"/>
            <w:gridSpan w:val="3"/>
            <w:tcBorders/>
            <w:shd w:fill="auto" w:val="clear"/>
            <w:vAlign w:val="center"/>
          </w:tcPr>
          <w:p>
            <w:pPr>
              <w:pStyle w:val="TableContents"/>
              <w:spacing w:before="0" w:after="0"/>
              <w:ind w:left="0" w:right="0" w:firstLine="30"/>
              <w:rPr/>
            </w:pPr>
            <w:r>
              <w:rPr/>
              <w:t> </w:t>
            </w:r>
          </w:p>
        </w:tc>
      </w:tr>
      <w:tr>
        <w:trPr/>
        <w:tc>
          <w:tcPr>
            <w:tcW w:w="44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Basic net income per common unit</w:t>
            </w:r>
          </w:p>
        </w:tc>
        <w:tc>
          <w:tcPr>
            <w:tcW w:w="146"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4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0.54</w:t>
            </w:r>
          </w:p>
        </w:tc>
        <w:tc>
          <w:tcPr>
            <w:tcW w:w="129"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 w:type="dxa"/>
            <w:tcBorders/>
            <w:shd w:fill="CCEEFF" w:val="clear"/>
            <w:vAlign w:val="center"/>
          </w:tcPr>
          <w:p>
            <w:pPr>
              <w:pStyle w:val="TableContents"/>
              <w:spacing w:before="0" w:after="0"/>
              <w:ind w:left="0" w:right="0" w:firstLine="30"/>
              <w:rPr/>
            </w:pPr>
            <w:r>
              <w:rPr/>
              <w:t> </w:t>
            </w:r>
          </w:p>
        </w:tc>
        <w:tc>
          <w:tcPr>
            <w:tcW w:w="146"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4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0.07</w:t>
            </w:r>
          </w:p>
        </w:tc>
        <w:tc>
          <w:tcPr>
            <w:tcW w:w="129"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1.80</w:t>
            </w:r>
          </w:p>
        </w:tc>
        <w:tc>
          <w:tcPr>
            <w:tcW w:w="11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8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0.39</w:t>
            </w:r>
          </w:p>
        </w:tc>
        <w:tc>
          <w:tcPr>
            <w:tcW w:w="125"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475" w:type="dxa"/>
            <w:tcBorders/>
            <w:shd w:fill="auto" w:val="clear"/>
            <w:vAlign w:val="center"/>
          </w:tcPr>
          <w:p>
            <w:pPr>
              <w:pStyle w:val="TableContents"/>
              <w:spacing w:before="0" w:after="0"/>
              <w:ind w:left="0" w:right="0" w:firstLine="30"/>
              <w:rPr/>
            </w:pPr>
            <w:r>
              <w:rPr/>
              <w:t> </w:t>
            </w:r>
          </w:p>
        </w:tc>
        <w:tc>
          <w:tcPr>
            <w:tcW w:w="721" w:type="dxa"/>
            <w:gridSpan w:val="3"/>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c>
          <w:tcPr>
            <w:tcW w:w="721"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2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30" w:type="dxa"/>
            <w:gridSpan w:val="3"/>
            <w:tcBorders/>
            <w:shd w:fill="auto" w:val="clear"/>
            <w:vAlign w:val="center"/>
          </w:tcPr>
          <w:p>
            <w:pPr>
              <w:pStyle w:val="TableContents"/>
              <w:spacing w:before="0" w:after="0"/>
              <w:ind w:left="0" w:right="0" w:firstLine="30"/>
              <w:rPr/>
            </w:pPr>
            <w:r>
              <w:rPr/>
              <w:t> </w:t>
            </w:r>
          </w:p>
        </w:tc>
      </w:tr>
      <w:tr>
        <w:trPr/>
        <w:tc>
          <w:tcPr>
            <w:tcW w:w="4475"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Diluted Net Income per Common Unit</w:t>
            </w:r>
          </w:p>
        </w:tc>
        <w:tc>
          <w:tcPr>
            <w:tcW w:w="592" w:type="dxa"/>
            <w:gridSpan w:val="2"/>
            <w:tcBorders/>
            <w:shd w:fill="CCEEFF" w:val="clear"/>
            <w:vAlign w:val="center"/>
          </w:tcPr>
          <w:p>
            <w:pPr>
              <w:pStyle w:val="TableContents"/>
              <w:spacing w:before="0" w:after="0"/>
              <w:jc w:val="right"/>
              <w:rPr/>
            </w:pPr>
            <w:r>
              <w:rPr/>
              <w:t> </w:t>
            </w:r>
          </w:p>
        </w:tc>
        <w:tc>
          <w:tcPr>
            <w:tcW w:w="1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 w:type="dxa"/>
            <w:tcBorders/>
            <w:shd w:fill="CCEEFF" w:val="clear"/>
            <w:vAlign w:val="center"/>
          </w:tcPr>
          <w:p>
            <w:pPr>
              <w:pStyle w:val="TableContents"/>
              <w:spacing w:before="0" w:after="0"/>
              <w:ind w:left="0" w:right="0" w:firstLine="30"/>
              <w:rPr/>
            </w:pPr>
            <w:r>
              <w:rPr/>
              <w:t> </w:t>
            </w:r>
          </w:p>
        </w:tc>
        <w:tc>
          <w:tcPr>
            <w:tcW w:w="592" w:type="dxa"/>
            <w:gridSpan w:val="2"/>
            <w:tcBorders/>
            <w:shd w:fill="CCEEFF" w:val="clear"/>
            <w:vAlign w:val="center"/>
          </w:tcPr>
          <w:p>
            <w:pPr>
              <w:pStyle w:val="TableContents"/>
              <w:spacing w:before="0" w:after="0"/>
              <w:jc w:val="right"/>
              <w:rPr/>
            </w:pPr>
            <w:r>
              <w:rPr/>
              <w:t> </w:t>
            </w:r>
          </w:p>
        </w:tc>
        <w:tc>
          <w:tcPr>
            <w:tcW w:w="1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05" w:type="dxa"/>
            <w:gridSpan w:val="2"/>
            <w:tcBorders/>
            <w:shd w:fill="CCEEFF" w:val="clear"/>
            <w:vAlign w:val="center"/>
          </w:tcPr>
          <w:p>
            <w:pPr>
              <w:pStyle w:val="TableContents"/>
              <w:spacing w:before="0" w:after="0"/>
              <w:jc w:val="right"/>
              <w:rPr/>
            </w:pPr>
            <w:r>
              <w:rPr/>
              <w:t> </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4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PAA</w:t>
            </w:r>
          </w:p>
        </w:tc>
        <w:tc>
          <w:tcPr>
            <w:tcW w:w="14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46" w:type="dxa"/>
            <w:tcBorders/>
            <w:shd w:fill="auto" w:val="clear"/>
            <w:vAlign w:val="center"/>
          </w:tcPr>
          <w:p>
            <w:pPr>
              <w:pStyle w:val="TableContents"/>
              <w:spacing w:before="0" w:after="0"/>
              <w:jc w:val="right"/>
              <w:rPr>
                <w:rFonts w:ascii="inherit" w:hAnsi="inherit"/>
                <w:sz w:val="17"/>
              </w:rPr>
            </w:pPr>
            <w:r>
              <w:rPr>
                <w:rFonts w:ascii="inherit" w:hAnsi="inherit"/>
                <w:sz w:val="17"/>
              </w:rPr>
              <w:t>446</w:t>
            </w:r>
          </w:p>
        </w:tc>
        <w:tc>
          <w:tcPr>
            <w:tcW w:w="12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 w:type="dxa"/>
            <w:tcBorders/>
            <w:shd w:fill="auto" w:val="clear"/>
            <w:vAlign w:val="center"/>
          </w:tcPr>
          <w:p>
            <w:pPr>
              <w:pStyle w:val="TableContents"/>
              <w:spacing w:before="0" w:after="0"/>
              <w:ind w:left="0" w:right="0" w:firstLine="30"/>
              <w:rPr/>
            </w:pPr>
            <w:r>
              <w:rPr/>
              <w:t> </w:t>
            </w:r>
          </w:p>
        </w:tc>
        <w:tc>
          <w:tcPr>
            <w:tcW w:w="14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46" w:type="dxa"/>
            <w:tcBorders/>
            <w:shd w:fill="auto" w:val="clear"/>
            <w:vAlign w:val="center"/>
          </w:tcPr>
          <w:p>
            <w:pPr>
              <w:pStyle w:val="TableContents"/>
              <w:spacing w:before="0" w:after="0"/>
              <w:jc w:val="right"/>
              <w:rPr>
                <w:rFonts w:ascii="inherit" w:hAnsi="inherit"/>
                <w:sz w:val="17"/>
              </w:rPr>
            </w:pPr>
            <w:r>
              <w:rPr>
                <w:rFonts w:ascii="inherit" w:hAnsi="inherit"/>
                <w:sz w:val="17"/>
              </w:rPr>
              <w:t>100</w:t>
            </w:r>
          </w:p>
        </w:tc>
        <w:tc>
          <w:tcPr>
            <w:tcW w:w="12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auto" w:val="clear"/>
            <w:vAlign w:val="center"/>
          </w:tcPr>
          <w:p>
            <w:pPr>
              <w:pStyle w:val="TableContents"/>
              <w:spacing w:before="0" w:after="0"/>
              <w:jc w:val="right"/>
              <w:rPr>
                <w:rFonts w:ascii="inherit" w:hAnsi="inherit"/>
                <w:sz w:val="17"/>
              </w:rPr>
            </w:pPr>
            <w:r>
              <w:rPr>
                <w:rFonts w:ascii="inherit" w:hAnsi="inherit"/>
                <w:sz w:val="17"/>
              </w:rPr>
              <w:t>1,416</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380" w:type="dxa"/>
            <w:tcBorders/>
            <w:shd w:fill="auto" w:val="clear"/>
            <w:vAlign w:val="center"/>
          </w:tcPr>
          <w:p>
            <w:pPr>
              <w:pStyle w:val="TableContents"/>
              <w:spacing w:before="0" w:after="0"/>
              <w:jc w:val="right"/>
              <w:rPr>
                <w:rFonts w:ascii="inherit" w:hAnsi="inherit"/>
                <w:sz w:val="17"/>
              </w:rPr>
            </w:pPr>
            <w:r>
              <w:rPr>
                <w:rFonts w:ascii="inherit" w:hAnsi="inherit"/>
                <w:sz w:val="17"/>
              </w:rPr>
              <w:t>388</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4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Distributions to Series A preferred unitholders</w:t>
            </w:r>
          </w:p>
        </w:tc>
        <w:tc>
          <w:tcPr>
            <w:tcW w:w="592" w:type="dxa"/>
            <w:gridSpan w:val="2"/>
            <w:tcBorders/>
            <w:shd w:fill="CCEEFF" w:val="clear"/>
            <w:vAlign w:val="center"/>
          </w:tcPr>
          <w:p>
            <w:pPr>
              <w:pStyle w:val="TableContents"/>
              <w:spacing w:before="0" w:after="0"/>
              <w:jc w:val="right"/>
              <w:rPr/>
            </w:pPr>
            <w:r>
              <w:rPr/>
              <w:t>—</w:t>
            </w:r>
          </w:p>
        </w:tc>
        <w:tc>
          <w:tcPr>
            <w:tcW w:w="1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 w:type="dxa"/>
            <w:tcBorders/>
            <w:shd w:fill="CCEEFF" w:val="clear"/>
            <w:vAlign w:val="center"/>
          </w:tcPr>
          <w:p>
            <w:pPr>
              <w:pStyle w:val="TableContents"/>
              <w:spacing w:before="0" w:after="0"/>
              <w:ind w:left="0" w:right="0" w:firstLine="30"/>
              <w:rPr/>
            </w:pPr>
            <w:r>
              <w:rPr/>
              <w:t> </w:t>
            </w:r>
          </w:p>
        </w:tc>
        <w:tc>
          <w:tcPr>
            <w:tcW w:w="59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w:t>
            </w:r>
          </w:p>
        </w:tc>
        <w:tc>
          <w:tcPr>
            <w:tcW w:w="1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0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(74</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4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Distributions to Series B preferred unitholders</w:t>
            </w:r>
          </w:p>
        </w:tc>
        <w:tc>
          <w:tcPr>
            <w:tcW w:w="59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w:t>
            </w:r>
          </w:p>
        </w:tc>
        <w:tc>
          <w:tcPr>
            <w:tcW w:w="12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5" w:type="dxa"/>
            <w:tcBorders/>
            <w:shd w:fill="auto" w:val="clear"/>
            <w:vAlign w:val="center"/>
          </w:tcPr>
          <w:p>
            <w:pPr>
              <w:pStyle w:val="TableContents"/>
              <w:spacing w:before="0" w:after="0"/>
              <w:ind w:left="0" w:right="0" w:firstLine="30"/>
              <w:rPr/>
            </w:pPr>
            <w:r>
              <w:rPr/>
              <w:t> </w:t>
            </w:r>
          </w:p>
        </w:tc>
        <w:tc>
          <w:tcPr>
            <w:tcW w:w="59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w:t>
            </w:r>
          </w:p>
        </w:tc>
        <w:tc>
          <w:tcPr>
            <w:tcW w:w="12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50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4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Distributions to participating securities</w:t>
            </w:r>
          </w:p>
        </w:tc>
        <w:tc>
          <w:tcPr>
            <w:tcW w:w="59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w:t>
            </w:r>
          </w:p>
        </w:tc>
        <w:tc>
          <w:tcPr>
            <w:tcW w:w="1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5" w:type="dxa"/>
            <w:tcBorders/>
            <w:shd w:fill="CCEEFF" w:val="clear"/>
            <w:vAlign w:val="center"/>
          </w:tcPr>
          <w:p>
            <w:pPr>
              <w:pStyle w:val="TableContents"/>
              <w:spacing w:before="0" w:after="0"/>
              <w:ind w:left="0" w:right="0" w:firstLine="30"/>
              <w:rPr/>
            </w:pPr>
            <w:r>
              <w:rPr/>
              <w:t> </w:t>
            </w:r>
          </w:p>
        </w:tc>
        <w:tc>
          <w:tcPr>
            <w:tcW w:w="59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w:t>
            </w:r>
          </w:p>
        </w:tc>
        <w:tc>
          <w:tcPr>
            <w:tcW w:w="1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50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4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592"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2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 w:type="dxa"/>
            <w:tcBorders/>
            <w:shd w:fill="auto" w:val="clear"/>
            <w:vAlign w:val="center"/>
          </w:tcPr>
          <w:p>
            <w:pPr>
              <w:pStyle w:val="TableContents"/>
              <w:spacing w:before="0" w:after="0"/>
              <w:ind w:left="0" w:right="0" w:firstLine="30"/>
              <w:rPr/>
            </w:pPr>
            <w:r>
              <w:rPr/>
              <w:t> </w:t>
            </w:r>
          </w:p>
        </w:tc>
        <w:tc>
          <w:tcPr>
            <w:tcW w:w="592"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2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0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w:t>
            </w:r>
          </w:p>
        </w:tc>
        <w:tc>
          <w:tcPr>
            <w:tcW w:w="12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475" w:type="dxa"/>
            <w:tcBorders/>
            <w:shd w:fill="CCEEFF" w:val="clear"/>
            <w:vAlign w:val="center"/>
          </w:tcPr>
          <w:p>
            <w:pPr>
              <w:pStyle w:val="TableContents"/>
              <w:spacing w:lineRule="auto" w:line="288" w:before="0" w:after="0"/>
              <w:ind w:left="0" w:right="0" w:firstLine="30"/>
              <w:jc w:val="left"/>
              <w:rPr>
                <w:sz w:val="17"/>
              </w:rPr>
            </w:pPr>
            <w:r>
              <w:rPr>
                <w:rFonts w:ascii="inherit" w:hAnsi="inherit"/>
                <w:sz w:val="17"/>
              </w:rPr>
              <w:t xml:space="preserve">Net income allocated to common unitholders </w:t>
            </w:r>
            <w:r>
              <w:rPr>
                <w:rFonts w:ascii="inherit" w:hAnsi="inherit"/>
                <w:sz w:val="12"/>
              </w:rPr>
              <w:t>(1)</w:t>
            </w:r>
          </w:p>
        </w:tc>
        <w:tc>
          <w:tcPr>
            <w:tcW w:w="14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4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433</w:t>
            </w:r>
          </w:p>
        </w:tc>
        <w:tc>
          <w:tcPr>
            <w:tcW w:w="12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 w:type="dxa"/>
            <w:tcBorders/>
            <w:shd w:fill="CCEEFF" w:val="clear"/>
            <w:vAlign w:val="center"/>
          </w:tcPr>
          <w:p>
            <w:pPr>
              <w:pStyle w:val="TableContents"/>
              <w:spacing w:before="0" w:after="0"/>
              <w:ind w:left="0" w:right="0" w:firstLine="30"/>
              <w:rPr/>
            </w:pPr>
            <w:r>
              <w:rPr/>
              <w:t> </w:t>
            </w:r>
          </w:p>
        </w:tc>
        <w:tc>
          <w:tcPr>
            <w:tcW w:w="14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4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50</w:t>
            </w:r>
          </w:p>
        </w:tc>
        <w:tc>
          <w:tcPr>
            <w:tcW w:w="12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1,389</w:t>
            </w:r>
          </w:p>
        </w:tc>
        <w:tc>
          <w:tcPr>
            <w:tcW w:w="11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8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286</w:t>
            </w:r>
          </w:p>
        </w:tc>
        <w:tc>
          <w:tcPr>
            <w:tcW w:w="12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475" w:type="dxa"/>
            <w:tcBorders/>
            <w:shd w:fill="auto" w:val="clear"/>
            <w:vAlign w:val="center"/>
          </w:tcPr>
          <w:p>
            <w:pPr>
              <w:pStyle w:val="TableContents"/>
              <w:spacing w:before="0" w:after="0"/>
              <w:ind w:left="0" w:right="0" w:firstLine="30"/>
              <w:rPr/>
            </w:pPr>
            <w:r>
              <w:rPr/>
              <w:t> </w:t>
            </w:r>
          </w:p>
        </w:tc>
        <w:tc>
          <w:tcPr>
            <w:tcW w:w="721" w:type="dxa"/>
            <w:gridSpan w:val="3"/>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c>
          <w:tcPr>
            <w:tcW w:w="721"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2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30" w:type="dxa"/>
            <w:gridSpan w:val="3"/>
            <w:tcBorders/>
            <w:shd w:fill="auto" w:val="clear"/>
            <w:vAlign w:val="center"/>
          </w:tcPr>
          <w:p>
            <w:pPr>
              <w:pStyle w:val="TableContents"/>
              <w:spacing w:before="0" w:after="0"/>
              <w:ind w:left="0" w:right="0" w:firstLine="30"/>
              <w:rPr/>
            </w:pPr>
            <w:r>
              <w:rPr/>
              <w:t> </w:t>
            </w:r>
          </w:p>
        </w:tc>
      </w:tr>
      <w:tr>
        <w:trPr/>
        <w:tc>
          <w:tcPr>
            <w:tcW w:w="44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Basic weighted average common units outstanding</w:t>
            </w:r>
          </w:p>
        </w:tc>
        <w:tc>
          <w:tcPr>
            <w:tcW w:w="59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727</w:t>
            </w:r>
          </w:p>
        </w:tc>
        <w:tc>
          <w:tcPr>
            <w:tcW w:w="1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 w:type="dxa"/>
            <w:tcBorders/>
            <w:shd w:fill="CCEEFF" w:val="clear"/>
            <w:vAlign w:val="center"/>
          </w:tcPr>
          <w:p>
            <w:pPr>
              <w:pStyle w:val="TableContents"/>
              <w:spacing w:before="0" w:after="0"/>
              <w:ind w:left="0" w:right="0" w:firstLine="30"/>
              <w:rPr/>
            </w:pPr>
            <w:r>
              <w:rPr/>
              <w:t> </w:t>
            </w:r>
          </w:p>
        </w:tc>
        <w:tc>
          <w:tcPr>
            <w:tcW w:w="59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725</w:t>
            </w:r>
          </w:p>
        </w:tc>
        <w:tc>
          <w:tcPr>
            <w:tcW w:w="1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727</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0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725</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4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Effect of dilutive securities: </w:t>
            </w:r>
          </w:p>
        </w:tc>
        <w:tc>
          <w:tcPr>
            <w:tcW w:w="721" w:type="dxa"/>
            <w:gridSpan w:val="3"/>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c>
          <w:tcPr>
            <w:tcW w:w="721"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2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30" w:type="dxa"/>
            <w:gridSpan w:val="3"/>
            <w:tcBorders/>
            <w:shd w:fill="auto" w:val="clear"/>
            <w:vAlign w:val="center"/>
          </w:tcPr>
          <w:p>
            <w:pPr>
              <w:pStyle w:val="TableContents"/>
              <w:spacing w:before="0" w:after="0"/>
              <w:ind w:left="0" w:right="0" w:firstLine="30"/>
              <w:rPr/>
            </w:pPr>
            <w:r>
              <w:rPr/>
              <w:t> </w:t>
            </w:r>
          </w:p>
        </w:tc>
      </w:tr>
      <w:tr>
        <w:trPr/>
        <w:tc>
          <w:tcPr>
            <w:tcW w:w="44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Series A preferred units</w:t>
            </w:r>
          </w:p>
        </w:tc>
        <w:tc>
          <w:tcPr>
            <w:tcW w:w="59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71</w:t>
            </w:r>
          </w:p>
        </w:tc>
        <w:tc>
          <w:tcPr>
            <w:tcW w:w="1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 w:type="dxa"/>
            <w:tcBorders/>
            <w:shd w:fill="CCEEFF" w:val="clear"/>
            <w:vAlign w:val="center"/>
          </w:tcPr>
          <w:p>
            <w:pPr>
              <w:pStyle w:val="TableContents"/>
              <w:spacing w:before="0" w:after="0"/>
              <w:ind w:left="0" w:right="0" w:firstLine="30"/>
              <w:rPr/>
            </w:pPr>
            <w:r>
              <w:rPr/>
              <w:t> </w:t>
            </w:r>
          </w:p>
        </w:tc>
        <w:tc>
          <w:tcPr>
            <w:tcW w:w="592" w:type="dxa"/>
            <w:gridSpan w:val="2"/>
            <w:tcBorders/>
            <w:shd w:fill="CCEEFF" w:val="clear"/>
            <w:vAlign w:val="center"/>
          </w:tcPr>
          <w:p>
            <w:pPr>
              <w:pStyle w:val="TableContents"/>
              <w:spacing w:before="0" w:after="0"/>
              <w:jc w:val="right"/>
              <w:rPr/>
            </w:pPr>
            <w:r>
              <w:rPr/>
              <w:t>—</w:t>
            </w:r>
          </w:p>
        </w:tc>
        <w:tc>
          <w:tcPr>
            <w:tcW w:w="1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71</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05" w:type="dxa"/>
            <w:gridSpan w:val="2"/>
            <w:tcBorders/>
            <w:shd w:fill="CCEEFF" w:val="clear"/>
            <w:vAlign w:val="center"/>
          </w:tcPr>
          <w:p>
            <w:pPr>
              <w:pStyle w:val="TableContents"/>
              <w:spacing w:before="0" w:after="0"/>
              <w:jc w:val="right"/>
              <w:rPr/>
            </w:pPr>
            <w:r>
              <w:rPr/>
              <w:t>—</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4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Equity-indexed compensation plan awards</w:t>
            </w:r>
          </w:p>
        </w:tc>
        <w:tc>
          <w:tcPr>
            <w:tcW w:w="59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w:t>
            </w:r>
          </w:p>
        </w:tc>
        <w:tc>
          <w:tcPr>
            <w:tcW w:w="12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 w:type="dxa"/>
            <w:tcBorders/>
            <w:shd w:fill="auto" w:val="clear"/>
            <w:vAlign w:val="center"/>
          </w:tcPr>
          <w:p>
            <w:pPr>
              <w:pStyle w:val="TableContents"/>
              <w:spacing w:before="0" w:after="0"/>
              <w:ind w:left="0" w:right="0" w:firstLine="30"/>
              <w:rPr/>
            </w:pPr>
            <w:r>
              <w:rPr/>
              <w:t> </w:t>
            </w:r>
          </w:p>
        </w:tc>
        <w:tc>
          <w:tcPr>
            <w:tcW w:w="59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w:t>
            </w:r>
          </w:p>
        </w:tc>
        <w:tc>
          <w:tcPr>
            <w:tcW w:w="12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0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4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Diluted weighted average common units outstanding</w:t>
            </w:r>
          </w:p>
        </w:tc>
        <w:tc>
          <w:tcPr>
            <w:tcW w:w="592" w:type="dxa"/>
            <w:gridSpan w:val="2"/>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800</w:t>
            </w:r>
          </w:p>
        </w:tc>
        <w:tc>
          <w:tcPr>
            <w:tcW w:w="12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 w:type="dxa"/>
            <w:tcBorders/>
            <w:shd w:fill="CCEEFF" w:val="clear"/>
            <w:vAlign w:val="center"/>
          </w:tcPr>
          <w:p>
            <w:pPr>
              <w:pStyle w:val="TableContents"/>
              <w:spacing w:before="0" w:after="0"/>
              <w:ind w:left="0" w:right="0" w:firstLine="30"/>
              <w:rPr/>
            </w:pPr>
            <w:r>
              <w:rPr/>
              <w:t> </w:t>
            </w:r>
          </w:p>
        </w:tc>
        <w:tc>
          <w:tcPr>
            <w:tcW w:w="592" w:type="dxa"/>
            <w:gridSpan w:val="2"/>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727</w:t>
            </w:r>
          </w:p>
        </w:tc>
        <w:tc>
          <w:tcPr>
            <w:tcW w:w="12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800</w:t>
            </w:r>
          </w:p>
        </w:tc>
        <w:tc>
          <w:tcPr>
            <w:tcW w:w="11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05" w:type="dxa"/>
            <w:gridSpan w:val="2"/>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727</w:t>
            </w:r>
          </w:p>
        </w:tc>
        <w:tc>
          <w:tcPr>
            <w:tcW w:w="12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475" w:type="dxa"/>
            <w:tcBorders/>
            <w:shd w:fill="auto" w:val="clear"/>
            <w:vAlign w:val="center"/>
          </w:tcPr>
          <w:p>
            <w:pPr>
              <w:pStyle w:val="TableContents"/>
              <w:spacing w:before="0" w:after="0"/>
              <w:ind w:left="0" w:right="0" w:firstLine="30"/>
              <w:rPr/>
            </w:pPr>
            <w:r>
              <w:rPr/>
              <w:t> </w:t>
            </w:r>
          </w:p>
        </w:tc>
        <w:tc>
          <w:tcPr>
            <w:tcW w:w="721" w:type="dxa"/>
            <w:gridSpan w:val="3"/>
            <w:tcBorders/>
            <w:shd w:fill="auto" w:val="clear"/>
            <w:vAlign w:val="center"/>
          </w:tcPr>
          <w:p>
            <w:pPr>
              <w:pStyle w:val="TableContents"/>
              <w:spacing w:before="0" w:after="0"/>
              <w:ind w:left="0" w:right="0" w:firstLine="30"/>
              <w:rPr/>
            </w:pPr>
            <w:r>
              <w:rPr/>
              <w:t> </w:t>
            </w:r>
          </w:p>
        </w:tc>
        <w:tc>
          <w:tcPr>
            <w:tcW w:w="105" w:type="dxa"/>
            <w:tcBorders/>
            <w:shd w:fill="auto" w:val="clear"/>
            <w:vAlign w:val="center"/>
          </w:tcPr>
          <w:p>
            <w:pPr>
              <w:pStyle w:val="TableContents"/>
              <w:spacing w:before="0" w:after="0"/>
              <w:ind w:left="0" w:right="0" w:firstLine="30"/>
              <w:rPr/>
            </w:pPr>
            <w:r>
              <w:rPr/>
              <w:t> </w:t>
            </w:r>
          </w:p>
        </w:tc>
        <w:tc>
          <w:tcPr>
            <w:tcW w:w="721"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2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30" w:type="dxa"/>
            <w:gridSpan w:val="3"/>
            <w:tcBorders/>
            <w:shd w:fill="auto" w:val="clear"/>
            <w:vAlign w:val="center"/>
          </w:tcPr>
          <w:p>
            <w:pPr>
              <w:pStyle w:val="TableContents"/>
              <w:spacing w:before="0" w:after="0"/>
              <w:ind w:left="0" w:right="0" w:firstLine="30"/>
              <w:rPr/>
            </w:pPr>
            <w:r>
              <w:rPr/>
              <w:t> </w:t>
            </w:r>
          </w:p>
        </w:tc>
      </w:tr>
      <w:tr>
        <w:trPr/>
        <w:tc>
          <w:tcPr>
            <w:tcW w:w="44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Diluted net income per common unit</w:t>
            </w:r>
          </w:p>
        </w:tc>
        <w:tc>
          <w:tcPr>
            <w:tcW w:w="146"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4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0.54</w:t>
            </w:r>
          </w:p>
        </w:tc>
        <w:tc>
          <w:tcPr>
            <w:tcW w:w="129"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5" w:type="dxa"/>
            <w:tcBorders/>
            <w:shd w:fill="CCEEFF" w:val="clear"/>
            <w:vAlign w:val="center"/>
          </w:tcPr>
          <w:p>
            <w:pPr>
              <w:pStyle w:val="TableContents"/>
              <w:spacing w:before="0" w:after="0"/>
              <w:ind w:left="0" w:right="0" w:firstLine="30"/>
              <w:rPr/>
            </w:pPr>
            <w:r>
              <w:rPr/>
              <w:t> </w:t>
            </w:r>
          </w:p>
        </w:tc>
        <w:tc>
          <w:tcPr>
            <w:tcW w:w="146"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4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0.07</w:t>
            </w:r>
          </w:p>
        </w:tc>
        <w:tc>
          <w:tcPr>
            <w:tcW w:w="129"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1.74</w:t>
            </w:r>
          </w:p>
        </w:tc>
        <w:tc>
          <w:tcPr>
            <w:tcW w:w="11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8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0.39</w:t>
            </w:r>
          </w:p>
        </w:tc>
        <w:tc>
          <w:tcPr>
            <w:tcW w:w="125"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sz w:val="4"/>
                <w:szCs w:val="4"/>
              </w:rPr>
            </w:pPr>
            <w:r>
              <w:rPr>
                <w:sz w:val="4"/>
                <w:szCs w:val="4"/>
              </w:rPr>
            </w:r>
          </w:p>
        </w:tc>
      </w:tr>
      <w:tr>
        <w:trPr/>
        <w:tc>
          <w:tcPr>
            <w:tcW w:w="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 w:type="dxa"/>
            <w:tcBorders>
              <w:bottom w:val="single" w:sz="2" w:space="0" w:color="000000"/>
            </w:tcBorders>
            <w:shd w:fill="auto" w:val="clear"/>
            <w:tcMar>
              <w:bottom w:w="30" w:type="dxa"/>
            </w:tcMar>
            <w:vAlign w:val="center"/>
          </w:tcPr>
          <w:p>
            <w:pPr>
              <w:pStyle w:val="TableContents"/>
              <w:spacing w:before="0" w:after="0"/>
              <w:rPr/>
            </w:pPr>
            <w:r>
              <w:rPr/>
              <w:t> </w:t>
            </w:r>
          </w:p>
        </w:tc>
      </w:tr>
    </w:tbl>
    <w:tbl>
      <w:tblPr>
        <w:tblW w:w="10205" w:type="dxa"/>
        <w:jc w:val="left"/>
        <w:tblInd w:w="0" w:type="dxa"/>
        <w:tblCellMar>
          <w:top w:w="0" w:type="dxa"/>
          <w:left w:w="0" w:type="dxa"/>
          <w:bottom w:w="0" w:type="dxa"/>
          <w:right w:w="0" w:type="dxa"/>
        </w:tblCellMar>
      </w:tblPr>
      <w:tblGrid>
        <w:gridCol w:w="174"/>
        <w:gridCol w:w="10031"/>
      </w:tblGrid>
      <w:tr>
        <w:trPr/>
        <w:tc>
          <w:tcPr>
            <w:tcW w:w="174" w:type="dxa"/>
            <w:tcBorders/>
            <w:shd w:fill="auto" w:val="clear"/>
            <w:vAlign w:val="center"/>
          </w:tcPr>
          <w:p>
            <w:pPr>
              <w:pStyle w:val="TableContents"/>
              <w:spacing w:before="0" w:after="283"/>
              <w:rPr>
                <w:sz w:val="4"/>
                <w:szCs w:val="4"/>
              </w:rPr>
            </w:pPr>
            <w:r>
              <w:rPr>
                <w:sz w:val="4"/>
                <w:szCs w:val="4"/>
              </w:rPr>
            </w:r>
          </w:p>
        </w:tc>
        <w:tc>
          <w:tcPr>
            <w:tcW w:w="10031" w:type="dxa"/>
            <w:tcBorders/>
            <w:shd w:fill="auto" w:val="clear"/>
            <w:vAlign w:val="center"/>
          </w:tcPr>
          <w:p>
            <w:pPr>
              <w:pStyle w:val="TableContents"/>
              <w:spacing w:before="0" w:after="283"/>
              <w:rPr>
                <w:sz w:val="4"/>
                <w:szCs w:val="4"/>
              </w:rPr>
            </w:pPr>
            <w:r>
              <w:rPr>
                <w:sz w:val="4"/>
                <w:szCs w:val="4"/>
              </w:rPr>
            </w:r>
          </w:p>
        </w:tc>
      </w:tr>
      <w:tr>
        <w:trPr/>
        <w:tc>
          <w:tcPr>
            <w:tcW w:w="174"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(1)</w:t>
            </w:r>
            <w:r>
              <w:rPr>
                <w:rFonts w:ascii="inherit" w:hAnsi="inherit"/>
                <w:sz w:val="17"/>
              </w:rPr>
              <w:t> </w:t>
            </w:r>
          </w:p>
        </w:tc>
        <w:tc>
          <w:tcPr>
            <w:tcW w:w="10031" w:type="dxa"/>
            <w:tcBorders/>
            <w:shd w:fill="auto" w:val="clear"/>
            <w:vAlign w:val="center"/>
          </w:tcPr>
          <w:p>
            <w:pPr>
              <w:pStyle w:val="TableContents"/>
              <w:spacing w:lineRule="auto" w:line="288" w:before="0" w:after="0"/>
              <w:rPr>
                <w:rFonts w:ascii="inherit" w:hAnsi="inherit"/>
                <w:sz w:val="17"/>
              </w:rPr>
            </w:pPr>
            <w:r>
              <w:rPr>
                <w:rFonts w:ascii="inherit" w:hAnsi="inherit"/>
                <w:sz w:val="17"/>
              </w:rPr>
              <w:t>We calculate net income allocated to common unitholders based on the distributions pertaining to the current period’s net income (whether paid in cash or in-kind). After adjusting for the appropriate period’s distributions, the remaining undistributed earnings or excess distributions over earnings, if any, are allocated to common unitholders and participating securities in accordance with the contractual terms of our partnership agreement in effect for the period and as further prescribed under the two-class method.</w:t>
            </w:r>
          </w:p>
        </w:tc>
      </w:tr>
    </w:tbl>
    <w:p>
      <w:pPr>
        <w:pStyle w:val="TextBody"/>
        <w:spacing w:lineRule="auto" w:line="288" w:before="0" w:after="0"/>
        <w:ind w:left="0" w:right="0" w:hanging="72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17</w:t>
      </w:r>
      <w:r>
        <w:br w:type="page"/>
      </w:r>
    </w:p>
    <w:p>
      <w:pPr>
        <w:pStyle w:val="TextBody"/>
        <w:spacing w:lineRule="auto" w:line="288" w:before="0" w:after="0"/>
        <w:rPr/>
      </w:pPr>
      <w:hyperlink w:anchor="s3336AD8A685850CC9B7F2572CB2C0BC3">
        <w:bookmarkStart w:id="18" w:name="sCBAB2BFBB9425566B20C7E75FC289664"/>
        <w:bookmarkEnd w:id="18"/>
        <w:r>
          <w:rPr>
            <w:rStyle w:val="InternetLink"/>
            <w:rFonts w:ascii="inherit" w:hAnsi="inherit"/>
            <w:sz w:val="17"/>
          </w:rPr>
          <w:t>Table of Contents</w:t>
        </w:r>
      </w:hyperlink>
      <w:r>
        <w:rPr>
          <w:sz w:val="17"/>
        </w:rPr>
        <w:t xml:space="preserve"> </w:t>
      </w:r>
    </w:p>
    <w:p>
      <w:pPr>
        <w:pStyle w:val="TextBody"/>
        <w:spacing w:lineRule="auto" w:line="288" w:before="0" w:after="0"/>
        <w:jc w:val="center"/>
        <w:rPr>
          <w:rFonts w:ascii="inherit" w:hAnsi="inherit"/>
          <w:b/>
          <w:sz w:val="17"/>
        </w:rPr>
      </w:pPr>
      <w:r>
        <w:rPr>
          <w:rFonts w:ascii="inherit" w:hAnsi="inherit"/>
          <w:b/>
          <w:sz w:val="17"/>
        </w:rPr>
        <w:t>PLAINS ALL AMERICAN PIPELINE, L.P. AND SUBSIDIARIES</w:t>
      </w:r>
    </w:p>
    <w:p>
      <w:pPr>
        <w:pStyle w:val="TextBody"/>
        <w:spacing w:lineRule="auto" w:line="288" w:before="0" w:after="0"/>
        <w:jc w:val="center"/>
        <w:rPr>
          <w:rFonts w:ascii="inherit" w:hAnsi="inherit"/>
          <w:b/>
          <w:sz w:val="17"/>
        </w:rPr>
      </w:pPr>
      <w:r>
        <w:rPr>
          <w:rFonts w:ascii="inherit" w:hAnsi="inherit"/>
          <w:b/>
          <w:sz w:val="17"/>
        </w:rPr>
        <w:t>NOTES TO THE UNAUDITED CONDENSED CONSOLIDATED FINANCIAL STATEMENTS</w:t>
      </w:r>
    </w:p>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rPr>
          <w:rFonts w:ascii="inherit" w:hAnsi="inherit"/>
          <w:b/>
          <w:sz w:val="17"/>
        </w:rPr>
      </w:pPr>
      <w:r>
        <w:rPr>
          <w:rFonts w:ascii="inherit" w:hAnsi="inherit"/>
          <w:b/>
          <w:sz w:val="17"/>
        </w:rPr>
        <w:t>Note 5—Inventory, Linefill and Base Gas and Long-term Inventory</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Inventory, linefill and base gas and long-term inventory consisted of the following (barrels and natural gas volumes in thousands and carrying value in millions):</w:t>
      </w:r>
    </w:p>
    <w:tbl>
      <w:tblPr>
        <w:tblW w:w="8755" w:type="dxa"/>
        <w:jc w:val="left"/>
        <w:tblInd w:w="0" w:type="dxa"/>
        <w:tblCellMar>
          <w:top w:w="0" w:type="dxa"/>
          <w:left w:w="0" w:type="dxa"/>
          <w:bottom w:w="0" w:type="dxa"/>
          <w:right w:w="0" w:type="dxa"/>
        </w:tblCellMar>
      </w:tblPr>
      <w:tblGrid>
        <w:gridCol w:w="2510"/>
        <w:gridCol w:w="647"/>
        <w:gridCol w:w="33"/>
        <w:gridCol w:w="90"/>
        <w:gridCol w:w="680"/>
        <w:gridCol w:w="90"/>
        <w:gridCol w:w="132"/>
        <w:gridCol w:w="515"/>
        <w:gridCol w:w="33"/>
        <w:gridCol w:w="90"/>
        <w:gridCol w:w="125"/>
        <w:gridCol w:w="485"/>
        <w:gridCol w:w="30"/>
        <w:gridCol w:w="90"/>
        <w:gridCol w:w="90"/>
        <w:gridCol w:w="647"/>
        <w:gridCol w:w="33"/>
        <w:gridCol w:w="90"/>
        <w:gridCol w:w="680"/>
        <w:gridCol w:w="90"/>
        <w:gridCol w:w="132"/>
        <w:gridCol w:w="515"/>
        <w:gridCol w:w="33"/>
        <w:gridCol w:w="90"/>
        <w:gridCol w:w="125"/>
        <w:gridCol w:w="485"/>
        <w:gridCol w:w="195"/>
      </w:tblGrid>
      <w:tr>
        <w:trPr/>
        <w:tc>
          <w:tcPr>
            <w:tcW w:w="8755" w:type="dxa"/>
            <w:gridSpan w:val="27"/>
            <w:tcBorders/>
            <w:shd w:fill="auto" w:val="clear"/>
            <w:vAlign w:val="center"/>
          </w:tcPr>
          <w:p>
            <w:pPr>
              <w:pStyle w:val="TableContents"/>
              <w:spacing w:before="0" w:after="283"/>
              <w:rPr>
                <w:sz w:val="4"/>
                <w:szCs w:val="4"/>
              </w:rPr>
            </w:pPr>
            <w:r>
              <w:rPr>
                <w:sz w:val="4"/>
                <w:szCs w:val="4"/>
              </w:rPr>
            </w:r>
          </w:p>
        </w:tc>
      </w:tr>
      <w:tr>
        <w:trPr/>
        <w:tc>
          <w:tcPr>
            <w:tcW w:w="2510"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3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3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3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3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510" w:type="dxa"/>
            <w:tcBorders/>
            <w:shd w:fill="auto" w:val="clear"/>
            <w:vAlign w:val="center"/>
          </w:tcPr>
          <w:p>
            <w:pPr>
              <w:pStyle w:val="TableContents"/>
              <w:spacing w:before="0" w:after="0"/>
              <w:ind w:left="0" w:right="0" w:firstLine="30"/>
              <w:jc w:val="left"/>
              <w:rPr/>
            </w:pPr>
            <w:r>
              <w:rPr/>
              <w:t> </w:t>
            </w:r>
          </w:p>
        </w:tc>
        <w:tc>
          <w:tcPr>
            <w:tcW w:w="2950" w:type="dxa"/>
            <w:gridSpan w:val="1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June 30, 2019</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3115" w:type="dxa"/>
            <w:gridSpan w:val="1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December 31, 2018</w:t>
            </w:r>
          </w:p>
        </w:tc>
      </w:tr>
      <w:tr>
        <w:trPr/>
        <w:tc>
          <w:tcPr>
            <w:tcW w:w="2510" w:type="dxa"/>
            <w:tcBorders/>
            <w:shd w:fill="auto" w:val="clear"/>
            <w:vAlign w:val="center"/>
          </w:tcPr>
          <w:p>
            <w:pPr>
              <w:pStyle w:val="TableContents"/>
              <w:spacing w:before="0" w:after="0"/>
              <w:ind w:left="0" w:right="0" w:firstLine="30"/>
              <w:jc w:val="left"/>
              <w:rPr/>
            </w:pPr>
            <w:r>
              <w:rPr/>
              <w:t> </w:t>
            </w:r>
          </w:p>
        </w:tc>
        <w:tc>
          <w:tcPr>
            <w:tcW w:w="680"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Volumes</w:t>
            </w:r>
          </w:p>
        </w:tc>
        <w:tc>
          <w:tcPr>
            <w:tcW w:w="90" w:type="dxa"/>
            <w:tcBorders/>
            <w:shd w:fill="auto" w:val="clear"/>
            <w:vAlign w:val="center"/>
          </w:tcPr>
          <w:p>
            <w:pPr>
              <w:pStyle w:val="TableContents"/>
              <w:spacing w:before="0" w:after="0"/>
              <w:ind w:left="0" w:right="0" w:firstLine="30"/>
              <w:rPr/>
            </w:pPr>
            <w:r>
              <w:rPr/>
              <w:t> </w:t>
            </w:r>
          </w:p>
        </w:tc>
        <w:tc>
          <w:tcPr>
            <w:tcW w:w="68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Unit of</w:t>
              <w:br/>
              <w:t>Measure</w:t>
            </w:r>
          </w:p>
        </w:tc>
        <w:tc>
          <w:tcPr>
            <w:tcW w:w="90" w:type="dxa"/>
            <w:tcBorders/>
            <w:shd w:fill="auto" w:val="clear"/>
            <w:vAlign w:val="center"/>
          </w:tcPr>
          <w:p>
            <w:pPr>
              <w:pStyle w:val="TableContents"/>
              <w:spacing w:before="0" w:after="0"/>
              <w:ind w:left="0" w:right="0" w:firstLine="30"/>
              <w:rPr/>
            </w:pPr>
            <w:r>
              <w:rPr/>
              <w:t> </w:t>
            </w:r>
          </w:p>
        </w:tc>
        <w:tc>
          <w:tcPr>
            <w:tcW w:w="68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Carrying</w:t>
              <w:br/>
              <w:t>Value</w:t>
            </w:r>
          </w:p>
        </w:tc>
        <w:tc>
          <w:tcPr>
            <w:tcW w:w="90" w:type="dxa"/>
            <w:tcBorders/>
            <w:shd w:fill="auto" w:val="clear"/>
            <w:vAlign w:val="center"/>
          </w:tcPr>
          <w:p>
            <w:pPr>
              <w:pStyle w:val="TableContents"/>
              <w:spacing w:before="0" w:after="0"/>
              <w:ind w:left="0" w:right="0" w:firstLine="30"/>
              <w:rPr/>
            </w:pPr>
            <w:r>
              <w:rPr/>
              <w:t> </w:t>
            </w:r>
          </w:p>
        </w:tc>
        <w:tc>
          <w:tcPr>
            <w:tcW w:w="640" w:type="dxa"/>
            <w:gridSpan w:val="3"/>
            <w:tcBorders>
              <w:bottom w:val="single" w:sz="2" w:space="0" w:color="000000"/>
            </w:tcBorders>
            <w:shd w:fill="auto" w:val="clear"/>
            <w:tcMar>
              <w:bottom w:w="30" w:type="dxa"/>
            </w:tcMar>
            <w:vAlign w:val="center"/>
          </w:tcPr>
          <w:p>
            <w:pPr>
              <w:pStyle w:val="TableContents"/>
              <w:spacing w:lineRule="auto" w:line="288" w:before="0" w:after="0"/>
              <w:ind w:left="0" w:right="0" w:firstLine="30"/>
              <w:jc w:val="center"/>
              <w:rPr>
                <w:sz w:val="13"/>
              </w:rPr>
            </w:pPr>
            <w:r>
              <w:rPr>
                <w:rFonts w:ascii="inherit" w:hAnsi="inherit"/>
                <w:b/>
                <w:sz w:val="13"/>
              </w:rPr>
              <w:t>Price/</w:t>
              <w:br/>
              <w:t>Unit </w:t>
            </w:r>
            <w:r>
              <w:rPr>
                <w:rFonts w:ascii="inherit" w:hAnsi="inherit"/>
                <w:b/>
                <w:sz w:val="8"/>
              </w:rPr>
              <w:t>(1)</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80"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Volumes</w:t>
            </w:r>
          </w:p>
        </w:tc>
        <w:tc>
          <w:tcPr>
            <w:tcW w:w="90" w:type="dxa"/>
            <w:tcBorders/>
            <w:shd w:fill="auto" w:val="clear"/>
            <w:vAlign w:val="center"/>
          </w:tcPr>
          <w:p>
            <w:pPr>
              <w:pStyle w:val="TableContents"/>
              <w:spacing w:before="0" w:after="0"/>
              <w:ind w:left="0" w:right="0" w:firstLine="30"/>
              <w:rPr/>
            </w:pPr>
            <w:r>
              <w:rPr/>
              <w:t> </w:t>
            </w:r>
          </w:p>
        </w:tc>
        <w:tc>
          <w:tcPr>
            <w:tcW w:w="68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Unit of</w:t>
              <w:br/>
              <w:t>Measure</w:t>
            </w:r>
          </w:p>
        </w:tc>
        <w:tc>
          <w:tcPr>
            <w:tcW w:w="90" w:type="dxa"/>
            <w:tcBorders/>
            <w:shd w:fill="auto" w:val="clear"/>
            <w:vAlign w:val="center"/>
          </w:tcPr>
          <w:p>
            <w:pPr>
              <w:pStyle w:val="TableContents"/>
              <w:spacing w:before="0" w:after="0"/>
              <w:ind w:left="0" w:right="0" w:firstLine="30"/>
              <w:rPr/>
            </w:pPr>
            <w:r>
              <w:rPr/>
              <w:t> </w:t>
            </w:r>
          </w:p>
        </w:tc>
        <w:tc>
          <w:tcPr>
            <w:tcW w:w="68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Carrying</w:t>
              <w:br/>
              <w:t>Value</w:t>
            </w:r>
          </w:p>
        </w:tc>
        <w:tc>
          <w:tcPr>
            <w:tcW w:w="90" w:type="dxa"/>
            <w:tcBorders/>
            <w:shd w:fill="auto" w:val="clear"/>
            <w:vAlign w:val="center"/>
          </w:tcPr>
          <w:p>
            <w:pPr>
              <w:pStyle w:val="TableContents"/>
              <w:spacing w:before="0" w:after="0"/>
              <w:ind w:left="0" w:right="0" w:firstLine="30"/>
              <w:rPr/>
            </w:pPr>
            <w:r>
              <w:rPr/>
              <w:t> </w:t>
            </w:r>
          </w:p>
        </w:tc>
        <w:tc>
          <w:tcPr>
            <w:tcW w:w="805" w:type="dxa"/>
            <w:gridSpan w:val="3"/>
            <w:tcBorders>
              <w:bottom w:val="single" w:sz="2" w:space="0" w:color="000000"/>
            </w:tcBorders>
            <w:shd w:fill="auto" w:val="clear"/>
            <w:tcMar>
              <w:bottom w:w="30" w:type="dxa"/>
            </w:tcMar>
            <w:vAlign w:val="center"/>
          </w:tcPr>
          <w:p>
            <w:pPr>
              <w:pStyle w:val="TableContents"/>
              <w:spacing w:lineRule="auto" w:line="288" w:before="0" w:after="0"/>
              <w:ind w:left="0" w:right="0" w:firstLine="30"/>
              <w:jc w:val="center"/>
              <w:rPr>
                <w:sz w:val="13"/>
              </w:rPr>
            </w:pPr>
            <w:r>
              <w:rPr>
                <w:rFonts w:ascii="inherit" w:hAnsi="inherit"/>
                <w:b/>
                <w:sz w:val="13"/>
              </w:rPr>
              <w:t>Price/</w:t>
              <w:br/>
              <w:t>Unit </w:t>
            </w:r>
            <w:r>
              <w:rPr>
                <w:rFonts w:ascii="inherit" w:hAnsi="inherit"/>
                <w:b/>
                <w:sz w:val="8"/>
              </w:rPr>
              <w:t>(1)</w:t>
            </w:r>
          </w:p>
        </w:tc>
      </w:tr>
      <w:tr>
        <w:trPr/>
        <w:tc>
          <w:tcPr>
            <w:tcW w:w="2510" w:type="dxa"/>
            <w:tcBorders/>
            <w:shd w:fill="CCEEFF" w:val="clear"/>
            <w:vAlign w:val="center"/>
          </w:tcPr>
          <w:p>
            <w:pPr>
              <w:pStyle w:val="TableContents"/>
              <w:spacing w:before="0" w:after="0"/>
              <w:ind w:left="0" w:right="0" w:firstLine="30"/>
              <w:rPr>
                <w:rFonts w:ascii="inherit" w:hAnsi="inherit"/>
                <w:b/>
                <w:sz w:val="17"/>
              </w:rPr>
            </w:pPr>
            <w:r>
              <w:rPr>
                <w:rFonts w:ascii="inherit" w:hAnsi="inherit"/>
                <w:b/>
                <w:sz w:val="17"/>
              </w:rPr>
              <w:t>Inventory</w:t>
            </w:r>
          </w:p>
        </w:tc>
        <w:tc>
          <w:tcPr>
            <w:tcW w:w="647" w:type="dxa"/>
            <w:tcBorders/>
            <w:shd w:fill="CCEEFF" w:val="clear"/>
            <w:vAlign w:val="center"/>
          </w:tcPr>
          <w:p>
            <w:pPr>
              <w:pStyle w:val="TableContents"/>
              <w:spacing w:before="0" w:after="0"/>
              <w:jc w:val="right"/>
              <w:rPr/>
            </w:pPr>
            <w:r>
              <w:rPr/>
              <w:t> </w:t>
            </w:r>
          </w:p>
        </w:tc>
        <w:tc>
          <w:tcPr>
            <w:tcW w:w="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80" w:type="dxa"/>
            <w:tcBorders/>
            <w:shd w:fill="CCEEFF" w:val="clear"/>
            <w:vAlign w:val="center"/>
          </w:tcPr>
          <w:p>
            <w:pPr>
              <w:pStyle w:val="TableContents"/>
              <w:spacing w:before="0" w:after="0"/>
              <w:ind w:left="0" w:right="0" w:firstLine="30"/>
              <w:jc w:val="left"/>
              <w:rPr/>
            </w:pPr>
            <w:r>
              <w:rPr/>
              <w:t> </w:t>
            </w:r>
          </w:p>
        </w:tc>
        <w:tc>
          <w:tcPr>
            <w:tcW w:w="90" w:type="dxa"/>
            <w:tcBorders/>
            <w:shd w:fill="CCEEFF" w:val="clear"/>
            <w:vAlign w:val="center"/>
          </w:tcPr>
          <w:p>
            <w:pPr>
              <w:pStyle w:val="TableContents"/>
              <w:spacing w:before="0" w:after="0"/>
              <w:ind w:left="0" w:right="0" w:firstLine="30"/>
              <w:rPr/>
            </w:pPr>
            <w:r>
              <w:rPr/>
              <w:t> </w:t>
            </w:r>
          </w:p>
        </w:tc>
        <w:tc>
          <w:tcPr>
            <w:tcW w:w="647" w:type="dxa"/>
            <w:gridSpan w:val="2"/>
            <w:tcBorders/>
            <w:shd w:fill="CCEEFF" w:val="clear"/>
            <w:vAlign w:val="center"/>
          </w:tcPr>
          <w:p>
            <w:pPr>
              <w:pStyle w:val="TableContents"/>
              <w:spacing w:before="0" w:after="0"/>
              <w:jc w:val="right"/>
              <w:rPr/>
            </w:pPr>
            <w:r>
              <w:rPr/>
              <w:t> </w:t>
            </w:r>
          </w:p>
        </w:tc>
        <w:tc>
          <w:tcPr>
            <w:tcW w:w="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pPr>
            <w:r>
              <w:rPr/>
              <w:t> </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647" w:type="dxa"/>
            <w:tcBorders/>
            <w:shd w:fill="CCEEFF" w:val="clear"/>
            <w:vAlign w:val="center"/>
          </w:tcPr>
          <w:p>
            <w:pPr>
              <w:pStyle w:val="TableContents"/>
              <w:spacing w:before="0" w:after="0"/>
              <w:jc w:val="right"/>
              <w:rPr/>
            </w:pPr>
            <w:r>
              <w:rPr/>
              <w:t> </w:t>
            </w:r>
          </w:p>
        </w:tc>
        <w:tc>
          <w:tcPr>
            <w:tcW w:w="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80" w:type="dxa"/>
            <w:tcBorders/>
            <w:shd w:fill="CCEEFF" w:val="clear"/>
            <w:vAlign w:val="center"/>
          </w:tcPr>
          <w:p>
            <w:pPr>
              <w:pStyle w:val="TableContents"/>
              <w:spacing w:before="0" w:after="0"/>
              <w:ind w:left="0" w:right="0" w:firstLine="30"/>
              <w:jc w:val="right"/>
              <w:rPr/>
            </w:pPr>
            <w:r>
              <w:rPr/>
              <w:t> </w:t>
            </w:r>
          </w:p>
        </w:tc>
        <w:tc>
          <w:tcPr>
            <w:tcW w:w="90" w:type="dxa"/>
            <w:tcBorders/>
            <w:shd w:fill="CCEEFF" w:val="clear"/>
            <w:vAlign w:val="center"/>
          </w:tcPr>
          <w:p>
            <w:pPr>
              <w:pStyle w:val="TableContents"/>
              <w:spacing w:before="0" w:after="0"/>
              <w:ind w:left="0" w:right="0" w:firstLine="30"/>
              <w:rPr/>
            </w:pPr>
            <w:r>
              <w:rPr/>
              <w:t> </w:t>
            </w:r>
          </w:p>
        </w:tc>
        <w:tc>
          <w:tcPr>
            <w:tcW w:w="647" w:type="dxa"/>
            <w:gridSpan w:val="2"/>
            <w:tcBorders/>
            <w:shd w:fill="CCEEFF" w:val="clear"/>
            <w:vAlign w:val="center"/>
          </w:tcPr>
          <w:p>
            <w:pPr>
              <w:pStyle w:val="TableContents"/>
              <w:spacing w:before="0" w:after="0"/>
              <w:jc w:val="right"/>
              <w:rPr/>
            </w:pPr>
            <w:r>
              <w:rPr/>
              <w:t> </w:t>
            </w:r>
          </w:p>
        </w:tc>
        <w:tc>
          <w:tcPr>
            <w:tcW w:w="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pPr>
            <w:r>
              <w:rPr/>
              <w:t> </w:t>
            </w:r>
          </w:p>
        </w:tc>
        <w:tc>
          <w:tcPr>
            <w:tcW w:w="1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5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Crude oil</w:t>
            </w:r>
          </w:p>
        </w:tc>
        <w:tc>
          <w:tcPr>
            <w:tcW w:w="647" w:type="dxa"/>
            <w:tcBorders/>
            <w:shd w:fill="auto" w:val="clear"/>
            <w:vAlign w:val="center"/>
          </w:tcPr>
          <w:p>
            <w:pPr>
              <w:pStyle w:val="TableContents"/>
              <w:spacing w:before="0" w:after="0"/>
              <w:jc w:val="right"/>
              <w:rPr>
                <w:rFonts w:ascii="inherit" w:hAnsi="inherit"/>
                <w:sz w:val="17"/>
              </w:rPr>
            </w:pPr>
            <w:r>
              <w:rPr>
                <w:rFonts w:ascii="inherit" w:hAnsi="inherit"/>
                <w:sz w:val="17"/>
              </w:rPr>
              <w:t>8,177</w:t>
            </w:r>
          </w:p>
        </w:tc>
        <w:tc>
          <w:tcPr>
            <w:tcW w:w="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barrels</w:t>
            </w:r>
          </w:p>
        </w:tc>
        <w:tc>
          <w:tcPr>
            <w:tcW w:w="90" w:type="dxa"/>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15" w:type="dxa"/>
            <w:tcBorders/>
            <w:shd w:fill="auto" w:val="clear"/>
            <w:vAlign w:val="center"/>
          </w:tcPr>
          <w:p>
            <w:pPr>
              <w:pStyle w:val="TableContents"/>
              <w:spacing w:before="0" w:after="0"/>
              <w:jc w:val="right"/>
              <w:rPr>
                <w:rFonts w:ascii="inherit" w:hAnsi="inherit"/>
                <w:sz w:val="17"/>
              </w:rPr>
            </w:pPr>
            <w:r>
              <w:rPr>
                <w:rFonts w:ascii="inherit" w:hAnsi="inherit"/>
                <w:sz w:val="17"/>
              </w:rPr>
              <w:t>427</w:t>
            </w:r>
          </w:p>
        </w:tc>
        <w:tc>
          <w:tcPr>
            <w:tcW w:w="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auto" w:val="clear"/>
            <w:vAlign w:val="center"/>
          </w:tcPr>
          <w:p>
            <w:pPr>
              <w:pStyle w:val="TableContents"/>
              <w:spacing w:before="0" w:after="0"/>
              <w:jc w:val="right"/>
              <w:rPr>
                <w:rFonts w:ascii="inherit" w:hAnsi="inherit"/>
                <w:sz w:val="17"/>
              </w:rPr>
            </w:pPr>
            <w:r>
              <w:rPr>
                <w:rFonts w:ascii="inherit" w:hAnsi="inherit"/>
                <w:sz w:val="17"/>
              </w:rPr>
              <w:t>52.22</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647" w:type="dxa"/>
            <w:tcBorders/>
            <w:shd w:fill="auto" w:val="clear"/>
            <w:vAlign w:val="center"/>
          </w:tcPr>
          <w:p>
            <w:pPr>
              <w:pStyle w:val="TableContents"/>
              <w:spacing w:before="0" w:after="0"/>
              <w:jc w:val="right"/>
              <w:rPr>
                <w:rFonts w:ascii="inherit" w:hAnsi="inherit"/>
                <w:sz w:val="17"/>
              </w:rPr>
            </w:pPr>
            <w:r>
              <w:rPr>
                <w:rFonts w:ascii="inherit" w:hAnsi="inherit"/>
                <w:sz w:val="17"/>
              </w:rPr>
              <w:t>9,657</w:t>
            </w:r>
          </w:p>
        </w:tc>
        <w:tc>
          <w:tcPr>
            <w:tcW w:w="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barrels</w:t>
            </w:r>
          </w:p>
        </w:tc>
        <w:tc>
          <w:tcPr>
            <w:tcW w:w="90" w:type="dxa"/>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15" w:type="dxa"/>
            <w:tcBorders/>
            <w:shd w:fill="auto" w:val="clear"/>
            <w:vAlign w:val="center"/>
          </w:tcPr>
          <w:p>
            <w:pPr>
              <w:pStyle w:val="TableContents"/>
              <w:spacing w:before="0" w:after="0"/>
              <w:jc w:val="right"/>
              <w:rPr>
                <w:rFonts w:ascii="inherit" w:hAnsi="inherit"/>
                <w:sz w:val="17"/>
              </w:rPr>
            </w:pPr>
            <w:r>
              <w:rPr>
                <w:rFonts w:ascii="inherit" w:hAnsi="inherit"/>
                <w:sz w:val="17"/>
              </w:rPr>
              <w:t>367</w:t>
            </w:r>
          </w:p>
        </w:tc>
        <w:tc>
          <w:tcPr>
            <w:tcW w:w="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auto" w:val="clear"/>
            <w:vAlign w:val="center"/>
          </w:tcPr>
          <w:p>
            <w:pPr>
              <w:pStyle w:val="TableContents"/>
              <w:spacing w:before="0" w:after="0"/>
              <w:jc w:val="right"/>
              <w:rPr>
                <w:rFonts w:ascii="inherit" w:hAnsi="inherit"/>
                <w:sz w:val="17"/>
              </w:rPr>
            </w:pPr>
            <w:r>
              <w:rPr>
                <w:rFonts w:ascii="inherit" w:hAnsi="inherit"/>
                <w:sz w:val="17"/>
              </w:rPr>
              <w:t>38.00</w:t>
            </w:r>
          </w:p>
        </w:tc>
        <w:tc>
          <w:tcPr>
            <w:tcW w:w="1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5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NGL</w:t>
            </w:r>
          </w:p>
        </w:tc>
        <w:tc>
          <w:tcPr>
            <w:tcW w:w="647" w:type="dxa"/>
            <w:tcBorders/>
            <w:shd w:fill="CCEEFF" w:val="clear"/>
            <w:vAlign w:val="center"/>
          </w:tcPr>
          <w:p>
            <w:pPr>
              <w:pStyle w:val="TableContents"/>
              <w:spacing w:before="0" w:after="0"/>
              <w:jc w:val="right"/>
              <w:rPr>
                <w:rFonts w:ascii="inherit" w:hAnsi="inherit"/>
                <w:sz w:val="17"/>
              </w:rPr>
            </w:pPr>
            <w:r>
              <w:rPr>
                <w:rFonts w:ascii="inherit" w:hAnsi="inherit"/>
                <w:sz w:val="17"/>
              </w:rPr>
              <w:t>6,887</w:t>
            </w:r>
          </w:p>
        </w:tc>
        <w:tc>
          <w:tcPr>
            <w:tcW w:w="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barrels</w:t>
            </w:r>
          </w:p>
        </w:tc>
        <w:tc>
          <w:tcPr>
            <w:tcW w:w="90" w:type="dxa"/>
            <w:tcBorders/>
            <w:shd w:fill="CCEEFF" w:val="clear"/>
            <w:vAlign w:val="center"/>
          </w:tcPr>
          <w:p>
            <w:pPr>
              <w:pStyle w:val="TableContents"/>
              <w:spacing w:before="0" w:after="0"/>
              <w:ind w:left="0" w:right="0" w:firstLine="30"/>
              <w:rPr/>
            </w:pPr>
            <w:r>
              <w:rPr/>
              <w:t> </w:t>
            </w:r>
          </w:p>
        </w:tc>
        <w:tc>
          <w:tcPr>
            <w:tcW w:w="64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117</w:t>
            </w:r>
          </w:p>
        </w:tc>
        <w:tc>
          <w:tcPr>
            <w:tcW w:w="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16.99</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647" w:type="dxa"/>
            <w:tcBorders/>
            <w:shd w:fill="CCEEFF" w:val="clear"/>
            <w:vAlign w:val="center"/>
          </w:tcPr>
          <w:p>
            <w:pPr>
              <w:pStyle w:val="TableContents"/>
              <w:spacing w:before="0" w:after="0"/>
              <w:jc w:val="right"/>
              <w:rPr>
                <w:rFonts w:ascii="inherit" w:hAnsi="inherit"/>
                <w:sz w:val="17"/>
              </w:rPr>
            </w:pPr>
            <w:r>
              <w:rPr>
                <w:rFonts w:ascii="inherit" w:hAnsi="inherit"/>
                <w:sz w:val="17"/>
              </w:rPr>
              <w:t>10,384</w:t>
            </w:r>
          </w:p>
        </w:tc>
        <w:tc>
          <w:tcPr>
            <w:tcW w:w="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barrels</w:t>
            </w:r>
          </w:p>
        </w:tc>
        <w:tc>
          <w:tcPr>
            <w:tcW w:w="90" w:type="dxa"/>
            <w:tcBorders/>
            <w:shd w:fill="CCEEFF" w:val="clear"/>
            <w:vAlign w:val="center"/>
          </w:tcPr>
          <w:p>
            <w:pPr>
              <w:pStyle w:val="TableContents"/>
              <w:spacing w:before="0" w:after="0"/>
              <w:ind w:left="0" w:right="0" w:firstLine="30"/>
              <w:rPr/>
            </w:pPr>
            <w:r>
              <w:rPr/>
              <w:t> </w:t>
            </w:r>
          </w:p>
        </w:tc>
        <w:tc>
          <w:tcPr>
            <w:tcW w:w="64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262</w:t>
            </w:r>
          </w:p>
        </w:tc>
        <w:tc>
          <w:tcPr>
            <w:tcW w:w="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25.23</w:t>
            </w:r>
          </w:p>
        </w:tc>
        <w:tc>
          <w:tcPr>
            <w:tcW w:w="1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5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647" w:type="dxa"/>
            <w:tcBorders/>
            <w:shd w:fill="auto" w:val="clear"/>
            <w:vAlign w:val="center"/>
          </w:tcPr>
          <w:p>
            <w:pPr>
              <w:pStyle w:val="TableContents"/>
              <w:spacing w:before="0" w:after="0"/>
              <w:jc w:val="right"/>
              <w:rPr>
                <w:rFonts w:ascii="inherit" w:hAnsi="inherit"/>
                <w:sz w:val="17"/>
              </w:rPr>
            </w:pPr>
            <w:r>
              <w:rPr>
                <w:rFonts w:ascii="inherit" w:hAnsi="inherit"/>
                <w:sz w:val="17"/>
              </w:rPr>
              <w:t>N/A</w:t>
            </w:r>
          </w:p>
        </w:tc>
        <w:tc>
          <w:tcPr>
            <w:tcW w:w="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8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64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14</w:t>
            </w:r>
          </w:p>
        </w:tc>
        <w:tc>
          <w:tcPr>
            <w:tcW w:w="3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N/A</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647" w:type="dxa"/>
            <w:tcBorders/>
            <w:shd w:fill="auto" w:val="clear"/>
            <w:vAlign w:val="center"/>
          </w:tcPr>
          <w:p>
            <w:pPr>
              <w:pStyle w:val="TableContents"/>
              <w:spacing w:before="0" w:after="0"/>
              <w:jc w:val="right"/>
              <w:rPr>
                <w:rFonts w:ascii="inherit" w:hAnsi="inherit"/>
                <w:sz w:val="17"/>
              </w:rPr>
            </w:pPr>
            <w:r>
              <w:rPr>
                <w:rFonts w:ascii="inherit" w:hAnsi="inherit"/>
                <w:sz w:val="17"/>
              </w:rPr>
              <w:t>N/A</w:t>
            </w:r>
          </w:p>
        </w:tc>
        <w:tc>
          <w:tcPr>
            <w:tcW w:w="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8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64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w:t>
            </w:r>
          </w:p>
        </w:tc>
        <w:tc>
          <w:tcPr>
            <w:tcW w:w="3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N/A</w:t>
            </w:r>
          </w:p>
        </w:tc>
        <w:tc>
          <w:tcPr>
            <w:tcW w:w="19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5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Inventory subtotal</w:t>
            </w:r>
          </w:p>
        </w:tc>
        <w:tc>
          <w:tcPr>
            <w:tcW w:w="647" w:type="dxa"/>
            <w:tcBorders/>
            <w:shd w:fill="CCEEFF" w:val="clear"/>
            <w:vAlign w:val="center"/>
          </w:tcPr>
          <w:p>
            <w:pPr>
              <w:pStyle w:val="TableContents"/>
              <w:spacing w:before="0" w:after="0"/>
              <w:jc w:val="right"/>
              <w:rPr/>
            </w:pPr>
            <w:r>
              <w:rPr/>
              <w:t> </w:t>
            </w:r>
          </w:p>
        </w:tc>
        <w:tc>
          <w:tcPr>
            <w:tcW w:w="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80" w:type="dxa"/>
            <w:tcBorders/>
            <w:shd w:fill="CCEEFF" w:val="clear"/>
            <w:vAlign w:val="center"/>
          </w:tcPr>
          <w:p>
            <w:pPr>
              <w:pStyle w:val="TableContents"/>
              <w:spacing w:before="0" w:after="0"/>
              <w:ind w:left="0" w:right="0" w:firstLine="30"/>
              <w:jc w:val="left"/>
              <w:rPr/>
            </w:pPr>
            <w:r>
              <w:rPr/>
              <w:t> </w:t>
            </w:r>
          </w:p>
        </w:tc>
        <w:tc>
          <w:tcPr>
            <w:tcW w:w="90" w:type="dxa"/>
            <w:tcBorders/>
            <w:shd w:fill="CCEEFF" w:val="clear"/>
            <w:vAlign w:val="center"/>
          </w:tcPr>
          <w:p>
            <w:pPr>
              <w:pStyle w:val="TableContents"/>
              <w:spacing w:before="0" w:after="0"/>
              <w:ind w:left="0" w:right="0" w:firstLine="30"/>
              <w:rPr/>
            </w:pPr>
            <w:r>
              <w:rPr/>
              <w:t> </w:t>
            </w:r>
          </w:p>
        </w:tc>
        <w:tc>
          <w:tcPr>
            <w:tcW w:w="64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558</w:t>
            </w:r>
          </w:p>
        </w:tc>
        <w:tc>
          <w:tcPr>
            <w:tcW w:w="3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pPr>
            <w:r>
              <w:rPr/>
              <w:t> </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647" w:type="dxa"/>
            <w:tcBorders/>
            <w:shd w:fill="CCEEFF" w:val="clear"/>
            <w:vAlign w:val="center"/>
          </w:tcPr>
          <w:p>
            <w:pPr>
              <w:pStyle w:val="TableContents"/>
              <w:spacing w:before="0" w:after="0"/>
              <w:jc w:val="right"/>
              <w:rPr/>
            </w:pPr>
            <w:r>
              <w:rPr/>
              <w:t> </w:t>
            </w:r>
          </w:p>
        </w:tc>
        <w:tc>
          <w:tcPr>
            <w:tcW w:w="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80" w:type="dxa"/>
            <w:tcBorders/>
            <w:shd w:fill="CCEEFF" w:val="clear"/>
            <w:vAlign w:val="center"/>
          </w:tcPr>
          <w:p>
            <w:pPr>
              <w:pStyle w:val="TableContents"/>
              <w:spacing w:before="0" w:after="0"/>
              <w:ind w:left="0" w:right="0" w:firstLine="30"/>
              <w:jc w:val="left"/>
              <w:rPr/>
            </w:pPr>
            <w:r>
              <w:rPr/>
              <w:t> </w:t>
            </w:r>
          </w:p>
        </w:tc>
        <w:tc>
          <w:tcPr>
            <w:tcW w:w="90" w:type="dxa"/>
            <w:tcBorders/>
            <w:shd w:fill="CCEEFF" w:val="clear"/>
            <w:vAlign w:val="center"/>
          </w:tcPr>
          <w:p>
            <w:pPr>
              <w:pStyle w:val="TableContents"/>
              <w:spacing w:before="0" w:after="0"/>
              <w:ind w:left="0" w:right="0" w:firstLine="30"/>
              <w:rPr/>
            </w:pPr>
            <w:r>
              <w:rPr/>
              <w:t> </w:t>
            </w:r>
          </w:p>
        </w:tc>
        <w:tc>
          <w:tcPr>
            <w:tcW w:w="64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640</w:t>
            </w:r>
          </w:p>
        </w:tc>
        <w:tc>
          <w:tcPr>
            <w:tcW w:w="3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pPr>
            <w:r>
              <w:rPr/>
              <w:t> </w:t>
            </w:r>
          </w:p>
        </w:tc>
        <w:tc>
          <w:tcPr>
            <w:tcW w:w="1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510" w:type="dxa"/>
            <w:tcBorders/>
            <w:shd w:fill="auto" w:val="clear"/>
            <w:vAlign w:val="center"/>
          </w:tcPr>
          <w:p>
            <w:pPr>
              <w:pStyle w:val="TableContents"/>
              <w:spacing w:before="0" w:after="0"/>
              <w:ind w:left="0" w:right="0" w:firstLine="30"/>
              <w:rPr/>
            </w:pPr>
            <w:r>
              <w:rPr/>
              <w:t> </w:t>
            </w:r>
          </w:p>
        </w:tc>
        <w:tc>
          <w:tcPr>
            <w:tcW w:w="680" w:type="dxa"/>
            <w:gridSpan w:val="2"/>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8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8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4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680" w:type="dxa"/>
            <w:gridSpan w:val="2"/>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8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8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05" w:type="dxa"/>
            <w:gridSpan w:val="3"/>
            <w:tcBorders/>
            <w:shd w:fill="auto" w:val="clear"/>
            <w:vAlign w:val="center"/>
          </w:tcPr>
          <w:p>
            <w:pPr>
              <w:pStyle w:val="TableContents"/>
              <w:spacing w:before="0" w:after="0"/>
              <w:ind w:left="0" w:right="0" w:firstLine="30"/>
              <w:rPr/>
            </w:pPr>
            <w:r>
              <w:rPr/>
              <w:t> </w:t>
            </w:r>
          </w:p>
        </w:tc>
      </w:tr>
      <w:tr>
        <w:trPr/>
        <w:tc>
          <w:tcPr>
            <w:tcW w:w="2510" w:type="dxa"/>
            <w:tcBorders/>
            <w:shd w:fill="CCEEFF" w:val="clear"/>
            <w:vAlign w:val="center"/>
          </w:tcPr>
          <w:p>
            <w:pPr>
              <w:pStyle w:val="TableContents"/>
              <w:spacing w:before="0" w:after="0"/>
              <w:ind w:left="0" w:right="0" w:firstLine="30"/>
              <w:rPr>
                <w:rFonts w:ascii="inherit" w:hAnsi="inherit"/>
                <w:b/>
                <w:sz w:val="17"/>
              </w:rPr>
            </w:pPr>
            <w:r>
              <w:rPr>
                <w:rFonts w:ascii="inherit" w:hAnsi="inherit"/>
                <w:b/>
                <w:sz w:val="17"/>
              </w:rPr>
              <w:t>Linefill and base gas</w:t>
            </w:r>
          </w:p>
        </w:tc>
        <w:tc>
          <w:tcPr>
            <w:tcW w:w="647" w:type="dxa"/>
            <w:tcBorders/>
            <w:shd w:fill="CCEEFF" w:val="clear"/>
            <w:vAlign w:val="center"/>
          </w:tcPr>
          <w:p>
            <w:pPr>
              <w:pStyle w:val="TableContents"/>
              <w:spacing w:before="0" w:after="0"/>
              <w:jc w:val="right"/>
              <w:rPr/>
            </w:pPr>
            <w:r>
              <w:rPr/>
              <w:t> </w:t>
            </w:r>
          </w:p>
        </w:tc>
        <w:tc>
          <w:tcPr>
            <w:tcW w:w="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80" w:type="dxa"/>
            <w:tcBorders/>
            <w:shd w:fill="CCEEFF" w:val="clear"/>
            <w:vAlign w:val="center"/>
          </w:tcPr>
          <w:p>
            <w:pPr>
              <w:pStyle w:val="TableContents"/>
              <w:spacing w:before="0" w:after="0"/>
              <w:ind w:left="0" w:right="0" w:firstLine="30"/>
              <w:jc w:val="left"/>
              <w:rPr/>
            </w:pPr>
            <w:r>
              <w:rPr/>
              <w:t> </w:t>
            </w:r>
          </w:p>
        </w:tc>
        <w:tc>
          <w:tcPr>
            <w:tcW w:w="90" w:type="dxa"/>
            <w:tcBorders/>
            <w:shd w:fill="CCEEFF" w:val="clear"/>
            <w:vAlign w:val="center"/>
          </w:tcPr>
          <w:p>
            <w:pPr>
              <w:pStyle w:val="TableContents"/>
              <w:spacing w:before="0" w:after="0"/>
              <w:ind w:left="0" w:right="0" w:firstLine="30"/>
              <w:rPr/>
            </w:pPr>
            <w:r>
              <w:rPr/>
              <w:t> </w:t>
            </w:r>
          </w:p>
        </w:tc>
        <w:tc>
          <w:tcPr>
            <w:tcW w:w="647" w:type="dxa"/>
            <w:gridSpan w:val="2"/>
            <w:tcBorders/>
            <w:shd w:fill="CCEEFF" w:val="clear"/>
            <w:vAlign w:val="center"/>
          </w:tcPr>
          <w:p>
            <w:pPr>
              <w:pStyle w:val="TableContents"/>
              <w:spacing w:before="0" w:after="0"/>
              <w:jc w:val="right"/>
              <w:rPr/>
            </w:pPr>
            <w:r>
              <w:rPr/>
              <w:t> </w:t>
            </w:r>
          </w:p>
        </w:tc>
        <w:tc>
          <w:tcPr>
            <w:tcW w:w="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pPr>
            <w:r>
              <w:rPr/>
              <w:t> </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647" w:type="dxa"/>
            <w:tcBorders/>
            <w:shd w:fill="CCEEFF" w:val="clear"/>
            <w:vAlign w:val="center"/>
          </w:tcPr>
          <w:p>
            <w:pPr>
              <w:pStyle w:val="TableContents"/>
              <w:spacing w:before="0" w:after="0"/>
              <w:jc w:val="right"/>
              <w:rPr/>
            </w:pPr>
            <w:r>
              <w:rPr/>
              <w:t> </w:t>
            </w:r>
          </w:p>
        </w:tc>
        <w:tc>
          <w:tcPr>
            <w:tcW w:w="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80" w:type="dxa"/>
            <w:tcBorders/>
            <w:shd w:fill="CCEEFF" w:val="clear"/>
            <w:vAlign w:val="center"/>
          </w:tcPr>
          <w:p>
            <w:pPr>
              <w:pStyle w:val="TableContents"/>
              <w:spacing w:before="0" w:after="0"/>
              <w:ind w:left="0" w:right="0" w:firstLine="30"/>
              <w:jc w:val="left"/>
              <w:rPr/>
            </w:pPr>
            <w:r>
              <w:rPr/>
              <w:t> </w:t>
            </w:r>
          </w:p>
        </w:tc>
        <w:tc>
          <w:tcPr>
            <w:tcW w:w="90" w:type="dxa"/>
            <w:tcBorders/>
            <w:shd w:fill="CCEEFF" w:val="clear"/>
            <w:vAlign w:val="center"/>
          </w:tcPr>
          <w:p>
            <w:pPr>
              <w:pStyle w:val="TableContents"/>
              <w:spacing w:before="0" w:after="0"/>
              <w:ind w:left="0" w:right="0" w:firstLine="30"/>
              <w:rPr/>
            </w:pPr>
            <w:r>
              <w:rPr/>
              <w:t> </w:t>
            </w:r>
          </w:p>
        </w:tc>
        <w:tc>
          <w:tcPr>
            <w:tcW w:w="647" w:type="dxa"/>
            <w:gridSpan w:val="2"/>
            <w:tcBorders/>
            <w:shd w:fill="CCEEFF" w:val="clear"/>
            <w:vAlign w:val="center"/>
          </w:tcPr>
          <w:p>
            <w:pPr>
              <w:pStyle w:val="TableContents"/>
              <w:spacing w:before="0" w:after="0"/>
              <w:jc w:val="right"/>
              <w:rPr/>
            </w:pPr>
            <w:r>
              <w:rPr/>
              <w:t> </w:t>
            </w:r>
          </w:p>
        </w:tc>
        <w:tc>
          <w:tcPr>
            <w:tcW w:w="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pPr>
            <w:r>
              <w:rPr/>
              <w:t> </w:t>
            </w:r>
          </w:p>
        </w:tc>
        <w:tc>
          <w:tcPr>
            <w:tcW w:w="1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5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Crude oil</w:t>
            </w:r>
          </w:p>
        </w:tc>
        <w:tc>
          <w:tcPr>
            <w:tcW w:w="647" w:type="dxa"/>
            <w:tcBorders/>
            <w:shd w:fill="auto" w:val="clear"/>
            <w:vAlign w:val="center"/>
          </w:tcPr>
          <w:p>
            <w:pPr>
              <w:pStyle w:val="TableContents"/>
              <w:spacing w:before="0" w:after="0"/>
              <w:jc w:val="right"/>
              <w:rPr>
                <w:rFonts w:ascii="inherit" w:hAnsi="inherit"/>
                <w:sz w:val="17"/>
              </w:rPr>
            </w:pPr>
            <w:r>
              <w:rPr>
                <w:rFonts w:ascii="inherit" w:hAnsi="inherit"/>
                <w:sz w:val="17"/>
              </w:rPr>
              <w:t>13,325</w:t>
            </w:r>
          </w:p>
        </w:tc>
        <w:tc>
          <w:tcPr>
            <w:tcW w:w="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barrels</w:t>
            </w:r>
          </w:p>
        </w:tc>
        <w:tc>
          <w:tcPr>
            <w:tcW w:w="90" w:type="dxa"/>
            <w:tcBorders/>
            <w:shd w:fill="auto" w:val="clear"/>
            <w:vAlign w:val="center"/>
          </w:tcPr>
          <w:p>
            <w:pPr>
              <w:pStyle w:val="TableContents"/>
              <w:spacing w:before="0" w:after="0"/>
              <w:ind w:left="0" w:right="0" w:firstLine="30"/>
              <w:rPr/>
            </w:pPr>
            <w:r>
              <w:rPr/>
              <w:t> </w:t>
            </w:r>
          </w:p>
        </w:tc>
        <w:tc>
          <w:tcPr>
            <w:tcW w:w="64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766</w:t>
            </w:r>
          </w:p>
        </w:tc>
        <w:tc>
          <w:tcPr>
            <w:tcW w:w="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auto" w:val="clear"/>
            <w:vAlign w:val="center"/>
          </w:tcPr>
          <w:p>
            <w:pPr>
              <w:pStyle w:val="TableContents"/>
              <w:spacing w:before="0" w:after="0"/>
              <w:jc w:val="right"/>
              <w:rPr>
                <w:rFonts w:ascii="inherit" w:hAnsi="inherit"/>
                <w:sz w:val="17"/>
              </w:rPr>
            </w:pPr>
            <w:r>
              <w:rPr>
                <w:rFonts w:ascii="inherit" w:hAnsi="inherit"/>
                <w:sz w:val="17"/>
              </w:rPr>
              <w:t>57.49</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647" w:type="dxa"/>
            <w:tcBorders/>
            <w:shd w:fill="auto" w:val="clear"/>
            <w:vAlign w:val="center"/>
          </w:tcPr>
          <w:p>
            <w:pPr>
              <w:pStyle w:val="TableContents"/>
              <w:spacing w:before="0" w:after="0"/>
              <w:jc w:val="right"/>
              <w:rPr>
                <w:rFonts w:ascii="inherit" w:hAnsi="inherit"/>
                <w:sz w:val="17"/>
              </w:rPr>
            </w:pPr>
            <w:r>
              <w:rPr>
                <w:rFonts w:ascii="inherit" w:hAnsi="inherit"/>
                <w:sz w:val="17"/>
              </w:rPr>
              <w:t>13,312</w:t>
            </w:r>
          </w:p>
        </w:tc>
        <w:tc>
          <w:tcPr>
            <w:tcW w:w="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barrels</w:t>
            </w:r>
          </w:p>
        </w:tc>
        <w:tc>
          <w:tcPr>
            <w:tcW w:w="90" w:type="dxa"/>
            <w:tcBorders/>
            <w:shd w:fill="auto" w:val="clear"/>
            <w:vAlign w:val="center"/>
          </w:tcPr>
          <w:p>
            <w:pPr>
              <w:pStyle w:val="TableContents"/>
              <w:spacing w:before="0" w:after="0"/>
              <w:ind w:left="0" w:right="0" w:firstLine="30"/>
              <w:rPr/>
            </w:pPr>
            <w:r>
              <w:rPr/>
              <w:t> </w:t>
            </w:r>
          </w:p>
        </w:tc>
        <w:tc>
          <w:tcPr>
            <w:tcW w:w="64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761</w:t>
            </w:r>
          </w:p>
        </w:tc>
        <w:tc>
          <w:tcPr>
            <w:tcW w:w="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auto" w:val="clear"/>
            <w:vAlign w:val="center"/>
          </w:tcPr>
          <w:p>
            <w:pPr>
              <w:pStyle w:val="TableContents"/>
              <w:spacing w:before="0" w:after="0"/>
              <w:jc w:val="right"/>
              <w:rPr>
                <w:rFonts w:ascii="inherit" w:hAnsi="inherit"/>
                <w:sz w:val="17"/>
              </w:rPr>
            </w:pPr>
            <w:r>
              <w:rPr>
                <w:rFonts w:ascii="inherit" w:hAnsi="inherit"/>
                <w:sz w:val="17"/>
              </w:rPr>
              <w:t>57.17</w:t>
            </w:r>
          </w:p>
        </w:tc>
        <w:tc>
          <w:tcPr>
            <w:tcW w:w="1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5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NGL</w:t>
            </w:r>
          </w:p>
        </w:tc>
        <w:tc>
          <w:tcPr>
            <w:tcW w:w="647" w:type="dxa"/>
            <w:tcBorders/>
            <w:shd w:fill="CCEEFF" w:val="clear"/>
            <w:vAlign w:val="center"/>
          </w:tcPr>
          <w:p>
            <w:pPr>
              <w:pStyle w:val="TableContents"/>
              <w:spacing w:before="0" w:after="0"/>
              <w:jc w:val="right"/>
              <w:rPr>
                <w:rFonts w:ascii="inherit" w:hAnsi="inherit"/>
                <w:sz w:val="17"/>
              </w:rPr>
            </w:pPr>
            <w:r>
              <w:rPr>
                <w:rFonts w:ascii="inherit" w:hAnsi="inherit"/>
                <w:sz w:val="17"/>
              </w:rPr>
              <w:t>1,699</w:t>
            </w:r>
          </w:p>
        </w:tc>
        <w:tc>
          <w:tcPr>
            <w:tcW w:w="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barrels</w:t>
            </w:r>
          </w:p>
        </w:tc>
        <w:tc>
          <w:tcPr>
            <w:tcW w:w="90" w:type="dxa"/>
            <w:tcBorders/>
            <w:shd w:fill="CCEEFF" w:val="clear"/>
            <w:vAlign w:val="center"/>
          </w:tcPr>
          <w:p>
            <w:pPr>
              <w:pStyle w:val="TableContents"/>
              <w:spacing w:before="0" w:after="0"/>
              <w:ind w:left="0" w:right="0" w:firstLine="30"/>
              <w:rPr/>
            </w:pPr>
            <w:r>
              <w:rPr/>
              <w:t> </w:t>
            </w:r>
          </w:p>
        </w:tc>
        <w:tc>
          <w:tcPr>
            <w:tcW w:w="64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48</w:t>
            </w:r>
          </w:p>
        </w:tc>
        <w:tc>
          <w:tcPr>
            <w:tcW w:w="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28.25</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647" w:type="dxa"/>
            <w:tcBorders/>
            <w:shd w:fill="CCEEFF" w:val="clear"/>
            <w:vAlign w:val="center"/>
          </w:tcPr>
          <w:p>
            <w:pPr>
              <w:pStyle w:val="TableContents"/>
              <w:spacing w:before="0" w:after="0"/>
              <w:jc w:val="right"/>
              <w:rPr>
                <w:rFonts w:ascii="inherit" w:hAnsi="inherit"/>
                <w:sz w:val="17"/>
              </w:rPr>
            </w:pPr>
            <w:r>
              <w:rPr>
                <w:rFonts w:ascii="inherit" w:hAnsi="inherit"/>
                <w:sz w:val="17"/>
              </w:rPr>
              <w:t>1,730</w:t>
            </w:r>
          </w:p>
        </w:tc>
        <w:tc>
          <w:tcPr>
            <w:tcW w:w="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barrels</w:t>
            </w:r>
          </w:p>
        </w:tc>
        <w:tc>
          <w:tcPr>
            <w:tcW w:w="90" w:type="dxa"/>
            <w:tcBorders/>
            <w:shd w:fill="CCEEFF" w:val="clear"/>
            <w:vAlign w:val="center"/>
          </w:tcPr>
          <w:p>
            <w:pPr>
              <w:pStyle w:val="TableContents"/>
              <w:spacing w:before="0" w:after="0"/>
              <w:ind w:left="0" w:right="0" w:firstLine="30"/>
              <w:rPr/>
            </w:pPr>
            <w:r>
              <w:rPr/>
              <w:t> </w:t>
            </w:r>
          </w:p>
        </w:tc>
        <w:tc>
          <w:tcPr>
            <w:tcW w:w="64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47</w:t>
            </w:r>
          </w:p>
        </w:tc>
        <w:tc>
          <w:tcPr>
            <w:tcW w:w="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27.17</w:t>
            </w:r>
          </w:p>
        </w:tc>
        <w:tc>
          <w:tcPr>
            <w:tcW w:w="1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5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Natural gas</w:t>
            </w:r>
          </w:p>
        </w:tc>
        <w:tc>
          <w:tcPr>
            <w:tcW w:w="647" w:type="dxa"/>
            <w:tcBorders/>
            <w:shd w:fill="auto" w:val="clear"/>
            <w:vAlign w:val="center"/>
          </w:tcPr>
          <w:p>
            <w:pPr>
              <w:pStyle w:val="TableContents"/>
              <w:spacing w:before="0" w:after="0"/>
              <w:jc w:val="right"/>
              <w:rPr>
                <w:rFonts w:ascii="inherit" w:hAnsi="inherit"/>
                <w:sz w:val="17"/>
              </w:rPr>
            </w:pPr>
            <w:r>
              <w:rPr>
                <w:rFonts w:ascii="inherit" w:hAnsi="inherit"/>
                <w:sz w:val="17"/>
              </w:rPr>
              <w:t>24,976</w:t>
            </w:r>
          </w:p>
        </w:tc>
        <w:tc>
          <w:tcPr>
            <w:tcW w:w="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Mcf</w:t>
            </w:r>
          </w:p>
        </w:tc>
        <w:tc>
          <w:tcPr>
            <w:tcW w:w="90" w:type="dxa"/>
            <w:tcBorders/>
            <w:shd w:fill="auto" w:val="clear"/>
            <w:vAlign w:val="center"/>
          </w:tcPr>
          <w:p>
            <w:pPr>
              <w:pStyle w:val="TableContents"/>
              <w:spacing w:before="0" w:after="0"/>
              <w:ind w:left="0" w:right="0" w:firstLine="30"/>
              <w:rPr/>
            </w:pPr>
            <w:r>
              <w:rPr/>
              <w:t> </w:t>
            </w:r>
          </w:p>
        </w:tc>
        <w:tc>
          <w:tcPr>
            <w:tcW w:w="64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108</w:t>
            </w:r>
          </w:p>
        </w:tc>
        <w:tc>
          <w:tcPr>
            <w:tcW w:w="3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auto" w:val="clear"/>
            <w:vAlign w:val="center"/>
          </w:tcPr>
          <w:p>
            <w:pPr>
              <w:pStyle w:val="TableContents"/>
              <w:spacing w:before="0" w:after="0"/>
              <w:jc w:val="right"/>
              <w:rPr>
                <w:rFonts w:ascii="inherit" w:hAnsi="inherit"/>
                <w:sz w:val="17"/>
              </w:rPr>
            </w:pPr>
            <w:r>
              <w:rPr>
                <w:rFonts w:ascii="inherit" w:hAnsi="inherit"/>
                <w:sz w:val="17"/>
              </w:rPr>
              <w:t>4.32</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647" w:type="dxa"/>
            <w:tcBorders/>
            <w:shd w:fill="auto" w:val="clear"/>
            <w:vAlign w:val="center"/>
          </w:tcPr>
          <w:p>
            <w:pPr>
              <w:pStyle w:val="TableContents"/>
              <w:spacing w:before="0" w:after="0"/>
              <w:jc w:val="right"/>
              <w:rPr>
                <w:rFonts w:ascii="inherit" w:hAnsi="inherit"/>
                <w:sz w:val="17"/>
              </w:rPr>
            </w:pPr>
            <w:r>
              <w:rPr>
                <w:rFonts w:ascii="inherit" w:hAnsi="inherit"/>
                <w:sz w:val="17"/>
              </w:rPr>
              <w:t>24,976</w:t>
            </w:r>
          </w:p>
        </w:tc>
        <w:tc>
          <w:tcPr>
            <w:tcW w:w="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Mcf</w:t>
            </w:r>
          </w:p>
        </w:tc>
        <w:tc>
          <w:tcPr>
            <w:tcW w:w="90" w:type="dxa"/>
            <w:tcBorders/>
            <w:shd w:fill="auto" w:val="clear"/>
            <w:vAlign w:val="center"/>
          </w:tcPr>
          <w:p>
            <w:pPr>
              <w:pStyle w:val="TableContents"/>
              <w:spacing w:before="0" w:after="0"/>
              <w:ind w:left="0" w:right="0" w:firstLine="30"/>
              <w:rPr/>
            </w:pPr>
            <w:r>
              <w:rPr/>
              <w:t> </w:t>
            </w:r>
          </w:p>
        </w:tc>
        <w:tc>
          <w:tcPr>
            <w:tcW w:w="64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108</w:t>
            </w:r>
          </w:p>
        </w:tc>
        <w:tc>
          <w:tcPr>
            <w:tcW w:w="3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auto" w:val="clear"/>
            <w:vAlign w:val="center"/>
          </w:tcPr>
          <w:p>
            <w:pPr>
              <w:pStyle w:val="TableContents"/>
              <w:spacing w:before="0" w:after="0"/>
              <w:jc w:val="right"/>
              <w:rPr>
                <w:rFonts w:ascii="inherit" w:hAnsi="inherit"/>
                <w:sz w:val="17"/>
              </w:rPr>
            </w:pPr>
            <w:r>
              <w:rPr>
                <w:rFonts w:ascii="inherit" w:hAnsi="inherit"/>
                <w:sz w:val="17"/>
              </w:rPr>
              <w:t>4.32</w:t>
            </w:r>
          </w:p>
        </w:tc>
        <w:tc>
          <w:tcPr>
            <w:tcW w:w="19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5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Linefill and base gas subtotal</w:t>
            </w:r>
          </w:p>
        </w:tc>
        <w:tc>
          <w:tcPr>
            <w:tcW w:w="647" w:type="dxa"/>
            <w:tcBorders/>
            <w:shd w:fill="CCEEFF" w:val="clear"/>
            <w:vAlign w:val="center"/>
          </w:tcPr>
          <w:p>
            <w:pPr>
              <w:pStyle w:val="TableContents"/>
              <w:spacing w:before="0" w:after="0"/>
              <w:jc w:val="right"/>
              <w:rPr/>
            </w:pPr>
            <w:r>
              <w:rPr/>
              <w:t> </w:t>
            </w:r>
          </w:p>
        </w:tc>
        <w:tc>
          <w:tcPr>
            <w:tcW w:w="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80" w:type="dxa"/>
            <w:tcBorders/>
            <w:shd w:fill="CCEEFF" w:val="clear"/>
            <w:vAlign w:val="center"/>
          </w:tcPr>
          <w:p>
            <w:pPr>
              <w:pStyle w:val="TableContents"/>
              <w:spacing w:before="0" w:after="0"/>
              <w:ind w:left="0" w:right="0" w:firstLine="30"/>
              <w:jc w:val="left"/>
              <w:rPr/>
            </w:pPr>
            <w:r>
              <w:rPr/>
              <w:t> </w:t>
            </w:r>
          </w:p>
        </w:tc>
        <w:tc>
          <w:tcPr>
            <w:tcW w:w="90" w:type="dxa"/>
            <w:tcBorders/>
            <w:shd w:fill="CCEEFF" w:val="clear"/>
            <w:vAlign w:val="center"/>
          </w:tcPr>
          <w:p>
            <w:pPr>
              <w:pStyle w:val="TableContents"/>
              <w:spacing w:before="0" w:after="0"/>
              <w:ind w:left="0" w:right="0" w:firstLine="30"/>
              <w:rPr/>
            </w:pPr>
            <w:r>
              <w:rPr/>
              <w:t> </w:t>
            </w:r>
          </w:p>
        </w:tc>
        <w:tc>
          <w:tcPr>
            <w:tcW w:w="64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922</w:t>
            </w:r>
          </w:p>
        </w:tc>
        <w:tc>
          <w:tcPr>
            <w:tcW w:w="3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pPr>
            <w:r>
              <w:rPr/>
              <w:t> </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647" w:type="dxa"/>
            <w:tcBorders/>
            <w:shd w:fill="CCEEFF" w:val="clear"/>
            <w:vAlign w:val="center"/>
          </w:tcPr>
          <w:p>
            <w:pPr>
              <w:pStyle w:val="TableContents"/>
              <w:spacing w:before="0" w:after="0"/>
              <w:jc w:val="right"/>
              <w:rPr/>
            </w:pPr>
            <w:r>
              <w:rPr/>
              <w:t> </w:t>
            </w:r>
          </w:p>
        </w:tc>
        <w:tc>
          <w:tcPr>
            <w:tcW w:w="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80" w:type="dxa"/>
            <w:tcBorders/>
            <w:shd w:fill="CCEEFF" w:val="clear"/>
            <w:vAlign w:val="center"/>
          </w:tcPr>
          <w:p>
            <w:pPr>
              <w:pStyle w:val="TableContents"/>
              <w:spacing w:before="0" w:after="0"/>
              <w:ind w:left="0" w:right="0" w:firstLine="30"/>
              <w:jc w:val="left"/>
              <w:rPr/>
            </w:pPr>
            <w:r>
              <w:rPr/>
              <w:t> </w:t>
            </w:r>
          </w:p>
        </w:tc>
        <w:tc>
          <w:tcPr>
            <w:tcW w:w="90" w:type="dxa"/>
            <w:tcBorders/>
            <w:shd w:fill="CCEEFF" w:val="clear"/>
            <w:vAlign w:val="center"/>
          </w:tcPr>
          <w:p>
            <w:pPr>
              <w:pStyle w:val="TableContents"/>
              <w:spacing w:before="0" w:after="0"/>
              <w:ind w:left="0" w:right="0" w:firstLine="30"/>
              <w:rPr/>
            </w:pPr>
            <w:r>
              <w:rPr/>
              <w:t> </w:t>
            </w:r>
          </w:p>
        </w:tc>
        <w:tc>
          <w:tcPr>
            <w:tcW w:w="64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916</w:t>
            </w:r>
          </w:p>
        </w:tc>
        <w:tc>
          <w:tcPr>
            <w:tcW w:w="3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pPr>
            <w:r>
              <w:rPr/>
              <w:t> </w:t>
            </w:r>
          </w:p>
        </w:tc>
        <w:tc>
          <w:tcPr>
            <w:tcW w:w="1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510" w:type="dxa"/>
            <w:tcBorders/>
            <w:shd w:fill="auto" w:val="clear"/>
            <w:vAlign w:val="center"/>
          </w:tcPr>
          <w:p>
            <w:pPr>
              <w:pStyle w:val="TableContents"/>
              <w:spacing w:before="0" w:after="0"/>
              <w:ind w:left="0" w:right="0" w:firstLine="30"/>
              <w:rPr/>
            </w:pPr>
            <w:r>
              <w:rPr/>
              <w:t> </w:t>
            </w:r>
          </w:p>
        </w:tc>
        <w:tc>
          <w:tcPr>
            <w:tcW w:w="680" w:type="dxa"/>
            <w:gridSpan w:val="2"/>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8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8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4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680" w:type="dxa"/>
            <w:gridSpan w:val="2"/>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8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8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05" w:type="dxa"/>
            <w:gridSpan w:val="3"/>
            <w:tcBorders/>
            <w:shd w:fill="auto" w:val="clear"/>
            <w:vAlign w:val="center"/>
          </w:tcPr>
          <w:p>
            <w:pPr>
              <w:pStyle w:val="TableContents"/>
              <w:spacing w:before="0" w:after="0"/>
              <w:ind w:left="0" w:right="0" w:firstLine="30"/>
              <w:rPr/>
            </w:pPr>
            <w:r>
              <w:rPr/>
              <w:t> </w:t>
            </w:r>
          </w:p>
        </w:tc>
      </w:tr>
      <w:tr>
        <w:trPr/>
        <w:tc>
          <w:tcPr>
            <w:tcW w:w="2510" w:type="dxa"/>
            <w:tcBorders/>
            <w:shd w:fill="CCEEFF" w:val="clear"/>
            <w:vAlign w:val="center"/>
          </w:tcPr>
          <w:p>
            <w:pPr>
              <w:pStyle w:val="TableContents"/>
              <w:spacing w:before="0" w:after="0"/>
              <w:ind w:left="0" w:right="0" w:firstLine="30"/>
              <w:rPr>
                <w:rFonts w:ascii="inherit" w:hAnsi="inherit"/>
                <w:b/>
                <w:sz w:val="17"/>
              </w:rPr>
            </w:pPr>
            <w:r>
              <w:rPr>
                <w:rFonts w:ascii="inherit" w:hAnsi="inherit"/>
                <w:b/>
                <w:sz w:val="17"/>
              </w:rPr>
              <w:t>Long-term inventory</w:t>
            </w:r>
          </w:p>
        </w:tc>
        <w:tc>
          <w:tcPr>
            <w:tcW w:w="647" w:type="dxa"/>
            <w:tcBorders/>
            <w:shd w:fill="CCEEFF" w:val="clear"/>
            <w:vAlign w:val="center"/>
          </w:tcPr>
          <w:p>
            <w:pPr>
              <w:pStyle w:val="TableContents"/>
              <w:spacing w:before="0" w:after="0"/>
              <w:jc w:val="right"/>
              <w:rPr/>
            </w:pPr>
            <w:r>
              <w:rPr/>
              <w:t> </w:t>
            </w:r>
          </w:p>
        </w:tc>
        <w:tc>
          <w:tcPr>
            <w:tcW w:w="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80" w:type="dxa"/>
            <w:tcBorders/>
            <w:shd w:fill="CCEEFF" w:val="clear"/>
            <w:vAlign w:val="center"/>
          </w:tcPr>
          <w:p>
            <w:pPr>
              <w:pStyle w:val="TableContents"/>
              <w:spacing w:before="0" w:after="0"/>
              <w:ind w:left="0" w:right="0" w:firstLine="30"/>
              <w:jc w:val="left"/>
              <w:rPr/>
            </w:pPr>
            <w:r>
              <w:rPr/>
              <w:t> </w:t>
            </w:r>
          </w:p>
        </w:tc>
        <w:tc>
          <w:tcPr>
            <w:tcW w:w="90" w:type="dxa"/>
            <w:tcBorders/>
            <w:shd w:fill="CCEEFF" w:val="clear"/>
            <w:vAlign w:val="center"/>
          </w:tcPr>
          <w:p>
            <w:pPr>
              <w:pStyle w:val="TableContents"/>
              <w:spacing w:before="0" w:after="0"/>
              <w:ind w:left="0" w:right="0" w:firstLine="30"/>
              <w:rPr/>
            </w:pPr>
            <w:r>
              <w:rPr/>
              <w:t> </w:t>
            </w:r>
          </w:p>
        </w:tc>
        <w:tc>
          <w:tcPr>
            <w:tcW w:w="647" w:type="dxa"/>
            <w:gridSpan w:val="2"/>
            <w:tcBorders/>
            <w:shd w:fill="CCEEFF" w:val="clear"/>
            <w:vAlign w:val="center"/>
          </w:tcPr>
          <w:p>
            <w:pPr>
              <w:pStyle w:val="TableContents"/>
              <w:spacing w:before="0" w:after="0"/>
              <w:jc w:val="right"/>
              <w:rPr/>
            </w:pPr>
            <w:r>
              <w:rPr/>
              <w:t> </w:t>
            </w:r>
          </w:p>
        </w:tc>
        <w:tc>
          <w:tcPr>
            <w:tcW w:w="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pPr>
            <w:r>
              <w:rPr/>
              <w:t> </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647" w:type="dxa"/>
            <w:tcBorders/>
            <w:shd w:fill="CCEEFF" w:val="clear"/>
            <w:vAlign w:val="center"/>
          </w:tcPr>
          <w:p>
            <w:pPr>
              <w:pStyle w:val="TableContents"/>
              <w:spacing w:before="0" w:after="0"/>
              <w:jc w:val="right"/>
              <w:rPr/>
            </w:pPr>
            <w:r>
              <w:rPr/>
              <w:t> </w:t>
            </w:r>
          </w:p>
        </w:tc>
        <w:tc>
          <w:tcPr>
            <w:tcW w:w="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80" w:type="dxa"/>
            <w:tcBorders/>
            <w:shd w:fill="CCEEFF" w:val="clear"/>
            <w:vAlign w:val="center"/>
          </w:tcPr>
          <w:p>
            <w:pPr>
              <w:pStyle w:val="TableContents"/>
              <w:spacing w:before="0" w:after="0"/>
              <w:ind w:left="0" w:right="0" w:firstLine="30"/>
              <w:jc w:val="left"/>
              <w:rPr/>
            </w:pPr>
            <w:r>
              <w:rPr/>
              <w:t> </w:t>
            </w:r>
          </w:p>
        </w:tc>
        <w:tc>
          <w:tcPr>
            <w:tcW w:w="90" w:type="dxa"/>
            <w:tcBorders/>
            <w:shd w:fill="CCEEFF" w:val="clear"/>
            <w:vAlign w:val="center"/>
          </w:tcPr>
          <w:p>
            <w:pPr>
              <w:pStyle w:val="TableContents"/>
              <w:spacing w:before="0" w:after="0"/>
              <w:ind w:left="0" w:right="0" w:firstLine="30"/>
              <w:rPr/>
            </w:pPr>
            <w:r>
              <w:rPr/>
              <w:t> </w:t>
            </w:r>
          </w:p>
        </w:tc>
        <w:tc>
          <w:tcPr>
            <w:tcW w:w="647" w:type="dxa"/>
            <w:gridSpan w:val="2"/>
            <w:tcBorders/>
            <w:shd w:fill="CCEEFF" w:val="clear"/>
            <w:vAlign w:val="center"/>
          </w:tcPr>
          <w:p>
            <w:pPr>
              <w:pStyle w:val="TableContents"/>
              <w:spacing w:before="0" w:after="0"/>
              <w:jc w:val="right"/>
              <w:rPr/>
            </w:pPr>
            <w:r>
              <w:rPr/>
              <w:t> </w:t>
            </w:r>
          </w:p>
        </w:tc>
        <w:tc>
          <w:tcPr>
            <w:tcW w:w="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pPr>
            <w:r>
              <w:rPr/>
              <w:t> </w:t>
            </w:r>
          </w:p>
        </w:tc>
        <w:tc>
          <w:tcPr>
            <w:tcW w:w="1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5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Crude oil</w:t>
            </w:r>
          </w:p>
        </w:tc>
        <w:tc>
          <w:tcPr>
            <w:tcW w:w="647" w:type="dxa"/>
            <w:tcBorders/>
            <w:shd w:fill="auto" w:val="clear"/>
            <w:vAlign w:val="center"/>
          </w:tcPr>
          <w:p>
            <w:pPr>
              <w:pStyle w:val="TableContents"/>
              <w:spacing w:before="0" w:after="0"/>
              <w:jc w:val="right"/>
              <w:rPr>
                <w:rFonts w:ascii="inherit" w:hAnsi="inherit"/>
                <w:sz w:val="17"/>
              </w:rPr>
            </w:pPr>
            <w:r>
              <w:rPr>
                <w:rFonts w:ascii="inherit" w:hAnsi="inherit"/>
                <w:sz w:val="17"/>
              </w:rPr>
              <w:t>2,448</w:t>
            </w:r>
          </w:p>
        </w:tc>
        <w:tc>
          <w:tcPr>
            <w:tcW w:w="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barrels</w:t>
            </w:r>
          </w:p>
        </w:tc>
        <w:tc>
          <w:tcPr>
            <w:tcW w:w="90" w:type="dxa"/>
            <w:tcBorders/>
            <w:shd w:fill="auto" w:val="clear"/>
            <w:vAlign w:val="center"/>
          </w:tcPr>
          <w:p>
            <w:pPr>
              <w:pStyle w:val="TableContents"/>
              <w:spacing w:before="0" w:after="0"/>
              <w:ind w:left="0" w:right="0" w:firstLine="30"/>
              <w:rPr/>
            </w:pPr>
            <w:r>
              <w:rPr/>
              <w:t> </w:t>
            </w:r>
          </w:p>
        </w:tc>
        <w:tc>
          <w:tcPr>
            <w:tcW w:w="64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126</w:t>
            </w:r>
          </w:p>
        </w:tc>
        <w:tc>
          <w:tcPr>
            <w:tcW w:w="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auto" w:val="clear"/>
            <w:vAlign w:val="center"/>
          </w:tcPr>
          <w:p>
            <w:pPr>
              <w:pStyle w:val="TableContents"/>
              <w:spacing w:before="0" w:after="0"/>
              <w:jc w:val="right"/>
              <w:rPr>
                <w:rFonts w:ascii="inherit" w:hAnsi="inherit"/>
                <w:sz w:val="17"/>
              </w:rPr>
            </w:pPr>
            <w:r>
              <w:rPr>
                <w:rFonts w:ascii="inherit" w:hAnsi="inherit"/>
                <w:sz w:val="17"/>
              </w:rPr>
              <w:t>51.47</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647" w:type="dxa"/>
            <w:tcBorders/>
            <w:shd w:fill="auto" w:val="clear"/>
            <w:vAlign w:val="center"/>
          </w:tcPr>
          <w:p>
            <w:pPr>
              <w:pStyle w:val="TableContents"/>
              <w:spacing w:before="0" w:after="0"/>
              <w:jc w:val="right"/>
              <w:rPr>
                <w:rFonts w:ascii="inherit" w:hAnsi="inherit"/>
                <w:sz w:val="17"/>
              </w:rPr>
            </w:pPr>
            <w:r>
              <w:rPr>
                <w:rFonts w:ascii="inherit" w:hAnsi="inherit"/>
                <w:sz w:val="17"/>
              </w:rPr>
              <w:t>1,890</w:t>
            </w:r>
          </w:p>
        </w:tc>
        <w:tc>
          <w:tcPr>
            <w:tcW w:w="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barrels</w:t>
            </w:r>
          </w:p>
        </w:tc>
        <w:tc>
          <w:tcPr>
            <w:tcW w:w="90" w:type="dxa"/>
            <w:tcBorders/>
            <w:shd w:fill="auto" w:val="clear"/>
            <w:vAlign w:val="center"/>
          </w:tcPr>
          <w:p>
            <w:pPr>
              <w:pStyle w:val="TableContents"/>
              <w:spacing w:before="0" w:after="0"/>
              <w:ind w:left="0" w:right="0" w:firstLine="30"/>
              <w:rPr/>
            </w:pPr>
            <w:r>
              <w:rPr/>
              <w:t> </w:t>
            </w:r>
          </w:p>
        </w:tc>
        <w:tc>
          <w:tcPr>
            <w:tcW w:w="64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79</w:t>
            </w:r>
          </w:p>
        </w:tc>
        <w:tc>
          <w:tcPr>
            <w:tcW w:w="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auto" w:val="clear"/>
            <w:vAlign w:val="center"/>
          </w:tcPr>
          <w:p>
            <w:pPr>
              <w:pStyle w:val="TableContents"/>
              <w:spacing w:before="0" w:after="0"/>
              <w:jc w:val="right"/>
              <w:rPr>
                <w:rFonts w:ascii="inherit" w:hAnsi="inherit"/>
                <w:sz w:val="17"/>
              </w:rPr>
            </w:pPr>
            <w:r>
              <w:rPr>
                <w:rFonts w:ascii="inherit" w:hAnsi="inherit"/>
                <w:sz w:val="17"/>
              </w:rPr>
              <w:t>41.80</w:t>
            </w:r>
          </w:p>
        </w:tc>
        <w:tc>
          <w:tcPr>
            <w:tcW w:w="1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5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NGL</w:t>
            </w:r>
          </w:p>
        </w:tc>
        <w:tc>
          <w:tcPr>
            <w:tcW w:w="647" w:type="dxa"/>
            <w:tcBorders/>
            <w:shd w:fill="CCEEFF" w:val="clear"/>
            <w:vAlign w:val="center"/>
          </w:tcPr>
          <w:p>
            <w:pPr>
              <w:pStyle w:val="TableContents"/>
              <w:spacing w:before="0" w:after="0"/>
              <w:jc w:val="right"/>
              <w:rPr>
                <w:rFonts w:ascii="inherit" w:hAnsi="inherit"/>
                <w:sz w:val="17"/>
              </w:rPr>
            </w:pPr>
            <w:r>
              <w:rPr>
                <w:rFonts w:ascii="inherit" w:hAnsi="inherit"/>
                <w:sz w:val="17"/>
              </w:rPr>
              <w:t>1,875</w:t>
            </w:r>
          </w:p>
        </w:tc>
        <w:tc>
          <w:tcPr>
            <w:tcW w:w="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barrels</w:t>
            </w:r>
          </w:p>
        </w:tc>
        <w:tc>
          <w:tcPr>
            <w:tcW w:w="90" w:type="dxa"/>
            <w:tcBorders/>
            <w:shd w:fill="CCEEFF" w:val="clear"/>
            <w:vAlign w:val="center"/>
          </w:tcPr>
          <w:p>
            <w:pPr>
              <w:pStyle w:val="TableContents"/>
              <w:spacing w:before="0" w:after="0"/>
              <w:ind w:left="0" w:right="0" w:firstLine="30"/>
              <w:rPr/>
            </w:pPr>
            <w:r>
              <w:rPr/>
              <w:t> </w:t>
            </w:r>
          </w:p>
        </w:tc>
        <w:tc>
          <w:tcPr>
            <w:tcW w:w="64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26</w:t>
            </w:r>
          </w:p>
        </w:tc>
        <w:tc>
          <w:tcPr>
            <w:tcW w:w="3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13.87</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647" w:type="dxa"/>
            <w:tcBorders/>
            <w:shd w:fill="CCEEFF" w:val="clear"/>
            <w:vAlign w:val="center"/>
          </w:tcPr>
          <w:p>
            <w:pPr>
              <w:pStyle w:val="TableContents"/>
              <w:spacing w:before="0" w:after="0"/>
              <w:jc w:val="right"/>
              <w:rPr>
                <w:rFonts w:ascii="inherit" w:hAnsi="inherit"/>
                <w:sz w:val="17"/>
              </w:rPr>
            </w:pPr>
            <w:r>
              <w:rPr>
                <w:rFonts w:ascii="inherit" w:hAnsi="inherit"/>
                <w:sz w:val="17"/>
              </w:rPr>
              <w:t>2,368</w:t>
            </w:r>
          </w:p>
        </w:tc>
        <w:tc>
          <w:tcPr>
            <w:tcW w:w="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barrels</w:t>
            </w:r>
          </w:p>
        </w:tc>
        <w:tc>
          <w:tcPr>
            <w:tcW w:w="90" w:type="dxa"/>
            <w:tcBorders/>
            <w:shd w:fill="CCEEFF" w:val="clear"/>
            <w:vAlign w:val="center"/>
          </w:tcPr>
          <w:p>
            <w:pPr>
              <w:pStyle w:val="TableContents"/>
              <w:spacing w:before="0" w:after="0"/>
              <w:ind w:left="0" w:right="0" w:firstLine="30"/>
              <w:rPr/>
            </w:pPr>
            <w:r>
              <w:rPr/>
              <w:t> </w:t>
            </w:r>
          </w:p>
        </w:tc>
        <w:tc>
          <w:tcPr>
            <w:tcW w:w="64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57</w:t>
            </w:r>
          </w:p>
        </w:tc>
        <w:tc>
          <w:tcPr>
            <w:tcW w:w="3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24.07</w:t>
            </w:r>
          </w:p>
        </w:tc>
        <w:tc>
          <w:tcPr>
            <w:tcW w:w="19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5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Long-term inventory subtotal</w:t>
            </w:r>
          </w:p>
        </w:tc>
        <w:tc>
          <w:tcPr>
            <w:tcW w:w="647" w:type="dxa"/>
            <w:tcBorders/>
            <w:shd w:fill="auto" w:val="clear"/>
            <w:vAlign w:val="center"/>
          </w:tcPr>
          <w:p>
            <w:pPr>
              <w:pStyle w:val="TableContents"/>
              <w:spacing w:before="0" w:after="0"/>
              <w:jc w:val="right"/>
              <w:rPr/>
            </w:pPr>
            <w:r>
              <w:rPr/>
              <w:t> </w:t>
            </w:r>
          </w:p>
        </w:tc>
        <w:tc>
          <w:tcPr>
            <w:tcW w:w="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8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64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152</w:t>
            </w:r>
          </w:p>
        </w:tc>
        <w:tc>
          <w:tcPr>
            <w:tcW w:w="3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pPr>
            <w:r>
              <w:rPr/>
              <w:t> </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647" w:type="dxa"/>
            <w:tcBorders/>
            <w:shd w:fill="auto" w:val="clear"/>
            <w:vAlign w:val="center"/>
          </w:tcPr>
          <w:p>
            <w:pPr>
              <w:pStyle w:val="TableContents"/>
              <w:spacing w:before="0" w:after="0"/>
              <w:jc w:val="right"/>
              <w:rPr/>
            </w:pPr>
            <w:r>
              <w:rPr/>
              <w:t> </w:t>
            </w:r>
          </w:p>
        </w:tc>
        <w:tc>
          <w:tcPr>
            <w:tcW w:w="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8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64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136</w:t>
            </w:r>
          </w:p>
        </w:tc>
        <w:tc>
          <w:tcPr>
            <w:tcW w:w="3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pPr>
            <w:r>
              <w:rPr/>
              <w:t> </w:t>
            </w:r>
          </w:p>
        </w:tc>
        <w:tc>
          <w:tcPr>
            <w:tcW w:w="1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510" w:type="dxa"/>
            <w:tcBorders/>
            <w:shd w:fill="CCEEFF" w:val="clear"/>
            <w:vAlign w:val="center"/>
          </w:tcPr>
          <w:p>
            <w:pPr>
              <w:pStyle w:val="TableContents"/>
              <w:spacing w:before="0" w:after="0"/>
              <w:ind w:left="0" w:right="0" w:firstLine="30"/>
              <w:rPr/>
            </w:pPr>
            <w:r>
              <w:rPr/>
              <w:t> </w:t>
            </w:r>
          </w:p>
        </w:tc>
        <w:tc>
          <w:tcPr>
            <w:tcW w:w="680" w:type="dxa"/>
            <w:gridSpan w:val="2"/>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680"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68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64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680" w:type="dxa"/>
            <w:gridSpan w:val="2"/>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680"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68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05" w:type="dxa"/>
            <w:gridSpan w:val="3"/>
            <w:tcBorders/>
            <w:shd w:fill="CCEEFF" w:val="clear"/>
            <w:vAlign w:val="center"/>
          </w:tcPr>
          <w:p>
            <w:pPr>
              <w:pStyle w:val="TableContents"/>
              <w:spacing w:before="0" w:after="0"/>
              <w:ind w:left="0" w:right="0" w:firstLine="30"/>
              <w:rPr/>
            </w:pPr>
            <w:r>
              <w:rPr/>
              <w:t> </w:t>
            </w:r>
          </w:p>
        </w:tc>
      </w:tr>
      <w:tr>
        <w:trPr/>
        <w:tc>
          <w:tcPr>
            <w:tcW w:w="2510" w:type="dxa"/>
            <w:tcBorders/>
            <w:shd w:fill="auto" w:val="clear"/>
            <w:vAlign w:val="center"/>
          </w:tcPr>
          <w:p>
            <w:pPr>
              <w:pStyle w:val="TableContents"/>
              <w:spacing w:before="0" w:after="0"/>
              <w:ind w:left="0" w:right="0" w:firstLine="30"/>
              <w:rPr>
                <w:rFonts w:ascii="inherit" w:hAnsi="inherit"/>
                <w:b/>
                <w:sz w:val="17"/>
              </w:rPr>
            </w:pPr>
            <w:r>
              <w:rPr>
                <w:rFonts w:ascii="inherit" w:hAnsi="inherit"/>
                <w:b/>
                <w:sz w:val="17"/>
              </w:rPr>
              <w:t>Total</w:t>
            </w:r>
          </w:p>
        </w:tc>
        <w:tc>
          <w:tcPr>
            <w:tcW w:w="647" w:type="dxa"/>
            <w:tcBorders/>
            <w:shd w:fill="auto" w:val="clear"/>
            <w:vAlign w:val="center"/>
          </w:tcPr>
          <w:p>
            <w:pPr>
              <w:pStyle w:val="TableContents"/>
              <w:spacing w:before="0" w:after="0"/>
              <w:jc w:val="right"/>
              <w:rPr/>
            </w:pPr>
            <w:r>
              <w:rPr/>
              <w:t> </w:t>
            </w:r>
          </w:p>
        </w:tc>
        <w:tc>
          <w:tcPr>
            <w:tcW w:w="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80" w:type="dxa"/>
            <w:tcBorders/>
            <w:shd w:fill="auto" w:val="clear"/>
            <w:vAlign w:val="center"/>
          </w:tcPr>
          <w:p>
            <w:pPr>
              <w:pStyle w:val="TableContents"/>
              <w:spacing w:before="0" w:after="0"/>
              <w:ind w:left="0" w:right="0" w:firstLine="30"/>
              <w:jc w:val="right"/>
              <w:rPr/>
            </w:pPr>
            <w:r>
              <w:rPr/>
              <w:t> </w:t>
            </w:r>
          </w:p>
        </w:tc>
        <w:tc>
          <w:tcPr>
            <w:tcW w:w="90" w:type="dxa"/>
            <w:tcBorders/>
            <w:shd w:fill="auto" w:val="clear"/>
            <w:vAlign w:val="center"/>
          </w:tcPr>
          <w:p>
            <w:pPr>
              <w:pStyle w:val="TableContents"/>
              <w:spacing w:before="0" w:after="0"/>
              <w:ind w:left="0" w:right="0" w:firstLine="30"/>
              <w:rPr/>
            </w:pPr>
            <w:r>
              <w:rPr/>
              <w:t> </w:t>
            </w:r>
          </w:p>
        </w:tc>
        <w:tc>
          <w:tcPr>
            <w:tcW w:w="132"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1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1,632</w:t>
            </w:r>
          </w:p>
        </w:tc>
        <w:tc>
          <w:tcPr>
            <w:tcW w:w="33"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pPr>
            <w:r>
              <w:rPr/>
              <w:t> </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647" w:type="dxa"/>
            <w:tcBorders/>
            <w:shd w:fill="auto" w:val="clear"/>
            <w:vAlign w:val="center"/>
          </w:tcPr>
          <w:p>
            <w:pPr>
              <w:pStyle w:val="TableContents"/>
              <w:spacing w:before="0" w:after="0"/>
              <w:jc w:val="right"/>
              <w:rPr/>
            </w:pPr>
            <w:r>
              <w:rPr/>
              <w:t> </w:t>
            </w:r>
          </w:p>
        </w:tc>
        <w:tc>
          <w:tcPr>
            <w:tcW w:w="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80" w:type="dxa"/>
            <w:tcBorders/>
            <w:shd w:fill="auto" w:val="clear"/>
            <w:vAlign w:val="center"/>
          </w:tcPr>
          <w:p>
            <w:pPr>
              <w:pStyle w:val="TableContents"/>
              <w:spacing w:before="0" w:after="0"/>
              <w:ind w:left="0" w:right="0" w:firstLine="30"/>
              <w:jc w:val="right"/>
              <w:rPr/>
            </w:pPr>
            <w:r>
              <w:rPr/>
              <w:t> </w:t>
            </w:r>
          </w:p>
        </w:tc>
        <w:tc>
          <w:tcPr>
            <w:tcW w:w="90" w:type="dxa"/>
            <w:tcBorders/>
            <w:shd w:fill="auto" w:val="clear"/>
            <w:vAlign w:val="center"/>
          </w:tcPr>
          <w:p>
            <w:pPr>
              <w:pStyle w:val="TableContents"/>
              <w:spacing w:before="0" w:after="0"/>
              <w:ind w:left="0" w:right="0" w:firstLine="30"/>
              <w:rPr/>
            </w:pPr>
            <w:r>
              <w:rPr/>
              <w:t> </w:t>
            </w:r>
          </w:p>
        </w:tc>
        <w:tc>
          <w:tcPr>
            <w:tcW w:w="132"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1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1,692</w:t>
            </w:r>
          </w:p>
        </w:tc>
        <w:tc>
          <w:tcPr>
            <w:tcW w:w="33"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pPr>
            <w:r>
              <w:rPr/>
              <w:t> </w:t>
            </w:r>
          </w:p>
        </w:tc>
        <w:tc>
          <w:tcPr>
            <w:tcW w:w="195"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sz w:val="4"/>
                <w:szCs w:val="4"/>
              </w:rPr>
            </w:pPr>
            <w:r>
              <w:rPr>
                <w:sz w:val="4"/>
                <w:szCs w:val="4"/>
              </w:rPr>
            </w:r>
          </w:p>
        </w:tc>
      </w:tr>
      <w:tr>
        <w:trPr/>
        <w:tc>
          <w:tcPr>
            <w:tcW w:w="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 w:type="dxa"/>
            <w:tcBorders>
              <w:bottom w:val="single" w:sz="2" w:space="0" w:color="000000"/>
            </w:tcBorders>
            <w:shd w:fill="auto" w:val="clear"/>
            <w:tcMar>
              <w:bottom w:w="30" w:type="dxa"/>
            </w:tcMar>
            <w:vAlign w:val="center"/>
          </w:tcPr>
          <w:p>
            <w:pPr>
              <w:pStyle w:val="TableContents"/>
              <w:spacing w:before="0" w:after="0"/>
              <w:rPr/>
            </w:pPr>
            <w:r>
              <w:rPr/>
              <w:t> </w:t>
            </w:r>
          </w:p>
        </w:tc>
      </w:tr>
    </w:tbl>
    <w:tbl>
      <w:tblPr>
        <w:tblW w:w="10205" w:type="dxa"/>
        <w:jc w:val="left"/>
        <w:tblInd w:w="0" w:type="dxa"/>
        <w:tblCellMar>
          <w:top w:w="0" w:type="dxa"/>
          <w:left w:w="0" w:type="dxa"/>
          <w:bottom w:w="0" w:type="dxa"/>
          <w:right w:w="0" w:type="dxa"/>
        </w:tblCellMar>
      </w:tblPr>
      <w:tblGrid>
        <w:gridCol w:w="203"/>
        <w:gridCol w:w="10002"/>
      </w:tblGrid>
      <w:tr>
        <w:trPr/>
        <w:tc>
          <w:tcPr>
            <w:tcW w:w="203" w:type="dxa"/>
            <w:tcBorders/>
            <w:shd w:fill="auto" w:val="clear"/>
            <w:vAlign w:val="center"/>
          </w:tcPr>
          <w:p>
            <w:pPr>
              <w:pStyle w:val="TableContents"/>
              <w:spacing w:before="0" w:after="283"/>
              <w:rPr>
                <w:sz w:val="4"/>
                <w:szCs w:val="4"/>
              </w:rPr>
            </w:pPr>
            <w:r>
              <w:rPr>
                <w:sz w:val="4"/>
                <w:szCs w:val="4"/>
              </w:rPr>
            </w:r>
          </w:p>
        </w:tc>
        <w:tc>
          <w:tcPr>
            <w:tcW w:w="10002" w:type="dxa"/>
            <w:tcBorders/>
            <w:shd w:fill="auto" w:val="clear"/>
            <w:vAlign w:val="center"/>
          </w:tcPr>
          <w:p>
            <w:pPr>
              <w:pStyle w:val="TableContents"/>
              <w:spacing w:before="0" w:after="283"/>
              <w:rPr>
                <w:sz w:val="4"/>
                <w:szCs w:val="4"/>
              </w:rPr>
            </w:pPr>
            <w:r>
              <w:rPr>
                <w:sz w:val="4"/>
                <w:szCs w:val="4"/>
              </w:rPr>
            </w:r>
          </w:p>
        </w:tc>
      </w:tr>
      <w:tr>
        <w:trPr/>
        <w:tc>
          <w:tcPr>
            <w:tcW w:w="203"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(1)</w:t>
            </w:r>
            <w:r>
              <w:rPr>
                <w:rFonts w:ascii="inherit" w:hAnsi="inherit"/>
                <w:sz w:val="17"/>
              </w:rPr>
              <w:t> </w:t>
            </w:r>
          </w:p>
        </w:tc>
        <w:tc>
          <w:tcPr>
            <w:tcW w:w="10002" w:type="dxa"/>
            <w:tcBorders/>
            <w:shd w:fill="auto" w:val="clear"/>
            <w:vAlign w:val="center"/>
          </w:tcPr>
          <w:p>
            <w:pPr>
              <w:pStyle w:val="TableContents"/>
              <w:spacing w:lineRule="auto" w:line="288" w:before="0" w:after="0"/>
              <w:rPr>
                <w:rFonts w:ascii="inherit" w:hAnsi="inherit"/>
                <w:sz w:val="17"/>
              </w:rPr>
            </w:pPr>
            <w:r>
              <w:rPr>
                <w:rFonts w:ascii="inherit" w:hAnsi="inherit"/>
                <w:sz w:val="17"/>
              </w:rPr>
              <w:t>Price per unit of measure is comprised of a weighted average associated with various grades, qualities and locations. Accordingly, these prices may not coincide with any published benchmarks for such products.</w:t>
            </w:r>
          </w:p>
        </w:tc>
      </w:tr>
    </w:tbl>
    <w:p>
      <w:pPr>
        <w:pStyle w:val="TextBody"/>
        <w:spacing w:lineRule="auto" w:line="288" w:before="0" w:after="0"/>
        <w:ind w:left="0" w:right="0" w:firstLine="720"/>
        <w:rPr/>
      </w:pPr>
      <w:r>
        <w:rPr/>
        <w:t>    </w:t>
      </w:r>
    </w:p>
    <w:p>
      <w:pPr>
        <w:pStyle w:val="TextBody"/>
        <w:spacing w:lineRule="auto" w:line="288" w:before="0" w:after="0"/>
        <w:rPr>
          <w:rFonts w:ascii="inherit" w:hAnsi="inherit"/>
          <w:b/>
          <w:sz w:val="17"/>
        </w:rPr>
      </w:pPr>
      <w:bookmarkStart w:id="19" w:name="s724EC49287905C85990D0843190226CD"/>
      <w:bookmarkEnd w:id="19"/>
      <w:r>
        <w:rPr>
          <w:rFonts w:ascii="inherit" w:hAnsi="inherit"/>
          <w:b/>
          <w:sz w:val="17"/>
        </w:rPr>
        <w:t xml:space="preserve">Note 6—Goodwill </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Goodwill by segment and changes in goodwill are reflected in the following table (in millions):</w:t>
      </w:r>
    </w:p>
    <w:tbl>
      <w:tblPr>
        <w:tblW w:w="7980" w:type="dxa"/>
        <w:jc w:val="left"/>
        <w:tblInd w:w="0" w:type="dxa"/>
        <w:tblCellMar>
          <w:top w:w="0" w:type="dxa"/>
          <w:left w:w="0" w:type="dxa"/>
          <w:bottom w:w="0" w:type="dxa"/>
          <w:right w:w="0" w:type="dxa"/>
        </w:tblCellMar>
      </w:tblPr>
      <w:tblGrid>
        <w:gridCol w:w="3515"/>
        <w:gridCol w:w="220"/>
        <w:gridCol w:w="856"/>
        <w:gridCol w:w="54"/>
        <w:gridCol w:w="90"/>
        <w:gridCol w:w="181"/>
        <w:gridCol w:w="485"/>
        <w:gridCol w:w="44"/>
        <w:gridCol w:w="90"/>
        <w:gridCol w:w="395"/>
        <w:gridCol w:w="1059"/>
        <w:gridCol w:w="96"/>
        <w:gridCol w:w="90"/>
        <w:gridCol w:w="125"/>
        <w:gridCol w:w="485"/>
        <w:gridCol w:w="195"/>
      </w:tblGrid>
      <w:tr>
        <w:trPr/>
        <w:tc>
          <w:tcPr>
            <w:tcW w:w="7980" w:type="dxa"/>
            <w:gridSpan w:val="16"/>
            <w:tcBorders/>
            <w:shd w:fill="auto" w:val="clear"/>
            <w:vAlign w:val="center"/>
          </w:tcPr>
          <w:p>
            <w:pPr>
              <w:pStyle w:val="TableContents"/>
              <w:spacing w:before="0" w:after="283"/>
              <w:rPr>
                <w:sz w:val="4"/>
                <w:szCs w:val="4"/>
              </w:rPr>
            </w:pPr>
            <w:r>
              <w:rPr>
                <w:sz w:val="4"/>
                <w:szCs w:val="4"/>
              </w:rPr>
            </w:r>
          </w:p>
        </w:tc>
      </w:tr>
      <w:tr>
        <w:trPr/>
        <w:tc>
          <w:tcPr>
            <w:tcW w:w="3515"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54"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4"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1059"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515" w:type="dxa"/>
            <w:tcBorders/>
            <w:shd w:fill="auto" w:val="clear"/>
            <w:vAlign w:val="center"/>
          </w:tcPr>
          <w:p>
            <w:pPr>
              <w:pStyle w:val="TableContents"/>
              <w:spacing w:before="0" w:after="0"/>
              <w:ind w:left="0" w:right="0" w:firstLine="30"/>
              <w:jc w:val="left"/>
              <w:rPr/>
            </w:pPr>
            <w:r>
              <w:rPr/>
              <w:t> </w:t>
            </w:r>
          </w:p>
        </w:tc>
        <w:tc>
          <w:tcPr>
            <w:tcW w:w="113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Transportation</w:t>
            </w:r>
          </w:p>
        </w:tc>
        <w:tc>
          <w:tcPr>
            <w:tcW w:w="90" w:type="dxa"/>
            <w:tcBorders/>
            <w:shd w:fill="auto" w:val="clear"/>
            <w:vAlign w:val="center"/>
          </w:tcPr>
          <w:p>
            <w:pPr>
              <w:pStyle w:val="TableContents"/>
              <w:spacing w:before="0" w:after="0"/>
              <w:ind w:left="0" w:right="0" w:firstLine="30"/>
              <w:rPr/>
            </w:pPr>
            <w:r>
              <w:rPr/>
              <w:t> </w:t>
            </w:r>
          </w:p>
        </w:tc>
        <w:tc>
          <w:tcPr>
            <w:tcW w:w="71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Facilities</w:t>
            </w:r>
          </w:p>
        </w:tc>
        <w:tc>
          <w:tcPr>
            <w:tcW w:w="90" w:type="dxa"/>
            <w:tcBorders/>
            <w:shd w:fill="auto" w:val="clear"/>
            <w:vAlign w:val="center"/>
          </w:tcPr>
          <w:p>
            <w:pPr>
              <w:pStyle w:val="TableContents"/>
              <w:spacing w:before="0" w:after="0"/>
              <w:ind w:left="0" w:right="0" w:firstLine="30"/>
              <w:rPr/>
            </w:pPr>
            <w:r>
              <w:rPr/>
              <w:t> </w:t>
            </w:r>
          </w:p>
        </w:tc>
        <w:tc>
          <w:tcPr>
            <w:tcW w:w="155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Supply and Logistics</w:t>
            </w:r>
          </w:p>
        </w:tc>
        <w:tc>
          <w:tcPr>
            <w:tcW w:w="90" w:type="dxa"/>
            <w:tcBorders/>
            <w:shd w:fill="auto" w:val="clear"/>
            <w:vAlign w:val="center"/>
          </w:tcPr>
          <w:p>
            <w:pPr>
              <w:pStyle w:val="TableContents"/>
              <w:spacing w:before="0" w:after="0"/>
              <w:ind w:left="0" w:right="0" w:firstLine="30"/>
              <w:rPr/>
            </w:pPr>
            <w:r>
              <w:rPr/>
              <w:t> </w:t>
            </w:r>
          </w:p>
        </w:tc>
        <w:tc>
          <w:tcPr>
            <w:tcW w:w="80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Total</w:t>
            </w:r>
          </w:p>
        </w:tc>
      </w:tr>
      <w:tr>
        <w:trPr/>
        <w:tc>
          <w:tcPr>
            <w:tcW w:w="35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Balance at December 31, 2018</w:t>
            </w:r>
          </w:p>
        </w:tc>
        <w:tc>
          <w:tcPr>
            <w:tcW w:w="22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5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1,040</w:t>
            </w:r>
          </w:p>
        </w:tc>
        <w:tc>
          <w:tcPr>
            <w:tcW w:w="54"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81"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978</w:t>
            </w:r>
          </w:p>
        </w:tc>
        <w:tc>
          <w:tcPr>
            <w:tcW w:w="44"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9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59"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503</w:t>
            </w:r>
          </w:p>
        </w:tc>
        <w:tc>
          <w:tcPr>
            <w:tcW w:w="96"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2,521</w:t>
            </w:r>
          </w:p>
        </w:tc>
        <w:tc>
          <w:tcPr>
            <w:tcW w:w="195" w:type="dxa"/>
            <w:tcBorders>
              <w:bottom w:val="double" w:sz="6" w:space="0" w:color="000000"/>
            </w:tcBorders>
            <w:shd w:fill="CCEEFF"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5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Foreign currency translation adjustments</w:t>
            </w:r>
          </w:p>
        </w:tc>
        <w:tc>
          <w:tcPr>
            <w:tcW w:w="10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w:t>
            </w:r>
          </w:p>
        </w:tc>
        <w:tc>
          <w:tcPr>
            <w:tcW w:w="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6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w:t>
            </w:r>
          </w:p>
        </w:tc>
        <w:tc>
          <w:tcPr>
            <w:tcW w:w="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5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w:t>
            </w:r>
          </w:p>
        </w:tc>
        <w:tc>
          <w:tcPr>
            <w:tcW w:w="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w:t>
            </w:r>
          </w:p>
        </w:tc>
        <w:tc>
          <w:tcPr>
            <w:tcW w:w="1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Balance at June 30, 2019</w:t>
            </w:r>
          </w:p>
        </w:tc>
        <w:tc>
          <w:tcPr>
            <w:tcW w:w="22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5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1,050</w:t>
            </w:r>
          </w:p>
        </w:tc>
        <w:tc>
          <w:tcPr>
            <w:tcW w:w="54"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8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982</w:t>
            </w:r>
          </w:p>
        </w:tc>
        <w:tc>
          <w:tcPr>
            <w:tcW w:w="44"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9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5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505</w:t>
            </w:r>
          </w:p>
        </w:tc>
        <w:tc>
          <w:tcPr>
            <w:tcW w:w="9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2,537</w:t>
            </w:r>
          </w:p>
        </w:tc>
        <w:tc>
          <w:tcPr>
            <w:tcW w:w="19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ind w:left="0" w:right="0" w:firstLine="720"/>
        <w:rPr>
          <w:sz w:val="17"/>
        </w:rPr>
      </w:pPr>
      <w:r>
        <w:rPr>
          <w:rFonts w:ascii="inherit" w:hAnsi="inherit"/>
          <w:sz w:val="17"/>
        </w:rPr>
        <w:t>We utilized a quantitative assessment in our goodwill impairment test as of June 30, 2019 and determined that there was no</w:t>
      </w:r>
      <w:r>
        <w:rPr>
          <w:sz w:val="17"/>
        </w:rPr>
        <w:t xml:space="preserve"> </w:t>
      </w:r>
      <w:r>
        <w:rPr>
          <w:rFonts w:ascii="inherit" w:hAnsi="inherit"/>
          <w:sz w:val="17"/>
        </w:rPr>
        <w:t xml:space="preserve">impairment of goodwill. </w:t>
      </w:r>
    </w:p>
    <w:p>
      <w:pPr>
        <w:pStyle w:val="TextBody"/>
        <w:spacing w:lineRule="auto" w:line="288" w:before="0" w:after="0"/>
        <w:ind w:left="0" w:right="0" w:firstLine="1440"/>
        <w:rPr/>
      </w:pPr>
      <w:r>
        <w:rPr/>
        <w:t>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18</w:t>
      </w:r>
      <w:r>
        <w:br w:type="page"/>
      </w:r>
    </w:p>
    <w:p>
      <w:pPr>
        <w:pStyle w:val="TextBody"/>
        <w:spacing w:lineRule="auto" w:line="288" w:before="0" w:after="0"/>
        <w:rPr/>
      </w:pPr>
      <w:hyperlink w:anchor="s3336AD8A685850CC9B7F2572CB2C0BC3">
        <w:bookmarkStart w:id="20" w:name="s945698C13C1751C7BB78870A21858067"/>
        <w:bookmarkEnd w:id="20"/>
        <w:r>
          <w:rPr>
            <w:rStyle w:val="InternetLink"/>
            <w:rFonts w:ascii="inherit" w:hAnsi="inherit"/>
            <w:sz w:val="17"/>
          </w:rPr>
          <w:t>Table of Contents</w:t>
        </w:r>
      </w:hyperlink>
      <w:r>
        <w:rPr>
          <w:sz w:val="17"/>
        </w:rPr>
        <w:t xml:space="preserve"> </w:t>
      </w:r>
    </w:p>
    <w:p>
      <w:pPr>
        <w:pStyle w:val="TextBody"/>
        <w:spacing w:lineRule="auto" w:line="288" w:before="0" w:after="0"/>
        <w:jc w:val="center"/>
        <w:rPr>
          <w:rFonts w:ascii="inherit" w:hAnsi="inherit"/>
          <w:b/>
          <w:sz w:val="17"/>
        </w:rPr>
      </w:pPr>
      <w:r>
        <w:rPr>
          <w:rFonts w:ascii="inherit" w:hAnsi="inherit"/>
          <w:b/>
          <w:sz w:val="17"/>
        </w:rPr>
        <w:t>PLAINS ALL AMERICAN PIPELINE, L.P. AND SUBSIDIARIES</w:t>
      </w:r>
    </w:p>
    <w:p>
      <w:pPr>
        <w:pStyle w:val="TextBody"/>
        <w:spacing w:lineRule="auto" w:line="288" w:before="0" w:after="0"/>
        <w:jc w:val="center"/>
        <w:rPr>
          <w:rFonts w:ascii="inherit" w:hAnsi="inherit"/>
          <w:b/>
          <w:sz w:val="17"/>
        </w:rPr>
      </w:pPr>
      <w:r>
        <w:rPr>
          <w:rFonts w:ascii="inherit" w:hAnsi="inherit"/>
          <w:b/>
          <w:sz w:val="17"/>
        </w:rPr>
        <w:t>NOTES TO THE UNAUDITED CONDENSED CONSOLIDATED FINANCIAL STATEMENTS</w:t>
      </w:r>
    </w:p>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rPr>
          <w:sz w:val="17"/>
        </w:rPr>
      </w:pPr>
      <w:r>
        <w:rPr>
          <w:b/>
          <w:sz w:val="17"/>
        </w:rPr>
        <w:t>Note 7</w:t>
      </w:r>
      <w:r>
        <w:rPr>
          <w:sz w:val="17"/>
        </w:rPr>
        <w:t>—</w:t>
      </w:r>
      <w:r>
        <w:rPr>
          <w:rFonts w:ascii="inherit" w:hAnsi="inherit"/>
          <w:b/>
          <w:sz w:val="17"/>
        </w:rPr>
        <w:t>Investments in Unconsolidated Entities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ind w:left="0" w:right="0" w:firstLine="720"/>
        <w:rPr>
          <w:rFonts w:ascii="inherit" w:hAnsi="inherit"/>
          <w:sz w:val="17"/>
        </w:rPr>
      </w:pPr>
      <w:r>
        <w:rPr>
          <w:rFonts w:ascii="inherit" w:hAnsi="inherit"/>
          <w:sz w:val="17"/>
        </w:rPr>
        <w:t>Our investments in unconsolidated entities consisted of the following (in millions, except percentage data):</w:t>
      </w:r>
    </w:p>
    <w:tbl>
      <w:tblPr>
        <w:tblW w:w="10205" w:type="dxa"/>
        <w:jc w:val="center"/>
        <w:tblInd w:w="0" w:type="dxa"/>
        <w:tblCellMar>
          <w:top w:w="0" w:type="dxa"/>
          <w:left w:w="0" w:type="dxa"/>
          <w:bottom w:w="0" w:type="dxa"/>
          <w:right w:w="0" w:type="dxa"/>
        </w:tblCellMar>
      </w:tblPr>
      <w:tblGrid>
        <w:gridCol w:w="3661"/>
        <w:gridCol w:w="90"/>
        <w:gridCol w:w="2044"/>
        <w:gridCol w:w="90"/>
        <w:gridCol w:w="1853"/>
        <w:gridCol w:w="219"/>
        <w:gridCol w:w="168"/>
        <w:gridCol w:w="653"/>
        <w:gridCol w:w="39"/>
        <w:gridCol w:w="90"/>
        <w:gridCol w:w="173"/>
        <w:gridCol w:w="678"/>
        <w:gridCol w:w="447"/>
      </w:tblGrid>
      <w:tr>
        <w:trPr/>
        <w:tc>
          <w:tcPr>
            <w:tcW w:w="10205" w:type="dxa"/>
            <w:gridSpan w:val="13"/>
            <w:tcBorders/>
            <w:shd w:fill="auto" w:val="clear"/>
            <w:vAlign w:val="center"/>
          </w:tcPr>
          <w:p>
            <w:pPr>
              <w:pStyle w:val="TableContents"/>
              <w:spacing w:before="0" w:after="283"/>
              <w:rPr>
                <w:sz w:val="4"/>
                <w:szCs w:val="4"/>
              </w:rPr>
            </w:pPr>
            <w:r>
              <w:rPr>
                <w:sz w:val="4"/>
                <w:szCs w:val="4"/>
              </w:rPr>
            </w:r>
          </w:p>
        </w:tc>
      </w:tr>
      <w:tr>
        <w:trPr/>
        <w:tc>
          <w:tcPr>
            <w:tcW w:w="366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044"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853"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3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661" w:type="dxa"/>
            <w:tcBorders>
              <w:bottom w:val="single" w:sz="2" w:space="0" w:color="000000"/>
            </w:tcBorders>
            <w:shd w:fill="auto" w:val="clear"/>
            <w:tcMar>
              <w:bottom w:w="30" w:type="dxa"/>
            </w:tcMar>
            <w:vAlign w:val="center"/>
          </w:tcPr>
          <w:p>
            <w:pPr>
              <w:pStyle w:val="TableContents"/>
              <w:spacing w:lineRule="auto" w:line="288" w:before="0" w:after="0"/>
              <w:ind w:left="0" w:right="0" w:firstLine="30"/>
              <w:jc w:val="left"/>
              <w:rPr>
                <w:sz w:val="13"/>
              </w:rPr>
            </w:pPr>
            <w:r>
              <w:rPr>
                <w:rFonts w:ascii="inherit" w:hAnsi="inherit"/>
                <w:b/>
                <w:sz w:val="13"/>
              </w:rPr>
              <w:t xml:space="preserve">Entity </w:t>
            </w:r>
            <w:r>
              <w:rPr>
                <w:rFonts w:ascii="inherit" w:hAnsi="inherit"/>
                <w:b/>
                <w:sz w:val="8"/>
              </w:rPr>
              <w:t>(1)</w:t>
            </w:r>
          </w:p>
        </w:tc>
        <w:tc>
          <w:tcPr>
            <w:tcW w:w="90" w:type="dxa"/>
            <w:tcBorders/>
            <w:shd w:fill="auto" w:val="clear"/>
            <w:vAlign w:val="center"/>
          </w:tcPr>
          <w:p>
            <w:pPr>
              <w:pStyle w:val="TableContents"/>
              <w:spacing w:before="0" w:after="0"/>
              <w:ind w:left="0" w:right="0" w:firstLine="30"/>
              <w:rPr/>
            </w:pPr>
            <w:r>
              <w:rPr/>
              <w:t> </w:t>
            </w:r>
          </w:p>
        </w:tc>
        <w:tc>
          <w:tcPr>
            <w:tcW w:w="2044"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Type of Operation</w:t>
            </w:r>
          </w:p>
        </w:tc>
        <w:tc>
          <w:tcPr>
            <w:tcW w:w="90" w:type="dxa"/>
            <w:tcBorders/>
            <w:shd w:fill="auto" w:val="clear"/>
            <w:vAlign w:val="center"/>
          </w:tcPr>
          <w:p>
            <w:pPr>
              <w:pStyle w:val="TableContents"/>
              <w:spacing w:before="0" w:after="0"/>
              <w:ind w:left="0" w:right="0" w:firstLine="30"/>
              <w:rPr/>
            </w:pPr>
            <w:r>
              <w:rPr/>
              <w:t> </w:t>
            </w:r>
          </w:p>
        </w:tc>
        <w:tc>
          <w:tcPr>
            <w:tcW w:w="1853"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Ownership Interest at June 30, 2019</w:t>
            </w:r>
          </w:p>
        </w:tc>
        <w:tc>
          <w:tcPr>
            <w:tcW w:w="219" w:type="dxa"/>
            <w:tcBorders/>
            <w:shd w:fill="auto" w:val="clear"/>
            <w:vAlign w:val="center"/>
          </w:tcPr>
          <w:p>
            <w:pPr>
              <w:pStyle w:val="TableContents"/>
              <w:spacing w:before="0" w:after="0"/>
              <w:ind w:left="0" w:right="0" w:firstLine="30"/>
              <w:rPr/>
            </w:pPr>
            <w:r>
              <w:rPr/>
              <w:t> </w:t>
            </w:r>
          </w:p>
        </w:tc>
        <w:tc>
          <w:tcPr>
            <w:tcW w:w="86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June 30, 2019</w:t>
            </w:r>
          </w:p>
        </w:tc>
        <w:tc>
          <w:tcPr>
            <w:tcW w:w="90" w:type="dxa"/>
            <w:tcBorders/>
            <w:shd w:fill="auto" w:val="clear"/>
            <w:vAlign w:val="center"/>
          </w:tcPr>
          <w:p>
            <w:pPr>
              <w:pStyle w:val="TableContents"/>
              <w:spacing w:before="0" w:after="0"/>
              <w:ind w:left="0" w:right="0" w:firstLine="30"/>
              <w:rPr/>
            </w:pPr>
            <w:r>
              <w:rPr/>
              <w:t> </w:t>
            </w:r>
          </w:p>
        </w:tc>
        <w:tc>
          <w:tcPr>
            <w:tcW w:w="129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December 31, 2018</w:t>
            </w:r>
          </w:p>
        </w:tc>
      </w:tr>
      <w:tr>
        <w:trPr/>
        <w:tc>
          <w:tcPr>
            <w:tcW w:w="36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Advantage Pipeline Holdings LLC </w:t>
            </w:r>
          </w:p>
        </w:tc>
        <w:tc>
          <w:tcPr>
            <w:tcW w:w="90" w:type="dxa"/>
            <w:tcBorders/>
            <w:shd w:fill="CCEEFF" w:val="clear"/>
            <w:vAlign w:val="center"/>
          </w:tcPr>
          <w:p>
            <w:pPr>
              <w:pStyle w:val="TableContents"/>
              <w:spacing w:before="0" w:after="0"/>
              <w:ind w:left="0" w:right="0" w:firstLine="30"/>
              <w:rPr/>
            </w:pPr>
            <w:r>
              <w:rPr/>
              <w:t> </w:t>
            </w:r>
          </w:p>
        </w:tc>
        <w:tc>
          <w:tcPr>
            <w:tcW w:w="2044"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Crude Oil Pipeline</w:t>
            </w:r>
          </w:p>
        </w:tc>
        <w:tc>
          <w:tcPr>
            <w:tcW w:w="90" w:type="dxa"/>
            <w:tcBorders/>
            <w:shd w:fill="CCEEFF" w:val="clear"/>
            <w:vAlign w:val="center"/>
          </w:tcPr>
          <w:p>
            <w:pPr>
              <w:pStyle w:val="TableContents"/>
              <w:spacing w:before="0" w:after="0"/>
              <w:ind w:left="0" w:right="0" w:firstLine="30"/>
              <w:rPr/>
            </w:pPr>
            <w:r>
              <w:rPr/>
              <w:t> </w:t>
            </w:r>
          </w:p>
        </w:tc>
        <w:tc>
          <w:tcPr>
            <w:tcW w:w="1853"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50%</w:t>
            </w:r>
          </w:p>
        </w:tc>
        <w:tc>
          <w:tcPr>
            <w:tcW w:w="219" w:type="dxa"/>
            <w:tcBorders/>
            <w:shd w:fill="CCEEFF" w:val="clear"/>
            <w:vAlign w:val="center"/>
          </w:tcPr>
          <w:p>
            <w:pPr>
              <w:pStyle w:val="TableContents"/>
              <w:spacing w:before="0" w:after="0"/>
              <w:ind w:left="0" w:right="0" w:firstLine="30"/>
              <w:rPr/>
            </w:pPr>
            <w:r>
              <w:rPr/>
              <w:t> </w:t>
            </w:r>
          </w:p>
        </w:tc>
        <w:tc>
          <w:tcPr>
            <w:tcW w:w="16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53" w:type="dxa"/>
            <w:tcBorders/>
            <w:shd w:fill="CCEEFF" w:val="clear"/>
            <w:vAlign w:val="center"/>
          </w:tcPr>
          <w:p>
            <w:pPr>
              <w:pStyle w:val="TableContents"/>
              <w:spacing w:before="0" w:after="0"/>
              <w:jc w:val="right"/>
              <w:rPr>
                <w:rFonts w:ascii="inherit" w:hAnsi="inherit"/>
                <w:sz w:val="17"/>
              </w:rPr>
            </w:pPr>
            <w:r>
              <w:rPr>
                <w:rFonts w:ascii="inherit" w:hAnsi="inherit"/>
                <w:sz w:val="17"/>
              </w:rPr>
              <w:t>74</w:t>
            </w:r>
          </w:p>
        </w:tc>
        <w:tc>
          <w:tcPr>
            <w:tcW w:w="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7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78" w:type="dxa"/>
            <w:tcBorders/>
            <w:shd w:fill="CCEEFF" w:val="clear"/>
            <w:vAlign w:val="center"/>
          </w:tcPr>
          <w:p>
            <w:pPr>
              <w:pStyle w:val="TableContents"/>
              <w:spacing w:before="0" w:after="0"/>
              <w:jc w:val="right"/>
              <w:rPr>
                <w:rFonts w:ascii="inherit" w:hAnsi="inherit"/>
                <w:sz w:val="17"/>
              </w:rPr>
            </w:pPr>
            <w:r>
              <w:rPr>
                <w:rFonts w:ascii="inherit" w:hAnsi="inherit"/>
                <w:sz w:val="17"/>
              </w:rPr>
              <w:t>72</w:t>
            </w:r>
          </w:p>
        </w:tc>
        <w:tc>
          <w:tcPr>
            <w:tcW w:w="4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BridgeTex Pipeline Company, LLC</w:t>
            </w:r>
          </w:p>
        </w:tc>
        <w:tc>
          <w:tcPr>
            <w:tcW w:w="90" w:type="dxa"/>
            <w:tcBorders/>
            <w:shd w:fill="auto" w:val="clear"/>
            <w:vAlign w:val="center"/>
          </w:tcPr>
          <w:p>
            <w:pPr>
              <w:pStyle w:val="TableContents"/>
              <w:spacing w:before="0" w:after="0"/>
              <w:ind w:left="0" w:right="0" w:firstLine="30"/>
              <w:rPr/>
            </w:pPr>
            <w:r>
              <w:rPr/>
              <w:t> </w:t>
            </w:r>
          </w:p>
        </w:tc>
        <w:tc>
          <w:tcPr>
            <w:tcW w:w="204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Crude Oil Pipeline</w:t>
            </w:r>
          </w:p>
        </w:tc>
        <w:tc>
          <w:tcPr>
            <w:tcW w:w="90" w:type="dxa"/>
            <w:tcBorders/>
            <w:shd w:fill="auto" w:val="clear"/>
            <w:vAlign w:val="center"/>
          </w:tcPr>
          <w:p>
            <w:pPr>
              <w:pStyle w:val="TableContents"/>
              <w:spacing w:before="0" w:after="0"/>
              <w:ind w:left="0" w:right="0" w:firstLine="30"/>
              <w:rPr/>
            </w:pPr>
            <w:r>
              <w:rPr/>
              <w:t> </w:t>
            </w:r>
          </w:p>
        </w:tc>
        <w:tc>
          <w:tcPr>
            <w:tcW w:w="1853"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20%</w:t>
            </w:r>
          </w:p>
        </w:tc>
        <w:tc>
          <w:tcPr>
            <w:tcW w:w="219" w:type="dxa"/>
            <w:tcBorders/>
            <w:shd w:fill="auto" w:val="clear"/>
            <w:vAlign w:val="center"/>
          </w:tcPr>
          <w:p>
            <w:pPr>
              <w:pStyle w:val="TableContents"/>
              <w:spacing w:before="0" w:after="0"/>
              <w:ind w:left="0" w:right="0" w:firstLine="30"/>
              <w:rPr/>
            </w:pPr>
            <w:r>
              <w:rPr/>
              <w:t> </w:t>
            </w:r>
          </w:p>
        </w:tc>
        <w:tc>
          <w:tcPr>
            <w:tcW w:w="82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434</w:t>
            </w:r>
          </w:p>
        </w:tc>
        <w:tc>
          <w:tcPr>
            <w:tcW w:w="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435</w:t>
            </w:r>
          </w:p>
        </w:tc>
        <w:tc>
          <w:tcPr>
            <w:tcW w:w="4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Cactus II Pipeline LLC </w:t>
            </w:r>
          </w:p>
        </w:tc>
        <w:tc>
          <w:tcPr>
            <w:tcW w:w="90" w:type="dxa"/>
            <w:tcBorders/>
            <w:shd w:fill="CCEEFF" w:val="clear"/>
            <w:vAlign w:val="center"/>
          </w:tcPr>
          <w:p>
            <w:pPr>
              <w:pStyle w:val="TableContents"/>
              <w:spacing w:before="0" w:after="0"/>
              <w:ind w:left="0" w:right="0" w:firstLine="30"/>
              <w:rPr/>
            </w:pPr>
            <w:r>
              <w:rPr/>
              <w:t> </w:t>
            </w:r>
          </w:p>
        </w:tc>
        <w:tc>
          <w:tcPr>
            <w:tcW w:w="2044" w:type="dxa"/>
            <w:tcBorders/>
            <w:shd w:fill="CCEEFF" w:val="clear"/>
            <w:vAlign w:val="center"/>
          </w:tcPr>
          <w:p>
            <w:pPr>
              <w:pStyle w:val="TableContents"/>
              <w:spacing w:lineRule="auto" w:line="288" w:before="0" w:after="0"/>
              <w:ind w:left="0" w:right="0" w:firstLine="30"/>
              <w:jc w:val="center"/>
              <w:rPr>
                <w:sz w:val="17"/>
              </w:rPr>
            </w:pPr>
            <w:r>
              <w:rPr>
                <w:rFonts w:ascii="inherit" w:hAnsi="inherit"/>
                <w:sz w:val="17"/>
              </w:rPr>
              <w:t>Crude Oil Pipeline</w:t>
            </w:r>
            <w:r>
              <w:rPr>
                <w:sz w:val="17"/>
              </w:rPr>
              <w:t> </w:t>
            </w:r>
            <w:r>
              <w:rPr>
                <w:rFonts w:ascii="inherit" w:hAnsi="inherit"/>
                <w:sz w:val="12"/>
              </w:rPr>
              <w:t>(2)</w:t>
            </w:r>
          </w:p>
        </w:tc>
        <w:tc>
          <w:tcPr>
            <w:tcW w:w="90" w:type="dxa"/>
            <w:tcBorders/>
            <w:shd w:fill="CCEEFF" w:val="clear"/>
            <w:vAlign w:val="center"/>
          </w:tcPr>
          <w:p>
            <w:pPr>
              <w:pStyle w:val="TableContents"/>
              <w:spacing w:before="0" w:after="0"/>
              <w:ind w:left="0" w:right="0" w:firstLine="30"/>
              <w:rPr/>
            </w:pPr>
            <w:r>
              <w:rPr/>
              <w:t> </w:t>
            </w:r>
          </w:p>
        </w:tc>
        <w:tc>
          <w:tcPr>
            <w:tcW w:w="1853"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65%</w:t>
            </w:r>
          </w:p>
        </w:tc>
        <w:tc>
          <w:tcPr>
            <w:tcW w:w="219" w:type="dxa"/>
            <w:tcBorders/>
            <w:shd w:fill="CCEEFF" w:val="clear"/>
            <w:vAlign w:val="center"/>
          </w:tcPr>
          <w:p>
            <w:pPr>
              <w:pStyle w:val="TableContents"/>
              <w:spacing w:before="0" w:after="0"/>
              <w:ind w:left="0" w:right="0" w:firstLine="30"/>
              <w:rPr/>
            </w:pPr>
            <w:r>
              <w:rPr/>
              <w:t> </w:t>
            </w:r>
          </w:p>
        </w:tc>
        <w:tc>
          <w:tcPr>
            <w:tcW w:w="82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602</w:t>
            </w:r>
          </w:p>
        </w:tc>
        <w:tc>
          <w:tcPr>
            <w:tcW w:w="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5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455</w:t>
            </w:r>
          </w:p>
        </w:tc>
        <w:tc>
          <w:tcPr>
            <w:tcW w:w="4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Caddo Pipeline LLC</w:t>
            </w:r>
          </w:p>
        </w:tc>
        <w:tc>
          <w:tcPr>
            <w:tcW w:w="90" w:type="dxa"/>
            <w:tcBorders/>
            <w:shd w:fill="auto" w:val="clear"/>
            <w:vAlign w:val="center"/>
          </w:tcPr>
          <w:p>
            <w:pPr>
              <w:pStyle w:val="TableContents"/>
              <w:spacing w:before="0" w:after="0"/>
              <w:ind w:left="0" w:right="0" w:firstLine="30"/>
              <w:rPr/>
            </w:pPr>
            <w:r>
              <w:rPr/>
              <w:t> </w:t>
            </w:r>
          </w:p>
        </w:tc>
        <w:tc>
          <w:tcPr>
            <w:tcW w:w="204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Crude Oil Pipeline</w:t>
            </w:r>
          </w:p>
        </w:tc>
        <w:tc>
          <w:tcPr>
            <w:tcW w:w="90" w:type="dxa"/>
            <w:tcBorders/>
            <w:shd w:fill="auto" w:val="clear"/>
            <w:vAlign w:val="center"/>
          </w:tcPr>
          <w:p>
            <w:pPr>
              <w:pStyle w:val="TableContents"/>
              <w:spacing w:before="0" w:after="0"/>
              <w:ind w:left="0" w:right="0" w:firstLine="30"/>
              <w:rPr/>
            </w:pPr>
            <w:r>
              <w:rPr/>
              <w:t> </w:t>
            </w:r>
          </w:p>
        </w:tc>
        <w:tc>
          <w:tcPr>
            <w:tcW w:w="1853"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50%</w:t>
            </w:r>
          </w:p>
        </w:tc>
        <w:tc>
          <w:tcPr>
            <w:tcW w:w="219" w:type="dxa"/>
            <w:tcBorders/>
            <w:shd w:fill="auto" w:val="clear"/>
            <w:vAlign w:val="center"/>
          </w:tcPr>
          <w:p>
            <w:pPr>
              <w:pStyle w:val="TableContents"/>
              <w:spacing w:before="0" w:after="0"/>
              <w:ind w:left="0" w:right="0" w:firstLine="30"/>
              <w:rPr/>
            </w:pPr>
            <w:r>
              <w:rPr/>
              <w:t> </w:t>
            </w:r>
          </w:p>
        </w:tc>
        <w:tc>
          <w:tcPr>
            <w:tcW w:w="82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65</w:t>
            </w:r>
          </w:p>
        </w:tc>
        <w:tc>
          <w:tcPr>
            <w:tcW w:w="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65</w:t>
            </w:r>
          </w:p>
        </w:tc>
        <w:tc>
          <w:tcPr>
            <w:tcW w:w="4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Capline Pipeline Company LLC</w:t>
            </w:r>
          </w:p>
        </w:tc>
        <w:tc>
          <w:tcPr>
            <w:tcW w:w="90" w:type="dxa"/>
            <w:tcBorders/>
            <w:shd w:fill="CCEEFF" w:val="clear"/>
            <w:vAlign w:val="center"/>
          </w:tcPr>
          <w:p>
            <w:pPr>
              <w:pStyle w:val="TableContents"/>
              <w:spacing w:before="0" w:after="0"/>
              <w:ind w:left="0" w:right="0" w:firstLine="30"/>
              <w:rPr/>
            </w:pPr>
            <w:r>
              <w:rPr/>
              <w:t> </w:t>
            </w:r>
          </w:p>
        </w:tc>
        <w:tc>
          <w:tcPr>
            <w:tcW w:w="2044" w:type="dxa"/>
            <w:tcBorders/>
            <w:shd w:fill="CCEEFF" w:val="clear"/>
            <w:vAlign w:val="center"/>
          </w:tcPr>
          <w:p>
            <w:pPr>
              <w:pStyle w:val="TableContents"/>
              <w:spacing w:lineRule="auto" w:line="288" w:before="0" w:after="0"/>
              <w:ind w:left="0" w:right="0" w:firstLine="30"/>
              <w:jc w:val="center"/>
              <w:rPr>
                <w:sz w:val="17"/>
              </w:rPr>
            </w:pPr>
            <w:r>
              <w:rPr>
                <w:rFonts w:ascii="inherit" w:hAnsi="inherit"/>
                <w:sz w:val="17"/>
              </w:rPr>
              <w:t xml:space="preserve">Crude Oil Pipeline </w:t>
            </w:r>
            <w:r>
              <w:rPr>
                <w:rFonts w:ascii="inherit" w:hAnsi="inherit"/>
                <w:sz w:val="12"/>
              </w:rPr>
              <w:t>(3)</w:t>
            </w:r>
          </w:p>
        </w:tc>
        <w:tc>
          <w:tcPr>
            <w:tcW w:w="90" w:type="dxa"/>
            <w:tcBorders/>
            <w:shd w:fill="CCEEFF" w:val="clear"/>
            <w:vAlign w:val="center"/>
          </w:tcPr>
          <w:p>
            <w:pPr>
              <w:pStyle w:val="TableContents"/>
              <w:spacing w:before="0" w:after="0"/>
              <w:ind w:left="0" w:right="0" w:firstLine="30"/>
              <w:rPr/>
            </w:pPr>
            <w:r>
              <w:rPr/>
              <w:t> </w:t>
            </w:r>
          </w:p>
        </w:tc>
        <w:tc>
          <w:tcPr>
            <w:tcW w:w="1853"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54%</w:t>
            </w:r>
          </w:p>
        </w:tc>
        <w:tc>
          <w:tcPr>
            <w:tcW w:w="219" w:type="dxa"/>
            <w:tcBorders/>
            <w:shd w:fill="CCEEFF" w:val="clear"/>
            <w:vAlign w:val="center"/>
          </w:tcPr>
          <w:p>
            <w:pPr>
              <w:pStyle w:val="TableContents"/>
              <w:spacing w:before="0" w:after="0"/>
              <w:ind w:left="0" w:right="0" w:firstLine="30"/>
              <w:rPr/>
            </w:pPr>
            <w:r>
              <w:rPr/>
              <w:t> </w:t>
            </w:r>
          </w:p>
        </w:tc>
        <w:tc>
          <w:tcPr>
            <w:tcW w:w="82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466</w:t>
            </w:r>
          </w:p>
        </w:tc>
        <w:tc>
          <w:tcPr>
            <w:tcW w:w="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51" w:type="dxa"/>
            <w:gridSpan w:val="2"/>
            <w:tcBorders/>
            <w:shd w:fill="CCEEFF" w:val="clear"/>
            <w:vAlign w:val="center"/>
          </w:tcPr>
          <w:p>
            <w:pPr>
              <w:pStyle w:val="TableContents"/>
              <w:spacing w:before="0" w:after="0"/>
              <w:jc w:val="right"/>
              <w:rPr/>
            </w:pPr>
            <w:r>
              <w:rPr/>
              <w:t>—</w:t>
            </w:r>
          </w:p>
        </w:tc>
        <w:tc>
          <w:tcPr>
            <w:tcW w:w="4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Cheyenne Pipeline LLC </w:t>
            </w:r>
          </w:p>
        </w:tc>
        <w:tc>
          <w:tcPr>
            <w:tcW w:w="90" w:type="dxa"/>
            <w:tcBorders/>
            <w:shd w:fill="auto" w:val="clear"/>
            <w:vAlign w:val="center"/>
          </w:tcPr>
          <w:p>
            <w:pPr>
              <w:pStyle w:val="TableContents"/>
              <w:spacing w:before="0" w:after="0"/>
              <w:ind w:left="0" w:right="0" w:firstLine="30"/>
              <w:rPr/>
            </w:pPr>
            <w:r>
              <w:rPr/>
              <w:t> </w:t>
            </w:r>
          </w:p>
        </w:tc>
        <w:tc>
          <w:tcPr>
            <w:tcW w:w="204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Crude Oil Pipeline</w:t>
            </w:r>
          </w:p>
        </w:tc>
        <w:tc>
          <w:tcPr>
            <w:tcW w:w="90" w:type="dxa"/>
            <w:tcBorders/>
            <w:shd w:fill="auto" w:val="clear"/>
            <w:vAlign w:val="center"/>
          </w:tcPr>
          <w:p>
            <w:pPr>
              <w:pStyle w:val="TableContents"/>
              <w:spacing w:before="0" w:after="0"/>
              <w:ind w:left="0" w:right="0" w:firstLine="30"/>
              <w:rPr/>
            </w:pPr>
            <w:r>
              <w:rPr/>
              <w:t> </w:t>
            </w:r>
          </w:p>
        </w:tc>
        <w:tc>
          <w:tcPr>
            <w:tcW w:w="1853"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50%</w:t>
            </w:r>
          </w:p>
        </w:tc>
        <w:tc>
          <w:tcPr>
            <w:tcW w:w="219" w:type="dxa"/>
            <w:tcBorders/>
            <w:shd w:fill="auto" w:val="clear"/>
            <w:vAlign w:val="center"/>
          </w:tcPr>
          <w:p>
            <w:pPr>
              <w:pStyle w:val="TableContents"/>
              <w:spacing w:before="0" w:after="0"/>
              <w:ind w:left="0" w:right="0" w:firstLine="30"/>
              <w:rPr/>
            </w:pPr>
            <w:r>
              <w:rPr/>
              <w:t> </w:t>
            </w:r>
          </w:p>
        </w:tc>
        <w:tc>
          <w:tcPr>
            <w:tcW w:w="82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43</w:t>
            </w:r>
          </w:p>
        </w:tc>
        <w:tc>
          <w:tcPr>
            <w:tcW w:w="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44</w:t>
            </w:r>
          </w:p>
        </w:tc>
        <w:tc>
          <w:tcPr>
            <w:tcW w:w="4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Diamond Pipeline LLC </w:t>
            </w:r>
          </w:p>
        </w:tc>
        <w:tc>
          <w:tcPr>
            <w:tcW w:w="90" w:type="dxa"/>
            <w:tcBorders/>
            <w:shd w:fill="CCEEFF" w:val="clear"/>
            <w:vAlign w:val="center"/>
          </w:tcPr>
          <w:p>
            <w:pPr>
              <w:pStyle w:val="TableContents"/>
              <w:spacing w:before="0" w:after="0"/>
              <w:ind w:left="0" w:right="0" w:firstLine="30"/>
              <w:rPr/>
            </w:pPr>
            <w:r>
              <w:rPr/>
              <w:t> </w:t>
            </w:r>
          </w:p>
        </w:tc>
        <w:tc>
          <w:tcPr>
            <w:tcW w:w="2044"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Crude Oil Pipeline</w:t>
            </w:r>
          </w:p>
        </w:tc>
        <w:tc>
          <w:tcPr>
            <w:tcW w:w="90" w:type="dxa"/>
            <w:tcBorders/>
            <w:shd w:fill="CCEEFF" w:val="clear"/>
            <w:vAlign w:val="center"/>
          </w:tcPr>
          <w:p>
            <w:pPr>
              <w:pStyle w:val="TableContents"/>
              <w:spacing w:before="0" w:after="0"/>
              <w:ind w:left="0" w:right="0" w:firstLine="30"/>
              <w:rPr/>
            </w:pPr>
            <w:r>
              <w:rPr/>
              <w:t> </w:t>
            </w:r>
          </w:p>
        </w:tc>
        <w:tc>
          <w:tcPr>
            <w:tcW w:w="1853"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50%</w:t>
            </w:r>
          </w:p>
        </w:tc>
        <w:tc>
          <w:tcPr>
            <w:tcW w:w="219" w:type="dxa"/>
            <w:tcBorders/>
            <w:shd w:fill="CCEEFF" w:val="clear"/>
            <w:vAlign w:val="center"/>
          </w:tcPr>
          <w:p>
            <w:pPr>
              <w:pStyle w:val="TableContents"/>
              <w:spacing w:before="0" w:after="0"/>
              <w:ind w:left="0" w:right="0" w:firstLine="30"/>
              <w:rPr/>
            </w:pPr>
            <w:r>
              <w:rPr/>
              <w:t> </w:t>
            </w:r>
          </w:p>
        </w:tc>
        <w:tc>
          <w:tcPr>
            <w:tcW w:w="82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478</w:t>
            </w:r>
          </w:p>
        </w:tc>
        <w:tc>
          <w:tcPr>
            <w:tcW w:w="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5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479</w:t>
            </w:r>
          </w:p>
        </w:tc>
        <w:tc>
          <w:tcPr>
            <w:tcW w:w="4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Eagle Ford Pipeline LLC </w:t>
            </w:r>
          </w:p>
        </w:tc>
        <w:tc>
          <w:tcPr>
            <w:tcW w:w="90" w:type="dxa"/>
            <w:tcBorders/>
            <w:shd w:fill="auto" w:val="clear"/>
            <w:vAlign w:val="center"/>
          </w:tcPr>
          <w:p>
            <w:pPr>
              <w:pStyle w:val="TableContents"/>
              <w:spacing w:before="0" w:after="0"/>
              <w:ind w:left="0" w:right="0" w:firstLine="30"/>
              <w:rPr/>
            </w:pPr>
            <w:r>
              <w:rPr/>
              <w:t> </w:t>
            </w:r>
          </w:p>
        </w:tc>
        <w:tc>
          <w:tcPr>
            <w:tcW w:w="204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Crude Oil Pipeline</w:t>
            </w:r>
          </w:p>
        </w:tc>
        <w:tc>
          <w:tcPr>
            <w:tcW w:w="90" w:type="dxa"/>
            <w:tcBorders/>
            <w:shd w:fill="auto" w:val="clear"/>
            <w:vAlign w:val="center"/>
          </w:tcPr>
          <w:p>
            <w:pPr>
              <w:pStyle w:val="TableContents"/>
              <w:spacing w:before="0" w:after="0"/>
              <w:ind w:left="0" w:right="0" w:firstLine="30"/>
              <w:rPr/>
            </w:pPr>
            <w:r>
              <w:rPr/>
              <w:t> </w:t>
            </w:r>
          </w:p>
        </w:tc>
        <w:tc>
          <w:tcPr>
            <w:tcW w:w="1853"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50%</w:t>
            </w:r>
          </w:p>
        </w:tc>
        <w:tc>
          <w:tcPr>
            <w:tcW w:w="219" w:type="dxa"/>
            <w:tcBorders/>
            <w:shd w:fill="auto" w:val="clear"/>
            <w:vAlign w:val="center"/>
          </w:tcPr>
          <w:p>
            <w:pPr>
              <w:pStyle w:val="TableContents"/>
              <w:spacing w:before="0" w:after="0"/>
              <w:ind w:left="0" w:right="0" w:firstLine="30"/>
              <w:rPr/>
            </w:pPr>
            <w:r>
              <w:rPr/>
              <w:t> </w:t>
            </w:r>
          </w:p>
        </w:tc>
        <w:tc>
          <w:tcPr>
            <w:tcW w:w="82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386</w:t>
            </w:r>
          </w:p>
        </w:tc>
        <w:tc>
          <w:tcPr>
            <w:tcW w:w="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383</w:t>
            </w:r>
          </w:p>
        </w:tc>
        <w:tc>
          <w:tcPr>
            <w:tcW w:w="4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Eagle Ford Terminals Corpus Christi LLC (“Eagle Ford Terminals”)</w:t>
            </w:r>
          </w:p>
        </w:tc>
        <w:tc>
          <w:tcPr>
            <w:tcW w:w="90" w:type="dxa"/>
            <w:tcBorders/>
            <w:shd w:fill="CCEEFF" w:val="clear"/>
            <w:vAlign w:val="center"/>
          </w:tcPr>
          <w:p>
            <w:pPr>
              <w:pStyle w:val="TableContents"/>
              <w:spacing w:before="0" w:after="0"/>
              <w:ind w:left="0" w:right="0" w:firstLine="30"/>
              <w:rPr/>
            </w:pPr>
            <w:r>
              <w:rPr/>
              <w:t> </w:t>
            </w:r>
          </w:p>
        </w:tc>
        <w:tc>
          <w:tcPr>
            <w:tcW w:w="2044" w:type="dxa"/>
            <w:tcBorders/>
            <w:shd w:fill="CCEEFF" w:val="clear"/>
            <w:vAlign w:val="center"/>
          </w:tcPr>
          <w:p>
            <w:pPr>
              <w:pStyle w:val="TableContents"/>
              <w:spacing w:lineRule="auto" w:line="288" w:before="0" w:after="0"/>
              <w:ind w:left="0" w:right="0" w:firstLine="30"/>
              <w:jc w:val="center"/>
              <w:rPr>
                <w:sz w:val="17"/>
              </w:rPr>
            </w:pPr>
            <w:r>
              <w:rPr>
                <w:rFonts w:ascii="inherit" w:hAnsi="inherit"/>
                <w:sz w:val="17"/>
              </w:rPr>
              <w:t xml:space="preserve">Crude Oil Terminal and Dock </w:t>
            </w:r>
            <w:r>
              <w:rPr>
                <w:rFonts w:ascii="inherit" w:hAnsi="inherit"/>
                <w:sz w:val="12"/>
              </w:rPr>
              <w:t>(2)</w:t>
            </w:r>
          </w:p>
        </w:tc>
        <w:tc>
          <w:tcPr>
            <w:tcW w:w="90" w:type="dxa"/>
            <w:tcBorders/>
            <w:shd w:fill="CCEEFF" w:val="clear"/>
            <w:vAlign w:val="center"/>
          </w:tcPr>
          <w:p>
            <w:pPr>
              <w:pStyle w:val="TableContents"/>
              <w:spacing w:before="0" w:after="0"/>
              <w:ind w:left="0" w:right="0" w:firstLine="30"/>
              <w:rPr/>
            </w:pPr>
            <w:r>
              <w:rPr/>
              <w:t> </w:t>
            </w:r>
          </w:p>
        </w:tc>
        <w:tc>
          <w:tcPr>
            <w:tcW w:w="1853"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50%</w:t>
            </w:r>
          </w:p>
        </w:tc>
        <w:tc>
          <w:tcPr>
            <w:tcW w:w="219" w:type="dxa"/>
            <w:tcBorders/>
            <w:shd w:fill="CCEEFF" w:val="clear"/>
            <w:vAlign w:val="center"/>
          </w:tcPr>
          <w:p>
            <w:pPr>
              <w:pStyle w:val="TableContents"/>
              <w:spacing w:before="0" w:after="0"/>
              <w:ind w:left="0" w:right="0" w:firstLine="30"/>
              <w:rPr/>
            </w:pPr>
            <w:r>
              <w:rPr/>
              <w:t> </w:t>
            </w:r>
          </w:p>
        </w:tc>
        <w:tc>
          <w:tcPr>
            <w:tcW w:w="82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120</w:t>
            </w:r>
          </w:p>
        </w:tc>
        <w:tc>
          <w:tcPr>
            <w:tcW w:w="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5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108</w:t>
            </w:r>
          </w:p>
        </w:tc>
        <w:tc>
          <w:tcPr>
            <w:tcW w:w="4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Midway Pipeline LLC</w:t>
            </w:r>
          </w:p>
        </w:tc>
        <w:tc>
          <w:tcPr>
            <w:tcW w:w="90" w:type="dxa"/>
            <w:tcBorders/>
            <w:shd w:fill="auto" w:val="clear"/>
            <w:vAlign w:val="center"/>
          </w:tcPr>
          <w:p>
            <w:pPr>
              <w:pStyle w:val="TableContents"/>
              <w:spacing w:before="0" w:after="0"/>
              <w:ind w:left="0" w:right="0" w:firstLine="30"/>
              <w:rPr/>
            </w:pPr>
            <w:r>
              <w:rPr/>
              <w:t> </w:t>
            </w:r>
          </w:p>
        </w:tc>
        <w:tc>
          <w:tcPr>
            <w:tcW w:w="204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Crude Oil Pipeline</w:t>
            </w:r>
          </w:p>
        </w:tc>
        <w:tc>
          <w:tcPr>
            <w:tcW w:w="90" w:type="dxa"/>
            <w:tcBorders/>
            <w:shd w:fill="auto" w:val="clear"/>
            <w:vAlign w:val="center"/>
          </w:tcPr>
          <w:p>
            <w:pPr>
              <w:pStyle w:val="TableContents"/>
              <w:spacing w:before="0" w:after="0"/>
              <w:ind w:left="0" w:right="0" w:firstLine="30"/>
              <w:rPr/>
            </w:pPr>
            <w:r>
              <w:rPr/>
              <w:t> </w:t>
            </w:r>
          </w:p>
        </w:tc>
        <w:tc>
          <w:tcPr>
            <w:tcW w:w="1853"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50%</w:t>
            </w:r>
          </w:p>
        </w:tc>
        <w:tc>
          <w:tcPr>
            <w:tcW w:w="219" w:type="dxa"/>
            <w:tcBorders/>
            <w:shd w:fill="auto" w:val="clear"/>
            <w:vAlign w:val="center"/>
          </w:tcPr>
          <w:p>
            <w:pPr>
              <w:pStyle w:val="TableContents"/>
              <w:spacing w:before="0" w:after="0"/>
              <w:ind w:left="0" w:right="0" w:firstLine="30"/>
              <w:rPr/>
            </w:pPr>
            <w:r>
              <w:rPr/>
              <w:t> </w:t>
            </w:r>
          </w:p>
        </w:tc>
        <w:tc>
          <w:tcPr>
            <w:tcW w:w="82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76</w:t>
            </w:r>
          </w:p>
        </w:tc>
        <w:tc>
          <w:tcPr>
            <w:tcW w:w="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78</w:t>
            </w:r>
          </w:p>
        </w:tc>
        <w:tc>
          <w:tcPr>
            <w:tcW w:w="4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Red Oak Pipeline LLC (“Red Oak”)</w:t>
            </w:r>
          </w:p>
        </w:tc>
        <w:tc>
          <w:tcPr>
            <w:tcW w:w="90" w:type="dxa"/>
            <w:tcBorders/>
            <w:shd w:fill="CCEEFF" w:val="clear"/>
            <w:vAlign w:val="center"/>
          </w:tcPr>
          <w:p>
            <w:pPr>
              <w:pStyle w:val="TableContents"/>
              <w:spacing w:before="0" w:after="0"/>
              <w:ind w:left="0" w:right="0" w:firstLine="30"/>
              <w:rPr/>
            </w:pPr>
            <w:r>
              <w:rPr/>
              <w:t> </w:t>
            </w:r>
          </w:p>
        </w:tc>
        <w:tc>
          <w:tcPr>
            <w:tcW w:w="2044" w:type="dxa"/>
            <w:tcBorders/>
            <w:shd w:fill="CCEEFF" w:val="clear"/>
            <w:vAlign w:val="center"/>
          </w:tcPr>
          <w:p>
            <w:pPr>
              <w:pStyle w:val="TableContents"/>
              <w:spacing w:lineRule="auto" w:line="288" w:before="0" w:after="0"/>
              <w:ind w:left="0" w:right="0" w:firstLine="30"/>
              <w:jc w:val="center"/>
              <w:rPr>
                <w:sz w:val="17"/>
              </w:rPr>
            </w:pPr>
            <w:r>
              <w:rPr>
                <w:rFonts w:ascii="inherit" w:hAnsi="inherit"/>
                <w:sz w:val="17"/>
              </w:rPr>
              <w:t xml:space="preserve">Crude Oil Pipeline </w:t>
            </w:r>
            <w:r>
              <w:rPr>
                <w:rFonts w:ascii="inherit" w:hAnsi="inherit"/>
                <w:sz w:val="12"/>
              </w:rPr>
              <w:t>(2)</w:t>
            </w:r>
          </w:p>
        </w:tc>
        <w:tc>
          <w:tcPr>
            <w:tcW w:w="90" w:type="dxa"/>
            <w:tcBorders/>
            <w:shd w:fill="CCEEFF" w:val="clear"/>
            <w:vAlign w:val="center"/>
          </w:tcPr>
          <w:p>
            <w:pPr>
              <w:pStyle w:val="TableContents"/>
              <w:spacing w:before="0" w:after="0"/>
              <w:ind w:left="0" w:right="0" w:firstLine="30"/>
              <w:rPr/>
            </w:pPr>
            <w:r>
              <w:rPr/>
              <w:t> </w:t>
            </w:r>
          </w:p>
        </w:tc>
        <w:tc>
          <w:tcPr>
            <w:tcW w:w="1853"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50%</w:t>
            </w:r>
          </w:p>
        </w:tc>
        <w:tc>
          <w:tcPr>
            <w:tcW w:w="219" w:type="dxa"/>
            <w:tcBorders/>
            <w:shd w:fill="CCEEFF" w:val="clear"/>
            <w:vAlign w:val="center"/>
          </w:tcPr>
          <w:p>
            <w:pPr>
              <w:pStyle w:val="TableContents"/>
              <w:spacing w:before="0" w:after="0"/>
              <w:ind w:left="0" w:right="0" w:firstLine="30"/>
              <w:rPr/>
            </w:pPr>
            <w:r>
              <w:rPr/>
              <w:t> </w:t>
            </w:r>
          </w:p>
        </w:tc>
        <w:tc>
          <w:tcPr>
            <w:tcW w:w="82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w:t>
            </w:r>
          </w:p>
        </w:tc>
        <w:tc>
          <w:tcPr>
            <w:tcW w:w="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51" w:type="dxa"/>
            <w:gridSpan w:val="2"/>
            <w:tcBorders/>
            <w:shd w:fill="CCEEFF" w:val="clear"/>
            <w:vAlign w:val="center"/>
          </w:tcPr>
          <w:p>
            <w:pPr>
              <w:pStyle w:val="TableContents"/>
              <w:spacing w:before="0" w:after="0"/>
              <w:jc w:val="right"/>
              <w:rPr/>
            </w:pPr>
            <w:r>
              <w:rPr/>
              <w:t>—</w:t>
            </w:r>
          </w:p>
        </w:tc>
        <w:tc>
          <w:tcPr>
            <w:tcW w:w="4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Saddlehorn Pipeline Company, LLC</w:t>
            </w:r>
          </w:p>
        </w:tc>
        <w:tc>
          <w:tcPr>
            <w:tcW w:w="90" w:type="dxa"/>
            <w:tcBorders/>
            <w:shd w:fill="auto" w:val="clear"/>
            <w:vAlign w:val="center"/>
          </w:tcPr>
          <w:p>
            <w:pPr>
              <w:pStyle w:val="TableContents"/>
              <w:spacing w:before="0" w:after="0"/>
              <w:ind w:left="0" w:right="0" w:firstLine="30"/>
              <w:rPr/>
            </w:pPr>
            <w:r>
              <w:rPr/>
              <w:t> </w:t>
            </w:r>
          </w:p>
        </w:tc>
        <w:tc>
          <w:tcPr>
            <w:tcW w:w="204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Crude Oil Pipeline</w:t>
            </w:r>
          </w:p>
        </w:tc>
        <w:tc>
          <w:tcPr>
            <w:tcW w:w="90" w:type="dxa"/>
            <w:tcBorders/>
            <w:shd w:fill="auto" w:val="clear"/>
            <w:vAlign w:val="center"/>
          </w:tcPr>
          <w:p>
            <w:pPr>
              <w:pStyle w:val="TableContents"/>
              <w:spacing w:before="0" w:after="0"/>
              <w:ind w:left="0" w:right="0" w:firstLine="30"/>
              <w:rPr/>
            </w:pPr>
            <w:r>
              <w:rPr/>
              <w:t> </w:t>
            </w:r>
          </w:p>
        </w:tc>
        <w:tc>
          <w:tcPr>
            <w:tcW w:w="1853"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40%</w:t>
            </w:r>
          </w:p>
        </w:tc>
        <w:tc>
          <w:tcPr>
            <w:tcW w:w="219" w:type="dxa"/>
            <w:tcBorders/>
            <w:shd w:fill="auto" w:val="clear"/>
            <w:vAlign w:val="center"/>
          </w:tcPr>
          <w:p>
            <w:pPr>
              <w:pStyle w:val="TableContents"/>
              <w:spacing w:before="0" w:after="0"/>
              <w:ind w:left="0" w:right="0" w:firstLine="30"/>
              <w:rPr/>
            </w:pPr>
            <w:r>
              <w:rPr/>
              <w:t> </w:t>
            </w:r>
          </w:p>
        </w:tc>
        <w:tc>
          <w:tcPr>
            <w:tcW w:w="82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223</w:t>
            </w:r>
          </w:p>
        </w:tc>
        <w:tc>
          <w:tcPr>
            <w:tcW w:w="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215</w:t>
            </w:r>
          </w:p>
        </w:tc>
        <w:tc>
          <w:tcPr>
            <w:tcW w:w="4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Settoon Towing, LLC</w:t>
            </w:r>
          </w:p>
        </w:tc>
        <w:tc>
          <w:tcPr>
            <w:tcW w:w="90" w:type="dxa"/>
            <w:tcBorders/>
            <w:shd w:fill="CCEEFF" w:val="clear"/>
            <w:vAlign w:val="center"/>
          </w:tcPr>
          <w:p>
            <w:pPr>
              <w:pStyle w:val="TableContents"/>
              <w:spacing w:before="0" w:after="0"/>
              <w:ind w:left="0" w:right="0" w:firstLine="30"/>
              <w:rPr/>
            </w:pPr>
            <w:r>
              <w:rPr/>
              <w:t> </w:t>
            </w:r>
          </w:p>
        </w:tc>
        <w:tc>
          <w:tcPr>
            <w:tcW w:w="2044"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Barge Transportation Services</w:t>
            </w:r>
          </w:p>
        </w:tc>
        <w:tc>
          <w:tcPr>
            <w:tcW w:w="90" w:type="dxa"/>
            <w:tcBorders/>
            <w:shd w:fill="CCEEFF" w:val="clear"/>
            <w:vAlign w:val="center"/>
          </w:tcPr>
          <w:p>
            <w:pPr>
              <w:pStyle w:val="TableContents"/>
              <w:spacing w:before="0" w:after="0"/>
              <w:ind w:left="0" w:right="0" w:firstLine="30"/>
              <w:rPr/>
            </w:pPr>
            <w:r>
              <w:rPr/>
              <w:t> </w:t>
            </w:r>
          </w:p>
        </w:tc>
        <w:tc>
          <w:tcPr>
            <w:tcW w:w="1853"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50%</w:t>
            </w:r>
          </w:p>
        </w:tc>
        <w:tc>
          <w:tcPr>
            <w:tcW w:w="219" w:type="dxa"/>
            <w:tcBorders/>
            <w:shd w:fill="CCEEFF" w:val="clear"/>
            <w:vAlign w:val="center"/>
          </w:tcPr>
          <w:p>
            <w:pPr>
              <w:pStyle w:val="TableContents"/>
              <w:spacing w:before="0" w:after="0"/>
              <w:ind w:left="0" w:right="0" w:firstLine="30"/>
              <w:rPr/>
            </w:pPr>
            <w:r>
              <w:rPr/>
              <w:t> </w:t>
            </w:r>
          </w:p>
        </w:tc>
        <w:tc>
          <w:tcPr>
            <w:tcW w:w="82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58</w:t>
            </w:r>
          </w:p>
        </w:tc>
        <w:tc>
          <w:tcPr>
            <w:tcW w:w="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5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58</w:t>
            </w:r>
          </w:p>
        </w:tc>
        <w:tc>
          <w:tcPr>
            <w:tcW w:w="4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STACK Pipeline LLC</w:t>
            </w:r>
          </w:p>
        </w:tc>
        <w:tc>
          <w:tcPr>
            <w:tcW w:w="90" w:type="dxa"/>
            <w:tcBorders/>
            <w:shd w:fill="auto" w:val="clear"/>
            <w:vAlign w:val="center"/>
          </w:tcPr>
          <w:p>
            <w:pPr>
              <w:pStyle w:val="TableContents"/>
              <w:spacing w:before="0" w:after="0"/>
              <w:ind w:left="0" w:right="0" w:firstLine="30"/>
              <w:rPr/>
            </w:pPr>
            <w:r>
              <w:rPr/>
              <w:t> </w:t>
            </w:r>
          </w:p>
        </w:tc>
        <w:tc>
          <w:tcPr>
            <w:tcW w:w="204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Crude Oil Pipeline</w:t>
            </w:r>
          </w:p>
        </w:tc>
        <w:tc>
          <w:tcPr>
            <w:tcW w:w="90" w:type="dxa"/>
            <w:tcBorders/>
            <w:shd w:fill="auto" w:val="clear"/>
            <w:vAlign w:val="center"/>
          </w:tcPr>
          <w:p>
            <w:pPr>
              <w:pStyle w:val="TableContents"/>
              <w:spacing w:before="0" w:after="0"/>
              <w:ind w:left="0" w:right="0" w:firstLine="30"/>
              <w:rPr/>
            </w:pPr>
            <w:r>
              <w:rPr/>
              <w:t> </w:t>
            </w:r>
          </w:p>
        </w:tc>
        <w:tc>
          <w:tcPr>
            <w:tcW w:w="1853"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50%</w:t>
            </w:r>
          </w:p>
        </w:tc>
        <w:tc>
          <w:tcPr>
            <w:tcW w:w="219" w:type="dxa"/>
            <w:tcBorders/>
            <w:shd w:fill="auto" w:val="clear"/>
            <w:vAlign w:val="center"/>
          </w:tcPr>
          <w:p>
            <w:pPr>
              <w:pStyle w:val="TableContents"/>
              <w:spacing w:before="0" w:after="0"/>
              <w:ind w:left="0" w:right="0" w:firstLine="30"/>
              <w:rPr/>
            </w:pPr>
            <w:r>
              <w:rPr/>
              <w:t> </w:t>
            </w:r>
          </w:p>
        </w:tc>
        <w:tc>
          <w:tcPr>
            <w:tcW w:w="82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117</w:t>
            </w:r>
          </w:p>
        </w:tc>
        <w:tc>
          <w:tcPr>
            <w:tcW w:w="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120</w:t>
            </w:r>
          </w:p>
        </w:tc>
        <w:tc>
          <w:tcPr>
            <w:tcW w:w="4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White Cliffs Pipeline, LLC</w:t>
            </w:r>
          </w:p>
        </w:tc>
        <w:tc>
          <w:tcPr>
            <w:tcW w:w="90" w:type="dxa"/>
            <w:tcBorders/>
            <w:shd w:fill="CCEEFF" w:val="clear"/>
            <w:vAlign w:val="center"/>
          </w:tcPr>
          <w:p>
            <w:pPr>
              <w:pStyle w:val="TableContents"/>
              <w:spacing w:before="0" w:after="0"/>
              <w:ind w:left="0" w:right="0" w:firstLine="30"/>
              <w:rPr/>
            </w:pPr>
            <w:r>
              <w:rPr/>
              <w:t> </w:t>
            </w:r>
          </w:p>
        </w:tc>
        <w:tc>
          <w:tcPr>
            <w:tcW w:w="2044"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Crude Oil Pipeline</w:t>
            </w:r>
          </w:p>
        </w:tc>
        <w:tc>
          <w:tcPr>
            <w:tcW w:w="90" w:type="dxa"/>
            <w:tcBorders/>
            <w:shd w:fill="CCEEFF" w:val="clear"/>
            <w:vAlign w:val="center"/>
          </w:tcPr>
          <w:p>
            <w:pPr>
              <w:pStyle w:val="TableContents"/>
              <w:spacing w:before="0" w:after="0"/>
              <w:ind w:left="0" w:right="0" w:firstLine="30"/>
              <w:rPr/>
            </w:pPr>
            <w:r>
              <w:rPr/>
              <w:t> </w:t>
            </w:r>
          </w:p>
        </w:tc>
        <w:tc>
          <w:tcPr>
            <w:tcW w:w="1853"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36%</w:t>
            </w:r>
          </w:p>
        </w:tc>
        <w:tc>
          <w:tcPr>
            <w:tcW w:w="219" w:type="dxa"/>
            <w:tcBorders/>
            <w:shd w:fill="CCEEFF" w:val="clear"/>
            <w:vAlign w:val="center"/>
          </w:tcPr>
          <w:p>
            <w:pPr>
              <w:pStyle w:val="TableContents"/>
              <w:spacing w:before="0" w:after="0"/>
              <w:ind w:left="0" w:right="0" w:firstLine="30"/>
              <w:rPr/>
            </w:pPr>
            <w:r>
              <w:rPr/>
              <w:t> </w:t>
            </w:r>
          </w:p>
        </w:tc>
        <w:tc>
          <w:tcPr>
            <w:tcW w:w="82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196</w:t>
            </w:r>
          </w:p>
        </w:tc>
        <w:tc>
          <w:tcPr>
            <w:tcW w:w="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5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190</w:t>
            </w:r>
          </w:p>
        </w:tc>
        <w:tc>
          <w:tcPr>
            <w:tcW w:w="4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Wink to Webster Pipeline LLC (“W2W Pipeline”)</w:t>
            </w:r>
          </w:p>
        </w:tc>
        <w:tc>
          <w:tcPr>
            <w:tcW w:w="90" w:type="dxa"/>
            <w:tcBorders/>
            <w:shd w:fill="auto" w:val="clear"/>
            <w:vAlign w:val="center"/>
          </w:tcPr>
          <w:p>
            <w:pPr>
              <w:pStyle w:val="TableContents"/>
              <w:spacing w:before="0" w:after="0"/>
              <w:ind w:left="0" w:right="0" w:firstLine="30"/>
              <w:rPr/>
            </w:pPr>
            <w:r>
              <w:rPr/>
              <w:t> </w:t>
            </w:r>
          </w:p>
        </w:tc>
        <w:tc>
          <w:tcPr>
            <w:tcW w:w="2044" w:type="dxa"/>
            <w:tcBorders/>
            <w:shd w:fill="auto" w:val="clear"/>
            <w:vAlign w:val="center"/>
          </w:tcPr>
          <w:p>
            <w:pPr>
              <w:pStyle w:val="TableContents"/>
              <w:spacing w:lineRule="auto" w:line="288" w:before="0" w:after="0"/>
              <w:ind w:left="0" w:right="0" w:firstLine="30"/>
              <w:jc w:val="center"/>
              <w:rPr>
                <w:sz w:val="17"/>
              </w:rPr>
            </w:pPr>
            <w:r>
              <w:rPr>
                <w:rFonts w:ascii="inherit" w:hAnsi="inherit"/>
                <w:sz w:val="17"/>
              </w:rPr>
              <w:t xml:space="preserve">Crude Oil Pipeline </w:t>
            </w:r>
            <w:r>
              <w:rPr>
                <w:rFonts w:ascii="inherit" w:hAnsi="inherit"/>
                <w:sz w:val="12"/>
              </w:rPr>
              <w:t>(2)</w:t>
            </w:r>
          </w:p>
        </w:tc>
        <w:tc>
          <w:tcPr>
            <w:tcW w:w="90" w:type="dxa"/>
            <w:tcBorders/>
            <w:shd w:fill="auto" w:val="clear"/>
            <w:vAlign w:val="center"/>
          </w:tcPr>
          <w:p>
            <w:pPr>
              <w:pStyle w:val="TableContents"/>
              <w:spacing w:before="0" w:after="0"/>
              <w:ind w:left="0" w:right="0" w:firstLine="30"/>
              <w:rPr/>
            </w:pPr>
            <w:r>
              <w:rPr/>
              <w:t> </w:t>
            </w:r>
          </w:p>
        </w:tc>
        <w:tc>
          <w:tcPr>
            <w:tcW w:w="1853"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20%</w:t>
            </w:r>
          </w:p>
        </w:tc>
        <w:tc>
          <w:tcPr>
            <w:tcW w:w="219" w:type="dxa"/>
            <w:tcBorders/>
            <w:shd w:fill="auto" w:val="clear"/>
            <w:vAlign w:val="center"/>
          </w:tcPr>
          <w:p>
            <w:pPr>
              <w:pStyle w:val="TableContents"/>
              <w:spacing w:lineRule="auto" w:line="288" w:before="0" w:after="0"/>
              <w:ind w:left="0" w:right="0" w:firstLine="30"/>
              <w:jc w:val="left"/>
              <w:rPr>
                <w:rFonts w:ascii="inherit" w:hAnsi="inherit"/>
                <w:sz w:val="17"/>
              </w:rPr>
            </w:pPr>
            <w:r>
              <w:rPr>
                <w:rFonts w:ascii="inherit" w:hAnsi="inherit"/>
                <w:sz w:val="12"/>
              </w:rPr>
              <w:t>(4)</w:t>
            </w:r>
            <w:r>
              <w:rPr>
                <w:rFonts w:ascii="inherit" w:hAnsi="inherit"/>
                <w:sz w:val="17"/>
              </w:rPr>
              <w:t> </w:t>
            </w:r>
          </w:p>
        </w:tc>
        <w:tc>
          <w:tcPr>
            <w:tcW w:w="82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w:t>
            </w:r>
          </w:p>
        </w:tc>
        <w:tc>
          <w:tcPr>
            <w:tcW w:w="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1" w:type="dxa"/>
            <w:gridSpan w:val="2"/>
            <w:tcBorders/>
            <w:shd w:fill="auto" w:val="clear"/>
            <w:vAlign w:val="center"/>
          </w:tcPr>
          <w:p>
            <w:pPr>
              <w:pStyle w:val="TableContents"/>
              <w:spacing w:before="0" w:after="0"/>
              <w:jc w:val="right"/>
              <w:rPr/>
            </w:pPr>
            <w:r>
              <w:rPr/>
              <w:t>—</w:t>
            </w:r>
          </w:p>
        </w:tc>
        <w:tc>
          <w:tcPr>
            <w:tcW w:w="447"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6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investments in unconsolidated entities</w:t>
            </w:r>
          </w:p>
        </w:tc>
        <w:tc>
          <w:tcPr>
            <w:tcW w:w="90" w:type="dxa"/>
            <w:tcBorders/>
            <w:shd w:fill="CCEEFF" w:val="clear"/>
            <w:vAlign w:val="center"/>
          </w:tcPr>
          <w:p>
            <w:pPr>
              <w:pStyle w:val="TableContents"/>
              <w:spacing w:before="0" w:after="0"/>
              <w:ind w:left="0" w:right="0" w:firstLine="30"/>
              <w:rPr/>
            </w:pPr>
            <w:r>
              <w:rPr/>
              <w:t> </w:t>
            </w:r>
          </w:p>
        </w:tc>
        <w:tc>
          <w:tcPr>
            <w:tcW w:w="2044"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853" w:type="dxa"/>
            <w:tcBorders/>
            <w:shd w:fill="CCEEFF" w:val="clear"/>
            <w:vAlign w:val="center"/>
          </w:tcPr>
          <w:p>
            <w:pPr>
              <w:pStyle w:val="TableContents"/>
              <w:spacing w:before="0" w:after="0"/>
              <w:ind w:left="0" w:right="0" w:firstLine="30"/>
              <w:rPr/>
            </w:pPr>
            <w:r>
              <w:rPr/>
              <w:t> </w:t>
            </w:r>
          </w:p>
        </w:tc>
        <w:tc>
          <w:tcPr>
            <w:tcW w:w="219" w:type="dxa"/>
            <w:tcBorders/>
            <w:shd w:fill="CCEEFF" w:val="clear"/>
            <w:vAlign w:val="center"/>
          </w:tcPr>
          <w:p>
            <w:pPr>
              <w:pStyle w:val="TableContents"/>
              <w:spacing w:before="0" w:after="0"/>
              <w:ind w:left="0" w:right="0" w:firstLine="30"/>
              <w:rPr/>
            </w:pPr>
            <w:r>
              <w:rPr/>
              <w:t> </w:t>
            </w:r>
          </w:p>
        </w:tc>
        <w:tc>
          <w:tcPr>
            <w:tcW w:w="16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5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3,377</w:t>
            </w:r>
          </w:p>
        </w:tc>
        <w:tc>
          <w:tcPr>
            <w:tcW w:w="3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7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7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2,702</w:t>
            </w:r>
          </w:p>
        </w:tc>
        <w:tc>
          <w:tcPr>
            <w:tcW w:w="447"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sz w:val="4"/>
                <w:szCs w:val="4"/>
              </w:rPr>
            </w:pPr>
            <w:r>
              <w:rPr>
                <w:sz w:val="4"/>
                <w:szCs w:val="4"/>
              </w:rPr>
            </w:r>
          </w:p>
        </w:tc>
      </w:tr>
      <w:tr>
        <w:trPr/>
        <w:tc>
          <w:tcPr>
            <w:tcW w:w="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 w:type="dxa"/>
            <w:tcBorders>
              <w:bottom w:val="single" w:sz="2" w:space="0" w:color="000000"/>
            </w:tcBorders>
            <w:shd w:fill="auto" w:val="clear"/>
            <w:tcMar>
              <w:bottom w:w="30" w:type="dxa"/>
            </w:tcMar>
            <w:vAlign w:val="center"/>
          </w:tcPr>
          <w:p>
            <w:pPr>
              <w:pStyle w:val="TableContents"/>
              <w:spacing w:before="0" w:after="0"/>
              <w:rPr/>
            </w:pPr>
            <w:r>
              <w:rPr/>
              <w:t> </w:t>
            </w:r>
          </w:p>
        </w:tc>
      </w:tr>
    </w:tbl>
    <w:tbl>
      <w:tblPr>
        <w:tblW w:w="10205" w:type="dxa"/>
        <w:jc w:val="left"/>
        <w:tblInd w:w="0" w:type="dxa"/>
        <w:tblCellMar>
          <w:top w:w="0" w:type="dxa"/>
          <w:left w:w="0" w:type="dxa"/>
          <w:bottom w:w="0" w:type="dxa"/>
          <w:right w:w="0" w:type="dxa"/>
        </w:tblCellMar>
      </w:tblPr>
      <w:tblGrid>
        <w:gridCol w:w="220"/>
        <w:gridCol w:w="9985"/>
      </w:tblGrid>
      <w:tr>
        <w:trPr/>
        <w:tc>
          <w:tcPr>
            <w:tcW w:w="220" w:type="dxa"/>
            <w:tcBorders/>
            <w:shd w:fill="auto" w:val="clear"/>
            <w:vAlign w:val="center"/>
          </w:tcPr>
          <w:p>
            <w:pPr>
              <w:pStyle w:val="TableContents"/>
              <w:spacing w:before="0" w:after="283"/>
              <w:rPr>
                <w:sz w:val="4"/>
                <w:szCs w:val="4"/>
              </w:rPr>
            </w:pPr>
            <w:r>
              <w:rPr>
                <w:sz w:val="4"/>
                <w:szCs w:val="4"/>
              </w:rPr>
            </w:r>
          </w:p>
        </w:tc>
        <w:tc>
          <w:tcPr>
            <w:tcW w:w="9985" w:type="dxa"/>
            <w:tcBorders/>
            <w:shd w:fill="auto" w:val="clear"/>
            <w:vAlign w:val="center"/>
          </w:tcPr>
          <w:p>
            <w:pPr>
              <w:pStyle w:val="TableContents"/>
              <w:spacing w:before="0" w:after="283"/>
              <w:rPr>
                <w:sz w:val="4"/>
                <w:szCs w:val="4"/>
              </w:rPr>
            </w:pPr>
            <w:r>
              <w:rPr>
                <w:sz w:val="4"/>
                <w:szCs w:val="4"/>
              </w:rPr>
            </w:r>
          </w:p>
        </w:tc>
      </w:tr>
      <w:tr>
        <w:trPr/>
        <w:tc>
          <w:tcPr>
            <w:tcW w:w="220"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(1)</w:t>
            </w:r>
            <w:r>
              <w:rPr>
                <w:rFonts w:ascii="inherit" w:hAnsi="inherit"/>
                <w:sz w:val="17"/>
              </w:rPr>
              <w:t> </w:t>
            </w:r>
          </w:p>
        </w:tc>
        <w:tc>
          <w:tcPr>
            <w:tcW w:w="9985" w:type="dxa"/>
            <w:tcBorders/>
            <w:shd w:fill="auto" w:val="clear"/>
            <w:vAlign w:val="center"/>
          </w:tcPr>
          <w:p>
            <w:pPr>
              <w:pStyle w:val="TableContents"/>
              <w:spacing w:lineRule="auto" w:line="288" w:before="0" w:after="0"/>
              <w:rPr>
                <w:rFonts w:ascii="inherit" w:hAnsi="inherit"/>
                <w:sz w:val="17"/>
              </w:rPr>
            </w:pPr>
            <w:r>
              <w:rPr>
                <w:rFonts w:ascii="inherit" w:hAnsi="inherit"/>
                <w:sz w:val="17"/>
              </w:rPr>
              <w:t>Except for Eagle Ford Terminals, which is reported in our Facilities segment, the financial results from the entities are reported in our Transportation segment.</w:t>
            </w:r>
          </w:p>
        </w:tc>
      </w:tr>
    </w:tbl>
    <w:tbl>
      <w:tblPr>
        <w:tblW w:w="7750" w:type="dxa"/>
        <w:jc w:val="left"/>
        <w:tblInd w:w="0" w:type="dxa"/>
        <w:tblCellMar>
          <w:top w:w="0" w:type="dxa"/>
          <w:left w:w="0" w:type="dxa"/>
          <w:bottom w:w="0" w:type="dxa"/>
          <w:right w:w="0" w:type="dxa"/>
        </w:tblCellMar>
      </w:tblPr>
      <w:tblGrid>
        <w:gridCol w:w="245"/>
        <w:gridCol w:w="7505"/>
      </w:tblGrid>
      <w:tr>
        <w:trPr/>
        <w:tc>
          <w:tcPr>
            <w:tcW w:w="245" w:type="dxa"/>
            <w:tcBorders/>
            <w:shd w:fill="auto" w:val="clear"/>
            <w:vAlign w:val="center"/>
          </w:tcPr>
          <w:p>
            <w:pPr>
              <w:pStyle w:val="TableContents"/>
              <w:spacing w:before="0" w:after="283"/>
              <w:rPr>
                <w:sz w:val="4"/>
                <w:szCs w:val="4"/>
              </w:rPr>
            </w:pPr>
            <w:r>
              <w:rPr>
                <w:sz w:val="4"/>
                <w:szCs w:val="4"/>
              </w:rPr>
            </w:r>
          </w:p>
        </w:tc>
        <w:tc>
          <w:tcPr>
            <w:tcW w:w="7505"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(2)</w:t>
            </w:r>
            <w:r>
              <w:rPr>
                <w:rFonts w:ascii="inherit" w:hAnsi="inherit"/>
                <w:sz w:val="17"/>
              </w:rPr>
              <w:t> </w:t>
            </w:r>
          </w:p>
        </w:tc>
        <w:tc>
          <w:tcPr>
            <w:tcW w:w="7505" w:type="dxa"/>
            <w:tcBorders/>
            <w:shd w:fill="auto" w:val="clear"/>
            <w:vAlign w:val="center"/>
          </w:tcPr>
          <w:p>
            <w:pPr>
              <w:pStyle w:val="TableContents"/>
              <w:spacing w:lineRule="auto" w:line="288" w:before="0" w:after="0"/>
              <w:rPr>
                <w:rFonts w:ascii="inherit" w:hAnsi="inherit"/>
                <w:sz w:val="17"/>
              </w:rPr>
            </w:pPr>
            <w:r>
              <w:rPr>
                <w:rFonts w:ascii="inherit" w:hAnsi="inherit"/>
                <w:sz w:val="17"/>
              </w:rPr>
              <w:t>Asset is currently under construction by the entity and has not yet been placed in service.</w:t>
            </w:r>
          </w:p>
        </w:tc>
      </w:tr>
    </w:tbl>
    <w:tbl>
      <w:tblPr>
        <w:tblW w:w="10205" w:type="dxa"/>
        <w:jc w:val="left"/>
        <w:tblInd w:w="0" w:type="dxa"/>
        <w:tblCellMar>
          <w:top w:w="0" w:type="dxa"/>
          <w:left w:w="0" w:type="dxa"/>
          <w:bottom w:w="0" w:type="dxa"/>
          <w:right w:w="0" w:type="dxa"/>
        </w:tblCellMar>
      </w:tblPr>
      <w:tblGrid>
        <w:gridCol w:w="205"/>
        <w:gridCol w:w="10000"/>
      </w:tblGrid>
      <w:tr>
        <w:trPr/>
        <w:tc>
          <w:tcPr>
            <w:tcW w:w="205" w:type="dxa"/>
            <w:tcBorders/>
            <w:shd w:fill="auto" w:val="clear"/>
            <w:vAlign w:val="center"/>
          </w:tcPr>
          <w:p>
            <w:pPr>
              <w:pStyle w:val="TableContents"/>
              <w:spacing w:before="0" w:after="283"/>
              <w:rPr>
                <w:sz w:val="4"/>
                <w:szCs w:val="4"/>
              </w:rPr>
            </w:pPr>
            <w:r>
              <w:rPr>
                <w:sz w:val="4"/>
                <w:szCs w:val="4"/>
              </w:rPr>
            </w:r>
          </w:p>
        </w:tc>
        <w:tc>
          <w:tcPr>
            <w:tcW w:w="10000" w:type="dxa"/>
            <w:tcBorders/>
            <w:shd w:fill="auto" w:val="clear"/>
            <w:vAlign w:val="center"/>
          </w:tcPr>
          <w:p>
            <w:pPr>
              <w:pStyle w:val="TableContents"/>
              <w:spacing w:before="0" w:after="283"/>
              <w:rPr>
                <w:sz w:val="4"/>
                <w:szCs w:val="4"/>
              </w:rPr>
            </w:pPr>
            <w:r>
              <w:rPr>
                <w:sz w:val="4"/>
                <w:szCs w:val="4"/>
              </w:rPr>
            </w:r>
          </w:p>
        </w:tc>
      </w:tr>
      <w:tr>
        <w:trPr/>
        <w:tc>
          <w:tcPr>
            <w:tcW w:w="205"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(3)</w:t>
            </w:r>
            <w:r>
              <w:rPr>
                <w:rFonts w:ascii="inherit" w:hAnsi="inherit"/>
                <w:sz w:val="17"/>
              </w:rPr>
              <w:t> </w:t>
            </w:r>
          </w:p>
        </w:tc>
        <w:tc>
          <w:tcPr>
            <w:tcW w:w="10000" w:type="dxa"/>
            <w:tcBorders/>
            <w:shd w:fill="auto" w:val="clear"/>
            <w:vAlign w:val="center"/>
          </w:tcPr>
          <w:p>
            <w:pPr>
              <w:pStyle w:val="TableContents"/>
              <w:spacing w:lineRule="auto" w:line="288" w:before="0" w:after="0"/>
              <w:rPr>
                <w:rFonts w:ascii="inherit" w:hAnsi="inherit"/>
                <w:sz w:val="17"/>
              </w:rPr>
            </w:pPr>
            <w:r>
              <w:rPr>
                <w:rFonts w:ascii="inherit" w:hAnsi="inherit"/>
                <w:sz w:val="17"/>
              </w:rPr>
              <w:t>The Capline pipeline was taken out of service in the fourth quarter of 2018. Subsequent to June 30, 2019, the owners of Capline Pipeline Company LLC sanctioned the reversal of the Capline pipeline system.</w:t>
            </w:r>
          </w:p>
        </w:tc>
      </w:tr>
    </w:tbl>
    <w:tbl>
      <w:tblPr>
        <w:tblW w:w="9475" w:type="dxa"/>
        <w:jc w:val="left"/>
        <w:tblInd w:w="0" w:type="dxa"/>
        <w:tblCellMar>
          <w:top w:w="0" w:type="dxa"/>
          <w:left w:w="0" w:type="dxa"/>
          <w:bottom w:w="0" w:type="dxa"/>
          <w:right w:w="0" w:type="dxa"/>
        </w:tblCellMar>
      </w:tblPr>
      <w:tblGrid>
        <w:gridCol w:w="245"/>
        <w:gridCol w:w="9230"/>
      </w:tblGrid>
      <w:tr>
        <w:trPr/>
        <w:tc>
          <w:tcPr>
            <w:tcW w:w="245" w:type="dxa"/>
            <w:tcBorders/>
            <w:shd w:fill="auto" w:val="clear"/>
            <w:vAlign w:val="center"/>
          </w:tcPr>
          <w:p>
            <w:pPr>
              <w:pStyle w:val="TableContents"/>
              <w:spacing w:before="0" w:after="283"/>
              <w:rPr>
                <w:sz w:val="4"/>
                <w:szCs w:val="4"/>
              </w:rPr>
            </w:pPr>
            <w:r>
              <w:rPr>
                <w:sz w:val="4"/>
                <w:szCs w:val="4"/>
              </w:rPr>
            </w:r>
          </w:p>
        </w:tc>
        <w:tc>
          <w:tcPr>
            <w:tcW w:w="9230"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(4)</w:t>
            </w:r>
            <w:r>
              <w:rPr>
                <w:rFonts w:ascii="inherit" w:hAnsi="inherit"/>
                <w:sz w:val="17"/>
              </w:rPr>
              <w:t> </w:t>
            </w:r>
          </w:p>
        </w:tc>
        <w:tc>
          <w:tcPr>
            <w:tcW w:w="9230" w:type="dxa"/>
            <w:tcBorders/>
            <w:shd w:fill="auto" w:val="clear"/>
            <w:vAlign w:val="center"/>
          </w:tcPr>
          <w:p>
            <w:pPr>
              <w:pStyle w:val="TableContents"/>
              <w:spacing w:lineRule="auto" w:line="288" w:before="0" w:after="0"/>
              <w:rPr>
                <w:rFonts w:ascii="inherit" w:hAnsi="inherit"/>
                <w:sz w:val="17"/>
              </w:rPr>
            </w:pPr>
            <w:r>
              <w:rPr>
                <w:rFonts w:ascii="inherit" w:hAnsi="inherit"/>
                <w:sz w:val="17"/>
              </w:rPr>
              <w:t>Subsequent to June 30, 2019, our ownership interest in W2W Pipeline was reduced to 16%, as discussed below.</w:t>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b/>
          <w:i/>
          <w:sz w:val="17"/>
        </w:rPr>
      </w:pPr>
      <w:r>
        <w:rPr>
          <w:rFonts w:ascii="inherit" w:hAnsi="inherit"/>
          <w:b/>
          <w:i/>
          <w:sz w:val="17"/>
        </w:rPr>
        <w:t>Formations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ind w:left="0" w:right="0" w:firstLine="720"/>
        <w:rPr>
          <w:sz w:val="17"/>
        </w:rPr>
      </w:pPr>
      <w:r>
        <w:rPr>
          <w:rFonts w:ascii="inherit" w:hAnsi="inherit"/>
          <w:i/>
          <w:sz w:val="17"/>
        </w:rPr>
        <w:t xml:space="preserve">Capline LLC. </w:t>
      </w:r>
      <w:r>
        <w:rPr>
          <w:rFonts w:ascii="inherit" w:hAnsi="inherit"/>
          <w:sz w:val="17"/>
        </w:rPr>
        <w:t>During the first quarter of 2019, the owners of the Capline pipeline system, which originates in St. James, Louisiana and terminates in Patoka, Illinois, contributed their undivided joint interests in the system for equity interests in a legal entity, Capline Pipeline Company LLC (“Capline LLC”). After the contribution, Capline LLC owns 100%</w:t>
      </w:r>
      <w:r>
        <w:rPr>
          <w:sz w:val="17"/>
        </w:rPr>
        <w:t xml:space="preserve"> </w:t>
      </w:r>
      <w:r>
        <w:rPr>
          <w:rFonts w:ascii="inherit" w:hAnsi="inherit"/>
          <w:sz w:val="17"/>
        </w:rPr>
        <w:t xml:space="preserve">of the pipeline system. Each owner’s undivided joint interest in the Capline pipeline system prior to the transaction is equal to each owner’s equity interest in Capline LLC. Although we own a majority of Capline LLC’s equity, we do not have a controlling financial interest in Capline LLC because the other members have substantive participating rights. Therefore, we account for our ownership interest in Capline LLC as an equity method investment. </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ind w:left="0" w:right="0" w:firstLine="720"/>
        <w:rPr>
          <w:sz w:val="17"/>
        </w:rPr>
      </w:pPr>
      <w:r>
        <w:rPr>
          <w:rFonts w:ascii="inherit" w:hAnsi="inherit"/>
          <w:sz w:val="17"/>
        </w:rPr>
        <w:t>The transaction resulted in a loss of control of our undivided joint interest, which was derecognized and contributed to Capline LLC. The loss of control required us to measure our equity interest in Capline LLC at fair value. At the time of the transaction, our 54%</w:t>
      </w:r>
      <w:r>
        <w:rPr>
          <w:sz w:val="17"/>
        </w:rPr>
        <w:t xml:space="preserve"> </w:t>
      </w:r>
      <w:r>
        <w:rPr>
          <w:rFonts w:ascii="inherit" w:hAnsi="inherit"/>
          <w:sz w:val="17"/>
        </w:rPr>
        <w:t>undivided joint interest in the Capline pipeline system had a carrying value of $177 million, which primarily related to property and equipment included in our Transportation segment. We determined the fair value of our investment in Capline LLC to be approximately $444 million, resulting in the recognition of a gain of $267 million</w:t>
      </w:r>
      <w:r>
        <w:rPr>
          <w:sz w:val="17"/>
        </w:rPr>
        <w:t xml:space="preserve"> </w:t>
      </w:r>
      <w:r>
        <w:rPr>
          <w:rFonts w:ascii="inherit" w:hAnsi="inherit"/>
          <w:sz w:val="17"/>
        </w:rPr>
        <w:t xml:space="preserve">during the six months ended June 30, 2019. Such gain is included in “Gain on investment in unconsolidated entities” on our Condensed Consolidated Statement of Operations. </w:t>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19</w:t>
      </w:r>
      <w:r>
        <w:br w:type="page"/>
      </w:r>
    </w:p>
    <w:p>
      <w:pPr>
        <w:pStyle w:val="TextBody"/>
        <w:spacing w:lineRule="auto" w:line="288" w:before="0" w:after="0"/>
        <w:rPr/>
      </w:pPr>
      <w:hyperlink w:anchor="s3336AD8A685850CC9B7F2572CB2C0BC3">
        <w:r>
          <w:rPr>
            <w:rStyle w:val="InternetLink"/>
            <w:rFonts w:ascii="inherit" w:hAnsi="inherit"/>
            <w:sz w:val="17"/>
          </w:rPr>
          <w:t>Table of Contents</w:t>
        </w:r>
      </w:hyperlink>
      <w:r>
        <w:rPr>
          <w:sz w:val="17"/>
        </w:rPr>
        <w:t xml:space="preserve"> </w:t>
      </w:r>
    </w:p>
    <w:p>
      <w:pPr>
        <w:pStyle w:val="TextBody"/>
        <w:spacing w:lineRule="auto" w:line="288" w:before="0" w:after="0"/>
        <w:jc w:val="center"/>
        <w:rPr>
          <w:rFonts w:ascii="inherit" w:hAnsi="inherit"/>
          <w:b/>
          <w:sz w:val="17"/>
        </w:rPr>
      </w:pPr>
      <w:r>
        <w:rPr>
          <w:rFonts w:ascii="inherit" w:hAnsi="inherit"/>
          <w:b/>
          <w:sz w:val="17"/>
        </w:rPr>
        <w:t>PLAINS ALL AMERICAN PIPELINE, L.P. AND SUBSIDIARIES</w:t>
      </w:r>
    </w:p>
    <w:p>
      <w:pPr>
        <w:pStyle w:val="TextBody"/>
        <w:spacing w:lineRule="auto" w:line="288" w:before="0" w:after="0"/>
        <w:jc w:val="center"/>
        <w:rPr>
          <w:rFonts w:ascii="inherit" w:hAnsi="inherit"/>
          <w:b/>
          <w:sz w:val="17"/>
        </w:rPr>
      </w:pPr>
      <w:r>
        <w:rPr>
          <w:rFonts w:ascii="inherit" w:hAnsi="inherit"/>
          <w:b/>
          <w:sz w:val="17"/>
        </w:rPr>
        <w:t>NOTES TO THE UNAUDITED CONDENSED CONSOLIDATED FINANCIAL STATEMENTS</w:t>
      </w:r>
    </w:p>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720"/>
        <w:rPr>
          <w:rFonts w:ascii="inherit" w:hAnsi="inherit"/>
          <w:sz w:val="17"/>
        </w:rPr>
      </w:pPr>
      <w:r>
        <w:rPr>
          <w:rFonts w:ascii="inherit" w:hAnsi="inherit"/>
          <w:sz w:val="17"/>
        </w:rPr>
        <w:t xml:space="preserve">The fair value of our investment in Capline LLC was based on an income approach utilizing a discounted cash flow analysis. This approach requires us to make long-term forecasts of future revenues and expenditures. Those forecasts require the use of various assumptions and estimates which include those related to the timing and amount of capital expenditures, and the expected tariff rates and volumes of crude oil. These assumptions are based on a potential reversal of the Capline pipeline and the initiation of southbound service on the Capline pipeline from Patoka to St. James, and potential service on our Diamond joint venture pipeline and the Capline pipeline from Cushing, Oklahoma to St. James. We probability weighted various forecasted cash flow scenarios utilized in the analysis when we considered the possible outcomes. We used a discount rate representing our estimate of the risk adjusted discount rate that would be used by market participants. These projects are dependent upon shipper interest. If shipper interest varies from the levels assumed in our model, the related cash flows, and thus the fair value of our investment, could be materially impacted. The fair value of our investment was determined using significant unobservable inputs, or Level 3 inputs in the fair value hierarchy. </w:t>
      </w:r>
    </w:p>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lineRule="auto" w:line="288" w:before="0" w:after="0"/>
        <w:ind w:left="0" w:right="0" w:firstLine="720"/>
        <w:rPr>
          <w:sz w:val="17"/>
        </w:rPr>
      </w:pPr>
      <w:r>
        <w:rPr>
          <w:rFonts w:ascii="inherit" w:hAnsi="inherit"/>
          <w:i/>
          <w:sz w:val="17"/>
        </w:rPr>
        <w:t xml:space="preserve">W2W Pipeline. </w:t>
      </w:r>
      <w:r>
        <w:rPr>
          <w:rFonts w:ascii="inherit" w:hAnsi="inherit"/>
          <w:sz w:val="17"/>
        </w:rPr>
        <w:t>In the first quarter of 2019, we announced the formation of W2W Pipeline, a joint venture with subsidiaries of ExxonMobil and Lotus Midstream, LLC. Subsequent to June 30, 2019, three additional entities joined as partners in W2W Pipeline. As a result, our ownership interest in W2W Pipeline decreased from 20%</w:t>
      </w:r>
      <w:r>
        <w:rPr>
          <w:sz w:val="17"/>
        </w:rPr>
        <w:t xml:space="preserve"> </w:t>
      </w:r>
      <w:r>
        <w:rPr>
          <w:rFonts w:ascii="inherit" w:hAnsi="inherit"/>
          <w:sz w:val="17"/>
        </w:rPr>
        <w:t>to 16%. We account for our interest in W2W Pipeline under the equity method of accounting. W2W Pipeline is currently developing a new pipeline system that will originate in the Permian Basin in West Texas and transport crude oil to the Texas Gulf Coast. The pipeline system will provide more than 1 million</w:t>
      </w:r>
      <w:r>
        <w:rPr>
          <w:sz w:val="17"/>
        </w:rPr>
        <w:t xml:space="preserve"> </w:t>
      </w:r>
      <w:r>
        <w:rPr>
          <w:rFonts w:ascii="inherit" w:hAnsi="inherit"/>
          <w:sz w:val="17"/>
        </w:rPr>
        <w:t xml:space="preserve">barrels per day of crude oil and condensate capacity, and the project is targeted to commence operations in the first half of 2021. </w:t>
      </w:r>
    </w:p>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lineRule="auto" w:line="288" w:before="0" w:after="0"/>
        <w:ind w:left="0" w:right="0" w:firstLine="720"/>
        <w:rPr>
          <w:sz w:val="17"/>
        </w:rPr>
      </w:pPr>
      <w:r>
        <w:rPr>
          <w:rFonts w:ascii="inherit" w:hAnsi="inherit"/>
          <w:i/>
          <w:sz w:val="17"/>
        </w:rPr>
        <w:t>Red Oak.</w:t>
      </w:r>
      <w:r>
        <w:rPr>
          <w:sz w:val="17"/>
        </w:rPr>
        <w:t xml:space="preserve"> </w:t>
      </w:r>
      <w:r>
        <w:rPr>
          <w:rFonts w:ascii="inherit" w:hAnsi="inherit"/>
          <w:sz w:val="17"/>
        </w:rPr>
        <w:t>In June 2019, we announced the formation of Red Oak, a joint venture with a subsidiary of Phillips 66. We own a 50%</w:t>
      </w:r>
      <w:r>
        <w:rPr>
          <w:sz w:val="17"/>
        </w:rPr>
        <w:t xml:space="preserve"> </w:t>
      </w:r>
      <w:r>
        <w:rPr>
          <w:rFonts w:ascii="inherit" w:hAnsi="inherit"/>
          <w:sz w:val="17"/>
        </w:rPr>
        <w:t xml:space="preserve">interest in Red Oak, which is currently developing a new pipeline that will provide crude oil transportation service from Cushing, Oklahoma, and the Permian Basin in West Texas to Corpus Christi, Ingleside, Houston and Beaumont, Texas. Initial service from Cushing to the Gulf Coast is targeted to commence as early as the first quarter of 2021, subject to receipt of applicable permits and regulatory approvals. We account for our interest in Red Oak under the equity method of accounting. </w:t>
      </w:r>
    </w:p>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lineRule="auto" w:line="288" w:before="0" w:after="0"/>
        <w:ind w:left="0" w:right="0" w:firstLine="720"/>
        <w:rPr>
          <w:sz w:val="17"/>
        </w:rPr>
      </w:pPr>
      <w:r>
        <w:rPr>
          <w:rFonts w:ascii="inherit" w:hAnsi="inherit"/>
          <w:sz w:val="17"/>
        </w:rPr>
        <w:t>In addition to contributing cash for construction of the Red Oak pipeline system, we have also entered into a pipeline capacity agreement and will be contributing 300,000</w:t>
      </w:r>
      <w:r>
        <w:rPr>
          <w:sz w:val="17"/>
        </w:rPr>
        <w:t xml:space="preserve"> </w:t>
      </w:r>
      <w:r>
        <w:rPr>
          <w:rFonts w:ascii="inherit" w:hAnsi="inherit"/>
          <w:sz w:val="17"/>
        </w:rPr>
        <w:t>barrels of capacity on our Sunrise II pipeline once the Red Oak pipeline system is operational. Once the Red Oak pipeline system is operational, we will record a $160 million</w:t>
      </w:r>
      <w:r>
        <w:rPr>
          <w:sz w:val="17"/>
        </w:rPr>
        <w:t xml:space="preserve"> </w:t>
      </w:r>
      <w:r>
        <w:rPr>
          <w:rFonts w:ascii="inherit" w:hAnsi="inherit"/>
          <w:sz w:val="17"/>
        </w:rPr>
        <w:t>increase to our investment in Red Oak associated with our contribution of the capacity and corresponding deferred revenue that will be recognized in revenue on a straight-line basis over the initial term of 33 years.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sz w:val="17"/>
        </w:rPr>
      </w:pPr>
      <w:bookmarkStart w:id="21" w:name="s9518672B8C0F5DFA83DD07F416882618"/>
      <w:bookmarkEnd w:id="21"/>
      <w:r>
        <w:rPr>
          <w:b/>
          <w:sz w:val="17"/>
        </w:rPr>
        <w:t>Note 8</w:t>
      </w:r>
      <w:r>
        <w:rPr>
          <w:sz w:val="17"/>
        </w:rPr>
        <w:t>—</w:t>
      </w:r>
      <w:r>
        <w:rPr>
          <w:rFonts w:ascii="inherit" w:hAnsi="inherit"/>
          <w:b/>
          <w:sz w:val="17"/>
        </w:rPr>
        <w:t>Debt</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Debt consisted of the following (in millions):</w:t>
      </w:r>
    </w:p>
    <w:tbl>
      <w:tblPr>
        <w:tblW w:w="10205" w:type="dxa"/>
        <w:jc w:val="left"/>
        <w:tblInd w:w="0" w:type="dxa"/>
        <w:tblCellMar>
          <w:top w:w="0" w:type="dxa"/>
          <w:left w:w="0" w:type="dxa"/>
          <w:bottom w:w="0" w:type="dxa"/>
          <w:right w:w="0" w:type="dxa"/>
        </w:tblCellMar>
      </w:tblPr>
      <w:tblGrid>
        <w:gridCol w:w="8391"/>
        <w:gridCol w:w="129"/>
        <w:gridCol w:w="503"/>
        <w:gridCol w:w="30"/>
        <w:gridCol w:w="90"/>
        <w:gridCol w:w="126"/>
        <w:gridCol w:w="491"/>
        <w:gridCol w:w="445"/>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8391"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8391" w:type="dxa"/>
            <w:tcBorders/>
            <w:shd w:fill="auto" w:val="clear"/>
            <w:vAlign w:val="center"/>
          </w:tcPr>
          <w:p>
            <w:pPr>
              <w:pStyle w:val="TableContents"/>
              <w:spacing w:before="0" w:after="0"/>
              <w:ind w:left="0" w:right="0" w:firstLine="30"/>
              <w:rPr/>
            </w:pPr>
            <w:r>
              <w:rPr/>
              <w:t> </w:t>
            </w:r>
          </w:p>
        </w:tc>
        <w:tc>
          <w:tcPr>
            <w:tcW w:w="66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June 30, </w:t>
              <w:br/>
              <w:t>2019</w:t>
            </w:r>
          </w:p>
        </w:tc>
        <w:tc>
          <w:tcPr>
            <w:tcW w:w="90" w:type="dxa"/>
            <w:tcBorders/>
            <w:shd w:fill="auto" w:val="clear"/>
            <w:vAlign w:val="center"/>
          </w:tcPr>
          <w:p>
            <w:pPr>
              <w:pStyle w:val="TableContents"/>
              <w:spacing w:before="0" w:after="0"/>
              <w:ind w:left="0" w:right="0" w:firstLine="30"/>
              <w:rPr/>
            </w:pPr>
            <w:r>
              <w:rPr/>
              <w:t> </w:t>
            </w:r>
          </w:p>
        </w:tc>
        <w:tc>
          <w:tcPr>
            <w:tcW w:w="106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December 31,</w:t>
              <w:br/>
              <w:t>2018</w:t>
            </w:r>
          </w:p>
        </w:tc>
      </w:tr>
      <w:tr>
        <w:trPr/>
        <w:tc>
          <w:tcPr>
            <w:tcW w:w="8391" w:type="dxa"/>
            <w:tcBorders/>
            <w:shd w:fill="CCEEFF" w:val="clear"/>
            <w:vAlign w:val="center"/>
          </w:tcPr>
          <w:p>
            <w:pPr>
              <w:pStyle w:val="TableContents"/>
              <w:spacing w:before="0" w:after="0"/>
              <w:ind w:left="0" w:right="0" w:firstLine="30"/>
              <w:rPr>
                <w:rFonts w:ascii="inherit" w:hAnsi="inherit"/>
                <w:b/>
                <w:sz w:val="17"/>
              </w:rPr>
            </w:pPr>
            <w:r>
              <w:rPr>
                <w:rFonts w:ascii="inherit" w:hAnsi="inherit"/>
                <w:b/>
                <w:sz w:val="17"/>
              </w:rPr>
              <w:t>SHORT-TERM DEBT</w:t>
            </w:r>
          </w:p>
        </w:tc>
        <w:tc>
          <w:tcPr>
            <w:tcW w:w="632" w:type="dxa"/>
            <w:gridSpan w:val="2"/>
            <w:tcBorders/>
            <w:shd w:fill="CCEEFF" w:val="clear"/>
            <w:vAlign w:val="center"/>
          </w:tcPr>
          <w:p>
            <w:pPr>
              <w:pStyle w:val="TableContents"/>
              <w:spacing w:before="0" w:after="0"/>
              <w:jc w:val="right"/>
              <w:rPr/>
            </w:pPr>
            <w:r>
              <w:rPr/>
              <w:t> </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7" w:type="dxa"/>
            <w:gridSpan w:val="2"/>
            <w:tcBorders/>
            <w:shd w:fill="CCEEFF" w:val="clear"/>
            <w:vAlign w:val="center"/>
          </w:tcPr>
          <w:p>
            <w:pPr>
              <w:pStyle w:val="TableContents"/>
              <w:spacing w:before="0" w:after="0"/>
              <w:jc w:val="right"/>
              <w:rPr/>
            </w:pPr>
            <w:r>
              <w:rPr/>
              <w:t> </w:t>
            </w:r>
          </w:p>
        </w:tc>
        <w:tc>
          <w:tcPr>
            <w:tcW w:w="4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8391" w:type="dxa"/>
            <w:tcBorders/>
            <w:shd w:fill="auto" w:val="clear"/>
            <w:vAlign w:val="center"/>
          </w:tcPr>
          <w:p>
            <w:pPr>
              <w:pStyle w:val="TableContents"/>
              <w:spacing w:lineRule="auto" w:line="288" w:before="0" w:after="0"/>
              <w:ind w:left="0" w:right="0" w:firstLine="30"/>
              <w:rPr>
                <w:sz w:val="17"/>
              </w:rPr>
            </w:pPr>
            <w:r>
              <w:rPr>
                <w:rFonts w:ascii="inherit" w:hAnsi="inherit"/>
                <w:sz w:val="17"/>
              </w:rPr>
              <w:t xml:space="preserve">Commercial paper notes, bearing a weighted-average interest rate of 3.0% </w:t>
            </w:r>
            <w:r>
              <w:rPr>
                <w:rFonts w:ascii="inherit" w:hAnsi="inherit"/>
                <w:sz w:val="12"/>
              </w:rPr>
              <w:t>(1)</w:t>
            </w:r>
          </w:p>
        </w:tc>
        <w:tc>
          <w:tcPr>
            <w:tcW w:w="12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03" w:type="dxa"/>
            <w:tcBorders/>
            <w:shd w:fill="auto" w:val="clear"/>
            <w:vAlign w:val="center"/>
          </w:tcPr>
          <w:p>
            <w:pPr>
              <w:pStyle w:val="TableContents"/>
              <w:spacing w:before="0" w:after="0"/>
              <w:jc w:val="right"/>
              <w:rPr>
                <w:rFonts w:ascii="inherit" w:hAnsi="inherit"/>
                <w:sz w:val="17"/>
              </w:rPr>
            </w:pPr>
            <w:r>
              <w:rPr>
                <w:rFonts w:ascii="inherit" w:hAnsi="inherit"/>
                <w:sz w:val="17"/>
              </w:rPr>
              <w:t>218</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91" w:type="dxa"/>
            <w:tcBorders/>
            <w:shd w:fill="auto" w:val="clear"/>
            <w:vAlign w:val="center"/>
          </w:tcPr>
          <w:p>
            <w:pPr>
              <w:pStyle w:val="TableContents"/>
              <w:spacing w:before="0" w:after="0"/>
              <w:jc w:val="right"/>
              <w:rPr/>
            </w:pPr>
            <w:r>
              <w:rPr/>
              <w:t>—</w:t>
            </w:r>
          </w:p>
        </w:tc>
        <w:tc>
          <w:tcPr>
            <w:tcW w:w="4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8391" w:type="dxa"/>
            <w:tcBorders/>
            <w:shd w:fill="CCEEFF" w:val="clear"/>
            <w:vAlign w:val="center"/>
          </w:tcPr>
          <w:p>
            <w:pPr>
              <w:pStyle w:val="TableContents"/>
              <w:spacing w:lineRule="auto" w:line="288" w:before="0" w:after="0"/>
              <w:ind w:left="0" w:right="0" w:firstLine="30"/>
              <w:rPr>
                <w:sz w:val="17"/>
              </w:rPr>
            </w:pPr>
            <w:r>
              <w:rPr>
                <w:rFonts w:ascii="inherit" w:hAnsi="inherit"/>
                <w:sz w:val="17"/>
              </w:rPr>
              <w:t xml:space="preserve">Senior secured hedged inventory facility, bearing a weighted-average interest rate of 3.5% </w:t>
            </w:r>
            <w:r>
              <w:rPr>
                <w:rFonts w:ascii="inherit" w:hAnsi="inherit"/>
                <w:sz w:val="12"/>
              </w:rPr>
              <w:t>(1)</w:t>
            </w:r>
          </w:p>
        </w:tc>
        <w:tc>
          <w:tcPr>
            <w:tcW w:w="63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100</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7" w:type="dxa"/>
            <w:gridSpan w:val="2"/>
            <w:tcBorders/>
            <w:shd w:fill="CCEEFF" w:val="clear"/>
            <w:vAlign w:val="center"/>
          </w:tcPr>
          <w:p>
            <w:pPr>
              <w:pStyle w:val="TableContents"/>
              <w:spacing w:before="0" w:after="0"/>
              <w:jc w:val="right"/>
              <w:rPr/>
            </w:pPr>
            <w:r>
              <w:rPr/>
              <w:t>—</w:t>
            </w:r>
          </w:p>
        </w:tc>
        <w:tc>
          <w:tcPr>
            <w:tcW w:w="4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83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63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152</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66</w:t>
            </w:r>
          </w:p>
        </w:tc>
        <w:tc>
          <w:tcPr>
            <w:tcW w:w="445"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83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short-term debt</w:t>
            </w:r>
          </w:p>
        </w:tc>
        <w:tc>
          <w:tcPr>
            <w:tcW w:w="632"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470</w:t>
            </w:r>
          </w:p>
        </w:tc>
        <w:tc>
          <w:tcPr>
            <w:tcW w:w="3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66</w:t>
            </w:r>
          </w:p>
        </w:tc>
        <w:tc>
          <w:tcPr>
            <w:tcW w:w="4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8391" w:type="dxa"/>
            <w:tcBorders/>
            <w:shd w:fill="auto" w:val="clear"/>
            <w:vAlign w:val="center"/>
          </w:tcPr>
          <w:p>
            <w:pPr>
              <w:pStyle w:val="TableContents"/>
              <w:spacing w:before="0" w:after="0"/>
              <w:ind w:left="0" w:right="0" w:firstLine="30"/>
              <w:rPr/>
            </w:pPr>
            <w:r>
              <w:rPr/>
              <w:t> </w:t>
            </w:r>
          </w:p>
        </w:tc>
        <w:tc>
          <w:tcPr>
            <w:tcW w:w="662"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62" w:type="dxa"/>
            <w:gridSpan w:val="3"/>
            <w:tcBorders/>
            <w:shd w:fill="auto" w:val="clear"/>
            <w:vAlign w:val="center"/>
          </w:tcPr>
          <w:p>
            <w:pPr>
              <w:pStyle w:val="TableContents"/>
              <w:spacing w:before="0" w:after="0"/>
              <w:ind w:left="0" w:right="0" w:firstLine="30"/>
              <w:rPr/>
            </w:pPr>
            <w:r>
              <w:rPr/>
              <w:t> </w:t>
            </w:r>
          </w:p>
        </w:tc>
      </w:tr>
      <w:tr>
        <w:trPr/>
        <w:tc>
          <w:tcPr>
            <w:tcW w:w="8391" w:type="dxa"/>
            <w:tcBorders/>
            <w:shd w:fill="CCEEFF" w:val="clear"/>
            <w:vAlign w:val="center"/>
          </w:tcPr>
          <w:p>
            <w:pPr>
              <w:pStyle w:val="TableContents"/>
              <w:spacing w:before="0" w:after="0"/>
              <w:ind w:left="0" w:right="0" w:firstLine="30"/>
              <w:rPr>
                <w:rFonts w:ascii="inherit" w:hAnsi="inherit"/>
                <w:b/>
                <w:sz w:val="17"/>
              </w:rPr>
            </w:pPr>
            <w:r>
              <w:rPr>
                <w:rFonts w:ascii="inherit" w:hAnsi="inherit"/>
                <w:b/>
                <w:sz w:val="17"/>
              </w:rPr>
              <w:t>LONG-TERM DEBT</w:t>
            </w:r>
          </w:p>
        </w:tc>
        <w:tc>
          <w:tcPr>
            <w:tcW w:w="662"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62" w:type="dxa"/>
            <w:gridSpan w:val="3"/>
            <w:tcBorders/>
            <w:shd w:fill="CCEEFF" w:val="clear"/>
            <w:vAlign w:val="center"/>
          </w:tcPr>
          <w:p>
            <w:pPr>
              <w:pStyle w:val="TableContents"/>
              <w:spacing w:before="0" w:after="0"/>
              <w:ind w:left="0" w:right="0" w:firstLine="30"/>
              <w:rPr/>
            </w:pPr>
            <w:r>
              <w:rPr/>
              <w:t> </w:t>
            </w:r>
          </w:p>
        </w:tc>
      </w:tr>
      <w:tr>
        <w:trPr/>
        <w:tc>
          <w:tcPr>
            <w:tcW w:w="8391" w:type="dxa"/>
            <w:tcBorders/>
            <w:shd w:fill="auto" w:val="clear"/>
            <w:vAlign w:val="center"/>
          </w:tcPr>
          <w:p>
            <w:pPr>
              <w:pStyle w:val="TableContents"/>
              <w:spacing w:lineRule="auto" w:line="288" w:before="0" w:after="0"/>
              <w:ind w:left="0" w:right="0" w:firstLine="30"/>
              <w:rPr>
                <w:sz w:val="17"/>
              </w:rPr>
            </w:pPr>
            <w:r>
              <w:rPr>
                <w:rFonts w:ascii="inherit" w:hAnsi="inherit"/>
                <w:sz w:val="17"/>
              </w:rPr>
              <w:t xml:space="preserve">Senior notes, net of unamortized discounts and debt issuance costs of $55 and $59, respectively </w:t>
            </w:r>
            <w:r>
              <w:rPr>
                <w:rFonts w:ascii="inherit" w:hAnsi="inherit"/>
                <w:sz w:val="12"/>
              </w:rPr>
              <w:t xml:space="preserve">(2) </w:t>
            </w:r>
          </w:p>
        </w:tc>
        <w:tc>
          <w:tcPr>
            <w:tcW w:w="63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8,945</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8,941</w:t>
            </w:r>
          </w:p>
        </w:tc>
        <w:tc>
          <w:tcPr>
            <w:tcW w:w="4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83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GO Zone term loans, net of debt issuance costs of $1 and $2, respectively, bearing a weighted-average interest rate of 3.2% and 3.1%, respectively</w:t>
            </w:r>
          </w:p>
        </w:tc>
        <w:tc>
          <w:tcPr>
            <w:tcW w:w="63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199</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198</w:t>
            </w:r>
          </w:p>
        </w:tc>
        <w:tc>
          <w:tcPr>
            <w:tcW w:w="4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83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63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32</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w:t>
            </w:r>
          </w:p>
        </w:tc>
        <w:tc>
          <w:tcPr>
            <w:tcW w:w="445"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83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long-term debt</w:t>
            </w:r>
          </w:p>
        </w:tc>
        <w:tc>
          <w:tcPr>
            <w:tcW w:w="63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9,176</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9,143</w:t>
            </w:r>
          </w:p>
        </w:tc>
        <w:tc>
          <w:tcPr>
            <w:tcW w:w="4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8391" w:type="dxa"/>
            <w:tcBorders/>
            <w:shd w:fill="auto" w:val="clear"/>
            <w:vAlign w:val="center"/>
          </w:tcPr>
          <w:p>
            <w:pPr>
              <w:pStyle w:val="TableContents"/>
              <w:spacing w:lineRule="auto" w:line="288" w:before="0" w:after="0"/>
              <w:ind w:left="0" w:right="0" w:firstLine="30"/>
              <w:rPr>
                <w:sz w:val="17"/>
              </w:rPr>
            </w:pPr>
            <w:r>
              <w:rPr>
                <w:rFonts w:ascii="inherit" w:hAnsi="inherit"/>
                <w:sz w:val="17"/>
              </w:rPr>
              <w:t xml:space="preserve">Total debt </w:t>
            </w:r>
            <w:r>
              <w:rPr>
                <w:rFonts w:ascii="inherit" w:hAnsi="inherit"/>
                <w:sz w:val="12"/>
              </w:rPr>
              <w:t>(3)</w:t>
            </w:r>
          </w:p>
        </w:tc>
        <w:tc>
          <w:tcPr>
            <w:tcW w:w="12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0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9,646</w:t>
            </w:r>
          </w:p>
        </w:tc>
        <w:tc>
          <w:tcPr>
            <w:tcW w:w="3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9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9,209</w:t>
            </w:r>
          </w:p>
        </w:tc>
        <w:tc>
          <w:tcPr>
            <w:tcW w:w="44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sz w:val="4"/>
                <w:szCs w:val="4"/>
              </w:rPr>
            </w:pPr>
            <w:r>
              <w:rPr>
                <w:sz w:val="4"/>
                <w:szCs w:val="4"/>
              </w:rPr>
            </w:r>
          </w:p>
        </w:tc>
      </w:tr>
      <w:tr>
        <w:trPr/>
        <w:tc>
          <w:tcPr>
            <w:tcW w:w="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 w:type="dxa"/>
            <w:tcBorders>
              <w:bottom w:val="single" w:sz="2" w:space="0" w:color="000000"/>
            </w:tcBorders>
            <w:shd w:fill="auto" w:val="clear"/>
            <w:tcMar>
              <w:bottom w:w="30" w:type="dxa"/>
            </w:tcMar>
            <w:vAlign w:val="center"/>
          </w:tcPr>
          <w:p>
            <w:pPr>
              <w:pStyle w:val="TableContents"/>
              <w:spacing w:before="0" w:after="0"/>
              <w:rPr/>
            </w:pPr>
            <w:r>
              <w:rPr/>
              <w:t> </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20</w:t>
      </w:r>
      <w:r>
        <w:br w:type="page"/>
      </w:r>
    </w:p>
    <w:p>
      <w:pPr>
        <w:pStyle w:val="TextBody"/>
        <w:spacing w:lineRule="auto" w:line="288" w:before="0" w:after="0"/>
        <w:rPr/>
      </w:pPr>
      <w:hyperlink w:anchor="s3336AD8A685850CC9B7F2572CB2C0BC3">
        <w:r>
          <w:rPr>
            <w:rStyle w:val="InternetLink"/>
            <w:rFonts w:ascii="inherit" w:hAnsi="inherit"/>
            <w:sz w:val="17"/>
          </w:rPr>
          <w:t>Table of Contents</w:t>
        </w:r>
      </w:hyperlink>
      <w:r>
        <w:rPr>
          <w:sz w:val="17"/>
        </w:rPr>
        <w:t xml:space="preserve"> </w:t>
      </w:r>
    </w:p>
    <w:p>
      <w:pPr>
        <w:pStyle w:val="TextBody"/>
        <w:spacing w:lineRule="auto" w:line="288" w:before="0" w:after="0"/>
        <w:jc w:val="center"/>
        <w:rPr>
          <w:rFonts w:ascii="inherit" w:hAnsi="inherit"/>
          <w:b/>
          <w:sz w:val="17"/>
        </w:rPr>
      </w:pPr>
      <w:r>
        <w:rPr>
          <w:rFonts w:ascii="inherit" w:hAnsi="inherit"/>
          <w:b/>
          <w:sz w:val="17"/>
        </w:rPr>
        <w:t>PLAINS ALL AMERICAN PIPELINE, L.P. AND SUBSIDIARIES</w:t>
      </w:r>
    </w:p>
    <w:p>
      <w:pPr>
        <w:pStyle w:val="TextBody"/>
        <w:spacing w:lineRule="auto" w:line="288" w:before="0" w:after="0"/>
        <w:jc w:val="center"/>
        <w:rPr>
          <w:rFonts w:ascii="inherit" w:hAnsi="inherit"/>
          <w:b/>
          <w:sz w:val="17"/>
        </w:rPr>
      </w:pPr>
      <w:r>
        <w:rPr>
          <w:rFonts w:ascii="inherit" w:hAnsi="inherit"/>
          <w:b/>
          <w:sz w:val="17"/>
        </w:rPr>
        <w:t>NOTES TO THE UNAUDITED CONDENSED CONSOLIDATED FINANCIAL STATEMENTS</w:t>
      </w:r>
    </w:p>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184"/>
        <w:gridCol w:w="10021"/>
      </w:tblGrid>
      <w:tr>
        <w:trPr/>
        <w:tc>
          <w:tcPr>
            <w:tcW w:w="184" w:type="dxa"/>
            <w:tcBorders/>
            <w:shd w:fill="auto" w:val="clear"/>
            <w:vAlign w:val="center"/>
          </w:tcPr>
          <w:p>
            <w:pPr>
              <w:pStyle w:val="TableContents"/>
              <w:spacing w:before="0" w:after="283"/>
              <w:rPr>
                <w:sz w:val="4"/>
                <w:szCs w:val="4"/>
              </w:rPr>
            </w:pPr>
            <w:r>
              <w:rPr>
                <w:sz w:val="4"/>
                <w:szCs w:val="4"/>
              </w:rPr>
            </w:r>
          </w:p>
        </w:tc>
        <w:tc>
          <w:tcPr>
            <w:tcW w:w="10021" w:type="dxa"/>
            <w:tcBorders/>
            <w:shd w:fill="auto" w:val="clear"/>
            <w:vAlign w:val="center"/>
          </w:tcPr>
          <w:p>
            <w:pPr>
              <w:pStyle w:val="TableContents"/>
              <w:spacing w:before="0" w:after="283"/>
              <w:rPr>
                <w:sz w:val="4"/>
                <w:szCs w:val="4"/>
              </w:rPr>
            </w:pPr>
            <w:r>
              <w:rPr>
                <w:sz w:val="4"/>
                <w:szCs w:val="4"/>
              </w:rPr>
            </w:r>
          </w:p>
        </w:tc>
      </w:tr>
      <w:tr>
        <w:trPr/>
        <w:tc>
          <w:tcPr>
            <w:tcW w:w="184"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(1)</w:t>
            </w:r>
            <w:r>
              <w:rPr>
                <w:rFonts w:ascii="inherit" w:hAnsi="inherit"/>
                <w:sz w:val="17"/>
              </w:rPr>
              <w:t> </w:t>
            </w:r>
          </w:p>
        </w:tc>
        <w:tc>
          <w:tcPr>
            <w:tcW w:w="10021" w:type="dxa"/>
            <w:tcBorders/>
            <w:shd w:fill="auto" w:val="clear"/>
            <w:vAlign w:val="center"/>
          </w:tcPr>
          <w:p>
            <w:pPr>
              <w:pStyle w:val="TableContents"/>
              <w:spacing w:lineRule="auto" w:line="288" w:before="0" w:after="0"/>
              <w:rPr>
                <w:rFonts w:ascii="inherit" w:hAnsi="inherit"/>
                <w:sz w:val="17"/>
              </w:rPr>
            </w:pPr>
            <w:r>
              <w:rPr>
                <w:rFonts w:ascii="inherit" w:hAnsi="inherit"/>
                <w:sz w:val="17"/>
              </w:rPr>
              <w:t>We classified these commercial paper notes and credit facility borrowings as short-term as of June 30, 2019, as these notes and borrowings were primarily designated as working capital borrowings, were required to be repaid within one year and were primarily for hedged NGL and crude oil inventory and NYMEX and ICE margin deposits.</w:t>
            </w:r>
          </w:p>
        </w:tc>
      </w:tr>
    </w:tbl>
    <w:tbl>
      <w:tblPr>
        <w:tblW w:w="10205" w:type="dxa"/>
        <w:jc w:val="left"/>
        <w:tblInd w:w="0" w:type="dxa"/>
        <w:tblCellMar>
          <w:top w:w="0" w:type="dxa"/>
          <w:left w:w="0" w:type="dxa"/>
          <w:bottom w:w="0" w:type="dxa"/>
          <w:right w:w="0" w:type="dxa"/>
        </w:tblCellMar>
      </w:tblPr>
      <w:tblGrid>
        <w:gridCol w:w="182"/>
        <w:gridCol w:w="10023"/>
      </w:tblGrid>
      <w:tr>
        <w:trPr/>
        <w:tc>
          <w:tcPr>
            <w:tcW w:w="182" w:type="dxa"/>
            <w:tcBorders/>
            <w:shd w:fill="auto" w:val="clear"/>
            <w:vAlign w:val="center"/>
          </w:tcPr>
          <w:p>
            <w:pPr>
              <w:pStyle w:val="TableContents"/>
              <w:spacing w:before="0" w:after="283"/>
              <w:rPr>
                <w:sz w:val="4"/>
                <w:szCs w:val="4"/>
              </w:rPr>
            </w:pPr>
            <w:r>
              <w:rPr>
                <w:sz w:val="4"/>
                <w:szCs w:val="4"/>
              </w:rPr>
            </w:r>
          </w:p>
        </w:tc>
        <w:tc>
          <w:tcPr>
            <w:tcW w:w="10023" w:type="dxa"/>
            <w:tcBorders/>
            <w:shd w:fill="auto" w:val="clear"/>
            <w:vAlign w:val="center"/>
          </w:tcPr>
          <w:p>
            <w:pPr>
              <w:pStyle w:val="TableContents"/>
              <w:spacing w:before="0" w:after="283"/>
              <w:rPr>
                <w:sz w:val="4"/>
                <w:szCs w:val="4"/>
              </w:rPr>
            </w:pPr>
            <w:r>
              <w:rPr>
                <w:sz w:val="4"/>
                <w:szCs w:val="4"/>
              </w:rPr>
            </w:r>
          </w:p>
        </w:tc>
      </w:tr>
      <w:tr>
        <w:trPr/>
        <w:tc>
          <w:tcPr>
            <w:tcW w:w="182"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(2)</w:t>
            </w:r>
            <w:r>
              <w:rPr>
                <w:rFonts w:ascii="inherit" w:hAnsi="inherit"/>
                <w:sz w:val="17"/>
              </w:rPr>
              <w:t> </w:t>
            </w:r>
          </w:p>
        </w:tc>
        <w:tc>
          <w:tcPr>
            <w:tcW w:w="10023" w:type="dxa"/>
            <w:tcBorders/>
            <w:shd w:fill="auto" w:val="clear"/>
            <w:vAlign w:val="center"/>
          </w:tcPr>
          <w:p>
            <w:pPr>
              <w:pStyle w:val="TableContents"/>
              <w:spacing w:lineRule="auto" w:line="288" w:before="0" w:after="0"/>
              <w:rPr>
                <w:sz w:val="17"/>
              </w:rPr>
            </w:pPr>
            <w:r>
              <w:rPr>
                <w:rFonts w:ascii="inherit" w:hAnsi="inherit"/>
                <w:sz w:val="17"/>
              </w:rPr>
              <w:t>As of June 30, 2019, we classified our $500 million, 5.75%</w:t>
            </w:r>
            <w:r>
              <w:rPr>
                <w:sz w:val="17"/>
              </w:rPr>
              <w:t xml:space="preserve"> </w:t>
            </w:r>
            <w:r>
              <w:rPr>
                <w:rFonts w:ascii="inherit" w:hAnsi="inherit"/>
                <w:sz w:val="17"/>
              </w:rPr>
              <w:t>senior notes due January 2020 and our $500 million, 2.60%</w:t>
            </w:r>
            <w:r>
              <w:rPr>
                <w:sz w:val="17"/>
              </w:rPr>
              <w:t xml:space="preserve"> </w:t>
            </w:r>
            <w:r>
              <w:rPr>
                <w:rFonts w:ascii="inherit" w:hAnsi="inherit"/>
                <w:sz w:val="17"/>
              </w:rPr>
              <w:t>senior notes due December 2019 as long-term, and as of December 31, 2018, we classified our $500 million, 2.60%</w:t>
            </w:r>
            <w:r>
              <w:rPr>
                <w:sz w:val="17"/>
              </w:rPr>
              <w:t xml:space="preserve"> </w:t>
            </w:r>
            <w:r>
              <w:rPr>
                <w:rFonts w:ascii="inherit" w:hAnsi="inherit"/>
                <w:sz w:val="17"/>
              </w:rPr>
              <w:t>senior notes due December 2019 as long-term based on our ability and intent to refinance such amounts on a long-term basis.</w:t>
            </w:r>
          </w:p>
        </w:tc>
      </w:tr>
    </w:tbl>
    <w:tbl>
      <w:tblPr>
        <w:tblW w:w="10205" w:type="dxa"/>
        <w:jc w:val="left"/>
        <w:tblInd w:w="0" w:type="dxa"/>
        <w:tblCellMar>
          <w:top w:w="0" w:type="dxa"/>
          <w:left w:w="0" w:type="dxa"/>
          <w:bottom w:w="0" w:type="dxa"/>
          <w:right w:w="0" w:type="dxa"/>
        </w:tblCellMar>
      </w:tblPr>
      <w:tblGrid>
        <w:gridCol w:w="165"/>
        <w:gridCol w:w="10040"/>
      </w:tblGrid>
      <w:tr>
        <w:trPr/>
        <w:tc>
          <w:tcPr>
            <w:tcW w:w="165" w:type="dxa"/>
            <w:tcBorders/>
            <w:shd w:fill="auto" w:val="clear"/>
            <w:vAlign w:val="center"/>
          </w:tcPr>
          <w:p>
            <w:pPr>
              <w:pStyle w:val="TableContents"/>
              <w:spacing w:before="0" w:after="283"/>
              <w:rPr>
                <w:sz w:val="4"/>
                <w:szCs w:val="4"/>
              </w:rPr>
            </w:pPr>
            <w:r>
              <w:rPr>
                <w:sz w:val="4"/>
                <w:szCs w:val="4"/>
              </w:rPr>
            </w:r>
          </w:p>
        </w:tc>
        <w:tc>
          <w:tcPr>
            <w:tcW w:w="10040" w:type="dxa"/>
            <w:tcBorders/>
            <w:shd w:fill="auto" w:val="clear"/>
            <w:vAlign w:val="center"/>
          </w:tcPr>
          <w:p>
            <w:pPr>
              <w:pStyle w:val="TableContents"/>
              <w:spacing w:before="0" w:after="283"/>
              <w:rPr>
                <w:sz w:val="4"/>
                <w:szCs w:val="4"/>
              </w:rPr>
            </w:pPr>
            <w:r>
              <w:rPr>
                <w:sz w:val="4"/>
                <w:szCs w:val="4"/>
              </w:rPr>
            </w:r>
          </w:p>
        </w:tc>
      </w:tr>
      <w:tr>
        <w:trPr/>
        <w:tc>
          <w:tcPr>
            <w:tcW w:w="165"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(3)</w:t>
            </w:r>
            <w:r>
              <w:rPr>
                <w:rFonts w:ascii="inherit" w:hAnsi="inherit"/>
                <w:sz w:val="17"/>
              </w:rPr>
              <w:t> </w:t>
            </w:r>
          </w:p>
        </w:tc>
        <w:tc>
          <w:tcPr>
            <w:tcW w:w="10040" w:type="dxa"/>
            <w:tcBorders/>
            <w:shd w:fill="auto" w:val="clear"/>
            <w:vAlign w:val="center"/>
          </w:tcPr>
          <w:p>
            <w:pPr>
              <w:pStyle w:val="TableContents"/>
              <w:spacing w:lineRule="auto" w:line="288" w:before="0" w:after="0"/>
              <w:rPr>
                <w:sz w:val="17"/>
              </w:rPr>
            </w:pPr>
            <w:r>
              <w:rPr>
                <w:rFonts w:ascii="inherit" w:hAnsi="inherit"/>
                <w:sz w:val="17"/>
              </w:rPr>
              <w:t>Our fixed-rate senior notes had a face value of approximately $9.0 billion</w:t>
            </w:r>
            <w:r>
              <w:rPr>
                <w:sz w:val="17"/>
              </w:rPr>
              <w:t xml:space="preserve"> </w:t>
            </w:r>
            <w:r>
              <w:rPr>
                <w:rFonts w:ascii="inherit" w:hAnsi="inherit"/>
                <w:sz w:val="17"/>
              </w:rPr>
              <w:t>at both June 30, 2019</w:t>
            </w:r>
            <w:r>
              <w:rPr>
                <w:sz w:val="17"/>
              </w:rPr>
              <w:t xml:space="preserve"> </w:t>
            </w:r>
            <w:r>
              <w:rPr>
                <w:rFonts w:ascii="inherit" w:hAnsi="inherit"/>
                <w:sz w:val="17"/>
              </w:rPr>
              <w:t>and December 31, 2018. We estimated the aggregate fair value of these notes as of June 30, 2019</w:t>
            </w:r>
            <w:r>
              <w:rPr>
                <w:sz w:val="17"/>
              </w:rPr>
              <w:t xml:space="preserve"> </w:t>
            </w:r>
            <w:r>
              <w:rPr>
                <w:rFonts w:ascii="inherit" w:hAnsi="inherit"/>
                <w:sz w:val="17"/>
              </w:rPr>
              <w:t>and December 31, 2018</w:t>
            </w:r>
            <w:r>
              <w:rPr>
                <w:sz w:val="17"/>
              </w:rPr>
              <w:t xml:space="preserve"> </w:t>
            </w:r>
            <w:r>
              <w:rPr>
                <w:rFonts w:ascii="inherit" w:hAnsi="inherit"/>
                <w:sz w:val="17"/>
              </w:rPr>
              <w:t>to be approximately $9.3 billion</w:t>
            </w:r>
            <w:r>
              <w:rPr>
                <w:sz w:val="17"/>
              </w:rPr>
              <w:t xml:space="preserve"> </w:t>
            </w:r>
            <w:r>
              <w:rPr>
                <w:rFonts w:ascii="inherit" w:hAnsi="inherit"/>
                <w:sz w:val="17"/>
              </w:rPr>
              <w:t xml:space="preserve">and $8.6 billion, respectively. Our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our credit facilities, commercial paper program and GO Zone term loans approximates fair value as interest rates reflect current market rates. The fair value estimates for our senior notes, credit facilities, commercial paper program and GO Zone term loans are based upon observable market data and are classified in Level 2 of the fair value hierarchy. </w:t>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b/>
          <w:i/>
          <w:sz w:val="17"/>
        </w:rPr>
      </w:pPr>
      <w:r>
        <w:rPr>
          <w:rFonts w:ascii="inherit" w:hAnsi="inherit"/>
          <w:b/>
          <w:i/>
          <w:sz w:val="17"/>
        </w:rPr>
        <w:t>Borrowings and Repayments</w:t>
      </w:r>
    </w:p>
    <w:p>
      <w:pPr>
        <w:pStyle w:val="TextBody"/>
        <w:spacing w:lineRule="auto" w:line="288" w:before="0" w:after="0"/>
        <w:rPr/>
      </w:pPr>
      <w:r>
        <w:rPr/>
        <w:t> </w:t>
      </w:r>
    </w:p>
    <w:p>
      <w:pPr>
        <w:pStyle w:val="TextBody"/>
        <w:spacing w:lineRule="auto" w:line="288" w:before="0" w:after="0"/>
        <w:ind w:left="0" w:right="0" w:firstLine="720"/>
        <w:rPr>
          <w:sz w:val="17"/>
        </w:rPr>
      </w:pPr>
      <w:r>
        <w:rPr>
          <w:rFonts w:ascii="inherit" w:hAnsi="inherit"/>
          <w:sz w:val="17"/>
        </w:rPr>
        <w:t>Total borrowings under our credit facilities and commercial paper program for the six</w:t>
      </w:r>
      <w:r>
        <w:rPr>
          <w:sz w:val="17"/>
        </w:rPr>
        <w:t xml:space="preserve"> </w:t>
      </w:r>
      <w:r>
        <w:rPr>
          <w:rFonts w:ascii="inherit" w:hAnsi="inherit"/>
          <w:sz w:val="17"/>
        </w:rPr>
        <w:t>months ended June 30, 2019</w:t>
      </w:r>
      <w:r>
        <w:rPr>
          <w:sz w:val="17"/>
        </w:rPr>
        <w:t xml:space="preserve"> </w:t>
      </w:r>
      <w:r>
        <w:rPr>
          <w:rFonts w:ascii="inherit" w:hAnsi="inherit"/>
          <w:sz w:val="17"/>
        </w:rPr>
        <w:t>and 2018</w:t>
      </w:r>
      <w:r>
        <w:rPr>
          <w:sz w:val="17"/>
        </w:rPr>
        <w:t xml:space="preserve"> </w:t>
      </w:r>
      <w:r>
        <w:rPr>
          <w:rFonts w:ascii="inherit" w:hAnsi="inherit"/>
          <w:sz w:val="17"/>
        </w:rPr>
        <w:t>were approximately $4.1 billion</w:t>
      </w:r>
      <w:r>
        <w:rPr>
          <w:sz w:val="17"/>
        </w:rPr>
        <w:t xml:space="preserve"> </w:t>
      </w:r>
      <w:r>
        <w:rPr>
          <w:rFonts w:ascii="inherit" w:hAnsi="inherit"/>
          <w:sz w:val="17"/>
        </w:rPr>
        <w:t>and $23.5 billion, respectively. Total repayments under our credit facilities and commercial paper program were approximately $3.8 billion</w:t>
      </w:r>
      <w:r>
        <w:rPr>
          <w:sz w:val="17"/>
        </w:rPr>
        <w:t xml:space="preserve"> </w:t>
      </w:r>
      <w:r>
        <w:rPr>
          <w:rFonts w:ascii="inherit" w:hAnsi="inherit"/>
          <w:sz w:val="17"/>
        </w:rPr>
        <w:t>and $23.6 billion</w:t>
      </w:r>
      <w:r>
        <w:rPr>
          <w:sz w:val="17"/>
        </w:rPr>
        <w:t xml:space="preserve"> </w:t>
      </w:r>
      <w:r>
        <w:rPr>
          <w:rFonts w:ascii="inherit" w:hAnsi="inherit"/>
          <w:sz w:val="17"/>
        </w:rPr>
        <w:t>for the six</w:t>
      </w:r>
      <w:r>
        <w:rPr>
          <w:sz w:val="17"/>
        </w:rPr>
        <w:t xml:space="preserve"> </w:t>
      </w:r>
      <w:r>
        <w:rPr>
          <w:rFonts w:ascii="inherit" w:hAnsi="inherit"/>
          <w:sz w:val="17"/>
        </w:rPr>
        <w:t>months ended June 30, 2019</w:t>
      </w:r>
      <w:r>
        <w:rPr>
          <w:sz w:val="17"/>
        </w:rPr>
        <w:t xml:space="preserve"> </w:t>
      </w:r>
      <w:r>
        <w:rPr>
          <w:rFonts w:ascii="inherit" w:hAnsi="inherit"/>
          <w:sz w:val="17"/>
        </w:rPr>
        <w:t>and 2018, respectively. The variance in total gross borrowings and repayments is impacted by various business and financial factors including, but not limited to, the timing, average term and method of general partnership borrowing activities.</w:t>
      </w:r>
    </w:p>
    <w:p>
      <w:pPr>
        <w:pStyle w:val="TextBody"/>
        <w:spacing w:lineRule="auto" w:line="288" w:before="0" w:after="0"/>
        <w:rPr/>
      </w:pPr>
      <w:r>
        <w:rPr/>
        <w:t> </w:t>
      </w:r>
    </w:p>
    <w:p>
      <w:pPr>
        <w:pStyle w:val="TextBody"/>
        <w:spacing w:lineRule="auto" w:line="288" w:before="0" w:after="0"/>
        <w:rPr>
          <w:rFonts w:ascii="inherit" w:hAnsi="inherit"/>
          <w:b/>
          <w:i/>
          <w:sz w:val="17"/>
        </w:rPr>
      </w:pPr>
      <w:r>
        <w:rPr>
          <w:rFonts w:ascii="inherit" w:hAnsi="inherit"/>
          <w:b/>
          <w:i/>
          <w:sz w:val="17"/>
        </w:rPr>
        <w:t>Letters of Credit</w:t>
      </w:r>
    </w:p>
    <w:p>
      <w:pPr>
        <w:pStyle w:val="TextBody"/>
        <w:spacing w:lineRule="auto" w:line="288" w:before="0" w:after="0"/>
        <w:rPr/>
      </w:pPr>
      <w:r>
        <w:rPr/>
        <w:t> </w:t>
      </w:r>
    </w:p>
    <w:p>
      <w:pPr>
        <w:pStyle w:val="TextBody"/>
        <w:spacing w:lineRule="auto" w:line="288" w:before="0" w:after="0"/>
        <w:ind w:left="0" w:right="0" w:firstLine="720"/>
        <w:rPr>
          <w:sz w:val="17"/>
        </w:rPr>
      </w:pPr>
      <w:r>
        <w:rPr>
          <w:rFonts w:ascii="inherit" w:hAnsi="inherit"/>
          <w:sz w:val="17"/>
        </w:rPr>
        <w:t>In connection with our supply and logistics activities, we provide certain suppliers with irrevocable standby letters of credit to secure our obligation for the purchase and transportation of crude oil, NGL and natural gas. Additionally, we issue letters of credit to support insurance programs, derivative transactions, including hedging-related margin obligations, and construction activities. At June 30, 2019</w:t>
      </w:r>
      <w:r>
        <w:rPr>
          <w:sz w:val="17"/>
        </w:rPr>
        <w:t xml:space="preserve"> </w:t>
      </w:r>
      <w:r>
        <w:rPr>
          <w:rFonts w:ascii="inherit" w:hAnsi="inherit"/>
          <w:sz w:val="17"/>
        </w:rPr>
        <w:t>and December 31, 2018, we had outstanding letters of credit of $153 million</w:t>
      </w:r>
      <w:r>
        <w:rPr>
          <w:sz w:val="17"/>
        </w:rPr>
        <w:t xml:space="preserve"> </w:t>
      </w:r>
      <w:r>
        <w:rPr>
          <w:rFonts w:ascii="inherit" w:hAnsi="inherit"/>
          <w:sz w:val="17"/>
        </w:rPr>
        <w:t>and $184 million, respectively.</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sz w:val="17"/>
        </w:rPr>
      </w:pPr>
      <w:bookmarkStart w:id="22" w:name="s2364BB7F3C7552CB908A8187804FA9EC"/>
      <w:bookmarkEnd w:id="22"/>
      <w:r>
        <w:rPr>
          <w:b/>
          <w:sz w:val="17"/>
        </w:rPr>
        <w:t>Note 9</w:t>
      </w:r>
      <w:r>
        <w:rPr>
          <w:sz w:val="17"/>
        </w:rPr>
        <w:t>—</w:t>
      </w:r>
      <w:r>
        <w:rPr>
          <w:rFonts w:ascii="inherit" w:hAnsi="inherit"/>
          <w:b/>
          <w:sz w:val="17"/>
        </w:rPr>
        <w:t>Partners’ Capital and Distributions</w:t>
      </w:r>
    </w:p>
    <w:p>
      <w:pPr>
        <w:pStyle w:val="TextBody"/>
        <w:spacing w:lineRule="auto" w:line="288" w:before="0" w:after="0"/>
        <w:rPr/>
      </w:pPr>
      <w:r>
        <w:rPr/>
        <w:t> </w:t>
      </w:r>
    </w:p>
    <w:p>
      <w:pPr>
        <w:pStyle w:val="TextBody"/>
        <w:spacing w:lineRule="auto" w:line="288" w:before="0" w:after="0"/>
        <w:rPr>
          <w:rFonts w:ascii="inherit" w:hAnsi="inherit"/>
          <w:b/>
          <w:i/>
          <w:sz w:val="17"/>
        </w:rPr>
      </w:pPr>
      <w:r>
        <w:rPr>
          <w:rFonts w:ascii="inherit" w:hAnsi="inherit"/>
          <w:b/>
          <w:i/>
          <w:sz w:val="17"/>
        </w:rPr>
        <w:t>Units Outstanding</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 xml:space="preserve">The following tables present the activity for our preferred and common units: </w:t>
      </w:r>
    </w:p>
    <w:tbl>
      <w:tblPr>
        <w:tblW w:w="10205" w:type="dxa"/>
        <w:jc w:val="left"/>
        <w:tblInd w:w="0" w:type="dxa"/>
        <w:tblCellMar>
          <w:top w:w="0" w:type="dxa"/>
          <w:left w:w="0" w:type="dxa"/>
          <w:bottom w:w="0" w:type="dxa"/>
          <w:right w:w="0" w:type="dxa"/>
        </w:tblCellMar>
      </w:tblPr>
      <w:tblGrid>
        <w:gridCol w:w="5304"/>
        <w:gridCol w:w="1682"/>
        <w:gridCol w:w="52"/>
        <w:gridCol w:w="90"/>
        <w:gridCol w:w="1663"/>
        <w:gridCol w:w="71"/>
        <w:gridCol w:w="90"/>
        <w:gridCol w:w="1055"/>
        <w:gridCol w:w="198"/>
      </w:tblGrid>
      <w:tr>
        <w:trPr/>
        <w:tc>
          <w:tcPr>
            <w:tcW w:w="10205" w:type="dxa"/>
            <w:gridSpan w:val="9"/>
            <w:tcBorders/>
            <w:shd w:fill="auto" w:val="clear"/>
            <w:vAlign w:val="center"/>
          </w:tcPr>
          <w:p>
            <w:pPr>
              <w:pStyle w:val="TableContents"/>
              <w:spacing w:before="0" w:after="283"/>
              <w:rPr>
                <w:sz w:val="4"/>
                <w:szCs w:val="4"/>
              </w:rPr>
            </w:pPr>
            <w:r>
              <w:rPr>
                <w:sz w:val="4"/>
                <w:szCs w:val="4"/>
              </w:rPr>
            </w:r>
          </w:p>
        </w:tc>
      </w:tr>
      <w:tr>
        <w:trPr/>
        <w:tc>
          <w:tcPr>
            <w:tcW w:w="5304" w:type="dxa"/>
            <w:tcBorders/>
            <w:shd w:fill="auto" w:val="clear"/>
            <w:vAlign w:val="center"/>
          </w:tcPr>
          <w:p>
            <w:pPr>
              <w:pStyle w:val="TableContents"/>
              <w:spacing w:before="0" w:after="283"/>
              <w:rPr>
                <w:sz w:val="4"/>
                <w:szCs w:val="4"/>
              </w:rPr>
            </w:pPr>
            <w:r>
              <w:rPr>
                <w:sz w:val="4"/>
                <w:szCs w:val="4"/>
              </w:rPr>
            </w:r>
          </w:p>
        </w:tc>
        <w:tc>
          <w:tcPr>
            <w:tcW w:w="1682" w:type="dxa"/>
            <w:tcBorders/>
            <w:shd w:fill="auto" w:val="clear"/>
            <w:vAlign w:val="center"/>
          </w:tcPr>
          <w:p>
            <w:pPr>
              <w:pStyle w:val="TableContents"/>
              <w:spacing w:before="0" w:after="283"/>
              <w:rPr>
                <w:sz w:val="4"/>
                <w:szCs w:val="4"/>
              </w:rPr>
            </w:pPr>
            <w:r>
              <w:rPr>
                <w:sz w:val="4"/>
                <w:szCs w:val="4"/>
              </w:rPr>
            </w:r>
          </w:p>
        </w:tc>
        <w:tc>
          <w:tcPr>
            <w:tcW w:w="5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663"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304" w:type="dxa"/>
            <w:tcBorders/>
            <w:shd w:fill="auto" w:val="clear"/>
            <w:vAlign w:val="center"/>
          </w:tcPr>
          <w:p>
            <w:pPr>
              <w:pStyle w:val="TableContents"/>
              <w:spacing w:before="0" w:after="0"/>
              <w:ind w:left="0" w:right="0" w:firstLine="30"/>
              <w:jc w:val="left"/>
              <w:rPr/>
            </w:pPr>
            <w:r>
              <w:rPr/>
              <w:t> </w:t>
            </w:r>
          </w:p>
        </w:tc>
        <w:tc>
          <w:tcPr>
            <w:tcW w:w="4901" w:type="dxa"/>
            <w:gridSpan w:val="8"/>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Limited Partners</w:t>
            </w:r>
          </w:p>
        </w:tc>
      </w:tr>
      <w:tr>
        <w:trPr/>
        <w:tc>
          <w:tcPr>
            <w:tcW w:w="5304" w:type="dxa"/>
            <w:tcBorders/>
            <w:shd w:fill="auto" w:val="clear"/>
            <w:vAlign w:val="center"/>
          </w:tcPr>
          <w:p>
            <w:pPr>
              <w:pStyle w:val="TableContents"/>
              <w:spacing w:before="0" w:after="0"/>
              <w:ind w:left="0" w:right="0" w:firstLine="30"/>
              <w:jc w:val="left"/>
              <w:rPr/>
            </w:pPr>
            <w:r>
              <w:rPr/>
              <w:t> </w:t>
            </w:r>
          </w:p>
        </w:tc>
        <w:tc>
          <w:tcPr>
            <w:tcW w:w="1734"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Series A Preferred Units</w:t>
            </w:r>
          </w:p>
        </w:tc>
        <w:tc>
          <w:tcPr>
            <w:tcW w:w="90" w:type="dxa"/>
            <w:tcBorders/>
            <w:shd w:fill="auto" w:val="clear"/>
            <w:vAlign w:val="center"/>
          </w:tcPr>
          <w:p>
            <w:pPr>
              <w:pStyle w:val="TableContents"/>
              <w:spacing w:before="0" w:after="0"/>
              <w:ind w:left="0" w:right="0" w:firstLine="30"/>
              <w:rPr/>
            </w:pPr>
            <w:r>
              <w:rPr/>
              <w:t> </w:t>
            </w:r>
          </w:p>
        </w:tc>
        <w:tc>
          <w:tcPr>
            <w:tcW w:w="1734"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Series B Preferred Units</w:t>
            </w:r>
          </w:p>
        </w:tc>
        <w:tc>
          <w:tcPr>
            <w:tcW w:w="90" w:type="dxa"/>
            <w:tcBorders/>
            <w:shd w:fill="auto" w:val="clear"/>
            <w:vAlign w:val="center"/>
          </w:tcPr>
          <w:p>
            <w:pPr>
              <w:pStyle w:val="TableContents"/>
              <w:spacing w:before="0" w:after="0"/>
              <w:ind w:left="0" w:right="0" w:firstLine="30"/>
              <w:rPr/>
            </w:pPr>
            <w:r>
              <w:rPr/>
              <w:t> </w:t>
            </w:r>
          </w:p>
        </w:tc>
        <w:tc>
          <w:tcPr>
            <w:tcW w:w="1253"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Common Units</w:t>
            </w:r>
          </w:p>
        </w:tc>
      </w:tr>
      <w:tr>
        <w:trPr/>
        <w:tc>
          <w:tcPr>
            <w:tcW w:w="53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Outstanding at December 31, 2018</w:t>
            </w:r>
          </w:p>
        </w:tc>
        <w:tc>
          <w:tcPr>
            <w:tcW w:w="168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71,090,468</w:t>
            </w:r>
          </w:p>
        </w:tc>
        <w:tc>
          <w:tcPr>
            <w:tcW w:w="52"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66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800,000</w:t>
            </w:r>
          </w:p>
        </w:tc>
        <w:tc>
          <w:tcPr>
            <w:tcW w:w="71"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5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726,361,924</w:t>
            </w:r>
          </w:p>
        </w:tc>
        <w:tc>
          <w:tcPr>
            <w:tcW w:w="198" w:type="dxa"/>
            <w:tcBorders>
              <w:bottom w:val="double" w:sz="6" w:space="0" w:color="000000"/>
            </w:tcBorders>
            <w:shd w:fill="CCEEFF"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3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Issuances of common units under equity-indexed compensation plans</w:t>
            </w:r>
          </w:p>
        </w:tc>
        <w:tc>
          <w:tcPr>
            <w:tcW w:w="1682"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5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663"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7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55"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423,889</w:t>
            </w:r>
          </w:p>
        </w:tc>
        <w:tc>
          <w:tcPr>
            <w:tcW w:w="19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3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Outstanding at March 31, 2019</w:t>
            </w:r>
          </w:p>
        </w:tc>
        <w:tc>
          <w:tcPr>
            <w:tcW w:w="1682" w:type="dxa"/>
            <w:tcBorders/>
            <w:shd w:fill="CCEEFF" w:val="clear"/>
            <w:vAlign w:val="center"/>
          </w:tcPr>
          <w:p>
            <w:pPr>
              <w:pStyle w:val="TableContents"/>
              <w:spacing w:before="0" w:after="0"/>
              <w:jc w:val="right"/>
              <w:rPr>
                <w:rFonts w:ascii="inherit" w:hAnsi="inherit"/>
                <w:sz w:val="17"/>
              </w:rPr>
            </w:pPr>
            <w:r>
              <w:rPr>
                <w:rFonts w:ascii="inherit" w:hAnsi="inherit"/>
                <w:sz w:val="17"/>
              </w:rPr>
              <w:t>71,090,468</w:t>
            </w:r>
          </w:p>
        </w:tc>
        <w:tc>
          <w:tcPr>
            <w:tcW w:w="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663" w:type="dxa"/>
            <w:tcBorders/>
            <w:shd w:fill="CCEEFF" w:val="clear"/>
            <w:vAlign w:val="center"/>
          </w:tcPr>
          <w:p>
            <w:pPr>
              <w:pStyle w:val="TableContents"/>
              <w:spacing w:before="0" w:after="0"/>
              <w:jc w:val="right"/>
              <w:rPr>
                <w:rFonts w:ascii="inherit" w:hAnsi="inherit"/>
                <w:sz w:val="17"/>
              </w:rPr>
            </w:pPr>
            <w:r>
              <w:rPr>
                <w:rFonts w:ascii="inherit" w:hAnsi="inherit"/>
                <w:sz w:val="17"/>
              </w:rPr>
              <w:t>800,000</w:t>
            </w:r>
          </w:p>
        </w:tc>
        <w:tc>
          <w:tcPr>
            <w:tcW w:w="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55" w:type="dxa"/>
            <w:tcBorders/>
            <w:shd w:fill="CCEEFF" w:val="clear"/>
            <w:vAlign w:val="center"/>
          </w:tcPr>
          <w:p>
            <w:pPr>
              <w:pStyle w:val="TableContents"/>
              <w:spacing w:before="0" w:after="0"/>
              <w:jc w:val="right"/>
              <w:rPr>
                <w:rFonts w:ascii="inherit" w:hAnsi="inherit"/>
                <w:sz w:val="17"/>
              </w:rPr>
            </w:pPr>
            <w:r>
              <w:rPr>
                <w:rFonts w:ascii="inherit" w:hAnsi="inherit"/>
                <w:sz w:val="17"/>
              </w:rPr>
              <w:t>726,785,813</w:t>
            </w:r>
          </w:p>
        </w:tc>
        <w:tc>
          <w:tcPr>
            <w:tcW w:w="198"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3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Issuances of common units under equity-indexed compensation plans</w:t>
            </w:r>
          </w:p>
        </w:tc>
        <w:tc>
          <w:tcPr>
            <w:tcW w:w="1682" w:type="dxa"/>
            <w:tcBorders/>
            <w:shd w:fill="auto" w:val="clear"/>
            <w:vAlign w:val="center"/>
          </w:tcPr>
          <w:p>
            <w:pPr>
              <w:pStyle w:val="TableContents"/>
              <w:spacing w:before="0" w:after="0"/>
              <w:jc w:val="right"/>
              <w:rPr/>
            </w:pPr>
            <w:r>
              <w:rPr/>
              <w:t>—</w:t>
            </w:r>
          </w:p>
        </w:tc>
        <w:tc>
          <w:tcPr>
            <w:tcW w:w="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663" w:type="dxa"/>
            <w:tcBorders/>
            <w:shd w:fill="auto" w:val="clear"/>
            <w:vAlign w:val="center"/>
          </w:tcPr>
          <w:p>
            <w:pPr>
              <w:pStyle w:val="TableContents"/>
              <w:spacing w:before="0" w:after="0"/>
              <w:jc w:val="right"/>
              <w:rPr/>
            </w:pPr>
            <w:r>
              <w:rPr/>
              <w:t>—</w:t>
            </w:r>
          </w:p>
        </w:tc>
        <w:tc>
          <w:tcPr>
            <w:tcW w:w="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jc w:val="right"/>
              <w:rPr>
                <w:rFonts w:ascii="inherit" w:hAnsi="inherit"/>
                <w:sz w:val="17"/>
              </w:rPr>
            </w:pPr>
            <w:r>
              <w:rPr>
                <w:rFonts w:ascii="inherit" w:hAnsi="inherit"/>
                <w:sz w:val="17"/>
              </w:rPr>
              <w:t>638,806</w:t>
            </w:r>
          </w:p>
        </w:tc>
        <w:tc>
          <w:tcPr>
            <w:tcW w:w="1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3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Outstanding at June 30, 2019</w:t>
            </w:r>
          </w:p>
        </w:tc>
        <w:tc>
          <w:tcPr>
            <w:tcW w:w="168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71,090,468</w:t>
            </w:r>
          </w:p>
        </w:tc>
        <w:tc>
          <w:tcPr>
            <w:tcW w:w="5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66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800,000</w:t>
            </w:r>
          </w:p>
        </w:tc>
        <w:tc>
          <w:tcPr>
            <w:tcW w:w="7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5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727,424,619</w:t>
            </w:r>
          </w:p>
        </w:tc>
        <w:tc>
          <w:tcPr>
            <w:tcW w:w="198"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pPr>
      <w:r>
        <w:rPr/>
        <w:t>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21</w:t>
      </w:r>
      <w:r>
        <w:br w:type="page"/>
      </w:r>
    </w:p>
    <w:p>
      <w:pPr>
        <w:pStyle w:val="TextBody"/>
        <w:spacing w:lineRule="auto" w:line="288" w:before="0" w:after="0"/>
        <w:rPr/>
      </w:pPr>
      <w:hyperlink w:anchor="s3336AD8A685850CC9B7F2572CB2C0BC3">
        <w:r>
          <w:rPr>
            <w:rStyle w:val="InternetLink"/>
            <w:rFonts w:ascii="inherit" w:hAnsi="inherit"/>
            <w:sz w:val="17"/>
          </w:rPr>
          <w:t>Table of Contents</w:t>
        </w:r>
      </w:hyperlink>
      <w:r>
        <w:rPr>
          <w:sz w:val="17"/>
        </w:rPr>
        <w:t xml:space="preserve"> </w:t>
      </w:r>
    </w:p>
    <w:p>
      <w:pPr>
        <w:pStyle w:val="TextBody"/>
        <w:spacing w:lineRule="auto" w:line="288" w:before="0" w:after="0"/>
        <w:jc w:val="center"/>
        <w:rPr>
          <w:rFonts w:ascii="inherit" w:hAnsi="inherit"/>
          <w:b/>
          <w:sz w:val="17"/>
        </w:rPr>
      </w:pPr>
      <w:r>
        <w:rPr>
          <w:rFonts w:ascii="inherit" w:hAnsi="inherit"/>
          <w:b/>
          <w:sz w:val="17"/>
        </w:rPr>
        <w:t>PLAINS ALL AMERICAN PIPELINE, L.P. AND SUBSIDIARIES</w:t>
      </w:r>
    </w:p>
    <w:p>
      <w:pPr>
        <w:pStyle w:val="TextBody"/>
        <w:spacing w:lineRule="auto" w:line="288" w:before="0" w:after="0"/>
        <w:jc w:val="center"/>
        <w:rPr>
          <w:rFonts w:ascii="inherit" w:hAnsi="inherit"/>
          <w:b/>
          <w:sz w:val="17"/>
        </w:rPr>
      </w:pPr>
      <w:r>
        <w:rPr>
          <w:rFonts w:ascii="inherit" w:hAnsi="inherit"/>
          <w:b/>
          <w:sz w:val="17"/>
        </w:rPr>
        <w:t>NOTES TO THE UNAUDITED CONDENSED CONSOLIDATED FINANCIAL STATEMENTS</w:t>
      </w:r>
    </w:p>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tbl>
      <w:tblPr>
        <w:tblW w:w="9963" w:type="dxa"/>
        <w:jc w:val="center"/>
        <w:tblInd w:w="0" w:type="dxa"/>
        <w:tblCellMar>
          <w:top w:w="0" w:type="dxa"/>
          <w:left w:w="0" w:type="dxa"/>
          <w:bottom w:w="0" w:type="dxa"/>
          <w:right w:w="0" w:type="dxa"/>
        </w:tblCellMar>
      </w:tblPr>
      <w:tblGrid>
        <w:gridCol w:w="6185"/>
        <w:gridCol w:w="1139"/>
        <w:gridCol w:w="35"/>
        <w:gridCol w:w="90"/>
        <w:gridCol w:w="1125"/>
        <w:gridCol w:w="49"/>
        <w:gridCol w:w="90"/>
        <w:gridCol w:w="1055"/>
        <w:gridCol w:w="195"/>
      </w:tblGrid>
      <w:tr>
        <w:trPr/>
        <w:tc>
          <w:tcPr>
            <w:tcW w:w="9963" w:type="dxa"/>
            <w:gridSpan w:val="9"/>
            <w:tcBorders/>
            <w:shd w:fill="auto" w:val="clear"/>
            <w:vAlign w:val="center"/>
          </w:tcPr>
          <w:p>
            <w:pPr>
              <w:pStyle w:val="TableContents"/>
              <w:spacing w:before="0" w:after="283"/>
              <w:rPr>
                <w:sz w:val="4"/>
                <w:szCs w:val="4"/>
              </w:rPr>
            </w:pPr>
            <w:r>
              <w:rPr>
                <w:sz w:val="4"/>
                <w:szCs w:val="4"/>
              </w:rPr>
            </w:r>
          </w:p>
        </w:tc>
      </w:tr>
      <w:tr>
        <w:trPr/>
        <w:tc>
          <w:tcPr>
            <w:tcW w:w="6185" w:type="dxa"/>
            <w:tcBorders/>
            <w:shd w:fill="auto" w:val="clear"/>
            <w:vAlign w:val="center"/>
          </w:tcPr>
          <w:p>
            <w:pPr>
              <w:pStyle w:val="TableContents"/>
              <w:spacing w:before="0" w:after="283"/>
              <w:rPr>
                <w:sz w:val="4"/>
                <w:szCs w:val="4"/>
              </w:rPr>
            </w:pPr>
            <w:r>
              <w:rPr>
                <w:sz w:val="4"/>
                <w:szCs w:val="4"/>
              </w:rPr>
            </w:r>
          </w:p>
        </w:tc>
        <w:tc>
          <w:tcPr>
            <w:tcW w:w="1139" w:type="dxa"/>
            <w:tcBorders/>
            <w:shd w:fill="auto" w:val="clear"/>
            <w:vAlign w:val="center"/>
          </w:tcPr>
          <w:p>
            <w:pPr>
              <w:pStyle w:val="TableContents"/>
              <w:spacing w:before="0" w:after="283"/>
              <w:rPr>
                <w:sz w:val="4"/>
                <w:szCs w:val="4"/>
              </w:rPr>
            </w:pPr>
            <w:r>
              <w:rPr>
                <w:sz w:val="4"/>
                <w:szCs w:val="4"/>
              </w:rPr>
            </w:r>
          </w:p>
        </w:tc>
        <w:tc>
          <w:tcPr>
            <w:tcW w:w="3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125" w:type="dxa"/>
            <w:tcBorders/>
            <w:shd w:fill="auto" w:val="clear"/>
            <w:vAlign w:val="center"/>
          </w:tcPr>
          <w:p>
            <w:pPr>
              <w:pStyle w:val="TableContents"/>
              <w:spacing w:before="0" w:after="283"/>
              <w:rPr>
                <w:sz w:val="4"/>
                <w:szCs w:val="4"/>
              </w:rPr>
            </w:pPr>
            <w:r>
              <w:rPr>
                <w:sz w:val="4"/>
                <w:szCs w:val="4"/>
              </w:rPr>
            </w:r>
          </w:p>
        </w:tc>
        <w:tc>
          <w:tcPr>
            <w:tcW w:w="4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185" w:type="dxa"/>
            <w:tcBorders/>
            <w:shd w:fill="auto" w:val="clear"/>
            <w:vAlign w:val="center"/>
          </w:tcPr>
          <w:p>
            <w:pPr>
              <w:pStyle w:val="TableContents"/>
              <w:spacing w:before="0" w:after="0"/>
              <w:ind w:left="0" w:right="0" w:firstLine="30"/>
              <w:jc w:val="left"/>
              <w:rPr/>
            </w:pPr>
            <w:r>
              <w:rPr/>
              <w:t> </w:t>
            </w:r>
          </w:p>
        </w:tc>
        <w:tc>
          <w:tcPr>
            <w:tcW w:w="3778" w:type="dxa"/>
            <w:gridSpan w:val="8"/>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Limited Partners</w:t>
            </w:r>
          </w:p>
        </w:tc>
      </w:tr>
      <w:tr>
        <w:trPr/>
        <w:tc>
          <w:tcPr>
            <w:tcW w:w="6185" w:type="dxa"/>
            <w:tcBorders/>
            <w:shd w:fill="auto" w:val="clear"/>
            <w:vAlign w:val="center"/>
          </w:tcPr>
          <w:p>
            <w:pPr>
              <w:pStyle w:val="TableContents"/>
              <w:spacing w:before="0" w:after="0"/>
              <w:ind w:left="0" w:right="0" w:firstLine="30"/>
              <w:jc w:val="left"/>
              <w:rPr/>
            </w:pPr>
            <w:r>
              <w:rPr/>
              <w:t> </w:t>
            </w:r>
          </w:p>
        </w:tc>
        <w:tc>
          <w:tcPr>
            <w:tcW w:w="1174" w:type="dxa"/>
            <w:gridSpan w:val="2"/>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 xml:space="preserve">Series A </w:t>
            </w:r>
          </w:p>
          <w:p>
            <w:pPr>
              <w:pStyle w:val="TableContents"/>
              <w:spacing w:before="0" w:after="0"/>
              <w:ind w:left="0" w:right="0" w:firstLine="30"/>
              <w:jc w:val="center"/>
              <w:rPr>
                <w:rFonts w:ascii="inherit" w:hAnsi="inherit"/>
                <w:b/>
                <w:sz w:val="13"/>
              </w:rPr>
            </w:pPr>
            <w:r>
              <w:rPr>
                <w:rFonts w:ascii="inherit" w:hAnsi="inherit"/>
                <w:b/>
                <w:sz w:val="13"/>
              </w:rPr>
              <w:t>Preferred Units</w:t>
            </w:r>
          </w:p>
        </w:tc>
        <w:tc>
          <w:tcPr>
            <w:tcW w:w="90" w:type="dxa"/>
            <w:tcBorders/>
            <w:shd w:fill="auto" w:val="clear"/>
            <w:vAlign w:val="center"/>
          </w:tcPr>
          <w:p>
            <w:pPr>
              <w:pStyle w:val="TableContents"/>
              <w:spacing w:before="0" w:after="0"/>
              <w:ind w:left="0" w:right="0" w:firstLine="30"/>
              <w:rPr/>
            </w:pPr>
            <w:r>
              <w:rPr/>
              <w:t> </w:t>
            </w:r>
          </w:p>
        </w:tc>
        <w:tc>
          <w:tcPr>
            <w:tcW w:w="1174"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center"/>
              <w:rPr>
                <w:rFonts w:ascii="inherit" w:hAnsi="inherit"/>
                <w:b/>
                <w:sz w:val="13"/>
              </w:rPr>
            </w:pPr>
            <w:r>
              <w:rPr>
                <w:rFonts w:ascii="inherit" w:hAnsi="inherit"/>
                <w:b/>
                <w:sz w:val="13"/>
              </w:rPr>
              <w:t xml:space="preserve">Series B </w:t>
            </w:r>
          </w:p>
          <w:p>
            <w:pPr>
              <w:pStyle w:val="TableContents"/>
              <w:spacing w:before="0" w:after="0"/>
              <w:ind w:left="0" w:right="0" w:firstLine="30"/>
              <w:jc w:val="center"/>
              <w:rPr>
                <w:rFonts w:ascii="inherit" w:hAnsi="inherit"/>
                <w:b/>
                <w:sz w:val="13"/>
              </w:rPr>
            </w:pPr>
            <w:r>
              <w:rPr>
                <w:rFonts w:ascii="inherit" w:hAnsi="inherit"/>
                <w:b/>
                <w:sz w:val="13"/>
              </w:rPr>
              <w:t>Preferred Units</w:t>
            </w:r>
          </w:p>
        </w:tc>
        <w:tc>
          <w:tcPr>
            <w:tcW w:w="90" w:type="dxa"/>
            <w:tcBorders/>
            <w:shd w:fill="auto" w:val="clear"/>
            <w:vAlign w:val="center"/>
          </w:tcPr>
          <w:p>
            <w:pPr>
              <w:pStyle w:val="TableContents"/>
              <w:spacing w:before="0" w:after="0"/>
              <w:ind w:left="0" w:right="0" w:firstLine="30"/>
              <w:rPr/>
            </w:pPr>
            <w:r>
              <w:rPr/>
              <w:t> </w:t>
            </w:r>
          </w:p>
        </w:tc>
        <w:tc>
          <w:tcPr>
            <w:tcW w:w="1250"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Common Units</w:t>
            </w:r>
          </w:p>
        </w:tc>
      </w:tr>
      <w:tr>
        <w:trPr/>
        <w:tc>
          <w:tcPr>
            <w:tcW w:w="61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Outstanding at December 31, 2017</w:t>
            </w:r>
          </w:p>
        </w:tc>
        <w:tc>
          <w:tcPr>
            <w:tcW w:w="1139"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69,696,542</w:t>
            </w:r>
          </w:p>
        </w:tc>
        <w:tc>
          <w:tcPr>
            <w:tcW w:w="35"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2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800,000</w:t>
            </w:r>
          </w:p>
        </w:tc>
        <w:tc>
          <w:tcPr>
            <w:tcW w:w="49"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5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725,189,138</w:t>
            </w:r>
          </w:p>
        </w:tc>
        <w:tc>
          <w:tcPr>
            <w:tcW w:w="195" w:type="dxa"/>
            <w:tcBorders>
              <w:bottom w:val="double" w:sz="6" w:space="0" w:color="000000"/>
            </w:tcBorders>
            <w:shd w:fill="CCEEFF"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1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Issuance of Series A preferred units in connection with in-kind distribution</w:t>
            </w:r>
          </w:p>
        </w:tc>
        <w:tc>
          <w:tcPr>
            <w:tcW w:w="1139" w:type="dxa"/>
            <w:tcBorders/>
            <w:shd w:fill="auto" w:val="clear"/>
            <w:vAlign w:val="center"/>
          </w:tcPr>
          <w:p>
            <w:pPr>
              <w:pStyle w:val="TableContents"/>
              <w:spacing w:before="0" w:after="0"/>
              <w:jc w:val="right"/>
              <w:rPr>
                <w:rFonts w:ascii="inherit" w:hAnsi="inherit"/>
                <w:sz w:val="17"/>
              </w:rPr>
            </w:pPr>
            <w:r>
              <w:rPr>
                <w:rFonts w:ascii="inherit" w:hAnsi="inherit"/>
                <w:sz w:val="17"/>
              </w:rPr>
              <w:t>1,393,926</w:t>
            </w:r>
          </w:p>
        </w:tc>
        <w:tc>
          <w:tcPr>
            <w:tcW w:w="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25" w:type="dxa"/>
            <w:tcBorders/>
            <w:shd w:fill="auto" w:val="clear"/>
            <w:vAlign w:val="center"/>
          </w:tcPr>
          <w:p>
            <w:pPr>
              <w:pStyle w:val="TableContents"/>
              <w:spacing w:before="0" w:after="0"/>
              <w:jc w:val="right"/>
              <w:rPr/>
            </w:pPr>
            <w:r>
              <w:rPr/>
              <w:t>—</w:t>
            </w:r>
          </w:p>
        </w:tc>
        <w:tc>
          <w:tcPr>
            <w:tcW w:w="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jc w:val="right"/>
              <w:rPr/>
            </w:pPr>
            <w:r>
              <w:rPr/>
              <w:t>—</w:t>
            </w:r>
          </w:p>
        </w:tc>
        <w:tc>
          <w:tcPr>
            <w:tcW w:w="19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1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Issuances of common units under equity-indexed compensation plans</w:t>
            </w:r>
          </w:p>
        </w:tc>
        <w:tc>
          <w:tcPr>
            <w:tcW w:w="1139"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3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25"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4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55"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17,766</w:t>
            </w:r>
          </w:p>
        </w:tc>
        <w:tc>
          <w:tcPr>
            <w:tcW w:w="19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Outstanding at March 31, 2018</w:t>
            </w:r>
          </w:p>
        </w:tc>
        <w:tc>
          <w:tcPr>
            <w:tcW w:w="1139" w:type="dxa"/>
            <w:tcBorders/>
            <w:shd w:fill="auto" w:val="clear"/>
            <w:vAlign w:val="center"/>
          </w:tcPr>
          <w:p>
            <w:pPr>
              <w:pStyle w:val="TableContents"/>
              <w:spacing w:before="0" w:after="0"/>
              <w:jc w:val="right"/>
              <w:rPr>
                <w:rFonts w:ascii="inherit" w:hAnsi="inherit"/>
                <w:sz w:val="17"/>
              </w:rPr>
            </w:pPr>
            <w:r>
              <w:rPr>
                <w:rFonts w:ascii="inherit" w:hAnsi="inherit"/>
                <w:sz w:val="17"/>
              </w:rPr>
              <w:t>71,090,468</w:t>
            </w:r>
          </w:p>
        </w:tc>
        <w:tc>
          <w:tcPr>
            <w:tcW w:w="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25" w:type="dxa"/>
            <w:tcBorders/>
            <w:shd w:fill="auto" w:val="clear"/>
            <w:vAlign w:val="center"/>
          </w:tcPr>
          <w:p>
            <w:pPr>
              <w:pStyle w:val="TableContents"/>
              <w:spacing w:before="0" w:after="0"/>
              <w:jc w:val="right"/>
              <w:rPr>
                <w:rFonts w:ascii="inherit" w:hAnsi="inherit"/>
                <w:sz w:val="17"/>
              </w:rPr>
            </w:pPr>
            <w:r>
              <w:rPr>
                <w:rFonts w:ascii="inherit" w:hAnsi="inherit"/>
                <w:sz w:val="17"/>
              </w:rPr>
              <w:t>800,000</w:t>
            </w:r>
          </w:p>
        </w:tc>
        <w:tc>
          <w:tcPr>
            <w:tcW w:w="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jc w:val="right"/>
              <w:rPr>
                <w:rFonts w:ascii="inherit" w:hAnsi="inherit"/>
                <w:sz w:val="17"/>
              </w:rPr>
            </w:pPr>
            <w:r>
              <w:rPr>
                <w:rFonts w:ascii="inherit" w:hAnsi="inherit"/>
                <w:sz w:val="17"/>
              </w:rPr>
              <w:t>725,206,904</w:t>
            </w:r>
          </w:p>
        </w:tc>
        <w:tc>
          <w:tcPr>
            <w:tcW w:w="19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1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Issuances of common units under equity-indexed compensation plans</w:t>
            </w:r>
          </w:p>
        </w:tc>
        <w:tc>
          <w:tcPr>
            <w:tcW w:w="1139"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3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25"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4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055"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375,835</w:t>
            </w:r>
          </w:p>
        </w:tc>
        <w:tc>
          <w:tcPr>
            <w:tcW w:w="19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Outstanding at June 30, 2018</w:t>
            </w:r>
          </w:p>
        </w:tc>
        <w:tc>
          <w:tcPr>
            <w:tcW w:w="1139"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71,090,468</w:t>
            </w:r>
          </w:p>
        </w:tc>
        <w:tc>
          <w:tcPr>
            <w:tcW w:w="3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2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800,000</w:t>
            </w:r>
          </w:p>
        </w:tc>
        <w:tc>
          <w:tcPr>
            <w:tcW w:w="49"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5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725,582,739</w:t>
            </w:r>
          </w:p>
        </w:tc>
        <w:tc>
          <w:tcPr>
            <w:tcW w:w="195"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b/>
          <w:i/>
          <w:sz w:val="17"/>
        </w:rPr>
      </w:pPr>
      <w:r>
        <w:rPr>
          <w:rFonts w:ascii="inherit" w:hAnsi="inherit"/>
          <w:b/>
          <w:i/>
          <w:sz w:val="17"/>
        </w:rPr>
        <w:t>Distributions</w:t>
      </w:r>
    </w:p>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lineRule="auto" w:line="288" w:before="0" w:after="0"/>
        <w:ind w:left="0" w:right="0" w:firstLine="720"/>
        <w:rPr>
          <w:sz w:val="17"/>
        </w:rPr>
      </w:pPr>
      <w:r>
        <w:rPr>
          <w:rFonts w:ascii="inherit" w:hAnsi="inherit"/>
          <w:i/>
          <w:sz w:val="17"/>
        </w:rPr>
        <w:t>Series A Preferred Unit Distributions</w:t>
      </w:r>
      <w:r>
        <w:rPr>
          <w:rFonts w:ascii="inherit" w:hAnsi="inherit"/>
          <w:sz w:val="17"/>
        </w:rPr>
        <w:t>. The following table details distributions to our Series A preferred unitholders paid during or pertaining to the first six</w:t>
      </w:r>
      <w:r>
        <w:rPr>
          <w:sz w:val="17"/>
        </w:rPr>
        <w:t xml:space="preserve"> </w:t>
      </w:r>
      <w:r>
        <w:rPr>
          <w:rFonts w:ascii="inherit" w:hAnsi="inherit"/>
          <w:sz w:val="17"/>
        </w:rPr>
        <w:t>months of 2019</w:t>
      </w:r>
      <w:r>
        <w:rPr>
          <w:sz w:val="17"/>
        </w:rPr>
        <w:t xml:space="preserve"> </w:t>
      </w:r>
      <w:r>
        <w:rPr>
          <w:rFonts w:ascii="inherit" w:hAnsi="inherit"/>
          <w:sz w:val="17"/>
        </w:rPr>
        <w:t>(in millions, except per unit data):</w:t>
      </w:r>
    </w:p>
    <w:tbl>
      <w:tblPr>
        <w:tblW w:w="5300" w:type="dxa"/>
        <w:jc w:val="left"/>
        <w:tblInd w:w="0" w:type="dxa"/>
        <w:tblCellMar>
          <w:top w:w="0" w:type="dxa"/>
          <w:left w:w="0" w:type="dxa"/>
          <w:bottom w:w="0" w:type="dxa"/>
          <w:right w:w="0" w:type="dxa"/>
        </w:tblCellMar>
      </w:tblPr>
      <w:tblGrid>
        <w:gridCol w:w="2015"/>
        <w:gridCol w:w="90"/>
        <w:gridCol w:w="424"/>
        <w:gridCol w:w="781"/>
        <w:gridCol w:w="104"/>
        <w:gridCol w:w="169"/>
        <w:gridCol w:w="169"/>
        <w:gridCol w:w="295"/>
        <w:gridCol w:w="1148"/>
        <w:gridCol w:w="105"/>
      </w:tblGrid>
      <w:tr>
        <w:trPr/>
        <w:tc>
          <w:tcPr>
            <w:tcW w:w="5300" w:type="dxa"/>
            <w:gridSpan w:val="10"/>
            <w:tcBorders/>
            <w:shd w:fill="auto" w:val="clear"/>
            <w:vAlign w:val="center"/>
          </w:tcPr>
          <w:p>
            <w:pPr>
              <w:pStyle w:val="TableContents"/>
              <w:spacing w:before="0" w:after="283"/>
              <w:rPr>
                <w:sz w:val="4"/>
                <w:szCs w:val="4"/>
              </w:rPr>
            </w:pPr>
            <w:r>
              <w:rPr>
                <w:sz w:val="4"/>
                <w:szCs w:val="4"/>
              </w:rPr>
            </w:r>
          </w:p>
        </w:tc>
      </w:tr>
      <w:tr>
        <w:trPr/>
        <w:tc>
          <w:tcPr>
            <w:tcW w:w="201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1148"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01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3195" w:type="dxa"/>
            <w:gridSpan w:val="8"/>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Series A Preferred Unitholders</w:t>
            </w:r>
          </w:p>
        </w:tc>
      </w:tr>
      <w:tr>
        <w:trPr/>
        <w:tc>
          <w:tcPr>
            <w:tcW w:w="201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3"/>
              </w:rPr>
            </w:pPr>
            <w:r>
              <w:rPr>
                <w:rFonts w:ascii="inherit" w:hAnsi="inherit"/>
                <w:b/>
                <w:sz w:val="13"/>
              </w:rPr>
              <w:t>Distribution Payment Date</w:t>
            </w:r>
          </w:p>
        </w:tc>
        <w:tc>
          <w:tcPr>
            <w:tcW w:w="90" w:type="dxa"/>
            <w:tcBorders/>
            <w:shd w:fill="auto" w:val="clear"/>
            <w:vAlign w:val="center"/>
          </w:tcPr>
          <w:p>
            <w:pPr>
              <w:pStyle w:val="TableContents"/>
              <w:spacing w:before="0" w:after="0"/>
              <w:ind w:left="0" w:right="0" w:firstLine="30"/>
              <w:rPr/>
            </w:pPr>
            <w:r>
              <w:rPr/>
              <w:t> </w:t>
            </w:r>
          </w:p>
        </w:tc>
        <w:tc>
          <w:tcPr>
            <w:tcW w:w="130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Cash Distribution</w:t>
            </w:r>
          </w:p>
        </w:tc>
        <w:tc>
          <w:tcPr>
            <w:tcW w:w="169" w:type="dxa"/>
            <w:tcBorders/>
            <w:shd w:fill="auto" w:val="clear"/>
            <w:vAlign w:val="center"/>
          </w:tcPr>
          <w:p>
            <w:pPr>
              <w:pStyle w:val="TableContents"/>
              <w:spacing w:before="0" w:after="0"/>
              <w:ind w:left="0" w:right="0" w:firstLine="30"/>
              <w:rPr/>
            </w:pPr>
            <w:r>
              <w:rPr/>
              <w:t> </w:t>
            </w:r>
          </w:p>
        </w:tc>
        <w:tc>
          <w:tcPr>
            <w:tcW w:w="169" w:type="dxa"/>
            <w:tcBorders/>
            <w:shd w:fill="auto" w:val="clear"/>
            <w:vAlign w:val="center"/>
          </w:tcPr>
          <w:p>
            <w:pPr>
              <w:pStyle w:val="TableContents"/>
              <w:spacing w:before="0" w:after="0"/>
              <w:ind w:left="0" w:right="0" w:firstLine="30"/>
              <w:rPr/>
            </w:pPr>
            <w:r>
              <w:rPr/>
              <w:t> </w:t>
            </w:r>
          </w:p>
        </w:tc>
        <w:tc>
          <w:tcPr>
            <w:tcW w:w="1548"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Distribution per Unit</w:t>
            </w:r>
          </w:p>
        </w:tc>
      </w:tr>
      <w:tr>
        <w:trPr/>
        <w:tc>
          <w:tcPr>
            <w:tcW w:w="2015" w:type="dxa"/>
            <w:tcBorders/>
            <w:shd w:fill="CCEEFF" w:val="clear"/>
            <w:vAlign w:val="center"/>
          </w:tcPr>
          <w:p>
            <w:pPr>
              <w:pStyle w:val="TableContents"/>
              <w:spacing w:lineRule="auto" w:line="288" w:before="0" w:after="0"/>
              <w:ind w:left="0" w:right="0" w:firstLine="30"/>
              <w:rPr>
                <w:sz w:val="17"/>
              </w:rPr>
            </w:pPr>
            <w:r>
              <w:rPr>
                <w:rFonts w:ascii="inherit" w:hAnsi="inherit"/>
                <w:sz w:val="17"/>
              </w:rPr>
              <w:t xml:space="preserve">August 14, 2019 </w:t>
            </w:r>
            <w:r>
              <w:rPr>
                <w:rFonts w:ascii="inherit" w:hAnsi="inherit"/>
                <w:sz w:val="12"/>
              </w:rPr>
              <w:t>(1)</w:t>
            </w:r>
          </w:p>
        </w:tc>
        <w:tc>
          <w:tcPr>
            <w:tcW w:w="90" w:type="dxa"/>
            <w:tcBorders/>
            <w:shd w:fill="CCEEFF" w:val="clear"/>
            <w:vAlign w:val="center"/>
          </w:tcPr>
          <w:p>
            <w:pPr>
              <w:pStyle w:val="TableContents"/>
              <w:spacing w:before="0" w:after="0"/>
              <w:ind w:left="0" w:right="0" w:firstLine="30"/>
              <w:rPr/>
            </w:pPr>
            <w:r>
              <w:rPr/>
              <w:t> </w:t>
            </w:r>
          </w:p>
        </w:tc>
        <w:tc>
          <w:tcPr>
            <w:tcW w:w="42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81" w:type="dxa"/>
            <w:tcBorders/>
            <w:shd w:fill="CCEEFF" w:val="clear"/>
            <w:vAlign w:val="center"/>
          </w:tcPr>
          <w:p>
            <w:pPr>
              <w:pStyle w:val="TableContents"/>
              <w:spacing w:before="0" w:after="0"/>
              <w:jc w:val="right"/>
              <w:rPr>
                <w:rFonts w:ascii="inherit" w:hAnsi="inherit"/>
                <w:sz w:val="17"/>
              </w:rPr>
            </w:pPr>
            <w:r>
              <w:rPr>
                <w:rFonts w:ascii="inherit" w:hAnsi="inherit"/>
                <w:sz w:val="17"/>
              </w:rPr>
              <w:t>37</w:t>
            </w:r>
          </w:p>
        </w:tc>
        <w:tc>
          <w:tcPr>
            <w:tcW w:w="1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9" w:type="dxa"/>
            <w:tcBorders/>
            <w:shd w:fill="CCEEFF" w:val="clear"/>
            <w:vAlign w:val="center"/>
          </w:tcPr>
          <w:p>
            <w:pPr>
              <w:pStyle w:val="TableContents"/>
              <w:spacing w:before="0" w:after="0"/>
              <w:ind w:left="0" w:right="0" w:firstLine="30"/>
              <w:rPr/>
            </w:pPr>
            <w:r>
              <w:rPr/>
              <w:t> </w:t>
            </w:r>
          </w:p>
        </w:tc>
        <w:tc>
          <w:tcPr>
            <w:tcW w:w="169"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29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48" w:type="dxa"/>
            <w:tcBorders/>
            <w:shd w:fill="CCEEFF" w:val="clear"/>
            <w:vAlign w:val="center"/>
          </w:tcPr>
          <w:p>
            <w:pPr>
              <w:pStyle w:val="TableContents"/>
              <w:spacing w:before="0" w:after="0"/>
              <w:jc w:val="right"/>
              <w:rPr>
                <w:rFonts w:ascii="inherit" w:hAnsi="inherit"/>
                <w:sz w:val="17"/>
              </w:rPr>
            </w:pPr>
            <w:r>
              <w:rPr>
                <w:rFonts w:ascii="inherit" w:hAnsi="inherit"/>
                <w:sz w:val="17"/>
              </w:rPr>
              <w:t>0.525</w:t>
            </w:r>
          </w:p>
        </w:tc>
        <w:tc>
          <w:tcPr>
            <w:tcW w:w="1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0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May 15, 2019</w:t>
            </w:r>
          </w:p>
        </w:tc>
        <w:tc>
          <w:tcPr>
            <w:tcW w:w="90" w:type="dxa"/>
            <w:tcBorders/>
            <w:shd w:fill="auto" w:val="clear"/>
            <w:vAlign w:val="center"/>
          </w:tcPr>
          <w:p>
            <w:pPr>
              <w:pStyle w:val="TableContents"/>
              <w:spacing w:before="0" w:after="0"/>
              <w:ind w:left="0" w:right="0" w:firstLine="30"/>
              <w:rPr/>
            </w:pPr>
            <w:r>
              <w:rPr/>
              <w:t> </w:t>
            </w:r>
          </w:p>
        </w:tc>
        <w:tc>
          <w:tcPr>
            <w:tcW w:w="42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81" w:type="dxa"/>
            <w:tcBorders/>
            <w:shd w:fill="auto" w:val="clear"/>
            <w:vAlign w:val="center"/>
          </w:tcPr>
          <w:p>
            <w:pPr>
              <w:pStyle w:val="TableContents"/>
              <w:spacing w:before="0" w:after="0"/>
              <w:jc w:val="right"/>
              <w:rPr>
                <w:rFonts w:ascii="inherit" w:hAnsi="inherit"/>
                <w:sz w:val="17"/>
              </w:rPr>
            </w:pPr>
            <w:r>
              <w:rPr>
                <w:rFonts w:ascii="inherit" w:hAnsi="inherit"/>
                <w:sz w:val="17"/>
              </w:rPr>
              <w:t>37</w:t>
            </w:r>
          </w:p>
        </w:tc>
        <w:tc>
          <w:tcPr>
            <w:tcW w:w="1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9" w:type="dxa"/>
            <w:tcBorders/>
            <w:shd w:fill="auto" w:val="clear"/>
            <w:vAlign w:val="center"/>
          </w:tcPr>
          <w:p>
            <w:pPr>
              <w:pStyle w:val="TableContents"/>
              <w:spacing w:before="0" w:after="0"/>
              <w:ind w:left="0" w:right="0" w:firstLine="30"/>
              <w:rPr/>
            </w:pPr>
            <w:r>
              <w:rPr/>
              <w:t> </w:t>
            </w:r>
          </w:p>
        </w:tc>
        <w:tc>
          <w:tcPr>
            <w:tcW w:w="169"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29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48" w:type="dxa"/>
            <w:tcBorders/>
            <w:shd w:fill="auto" w:val="clear"/>
            <w:vAlign w:val="center"/>
          </w:tcPr>
          <w:p>
            <w:pPr>
              <w:pStyle w:val="TableContents"/>
              <w:spacing w:before="0" w:after="0"/>
              <w:jc w:val="right"/>
              <w:rPr>
                <w:rFonts w:ascii="inherit" w:hAnsi="inherit"/>
                <w:sz w:val="17"/>
              </w:rPr>
            </w:pPr>
            <w:r>
              <w:rPr>
                <w:rFonts w:ascii="inherit" w:hAnsi="inherit"/>
                <w:sz w:val="17"/>
              </w:rPr>
              <w:t>0.525</w:t>
            </w:r>
          </w:p>
        </w:tc>
        <w:tc>
          <w:tcPr>
            <w:tcW w:w="1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0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February 14, 2019</w:t>
            </w:r>
          </w:p>
        </w:tc>
        <w:tc>
          <w:tcPr>
            <w:tcW w:w="90" w:type="dxa"/>
            <w:tcBorders/>
            <w:shd w:fill="CCEEFF" w:val="clear"/>
            <w:vAlign w:val="center"/>
          </w:tcPr>
          <w:p>
            <w:pPr>
              <w:pStyle w:val="TableContents"/>
              <w:spacing w:before="0" w:after="0"/>
              <w:ind w:left="0" w:right="0" w:firstLine="30"/>
              <w:rPr/>
            </w:pPr>
            <w:r>
              <w:rPr/>
              <w:t> </w:t>
            </w:r>
          </w:p>
        </w:tc>
        <w:tc>
          <w:tcPr>
            <w:tcW w:w="42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81" w:type="dxa"/>
            <w:tcBorders/>
            <w:shd w:fill="CCEEFF" w:val="clear"/>
            <w:vAlign w:val="center"/>
          </w:tcPr>
          <w:p>
            <w:pPr>
              <w:pStyle w:val="TableContents"/>
              <w:spacing w:before="0" w:after="0"/>
              <w:jc w:val="right"/>
              <w:rPr>
                <w:rFonts w:ascii="inherit" w:hAnsi="inherit"/>
                <w:sz w:val="17"/>
              </w:rPr>
            </w:pPr>
            <w:r>
              <w:rPr>
                <w:rFonts w:ascii="inherit" w:hAnsi="inherit"/>
                <w:sz w:val="17"/>
              </w:rPr>
              <w:t>37</w:t>
            </w:r>
          </w:p>
        </w:tc>
        <w:tc>
          <w:tcPr>
            <w:tcW w:w="1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9" w:type="dxa"/>
            <w:tcBorders/>
            <w:shd w:fill="CCEEFF" w:val="clear"/>
            <w:vAlign w:val="center"/>
          </w:tcPr>
          <w:p>
            <w:pPr>
              <w:pStyle w:val="TableContents"/>
              <w:spacing w:before="0" w:after="0"/>
              <w:ind w:left="0" w:right="0" w:firstLine="30"/>
              <w:rPr/>
            </w:pPr>
            <w:r>
              <w:rPr/>
              <w:t> </w:t>
            </w:r>
          </w:p>
        </w:tc>
        <w:tc>
          <w:tcPr>
            <w:tcW w:w="169"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29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48" w:type="dxa"/>
            <w:tcBorders/>
            <w:shd w:fill="CCEEFF" w:val="clear"/>
            <w:vAlign w:val="center"/>
          </w:tcPr>
          <w:p>
            <w:pPr>
              <w:pStyle w:val="TableContents"/>
              <w:spacing w:before="0" w:after="0"/>
              <w:jc w:val="right"/>
              <w:rPr>
                <w:rFonts w:ascii="inherit" w:hAnsi="inherit"/>
                <w:sz w:val="17"/>
              </w:rPr>
            </w:pPr>
            <w:r>
              <w:rPr>
                <w:rFonts w:ascii="inherit" w:hAnsi="inherit"/>
                <w:sz w:val="17"/>
              </w:rPr>
              <w:t>0.525</w:t>
            </w:r>
          </w:p>
        </w:tc>
        <w:tc>
          <w:tcPr>
            <w:tcW w:w="105"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sz w:val="4"/>
                <w:szCs w:val="4"/>
              </w:rPr>
            </w:pPr>
            <w:r>
              <w:rPr>
                <w:sz w:val="4"/>
                <w:szCs w:val="4"/>
              </w:rPr>
            </w:r>
          </w:p>
        </w:tc>
      </w:tr>
      <w:tr>
        <w:trPr/>
        <w:tc>
          <w:tcPr>
            <w:tcW w:w="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 w:type="dxa"/>
            <w:tcBorders>
              <w:bottom w:val="single" w:sz="2" w:space="0" w:color="000000"/>
            </w:tcBorders>
            <w:shd w:fill="auto" w:val="clear"/>
            <w:tcMar>
              <w:bottom w:w="30" w:type="dxa"/>
            </w:tcMar>
            <w:vAlign w:val="center"/>
          </w:tcPr>
          <w:p>
            <w:pPr>
              <w:pStyle w:val="TableContents"/>
              <w:spacing w:before="0" w:after="0"/>
              <w:rPr/>
            </w:pPr>
            <w:r>
              <w:rPr/>
              <w:t> </w:t>
            </w:r>
          </w:p>
        </w:tc>
      </w:tr>
    </w:tbl>
    <w:tbl>
      <w:tblPr>
        <w:tblW w:w="10205" w:type="dxa"/>
        <w:jc w:val="left"/>
        <w:tblInd w:w="0" w:type="dxa"/>
        <w:tblCellMar>
          <w:top w:w="0" w:type="dxa"/>
          <w:left w:w="0" w:type="dxa"/>
          <w:bottom w:w="0" w:type="dxa"/>
          <w:right w:w="0" w:type="dxa"/>
        </w:tblCellMar>
      </w:tblPr>
      <w:tblGrid>
        <w:gridCol w:w="191"/>
        <w:gridCol w:w="10014"/>
      </w:tblGrid>
      <w:tr>
        <w:trPr/>
        <w:tc>
          <w:tcPr>
            <w:tcW w:w="191" w:type="dxa"/>
            <w:tcBorders/>
            <w:shd w:fill="auto" w:val="clear"/>
            <w:vAlign w:val="center"/>
          </w:tcPr>
          <w:p>
            <w:pPr>
              <w:pStyle w:val="TableContents"/>
              <w:spacing w:before="0" w:after="283"/>
              <w:rPr>
                <w:sz w:val="4"/>
                <w:szCs w:val="4"/>
              </w:rPr>
            </w:pPr>
            <w:r>
              <w:rPr>
                <w:sz w:val="4"/>
                <w:szCs w:val="4"/>
              </w:rPr>
            </w:r>
          </w:p>
        </w:tc>
        <w:tc>
          <w:tcPr>
            <w:tcW w:w="10014" w:type="dxa"/>
            <w:tcBorders/>
            <w:shd w:fill="auto" w:val="clear"/>
            <w:vAlign w:val="center"/>
          </w:tcPr>
          <w:p>
            <w:pPr>
              <w:pStyle w:val="TableContents"/>
              <w:spacing w:before="0" w:after="283"/>
              <w:rPr>
                <w:sz w:val="4"/>
                <w:szCs w:val="4"/>
              </w:rPr>
            </w:pPr>
            <w:r>
              <w:rPr>
                <w:sz w:val="4"/>
                <w:szCs w:val="4"/>
              </w:rPr>
            </w:r>
          </w:p>
        </w:tc>
      </w:tr>
      <w:tr>
        <w:trPr/>
        <w:tc>
          <w:tcPr>
            <w:tcW w:w="191"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(1)</w:t>
            </w:r>
            <w:r>
              <w:rPr>
                <w:rFonts w:ascii="inherit" w:hAnsi="inherit"/>
                <w:sz w:val="17"/>
              </w:rPr>
              <w:t> </w:t>
            </w:r>
          </w:p>
        </w:tc>
        <w:tc>
          <w:tcPr>
            <w:tcW w:w="10014" w:type="dxa"/>
            <w:tcBorders/>
            <w:shd w:fill="auto" w:val="clear"/>
            <w:vAlign w:val="center"/>
          </w:tcPr>
          <w:p>
            <w:pPr>
              <w:pStyle w:val="TableContents"/>
              <w:spacing w:lineRule="auto" w:line="288" w:before="0" w:after="0"/>
              <w:rPr>
                <w:sz w:val="17"/>
              </w:rPr>
            </w:pPr>
            <w:r>
              <w:rPr>
                <w:rFonts w:ascii="inherit" w:hAnsi="inherit"/>
                <w:sz w:val="17"/>
              </w:rPr>
              <w:t>Payable to unitholders of record at the close of business on July 31, 2019</w:t>
            </w:r>
            <w:r>
              <w:rPr>
                <w:sz w:val="17"/>
              </w:rPr>
              <w:t xml:space="preserve"> </w:t>
            </w:r>
            <w:r>
              <w:rPr>
                <w:rFonts w:ascii="inherit" w:hAnsi="inherit"/>
                <w:sz w:val="17"/>
              </w:rPr>
              <w:t>for the period from April 1, 2019</w:t>
            </w:r>
            <w:r>
              <w:rPr>
                <w:sz w:val="17"/>
              </w:rPr>
              <w:t xml:space="preserve"> </w:t>
            </w:r>
            <w:r>
              <w:rPr>
                <w:rFonts w:ascii="inherit" w:hAnsi="inherit"/>
                <w:sz w:val="17"/>
              </w:rPr>
              <w:t>through June 30, 2019. At June 30, 2019, such amount was accrued to distributions payable in “Other current liabilities” on our Condensed Consolidated Balance Sheet.</w:t>
            </w:r>
          </w:p>
        </w:tc>
      </w:tr>
    </w:tbl>
    <w:p>
      <w:pPr>
        <w:pStyle w:val="TextBody"/>
        <w:spacing w:lineRule="auto" w:line="288" w:before="0" w:after="0"/>
        <w:ind w:left="0" w:right="0" w:firstLine="720"/>
        <w:rPr>
          <w:sz w:val="17"/>
        </w:rPr>
      </w:pPr>
      <w:r>
        <w:rPr>
          <w:rFonts w:ascii="inherit" w:hAnsi="inherit"/>
          <w:i/>
          <w:sz w:val="17"/>
        </w:rPr>
        <w:t>Series B Preferred Unit Distributions</w:t>
      </w:r>
      <w:r>
        <w:rPr>
          <w:rFonts w:ascii="inherit" w:hAnsi="inherit"/>
          <w:sz w:val="17"/>
        </w:rPr>
        <w:t>. Distributions on our Series B preferred units are payable semi-annually in arrears on the 15th day of May and November. The following table details distributions paid to our Series B preferred unitholders during the first six months of 2019 (in millions, except per unit data):</w:t>
      </w:r>
    </w:p>
    <w:tbl>
      <w:tblPr>
        <w:tblW w:w="5286" w:type="dxa"/>
        <w:jc w:val="left"/>
        <w:tblInd w:w="0" w:type="dxa"/>
        <w:tblCellMar>
          <w:top w:w="0" w:type="dxa"/>
          <w:left w:w="0" w:type="dxa"/>
          <w:bottom w:w="0" w:type="dxa"/>
          <w:right w:w="0" w:type="dxa"/>
        </w:tblCellMar>
      </w:tblPr>
      <w:tblGrid>
        <w:gridCol w:w="2015"/>
        <w:gridCol w:w="90"/>
        <w:gridCol w:w="315"/>
        <w:gridCol w:w="961"/>
        <w:gridCol w:w="77"/>
        <w:gridCol w:w="140"/>
        <w:gridCol w:w="140"/>
        <w:gridCol w:w="253"/>
        <w:gridCol w:w="1204"/>
        <w:gridCol w:w="91"/>
      </w:tblGrid>
      <w:tr>
        <w:trPr/>
        <w:tc>
          <w:tcPr>
            <w:tcW w:w="5286" w:type="dxa"/>
            <w:gridSpan w:val="10"/>
            <w:tcBorders/>
            <w:shd w:fill="auto" w:val="clear"/>
            <w:vAlign w:val="center"/>
          </w:tcPr>
          <w:p>
            <w:pPr>
              <w:pStyle w:val="TableContents"/>
              <w:spacing w:before="0" w:after="283"/>
              <w:rPr>
                <w:sz w:val="4"/>
                <w:szCs w:val="4"/>
              </w:rPr>
            </w:pPr>
            <w:r>
              <w:rPr>
                <w:sz w:val="4"/>
                <w:szCs w:val="4"/>
              </w:rPr>
            </w:r>
          </w:p>
        </w:tc>
      </w:tr>
      <w:tr>
        <w:trPr/>
        <w:tc>
          <w:tcPr>
            <w:tcW w:w="201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1204"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01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3181" w:type="dxa"/>
            <w:gridSpan w:val="8"/>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Series B Preferred Unitholders</w:t>
            </w:r>
          </w:p>
        </w:tc>
      </w:tr>
      <w:tr>
        <w:trPr/>
        <w:tc>
          <w:tcPr>
            <w:tcW w:w="201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3"/>
              </w:rPr>
            </w:pPr>
            <w:r>
              <w:rPr>
                <w:rFonts w:ascii="inherit" w:hAnsi="inherit"/>
                <w:b/>
                <w:sz w:val="13"/>
              </w:rPr>
              <w:t>Distribution Payment Date</w:t>
            </w:r>
          </w:p>
        </w:tc>
        <w:tc>
          <w:tcPr>
            <w:tcW w:w="90" w:type="dxa"/>
            <w:tcBorders/>
            <w:shd w:fill="auto" w:val="clear"/>
            <w:vAlign w:val="center"/>
          </w:tcPr>
          <w:p>
            <w:pPr>
              <w:pStyle w:val="TableContents"/>
              <w:spacing w:before="0" w:after="0"/>
              <w:ind w:left="0" w:right="0" w:firstLine="30"/>
              <w:rPr/>
            </w:pPr>
            <w:r>
              <w:rPr/>
              <w:t> </w:t>
            </w:r>
          </w:p>
        </w:tc>
        <w:tc>
          <w:tcPr>
            <w:tcW w:w="1353"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Cash Distribution </w:t>
            </w:r>
          </w:p>
        </w:tc>
        <w:tc>
          <w:tcPr>
            <w:tcW w:w="14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4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548"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Distribution per Unit</w:t>
            </w:r>
          </w:p>
        </w:tc>
      </w:tr>
      <w:tr>
        <w:trPr/>
        <w:tc>
          <w:tcPr>
            <w:tcW w:w="20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May 15, 2019</w:t>
            </w:r>
          </w:p>
        </w:tc>
        <w:tc>
          <w:tcPr>
            <w:tcW w:w="90" w:type="dxa"/>
            <w:tcBorders/>
            <w:shd w:fill="CCEEFF" w:val="clear"/>
            <w:vAlign w:val="center"/>
          </w:tcPr>
          <w:p>
            <w:pPr>
              <w:pStyle w:val="TableContents"/>
              <w:spacing w:before="0" w:after="0"/>
              <w:ind w:left="0" w:right="0" w:firstLine="30"/>
              <w:rPr/>
            </w:pPr>
            <w:r>
              <w:rPr/>
              <w:t> </w:t>
            </w:r>
          </w:p>
        </w:tc>
        <w:tc>
          <w:tcPr>
            <w:tcW w:w="31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61" w:type="dxa"/>
            <w:tcBorders/>
            <w:shd w:fill="CCEEFF" w:val="clear"/>
            <w:vAlign w:val="center"/>
          </w:tcPr>
          <w:p>
            <w:pPr>
              <w:pStyle w:val="TableContents"/>
              <w:spacing w:before="0" w:after="0"/>
              <w:jc w:val="right"/>
              <w:rPr>
                <w:rFonts w:ascii="inherit" w:hAnsi="inherit"/>
                <w:sz w:val="17"/>
              </w:rPr>
            </w:pPr>
            <w:r>
              <w:rPr>
                <w:rFonts w:ascii="inherit" w:hAnsi="inherit"/>
                <w:sz w:val="17"/>
              </w:rPr>
              <w:t>24.5</w:t>
            </w:r>
          </w:p>
        </w:tc>
        <w:tc>
          <w:tcPr>
            <w:tcW w:w="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4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25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04" w:type="dxa"/>
            <w:tcBorders/>
            <w:shd w:fill="CCEEFF" w:val="clear"/>
            <w:vAlign w:val="center"/>
          </w:tcPr>
          <w:p>
            <w:pPr>
              <w:pStyle w:val="TableContents"/>
              <w:spacing w:before="0" w:after="0"/>
              <w:jc w:val="right"/>
              <w:rPr>
                <w:rFonts w:ascii="inherit" w:hAnsi="inherit"/>
                <w:sz w:val="17"/>
              </w:rPr>
            </w:pPr>
            <w:r>
              <w:rPr>
                <w:rFonts w:ascii="inherit" w:hAnsi="inherit"/>
                <w:sz w:val="17"/>
              </w:rPr>
              <w:t>30.625</w:t>
            </w:r>
          </w:p>
        </w:tc>
        <w:tc>
          <w:tcPr>
            <w:tcW w:w="91"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lineRule="auto" w:line="288" w:before="0" w:after="0"/>
        <w:ind w:left="0" w:right="0" w:firstLine="720"/>
        <w:rPr>
          <w:sz w:val="17"/>
        </w:rPr>
      </w:pPr>
      <w:r>
        <w:rPr>
          <w:rFonts w:ascii="inherit" w:hAnsi="inherit"/>
          <w:sz w:val="17"/>
        </w:rPr>
        <w:t>As of June 30, 2019, we had accrued approximately $6 million</w:t>
      </w:r>
      <w:r>
        <w:rPr>
          <w:sz w:val="17"/>
        </w:rPr>
        <w:t xml:space="preserve"> </w:t>
      </w:r>
      <w:r>
        <w:rPr>
          <w:rFonts w:ascii="inherit" w:hAnsi="inherit"/>
          <w:sz w:val="17"/>
        </w:rPr>
        <w:t>of distributions payable to our Series B preferred unitholders in “Other current liabilities” on our Condensed Consolidated Balance Sheet.</w:t>
      </w:r>
    </w:p>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lineRule="auto" w:line="288" w:before="0" w:after="0"/>
        <w:ind w:left="0" w:right="0" w:firstLine="720"/>
        <w:rPr>
          <w:sz w:val="17"/>
        </w:rPr>
      </w:pPr>
      <w:r>
        <w:rPr>
          <w:rFonts w:ascii="inherit" w:hAnsi="inherit"/>
          <w:i/>
          <w:sz w:val="17"/>
        </w:rPr>
        <w:t>Common Unit Distributions</w:t>
      </w:r>
      <w:r>
        <w:rPr>
          <w:rFonts w:ascii="inherit" w:hAnsi="inherit"/>
          <w:sz w:val="17"/>
        </w:rPr>
        <w:t>. The following table details distributions to our common unitholders paid during or pertaining to the first six</w:t>
      </w:r>
      <w:r>
        <w:rPr>
          <w:sz w:val="17"/>
        </w:rPr>
        <w:t xml:space="preserve"> </w:t>
      </w:r>
      <w:r>
        <w:rPr>
          <w:rFonts w:ascii="inherit" w:hAnsi="inherit"/>
          <w:sz w:val="17"/>
        </w:rPr>
        <w:t>months of 2019</w:t>
      </w:r>
      <w:r>
        <w:rPr>
          <w:sz w:val="17"/>
        </w:rPr>
        <w:t xml:space="preserve"> </w:t>
      </w:r>
      <w:r>
        <w:rPr>
          <w:rFonts w:ascii="inherit" w:hAnsi="inherit"/>
          <w:sz w:val="17"/>
        </w:rPr>
        <w:t>(in millions, except per unit data):</w:t>
      </w:r>
    </w:p>
    <w:tbl>
      <w:tblPr>
        <w:tblW w:w="8322" w:type="dxa"/>
        <w:jc w:val="left"/>
        <w:tblInd w:w="0" w:type="dxa"/>
        <w:tblCellMar>
          <w:top w:w="0" w:type="dxa"/>
          <w:left w:w="0" w:type="dxa"/>
          <w:bottom w:w="0" w:type="dxa"/>
          <w:right w:w="0" w:type="dxa"/>
        </w:tblCellMar>
      </w:tblPr>
      <w:tblGrid>
        <w:gridCol w:w="2015"/>
        <w:gridCol w:w="90"/>
        <w:gridCol w:w="184"/>
        <w:gridCol w:w="494"/>
        <w:gridCol w:w="44"/>
        <w:gridCol w:w="132"/>
        <w:gridCol w:w="184"/>
        <w:gridCol w:w="494"/>
        <w:gridCol w:w="44"/>
        <w:gridCol w:w="90"/>
        <w:gridCol w:w="439"/>
        <w:gridCol w:w="1181"/>
        <w:gridCol w:w="108"/>
        <w:gridCol w:w="90"/>
        <w:gridCol w:w="90"/>
        <w:gridCol w:w="600"/>
        <w:gridCol w:w="1825"/>
        <w:gridCol w:w="218"/>
      </w:tblGrid>
      <w:tr>
        <w:trPr/>
        <w:tc>
          <w:tcPr>
            <w:tcW w:w="8322" w:type="dxa"/>
            <w:gridSpan w:val="18"/>
            <w:tcBorders/>
            <w:shd w:fill="auto" w:val="clear"/>
            <w:vAlign w:val="center"/>
          </w:tcPr>
          <w:p>
            <w:pPr>
              <w:pStyle w:val="TableContents"/>
              <w:spacing w:before="0" w:after="283"/>
              <w:rPr>
                <w:sz w:val="4"/>
                <w:szCs w:val="4"/>
              </w:rPr>
            </w:pPr>
            <w:r>
              <w:rPr>
                <w:sz w:val="4"/>
                <w:szCs w:val="4"/>
              </w:rPr>
            </w:r>
          </w:p>
        </w:tc>
      </w:tr>
      <w:tr>
        <w:trPr/>
        <w:tc>
          <w:tcPr>
            <w:tcW w:w="201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44"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44"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1181"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1825"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01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3394"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Distributions</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643"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Cash Distribution per Common Unit</w:t>
            </w:r>
          </w:p>
        </w:tc>
      </w:tr>
      <w:tr>
        <w:trPr/>
        <w:tc>
          <w:tcPr>
            <w:tcW w:w="201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76"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Common Unitholders</w:t>
            </w:r>
          </w:p>
        </w:tc>
        <w:tc>
          <w:tcPr>
            <w:tcW w:w="90" w:type="dxa"/>
            <w:tcBorders/>
            <w:shd w:fill="auto" w:val="clear"/>
            <w:vAlign w:val="center"/>
          </w:tcPr>
          <w:p>
            <w:pPr>
              <w:pStyle w:val="TableContents"/>
              <w:spacing w:before="0" w:after="0"/>
              <w:ind w:left="0" w:right="0" w:firstLine="30"/>
              <w:rPr/>
            </w:pPr>
            <w:r>
              <w:rPr/>
              <w:t> </w:t>
            </w:r>
          </w:p>
        </w:tc>
        <w:tc>
          <w:tcPr>
            <w:tcW w:w="1728"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Total Cash Distribution</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643" w:type="dxa"/>
            <w:gridSpan w:val="3"/>
            <w:vMerge w:val="continue"/>
            <w:tcBorders>
              <w:bottom w:val="single" w:sz="2" w:space="0" w:color="000000"/>
            </w:tcBorders>
            <w:shd w:fill="auto" w:val="clear"/>
            <w:tcMar>
              <w:bottom w:w="30" w:type="dxa"/>
            </w:tcMar>
            <w:vAlign w:val="center"/>
          </w:tcPr>
          <w:p>
            <w:pPr>
              <w:pStyle w:val="Normal"/>
              <w:rPr/>
            </w:pPr>
            <w:r>
              <w:rPr/>
            </w:r>
          </w:p>
        </w:tc>
      </w:tr>
      <w:tr>
        <w:trPr/>
        <w:tc>
          <w:tcPr>
            <w:tcW w:w="201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3"/>
              </w:rPr>
            </w:pPr>
            <w:r>
              <w:rPr>
                <w:rFonts w:ascii="inherit" w:hAnsi="inherit"/>
                <w:b/>
                <w:sz w:val="13"/>
              </w:rPr>
              <w:t>Distribution Payment Date</w:t>
            </w:r>
          </w:p>
        </w:tc>
        <w:tc>
          <w:tcPr>
            <w:tcW w:w="90" w:type="dxa"/>
            <w:tcBorders/>
            <w:shd w:fill="auto" w:val="clear"/>
            <w:vAlign w:val="center"/>
          </w:tcPr>
          <w:p>
            <w:pPr>
              <w:pStyle w:val="TableContents"/>
              <w:spacing w:before="0" w:after="0"/>
              <w:ind w:left="0" w:right="0" w:firstLine="30"/>
              <w:rPr/>
            </w:pPr>
            <w:r>
              <w:rPr/>
              <w:t> </w:t>
            </w:r>
          </w:p>
        </w:tc>
        <w:tc>
          <w:tcPr>
            <w:tcW w:w="72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Public</w:t>
            </w:r>
          </w:p>
        </w:tc>
        <w:tc>
          <w:tcPr>
            <w:tcW w:w="132" w:type="dxa"/>
            <w:tcBorders/>
            <w:shd w:fill="auto" w:val="clear"/>
            <w:vAlign w:val="center"/>
          </w:tcPr>
          <w:p>
            <w:pPr>
              <w:pStyle w:val="TableContents"/>
              <w:spacing w:before="0" w:after="0"/>
              <w:ind w:left="0" w:right="0" w:firstLine="30"/>
              <w:rPr/>
            </w:pPr>
            <w:r>
              <w:rPr/>
              <w:t> </w:t>
            </w:r>
          </w:p>
        </w:tc>
        <w:tc>
          <w:tcPr>
            <w:tcW w:w="72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AAP</w:t>
            </w:r>
          </w:p>
        </w:tc>
        <w:tc>
          <w:tcPr>
            <w:tcW w:w="90" w:type="dxa"/>
            <w:tcBorders/>
            <w:shd w:fill="auto" w:val="clear"/>
            <w:vAlign w:val="center"/>
          </w:tcPr>
          <w:p>
            <w:pPr>
              <w:pStyle w:val="TableContents"/>
              <w:spacing w:before="0" w:after="0"/>
              <w:ind w:left="0" w:right="0" w:firstLine="30"/>
              <w:rPr/>
            </w:pPr>
            <w:r>
              <w:rPr/>
              <w:t> </w:t>
            </w:r>
          </w:p>
        </w:tc>
        <w:tc>
          <w:tcPr>
            <w:tcW w:w="1728" w:type="dxa"/>
            <w:gridSpan w:val="3"/>
            <w:vMerge w:val="continue"/>
            <w:tcBorders>
              <w:bottom w:val="single" w:sz="2" w:space="0" w:color="000000"/>
            </w:tcBorders>
            <w:shd w:fill="auto" w:val="clear"/>
            <w:tcMar>
              <w:bottom w:w="30" w:type="dxa"/>
            </w:tcMar>
            <w:vAlign w:val="center"/>
          </w:tcPr>
          <w:p>
            <w:pPr>
              <w:pStyle w:val="Normal"/>
              <w:rPr/>
            </w:pPr>
            <w:r>
              <w:rPr/>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643" w:type="dxa"/>
            <w:gridSpan w:val="3"/>
            <w:vMerge w:val="continue"/>
            <w:tcBorders>
              <w:bottom w:val="single" w:sz="2" w:space="0" w:color="000000"/>
            </w:tcBorders>
            <w:shd w:fill="auto" w:val="clear"/>
            <w:tcMar>
              <w:bottom w:w="30" w:type="dxa"/>
            </w:tcMar>
            <w:vAlign w:val="center"/>
          </w:tcPr>
          <w:p>
            <w:pPr>
              <w:pStyle w:val="Normal"/>
              <w:rPr/>
            </w:pPr>
            <w:r>
              <w:rPr/>
            </w:r>
          </w:p>
        </w:tc>
      </w:tr>
      <w:tr>
        <w:trPr/>
        <w:tc>
          <w:tcPr>
            <w:tcW w:w="2015" w:type="dxa"/>
            <w:tcBorders/>
            <w:shd w:fill="CCEEFF" w:val="clear"/>
            <w:vAlign w:val="center"/>
          </w:tcPr>
          <w:p>
            <w:pPr>
              <w:pStyle w:val="TableContents"/>
              <w:spacing w:lineRule="auto" w:line="288" w:before="0" w:after="0"/>
              <w:ind w:left="0" w:right="0" w:firstLine="30"/>
              <w:rPr>
                <w:sz w:val="17"/>
              </w:rPr>
            </w:pPr>
            <w:r>
              <w:rPr>
                <w:rFonts w:ascii="inherit" w:hAnsi="inherit"/>
                <w:sz w:val="17"/>
              </w:rPr>
              <w:t xml:space="preserve">August 14, 2019 </w:t>
            </w:r>
            <w:r>
              <w:rPr>
                <w:rFonts w:ascii="inherit" w:hAnsi="inherit"/>
                <w:sz w:val="12"/>
              </w:rPr>
              <w:t>(1)</w:t>
            </w:r>
          </w:p>
        </w:tc>
        <w:tc>
          <w:tcPr>
            <w:tcW w:w="90" w:type="dxa"/>
            <w:tcBorders/>
            <w:shd w:fill="CCEEFF" w:val="clear"/>
            <w:vAlign w:val="center"/>
          </w:tcPr>
          <w:p>
            <w:pPr>
              <w:pStyle w:val="TableContents"/>
              <w:spacing w:before="0" w:after="0"/>
              <w:ind w:left="0" w:right="0" w:firstLine="30"/>
              <w:rPr/>
            </w:pPr>
            <w:r>
              <w:rPr/>
              <w:t> </w:t>
            </w:r>
          </w:p>
        </w:tc>
        <w:tc>
          <w:tcPr>
            <w:tcW w:w="18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94" w:type="dxa"/>
            <w:tcBorders/>
            <w:shd w:fill="CCEEFF" w:val="clear"/>
            <w:vAlign w:val="center"/>
          </w:tcPr>
          <w:p>
            <w:pPr>
              <w:pStyle w:val="TableContents"/>
              <w:spacing w:before="0" w:after="0"/>
              <w:jc w:val="right"/>
              <w:rPr>
                <w:rFonts w:ascii="inherit" w:hAnsi="inherit"/>
                <w:sz w:val="17"/>
              </w:rPr>
            </w:pPr>
            <w:r>
              <w:rPr>
                <w:rFonts w:ascii="inherit" w:hAnsi="inherit"/>
                <w:sz w:val="17"/>
              </w:rPr>
              <w:t>166</w:t>
            </w:r>
          </w:p>
        </w:tc>
        <w:tc>
          <w:tcPr>
            <w:tcW w:w="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8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94" w:type="dxa"/>
            <w:tcBorders/>
            <w:shd w:fill="CCEEFF" w:val="clear"/>
            <w:vAlign w:val="center"/>
          </w:tcPr>
          <w:p>
            <w:pPr>
              <w:pStyle w:val="TableContents"/>
              <w:spacing w:before="0" w:after="0"/>
              <w:jc w:val="right"/>
              <w:rPr>
                <w:rFonts w:ascii="inherit" w:hAnsi="inherit"/>
                <w:sz w:val="17"/>
              </w:rPr>
            </w:pPr>
            <w:r>
              <w:rPr>
                <w:rFonts w:ascii="inherit" w:hAnsi="inherit"/>
                <w:sz w:val="17"/>
              </w:rPr>
              <w:t>96</w:t>
            </w:r>
          </w:p>
        </w:tc>
        <w:tc>
          <w:tcPr>
            <w:tcW w:w="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43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81" w:type="dxa"/>
            <w:tcBorders/>
            <w:shd w:fill="CCEEFF" w:val="clear"/>
            <w:vAlign w:val="center"/>
          </w:tcPr>
          <w:p>
            <w:pPr>
              <w:pStyle w:val="TableContents"/>
              <w:spacing w:before="0" w:after="0"/>
              <w:jc w:val="right"/>
              <w:rPr>
                <w:rFonts w:ascii="inherit" w:hAnsi="inherit"/>
                <w:sz w:val="17"/>
              </w:rPr>
            </w:pPr>
            <w:r>
              <w:rPr>
                <w:rFonts w:ascii="inherit" w:hAnsi="inherit"/>
                <w:sz w:val="17"/>
              </w:rPr>
              <w:t>262</w:t>
            </w:r>
          </w:p>
        </w:tc>
        <w:tc>
          <w:tcPr>
            <w:tcW w:w="1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60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825" w:type="dxa"/>
            <w:tcBorders/>
            <w:shd w:fill="CCEEFF" w:val="clear"/>
            <w:vAlign w:val="center"/>
          </w:tcPr>
          <w:p>
            <w:pPr>
              <w:pStyle w:val="TableContents"/>
              <w:spacing w:before="0" w:after="0"/>
              <w:jc w:val="right"/>
              <w:rPr>
                <w:rFonts w:ascii="inherit" w:hAnsi="inherit"/>
                <w:sz w:val="17"/>
              </w:rPr>
            </w:pPr>
            <w:r>
              <w:rPr>
                <w:rFonts w:ascii="inherit" w:hAnsi="inherit"/>
                <w:sz w:val="17"/>
              </w:rPr>
              <w:t>0.36</w:t>
            </w:r>
          </w:p>
        </w:tc>
        <w:tc>
          <w:tcPr>
            <w:tcW w:w="21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0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May 15, 2019</w:t>
            </w:r>
          </w:p>
        </w:tc>
        <w:tc>
          <w:tcPr>
            <w:tcW w:w="90" w:type="dxa"/>
            <w:tcBorders/>
            <w:shd w:fill="auto" w:val="clear"/>
            <w:vAlign w:val="center"/>
          </w:tcPr>
          <w:p>
            <w:pPr>
              <w:pStyle w:val="TableContents"/>
              <w:spacing w:before="0" w:after="0"/>
              <w:ind w:left="0" w:right="0" w:firstLine="30"/>
              <w:rPr/>
            </w:pPr>
            <w:r>
              <w:rPr/>
              <w:t> </w:t>
            </w:r>
          </w:p>
        </w:tc>
        <w:tc>
          <w:tcPr>
            <w:tcW w:w="18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94" w:type="dxa"/>
            <w:tcBorders/>
            <w:shd w:fill="auto" w:val="clear"/>
            <w:vAlign w:val="center"/>
          </w:tcPr>
          <w:p>
            <w:pPr>
              <w:pStyle w:val="TableContents"/>
              <w:spacing w:before="0" w:after="0"/>
              <w:jc w:val="right"/>
              <w:rPr>
                <w:rFonts w:ascii="inherit" w:hAnsi="inherit"/>
                <w:sz w:val="17"/>
              </w:rPr>
            </w:pPr>
            <w:r>
              <w:rPr>
                <w:rFonts w:ascii="inherit" w:hAnsi="inherit"/>
                <w:sz w:val="17"/>
              </w:rPr>
              <w:t>161</w:t>
            </w:r>
          </w:p>
        </w:tc>
        <w:tc>
          <w:tcPr>
            <w:tcW w:w="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8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94" w:type="dxa"/>
            <w:tcBorders/>
            <w:shd w:fill="auto" w:val="clear"/>
            <w:vAlign w:val="center"/>
          </w:tcPr>
          <w:p>
            <w:pPr>
              <w:pStyle w:val="TableContents"/>
              <w:spacing w:before="0" w:after="0"/>
              <w:jc w:val="right"/>
              <w:rPr>
                <w:rFonts w:ascii="inherit" w:hAnsi="inherit"/>
                <w:sz w:val="17"/>
              </w:rPr>
            </w:pPr>
            <w:r>
              <w:rPr>
                <w:rFonts w:ascii="inherit" w:hAnsi="inherit"/>
                <w:sz w:val="17"/>
              </w:rPr>
              <w:t>101</w:t>
            </w:r>
          </w:p>
        </w:tc>
        <w:tc>
          <w:tcPr>
            <w:tcW w:w="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3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81" w:type="dxa"/>
            <w:tcBorders/>
            <w:shd w:fill="auto" w:val="clear"/>
            <w:vAlign w:val="center"/>
          </w:tcPr>
          <w:p>
            <w:pPr>
              <w:pStyle w:val="TableContents"/>
              <w:spacing w:before="0" w:after="0"/>
              <w:jc w:val="right"/>
              <w:rPr>
                <w:rFonts w:ascii="inherit" w:hAnsi="inherit"/>
                <w:sz w:val="17"/>
              </w:rPr>
            </w:pPr>
            <w:r>
              <w:rPr>
                <w:rFonts w:ascii="inherit" w:hAnsi="inherit"/>
                <w:sz w:val="17"/>
              </w:rPr>
              <w:t>262</w:t>
            </w:r>
          </w:p>
        </w:tc>
        <w:tc>
          <w:tcPr>
            <w:tcW w:w="10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60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825" w:type="dxa"/>
            <w:tcBorders/>
            <w:shd w:fill="auto" w:val="clear"/>
            <w:vAlign w:val="center"/>
          </w:tcPr>
          <w:p>
            <w:pPr>
              <w:pStyle w:val="TableContents"/>
              <w:spacing w:before="0" w:after="0"/>
              <w:jc w:val="right"/>
              <w:rPr>
                <w:rFonts w:ascii="inherit" w:hAnsi="inherit"/>
                <w:sz w:val="17"/>
              </w:rPr>
            </w:pPr>
            <w:r>
              <w:rPr>
                <w:rFonts w:ascii="inherit" w:hAnsi="inherit"/>
                <w:sz w:val="17"/>
              </w:rPr>
              <w:t>0.36</w:t>
            </w:r>
          </w:p>
        </w:tc>
        <w:tc>
          <w:tcPr>
            <w:tcW w:w="21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0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February 14, 2019</w:t>
            </w:r>
          </w:p>
        </w:tc>
        <w:tc>
          <w:tcPr>
            <w:tcW w:w="90" w:type="dxa"/>
            <w:tcBorders/>
            <w:shd w:fill="CCEEFF" w:val="clear"/>
            <w:vAlign w:val="center"/>
          </w:tcPr>
          <w:p>
            <w:pPr>
              <w:pStyle w:val="TableContents"/>
              <w:spacing w:before="0" w:after="0"/>
              <w:ind w:left="0" w:right="0" w:firstLine="30"/>
              <w:rPr/>
            </w:pPr>
            <w:r>
              <w:rPr/>
              <w:t> </w:t>
            </w:r>
          </w:p>
        </w:tc>
        <w:tc>
          <w:tcPr>
            <w:tcW w:w="18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94" w:type="dxa"/>
            <w:tcBorders/>
            <w:shd w:fill="CCEEFF" w:val="clear"/>
            <w:vAlign w:val="center"/>
          </w:tcPr>
          <w:p>
            <w:pPr>
              <w:pStyle w:val="TableContents"/>
              <w:spacing w:before="0" w:after="0"/>
              <w:jc w:val="right"/>
              <w:rPr>
                <w:rFonts w:ascii="inherit" w:hAnsi="inherit"/>
                <w:sz w:val="17"/>
              </w:rPr>
            </w:pPr>
            <w:r>
              <w:rPr>
                <w:rFonts w:ascii="inherit" w:hAnsi="inherit"/>
                <w:sz w:val="17"/>
              </w:rPr>
              <w:t>134</w:t>
            </w:r>
          </w:p>
        </w:tc>
        <w:tc>
          <w:tcPr>
            <w:tcW w:w="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8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94" w:type="dxa"/>
            <w:tcBorders/>
            <w:shd w:fill="CCEEFF" w:val="clear"/>
            <w:vAlign w:val="center"/>
          </w:tcPr>
          <w:p>
            <w:pPr>
              <w:pStyle w:val="TableContents"/>
              <w:spacing w:before="0" w:after="0"/>
              <w:jc w:val="right"/>
              <w:rPr>
                <w:rFonts w:ascii="inherit" w:hAnsi="inherit"/>
                <w:sz w:val="17"/>
              </w:rPr>
            </w:pPr>
            <w:r>
              <w:rPr>
                <w:rFonts w:ascii="inherit" w:hAnsi="inherit"/>
                <w:sz w:val="17"/>
              </w:rPr>
              <w:t>84</w:t>
            </w:r>
          </w:p>
        </w:tc>
        <w:tc>
          <w:tcPr>
            <w:tcW w:w="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43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81" w:type="dxa"/>
            <w:tcBorders/>
            <w:shd w:fill="CCEEFF" w:val="clear"/>
            <w:vAlign w:val="center"/>
          </w:tcPr>
          <w:p>
            <w:pPr>
              <w:pStyle w:val="TableContents"/>
              <w:spacing w:before="0" w:after="0"/>
              <w:jc w:val="right"/>
              <w:rPr>
                <w:rFonts w:ascii="inherit" w:hAnsi="inherit"/>
                <w:sz w:val="17"/>
              </w:rPr>
            </w:pPr>
            <w:r>
              <w:rPr>
                <w:rFonts w:ascii="inherit" w:hAnsi="inherit"/>
                <w:sz w:val="17"/>
              </w:rPr>
              <w:t>218</w:t>
            </w:r>
          </w:p>
        </w:tc>
        <w:tc>
          <w:tcPr>
            <w:tcW w:w="1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60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825" w:type="dxa"/>
            <w:tcBorders/>
            <w:shd w:fill="CCEEFF" w:val="clear"/>
            <w:vAlign w:val="center"/>
          </w:tcPr>
          <w:p>
            <w:pPr>
              <w:pStyle w:val="TableContents"/>
              <w:spacing w:before="0" w:after="0"/>
              <w:jc w:val="right"/>
              <w:rPr>
                <w:rFonts w:ascii="inherit" w:hAnsi="inherit"/>
                <w:sz w:val="17"/>
              </w:rPr>
            </w:pPr>
            <w:r>
              <w:rPr>
                <w:rFonts w:ascii="inherit" w:hAnsi="inherit"/>
                <w:sz w:val="17"/>
              </w:rPr>
              <w:t>0.30</w:t>
            </w:r>
          </w:p>
        </w:tc>
        <w:tc>
          <w:tcPr>
            <w:tcW w:w="218"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sz w:val="4"/>
                <w:szCs w:val="4"/>
              </w:rPr>
            </w:pPr>
            <w:r>
              <w:rPr>
                <w:sz w:val="4"/>
                <w:szCs w:val="4"/>
              </w:rPr>
            </w:r>
          </w:p>
        </w:tc>
      </w:tr>
      <w:tr>
        <w:trPr/>
        <w:tc>
          <w:tcPr>
            <w:tcW w:w="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 w:type="dxa"/>
            <w:tcBorders>
              <w:bottom w:val="single" w:sz="2" w:space="0" w:color="000000"/>
            </w:tcBorders>
            <w:shd w:fill="auto" w:val="clear"/>
            <w:tcMar>
              <w:bottom w:w="30" w:type="dxa"/>
            </w:tcMar>
            <w:vAlign w:val="center"/>
          </w:tcPr>
          <w:p>
            <w:pPr>
              <w:pStyle w:val="TableContents"/>
              <w:spacing w:before="0" w:after="0"/>
              <w:rPr/>
            </w:pPr>
            <w:r>
              <w:rPr/>
              <w:t> </w:t>
            </w:r>
          </w:p>
        </w:tc>
      </w:tr>
    </w:tbl>
    <w:tbl>
      <w:tblPr>
        <w:tblW w:w="10205" w:type="dxa"/>
        <w:jc w:val="left"/>
        <w:tblInd w:w="0" w:type="dxa"/>
        <w:tblCellMar>
          <w:top w:w="0" w:type="dxa"/>
          <w:left w:w="0" w:type="dxa"/>
          <w:bottom w:w="0" w:type="dxa"/>
          <w:right w:w="0" w:type="dxa"/>
        </w:tblCellMar>
      </w:tblPr>
      <w:tblGrid>
        <w:gridCol w:w="237"/>
        <w:gridCol w:w="9968"/>
      </w:tblGrid>
      <w:tr>
        <w:trPr/>
        <w:tc>
          <w:tcPr>
            <w:tcW w:w="237" w:type="dxa"/>
            <w:tcBorders/>
            <w:shd w:fill="auto" w:val="clear"/>
            <w:vAlign w:val="center"/>
          </w:tcPr>
          <w:p>
            <w:pPr>
              <w:pStyle w:val="TableContents"/>
              <w:spacing w:before="0" w:after="283"/>
              <w:rPr>
                <w:sz w:val="4"/>
                <w:szCs w:val="4"/>
              </w:rPr>
            </w:pPr>
            <w:r>
              <w:rPr>
                <w:sz w:val="4"/>
                <w:szCs w:val="4"/>
              </w:rPr>
            </w:r>
          </w:p>
        </w:tc>
        <w:tc>
          <w:tcPr>
            <w:tcW w:w="9968" w:type="dxa"/>
            <w:tcBorders/>
            <w:shd w:fill="auto" w:val="clear"/>
            <w:vAlign w:val="center"/>
          </w:tcPr>
          <w:p>
            <w:pPr>
              <w:pStyle w:val="TableContents"/>
              <w:spacing w:before="0" w:after="283"/>
              <w:rPr>
                <w:sz w:val="4"/>
                <w:szCs w:val="4"/>
              </w:rPr>
            </w:pPr>
            <w:r>
              <w:rPr>
                <w:sz w:val="4"/>
                <w:szCs w:val="4"/>
              </w:rPr>
            </w:r>
          </w:p>
        </w:tc>
      </w:tr>
      <w:tr>
        <w:trPr/>
        <w:tc>
          <w:tcPr>
            <w:tcW w:w="237"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(1)</w:t>
            </w:r>
            <w:r>
              <w:rPr>
                <w:rFonts w:ascii="inherit" w:hAnsi="inherit"/>
                <w:sz w:val="17"/>
              </w:rPr>
              <w:t> </w:t>
            </w:r>
          </w:p>
        </w:tc>
        <w:tc>
          <w:tcPr>
            <w:tcW w:w="9968" w:type="dxa"/>
            <w:tcBorders/>
            <w:shd w:fill="auto" w:val="clear"/>
            <w:vAlign w:val="center"/>
          </w:tcPr>
          <w:p>
            <w:pPr>
              <w:pStyle w:val="TableContents"/>
              <w:spacing w:lineRule="auto" w:line="288" w:before="0" w:after="0"/>
              <w:rPr>
                <w:sz w:val="17"/>
              </w:rPr>
            </w:pPr>
            <w:r>
              <w:rPr>
                <w:rFonts w:ascii="inherit" w:hAnsi="inherit"/>
                <w:sz w:val="17"/>
              </w:rPr>
              <w:t>Payable to unitholders of record at the close of business on July 31, 2019</w:t>
            </w:r>
            <w:r>
              <w:rPr>
                <w:sz w:val="17"/>
              </w:rPr>
              <w:t xml:space="preserve"> </w:t>
            </w:r>
            <w:r>
              <w:rPr>
                <w:rFonts w:ascii="inherit" w:hAnsi="inherit"/>
                <w:sz w:val="17"/>
              </w:rPr>
              <w:t>for the period from April 1, 2019</w:t>
            </w:r>
            <w:r>
              <w:rPr>
                <w:sz w:val="17"/>
              </w:rPr>
              <w:t xml:space="preserve"> </w:t>
            </w:r>
            <w:r>
              <w:rPr>
                <w:rFonts w:ascii="inherit" w:hAnsi="inherit"/>
                <w:sz w:val="17"/>
              </w:rPr>
              <w:t>through June 30, 2019.</w:t>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22</w:t>
      </w:r>
      <w:r>
        <w:br w:type="page"/>
      </w:r>
    </w:p>
    <w:p>
      <w:pPr>
        <w:pStyle w:val="TextBody"/>
        <w:spacing w:lineRule="auto" w:line="288" w:before="0" w:after="0"/>
        <w:rPr/>
      </w:pPr>
      <w:hyperlink w:anchor="s3336AD8A685850CC9B7F2572CB2C0BC3">
        <w:r>
          <w:rPr>
            <w:rStyle w:val="InternetLink"/>
            <w:rFonts w:ascii="inherit" w:hAnsi="inherit"/>
            <w:sz w:val="17"/>
          </w:rPr>
          <w:t>Table of Contents</w:t>
        </w:r>
      </w:hyperlink>
      <w:r>
        <w:rPr>
          <w:sz w:val="17"/>
        </w:rPr>
        <w:t xml:space="preserve"> </w:t>
      </w:r>
    </w:p>
    <w:p>
      <w:pPr>
        <w:pStyle w:val="TextBody"/>
        <w:spacing w:lineRule="auto" w:line="288" w:before="0" w:after="0"/>
        <w:jc w:val="center"/>
        <w:rPr>
          <w:rFonts w:ascii="inherit" w:hAnsi="inherit"/>
          <w:b/>
          <w:sz w:val="17"/>
        </w:rPr>
      </w:pPr>
      <w:r>
        <w:rPr>
          <w:rFonts w:ascii="inherit" w:hAnsi="inherit"/>
          <w:b/>
          <w:sz w:val="17"/>
        </w:rPr>
        <w:t>PLAINS ALL AMERICAN PIPELINE, L.P. AND SUBSIDIARIES</w:t>
      </w:r>
    </w:p>
    <w:p>
      <w:pPr>
        <w:pStyle w:val="TextBody"/>
        <w:spacing w:lineRule="auto" w:line="288" w:before="0" w:after="0"/>
        <w:jc w:val="center"/>
        <w:rPr>
          <w:rFonts w:ascii="inherit" w:hAnsi="inherit"/>
          <w:b/>
          <w:sz w:val="17"/>
        </w:rPr>
      </w:pPr>
      <w:r>
        <w:rPr>
          <w:rFonts w:ascii="inherit" w:hAnsi="inherit"/>
          <w:b/>
          <w:sz w:val="17"/>
        </w:rPr>
        <w:t>NOTES TO THE UNAUDITED CONDENSED CONSOLIDATED FINANCIAL STATEMENTS</w:t>
      </w:r>
    </w:p>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rPr>
          <w:rFonts w:ascii="inherit" w:hAnsi="inherit"/>
          <w:b/>
          <w:i/>
          <w:sz w:val="17"/>
        </w:rPr>
      </w:pPr>
      <w:r>
        <w:rPr>
          <w:rFonts w:ascii="inherit" w:hAnsi="inherit"/>
          <w:b/>
          <w:i/>
          <w:sz w:val="17"/>
        </w:rPr>
        <w:t>Noncontrolling Interests in Subsidiaries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ind w:left="0" w:right="0" w:firstLine="720"/>
        <w:rPr>
          <w:sz w:val="17"/>
        </w:rPr>
      </w:pPr>
      <w:r>
        <w:rPr>
          <w:rFonts w:ascii="inherit" w:hAnsi="inherit"/>
          <w:sz w:val="17"/>
        </w:rPr>
        <w:t>In May 2019, we formed a joint venture, Red River Pipeline Company LLC (“Red River LLC”), with Delek Logistics Partners, LP (“Delek”) on our Red River pipeline system. We received approximately $128 million</w:t>
      </w:r>
      <w:r>
        <w:rPr>
          <w:sz w:val="17"/>
        </w:rPr>
        <w:t xml:space="preserve"> </w:t>
      </w:r>
      <w:r>
        <w:rPr>
          <w:rFonts w:ascii="inherit" w:hAnsi="inherit"/>
          <w:sz w:val="17"/>
        </w:rPr>
        <w:t>for Delek’s 33%</w:t>
      </w:r>
      <w:r>
        <w:rPr>
          <w:sz w:val="17"/>
        </w:rPr>
        <w:t xml:space="preserve"> </w:t>
      </w:r>
      <w:r>
        <w:rPr>
          <w:rFonts w:ascii="inherit" w:hAnsi="inherit"/>
          <w:sz w:val="17"/>
        </w:rPr>
        <w:t>interest in Red River LLC. We consolidate Red River LLC, with Delek’s 33%</w:t>
      </w:r>
      <w:r>
        <w:rPr>
          <w:sz w:val="17"/>
        </w:rPr>
        <w:t xml:space="preserve"> </w:t>
      </w:r>
      <w:r>
        <w:rPr>
          <w:rFonts w:ascii="inherit" w:hAnsi="inherit"/>
          <w:sz w:val="17"/>
        </w:rPr>
        <w:t xml:space="preserve">interest accounted for as a noncontrolling interest. </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sz w:val="17"/>
        </w:rPr>
      </w:pPr>
      <w:bookmarkStart w:id="23" w:name="sFF7A360B2D2654578DC99EEB790CB029"/>
      <w:bookmarkEnd w:id="23"/>
      <w:r>
        <w:rPr>
          <w:b/>
          <w:sz w:val="17"/>
        </w:rPr>
        <w:t>Note 10</w:t>
      </w:r>
      <w:r>
        <w:rPr>
          <w:sz w:val="17"/>
        </w:rPr>
        <w:t>—</w:t>
      </w:r>
      <w:r>
        <w:rPr>
          <w:rFonts w:ascii="inherit" w:hAnsi="inherit"/>
          <w:b/>
          <w:sz w:val="17"/>
        </w:rPr>
        <w:t xml:space="preserve">Derivatives and Risk Management Activities </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hydrocarbon commodity (referred to herein as “commodity”) price changes. We use various derivative instruments to manage our exposure to (i) commodity price risk, as well as to optimize our profits, (ii) interest rate risk and (iii) currency exchange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At the inception of the hedging relationship, we assess whether the derivatives employed are highly effective in offsetting changes in cash flows of anticipated hedged transactions. Throughout the hedging relationship, retrospective and prospective hedge effectiveness is assessed on a qualitative basis.</w:t>
      </w:r>
    </w:p>
    <w:p>
      <w:pPr>
        <w:pStyle w:val="TextBody"/>
        <w:spacing w:lineRule="auto" w:line="288" w:before="0" w:after="0"/>
        <w:rPr/>
      </w:pPr>
      <w:r>
        <w:rPr/>
        <w:t> </w:t>
      </w:r>
    </w:p>
    <w:p>
      <w:pPr>
        <w:pStyle w:val="TextBody"/>
        <w:spacing w:lineRule="auto" w:line="288" w:before="0" w:after="0"/>
        <w:rPr>
          <w:rFonts w:ascii="inherit" w:hAnsi="inherit"/>
          <w:b/>
          <w:i/>
          <w:sz w:val="17"/>
        </w:rPr>
      </w:pPr>
      <w:r>
        <w:rPr>
          <w:rFonts w:ascii="inherit" w:hAnsi="inherit"/>
          <w:b/>
          <w:i/>
          <w:sz w:val="17"/>
        </w:rPr>
        <w:t xml:space="preserve">Commodity Price Risk Hedging </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Our core business activities involve certain commodity price-related risks that we manage in various ways, including through the use of derivative instruments. Our policy is to (i) only purchase inventory for which we have a sales market, (ii) structure our sales contracts so that price fluctuations do not materially affect our operating income and (iii) not acquire and hold physical inventory or derivatives for the purpose of speculating on commodity price changes. The material commodity-related risks inherent in our business activities can be divided into the following general categories:</w:t>
      </w:r>
    </w:p>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lineRule="auto" w:line="288" w:before="0" w:after="0"/>
        <w:ind w:left="0" w:right="0" w:firstLine="720"/>
        <w:rPr>
          <w:sz w:val="17"/>
        </w:rPr>
      </w:pPr>
      <w:r>
        <w:rPr>
          <w:rFonts w:ascii="inherit" w:hAnsi="inherit"/>
          <w:i/>
          <w:sz w:val="17"/>
        </w:rPr>
        <w:t>Commodity Purchases and Sales</w:t>
      </w:r>
      <w:r>
        <w:rPr>
          <w:sz w:val="17"/>
        </w:rPr>
        <w:t xml:space="preserve"> — </w:t>
      </w:r>
      <w:r>
        <w:rPr>
          <w:rFonts w:ascii="inherit" w:hAnsi="inherit"/>
          <w:sz w:val="17"/>
        </w:rPr>
        <w:t>In the normal course of our operations, we purchase and sell commodities. We use derivatives to manage the associated risks and to optimize profits. As of June 30, 2019, net derivative positions related to these activities included:</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rPr>
                <w:sz w:val="17"/>
              </w:rPr>
            </w:pPr>
            <w:r>
              <w:rPr>
                <w:rFonts w:ascii="inherit" w:hAnsi="inherit"/>
                <w:sz w:val="17"/>
              </w:rPr>
              <w:t>A net long position of 5.8 million</w:t>
            </w:r>
            <w:r>
              <w:rPr>
                <w:sz w:val="17"/>
              </w:rPr>
              <w:t xml:space="preserve"> </w:t>
            </w:r>
            <w:r>
              <w:rPr>
                <w:rFonts w:ascii="inherit" w:hAnsi="inherit"/>
                <w:sz w:val="17"/>
              </w:rPr>
              <w:t>barrels associated with our crude oil purchases, which was unwound ratably during July 2019</w:t>
            </w:r>
            <w:r>
              <w:rPr>
                <w:sz w:val="17"/>
              </w:rPr>
              <w:t xml:space="preserve"> </w:t>
            </w:r>
            <w:r>
              <w:rPr>
                <w:rFonts w:ascii="inherit" w:hAnsi="inherit"/>
                <w:sz w:val="17"/>
              </w:rPr>
              <w:t>to match monthly average pricing.</w:t>
            </w:r>
          </w:p>
        </w:tc>
      </w:tr>
    </w:tbl>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rPr>
                <w:sz w:val="17"/>
              </w:rPr>
            </w:pPr>
            <w:r>
              <w:rPr>
                <w:rFonts w:ascii="inherit" w:hAnsi="inherit"/>
                <w:sz w:val="17"/>
              </w:rPr>
              <w:t>A net short time spread position of 6.0 million</w:t>
            </w:r>
            <w:r>
              <w:rPr>
                <w:sz w:val="17"/>
              </w:rPr>
              <w:t xml:space="preserve"> </w:t>
            </w:r>
            <w:r>
              <w:rPr>
                <w:rFonts w:ascii="inherit" w:hAnsi="inherit"/>
                <w:sz w:val="17"/>
              </w:rPr>
              <w:t>barrels, which hedges a portion of our anticipated crude oil lease gathering purchases through December 2020.</w:t>
            </w:r>
          </w:p>
        </w:tc>
      </w:tr>
    </w:tbl>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rPr>
                <w:sz w:val="17"/>
              </w:rPr>
            </w:pPr>
            <w:r>
              <w:rPr>
                <w:rFonts w:ascii="inherit" w:hAnsi="inherit"/>
                <w:sz w:val="17"/>
              </w:rPr>
              <w:t>A net crude oil basis spread position of 36.2 million</w:t>
            </w:r>
            <w:r>
              <w:rPr>
                <w:sz w:val="17"/>
              </w:rPr>
              <w:t xml:space="preserve"> </w:t>
            </w:r>
            <w:r>
              <w:rPr>
                <w:rFonts w:ascii="inherit" w:hAnsi="inherit"/>
                <w:sz w:val="17"/>
              </w:rPr>
              <w:t>barrels at multiple locations through December 2021. These derivatives allow us to lock in grade basis differentials.</w:t>
            </w:r>
          </w:p>
        </w:tc>
      </w:tr>
    </w:tbl>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rPr>
                <w:sz w:val="17"/>
              </w:rPr>
            </w:pPr>
            <w:r>
              <w:rPr>
                <w:rFonts w:ascii="inherit" w:hAnsi="inherit"/>
                <w:sz w:val="17"/>
              </w:rPr>
              <w:t>A net short position of 5.6 million</w:t>
            </w:r>
            <w:r>
              <w:rPr>
                <w:sz w:val="17"/>
              </w:rPr>
              <w:t xml:space="preserve"> </w:t>
            </w:r>
            <w:r>
              <w:rPr>
                <w:rFonts w:ascii="inherit" w:hAnsi="inherit"/>
                <w:sz w:val="17"/>
              </w:rPr>
              <w:t>barrels through December 2021</w:t>
            </w:r>
            <w:r>
              <w:rPr>
                <w:sz w:val="17"/>
              </w:rPr>
              <w:t xml:space="preserve"> </w:t>
            </w:r>
            <w:r>
              <w:rPr>
                <w:rFonts w:ascii="inherit" w:hAnsi="inherit"/>
                <w:sz w:val="17"/>
              </w:rPr>
              <w:t>related to anticipated net sales of crude oil and NGL inventory.</w:t>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ind w:left="0" w:right="0" w:firstLine="720"/>
        <w:rPr>
          <w:sz w:val="17"/>
        </w:rPr>
      </w:pPr>
      <w:r>
        <w:rPr>
          <w:rFonts w:ascii="inherit" w:hAnsi="inherit"/>
          <w:i/>
          <w:sz w:val="17"/>
        </w:rPr>
        <w:t>Storage Capacity Utilization</w:t>
      </w:r>
      <w:r>
        <w:rPr>
          <w:sz w:val="17"/>
        </w:rPr>
        <w:t xml:space="preserve"> — </w:t>
      </w:r>
      <w:r>
        <w:rPr>
          <w:rFonts w:ascii="inherit" w:hAnsi="inherit"/>
          <w:sz w:val="17"/>
        </w:rPr>
        <w:t>For capacity allocated to our supply and logistics operations, we have utilization risk in a backwardated market structure. As of June 30, 2019, we used derivatives to manage the risk of not utilizing an average of approximately 0.9 million</w:t>
      </w:r>
      <w:r>
        <w:rPr>
          <w:sz w:val="17"/>
        </w:rPr>
        <w:t xml:space="preserve"> </w:t>
      </w:r>
      <w:r>
        <w:rPr>
          <w:rFonts w:ascii="inherit" w:hAnsi="inherit"/>
          <w:sz w:val="17"/>
        </w:rPr>
        <w:t>barrels per month of storage capacity through January 2021. These positions involve no outright price exposure, but instead enable us to profitably use the capacity to store hedged crude oil.</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ind w:left="0" w:right="0" w:firstLine="720"/>
        <w:rPr>
          <w:sz w:val="17"/>
        </w:rPr>
      </w:pPr>
      <w:r>
        <w:rPr>
          <w:rFonts w:ascii="inherit" w:hAnsi="inherit"/>
          <w:i/>
          <w:sz w:val="17"/>
        </w:rPr>
        <w:t>Pipeline Loss Allowance Oil</w:t>
      </w:r>
      <w:r>
        <w:rPr>
          <w:sz w:val="17"/>
        </w:rPr>
        <w:t xml:space="preserve"> — </w:t>
      </w:r>
      <w:r>
        <w:rPr>
          <w:rFonts w:ascii="inherit" w:hAnsi="inherit"/>
          <w:sz w:val="17"/>
        </w:rPr>
        <w:t>As is common in the pipeline transportation industry, our tariffs incorporate a loss allowance factor. We utilize derivative instruments to hedge a portion of the anticipated sales of the loss allowance oil that is to be collected under our tariffs. As of June 30, 2019, our PLA hedges included a short position consisting of crude oil futures of 1.3 million</w:t>
      </w:r>
      <w:r>
        <w:rPr>
          <w:sz w:val="17"/>
        </w:rPr>
        <w:t xml:space="preserve"> </w:t>
      </w:r>
      <w:r>
        <w:rPr>
          <w:rFonts w:ascii="inherit" w:hAnsi="inherit"/>
          <w:sz w:val="17"/>
        </w:rPr>
        <w:t>barrels through December 2020</w:t>
      </w:r>
      <w:r>
        <w:rPr>
          <w:sz w:val="17"/>
        </w:rPr>
        <w:t xml:space="preserve"> </w:t>
      </w:r>
      <w:r>
        <w:rPr>
          <w:rFonts w:ascii="inherit" w:hAnsi="inherit"/>
          <w:sz w:val="17"/>
        </w:rPr>
        <w:t>and a long call option position of 2.4 million</w:t>
      </w:r>
      <w:r>
        <w:rPr>
          <w:sz w:val="17"/>
        </w:rPr>
        <w:t xml:space="preserve"> </w:t>
      </w:r>
      <w:r>
        <w:rPr>
          <w:rFonts w:ascii="inherit" w:hAnsi="inherit"/>
          <w:sz w:val="17"/>
        </w:rPr>
        <w:t>barrels through December 2021.</w:t>
      </w:r>
    </w:p>
    <w:p>
      <w:pPr>
        <w:pStyle w:val="TextBody"/>
        <w:spacing w:lineRule="auto" w:line="288" w:before="0" w:after="0"/>
        <w:rPr/>
      </w:pPr>
      <w:r>
        <w:rPr/>
        <w:t>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23</w:t>
      </w:r>
      <w:r>
        <w:br w:type="page"/>
      </w:r>
    </w:p>
    <w:p>
      <w:pPr>
        <w:pStyle w:val="TextBody"/>
        <w:spacing w:lineRule="auto" w:line="288" w:before="0" w:after="0"/>
        <w:rPr/>
      </w:pPr>
      <w:hyperlink w:anchor="s3336AD8A685850CC9B7F2572CB2C0BC3">
        <w:r>
          <w:rPr>
            <w:rStyle w:val="InternetLink"/>
            <w:rFonts w:ascii="inherit" w:hAnsi="inherit"/>
            <w:sz w:val="17"/>
          </w:rPr>
          <w:t>Table of Contents</w:t>
        </w:r>
      </w:hyperlink>
      <w:r>
        <w:rPr>
          <w:sz w:val="17"/>
        </w:rPr>
        <w:t xml:space="preserve"> </w:t>
      </w:r>
    </w:p>
    <w:p>
      <w:pPr>
        <w:pStyle w:val="TextBody"/>
        <w:spacing w:lineRule="auto" w:line="288" w:before="0" w:after="0"/>
        <w:jc w:val="center"/>
        <w:rPr>
          <w:rFonts w:ascii="inherit" w:hAnsi="inherit"/>
          <w:b/>
          <w:sz w:val="17"/>
        </w:rPr>
      </w:pPr>
      <w:r>
        <w:rPr>
          <w:rFonts w:ascii="inherit" w:hAnsi="inherit"/>
          <w:b/>
          <w:sz w:val="17"/>
        </w:rPr>
        <w:t>PLAINS ALL AMERICAN PIPELINE, L.P. AND SUBSIDIARIES</w:t>
      </w:r>
    </w:p>
    <w:p>
      <w:pPr>
        <w:pStyle w:val="TextBody"/>
        <w:spacing w:lineRule="auto" w:line="288" w:before="0" w:after="0"/>
        <w:jc w:val="center"/>
        <w:rPr>
          <w:rFonts w:ascii="inherit" w:hAnsi="inherit"/>
          <w:b/>
          <w:sz w:val="17"/>
        </w:rPr>
      </w:pPr>
      <w:r>
        <w:rPr>
          <w:rFonts w:ascii="inherit" w:hAnsi="inherit"/>
          <w:b/>
          <w:sz w:val="17"/>
        </w:rPr>
        <w:t>NOTES TO THE UNAUDITED CONDENSED CONSOLIDATED FINANCIAL STATEMENTS</w:t>
      </w:r>
    </w:p>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720"/>
        <w:rPr>
          <w:sz w:val="17"/>
        </w:rPr>
      </w:pPr>
      <w:r>
        <w:rPr>
          <w:rFonts w:ascii="inherit" w:hAnsi="inherit"/>
          <w:i/>
          <w:sz w:val="17"/>
        </w:rPr>
        <w:t>Natural Gas Processing/NGL Fractionation</w:t>
      </w:r>
      <w:r>
        <w:rPr>
          <w:sz w:val="17"/>
        </w:rPr>
        <w:t xml:space="preserve"> — </w:t>
      </w:r>
      <w:r>
        <w:rPr>
          <w:rFonts w:ascii="inherit" w:hAnsi="inherit"/>
          <w:sz w:val="17"/>
        </w:rPr>
        <w:t>We purchase natural gas for processing and operational needs. Additionally, we purchase NGL mix 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The following table summarizes our open derivative positions utilized to hedge the price risk associated with anticipated purchases and sales related to our natural gas processing and NGL fractionation activities as of June 30, 2019:</w:t>
      </w:r>
    </w:p>
    <w:tbl>
      <w:tblPr>
        <w:tblW w:w="5835" w:type="dxa"/>
        <w:jc w:val="center"/>
        <w:tblInd w:w="0" w:type="dxa"/>
        <w:tblCellMar>
          <w:top w:w="0" w:type="dxa"/>
          <w:left w:w="0" w:type="dxa"/>
          <w:bottom w:w="0" w:type="dxa"/>
          <w:right w:w="0" w:type="dxa"/>
        </w:tblCellMar>
      </w:tblPr>
      <w:tblGrid>
        <w:gridCol w:w="2735"/>
        <w:gridCol w:w="90"/>
        <w:gridCol w:w="1430"/>
        <w:gridCol w:w="90"/>
        <w:gridCol w:w="1490"/>
      </w:tblGrid>
      <w:tr>
        <w:trPr/>
        <w:tc>
          <w:tcPr>
            <w:tcW w:w="5835" w:type="dxa"/>
            <w:gridSpan w:val="5"/>
            <w:tcBorders/>
            <w:shd w:fill="auto" w:val="clear"/>
            <w:vAlign w:val="center"/>
          </w:tcPr>
          <w:p>
            <w:pPr>
              <w:pStyle w:val="TableContents"/>
              <w:spacing w:before="0" w:after="283"/>
              <w:rPr>
                <w:sz w:val="4"/>
                <w:szCs w:val="4"/>
              </w:rPr>
            </w:pPr>
            <w:r>
              <w:rPr>
                <w:sz w:val="4"/>
                <w:szCs w:val="4"/>
              </w:rPr>
            </w:r>
          </w:p>
        </w:tc>
      </w:tr>
      <w:tr>
        <w:trPr/>
        <w:tc>
          <w:tcPr>
            <w:tcW w:w="273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73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430" w:type="dxa"/>
            <w:tcBorders/>
            <w:shd w:fill="auto" w:val="clear"/>
            <w:vAlign w:val="center"/>
          </w:tcPr>
          <w:p>
            <w:pPr>
              <w:pStyle w:val="TableContents"/>
              <w:spacing w:before="0" w:after="0"/>
              <w:ind w:left="0" w:right="0" w:firstLine="30"/>
              <w:jc w:val="center"/>
              <w:rPr>
                <w:rFonts w:ascii="inherit" w:hAnsi="inherit"/>
                <w:b/>
                <w:sz w:val="15"/>
              </w:rPr>
            </w:pPr>
            <w:r>
              <w:rPr>
                <w:rFonts w:ascii="inherit" w:hAnsi="inherit"/>
                <w:b/>
                <w:sz w:val="15"/>
              </w:rPr>
              <w:t>Notional Volume</w:t>
            </w:r>
          </w:p>
        </w:tc>
        <w:tc>
          <w:tcPr>
            <w:tcW w:w="90" w:type="dxa"/>
            <w:tcBorders/>
            <w:shd w:fill="auto" w:val="clear"/>
            <w:vAlign w:val="center"/>
          </w:tcPr>
          <w:p>
            <w:pPr>
              <w:pStyle w:val="TableContents"/>
              <w:spacing w:before="0" w:after="0"/>
              <w:ind w:left="0" w:right="0" w:firstLine="30"/>
              <w:rPr/>
            </w:pPr>
            <w:r>
              <w:rPr/>
              <w:t> </w:t>
            </w:r>
          </w:p>
        </w:tc>
        <w:tc>
          <w:tcPr>
            <w:tcW w:w="1490" w:type="dxa"/>
            <w:tcBorders/>
            <w:shd w:fill="auto" w:val="clear"/>
            <w:vAlign w:val="center"/>
          </w:tcPr>
          <w:p>
            <w:pPr>
              <w:pStyle w:val="TableContents"/>
              <w:spacing w:before="0" w:after="0"/>
              <w:ind w:left="0" w:right="0" w:firstLine="30"/>
              <w:rPr/>
            </w:pPr>
            <w:r>
              <w:rPr/>
              <w:t> </w:t>
            </w:r>
          </w:p>
        </w:tc>
      </w:tr>
      <w:tr>
        <w:trPr/>
        <w:tc>
          <w:tcPr>
            <w:tcW w:w="273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43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(Short)/Long</w:t>
            </w:r>
          </w:p>
        </w:tc>
        <w:tc>
          <w:tcPr>
            <w:tcW w:w="90" w:type="dxa"/>
            <w:tcBorders/>
            <w:shd w:fill="auto" w:val="clear"/>
            <w:vAlign w:val="center"/>
          </w:tcPr>
          <w:p>
            <w:pPr>
              <w:pStyle w:val="TableContents"/>
              <w:spacing w:before="0" w:after="0"/>
              <w:ind w:left="0" w:right="0" w:firstLine="30"/>
              <w:rPr/>
            </w:pPr>
            <w:r>
              <w:rPr/>
              <w:t> </w:t>
            </w:r>
          </w:p>
        </w:tc>
        <w:tc>
          <w:tcPr>
            <w:tcW w:w="149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Remaining Tenor</w:t>
            </w:r>
          </w:p>
        </w:tc>
      </w:tr>
      <w:tr>
        <w:trPr/>
        <w:tc>
          <w:tcPr>
            <w:tcW w:w="27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Natural gas purchases</w:t>
            </w:r>
          </w:p>
        </w:tc>
        <w:tc>
          <w:tcPr>
            <w:tcW w:w="90" w:type="dxa"/>
            <w:tcBorders/>
            <w:shd w:fill="CCEEFF" w:val="clear"/>
            <w:vAlign w:val="center"/>
          </w:tcPr>
          <w:p>
            <w:pPr>
              <w:pStyle w:val="TableContents"/>
              <w:spacing w:before="0" w:after="0"/>
              <w:ind w:left="0" w:right="0" w:firstLine="30"/>
              <w:rPr/>
            </w:pPr>
            <w:r>
              <w:rPr/>
              <w:t> </w:t>
            </w:r>
          </w:p>
        </w:tc>
        <w:tc>
          <w:tcPr>
            <w:tcW w:w="1430"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77.8 Bcf</w:t>
            </w:r>
          </w:p>
        </w:tc>
        <w:tc>
          <w:tcPr>
            <w:tcW w:w="90" w:type="dxa"/>
            <w:tcBorders/>
            <w:shd w:fill="CCEEFF" w:val="clear"/>
            <w:vAlign w:val="center"/>
          </w:tcPr>
          <w:p>
            <w:pPr>
              <w:pStyle w:val="TableContents"/>
              <w:spacing w:before="0" w:after="0"/>
              <w:ind w:left="0" w:right="0" w:firstLine="30"/>
              <w:rPr/>
            </w:pPr>
            <w:r>
              <w:rPr/>
              <w:t> </w:t>
            </w:r>
          </w:p>
        </w:tc>
        <w:tc>
          <w:tcPr>
            <w:tcW w:w="1490"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December 2022</w:t>
            </w:r>
          </w:p>
        </w:tc>
      </w:tr>
      <w:tr>
        <w:trPr/>
        <w:tc>
          <w:tcPr>
            <w:tcW w:w="27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Propane sales</w:t>
            </w:r>
          </w:p>
        </w:tc>
        <w:tc>
          <w:tcPr>
            <w:tcW w:w="90" w:type="dxa"/>
            <w:tcBorders/>
            <w:shd w:fill="auto" w:val="clear"/>
            <w:vAlign w:val="center"/>
          </w:tcPr>
          <w:p>
            <w:pPr>
              <w:pStyle w:val="TableContents"/>
              <w:spacing w:before="0" w:after="0"/>
              <w:ind w:left="0" w:right="0" w:firstLine="30"/>
              <w:rPr/>
            </w:pPr>
            <w:r>
              <w:rPr/>
              <w:t> </w:t>
            </w:r>
          </w:p>
        </w:tc>
        <w:tc>
          <w:tcPr>
            <w:tcW w:w="143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(10.8) MMbls</w:t>
            </w:r>
          </w:p>
        </w:tc>
        <w:tc>
          <w:tcPr>
            <w:tcW w:w="90" w:type="dxa"/>
            <w:tcBorders/>
            <w:shd w:fill="auto" w:val="clear"/>
            <w:vAlign w:val="center"/>
          </w:tcPr>
          <w:p>
            <w:pPr>
              <w:pStyle w:val="TableContents"/>
              <w:spacing w:before="0" w:after="0"/>
              <w:ind w:left="0" w:right="0" w:firstLine="30"/>
              <w:rPr/>
            </w:pPr>
            <w:r>
              <w:rPr/>
              <w:t> </w:t>
            </w:r>
          </w:p>
        </w:tc>
        <w:tc>
          <w:tcPr>
            <w:tcW w:w="149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March 2021</w:t>
            </w:r>
          </w:p>
        </w:tc>
      </w:tr>
      <w:tr>
        <w:trPr/>
        <w:tc>
          <w:tcPr>
            <w:tcW w:w="27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Butane sales</w:t>
            </w:r>
          </w:p>
        </w:tc>
        <w:tc>
          <w:tcPr>
            <w:tcW w:w="90" w:type="dxa"/>
            <w:tcBorders/>
            <w:shd w:fill="CCEEFF" w:val="clear"/>
            <w:vAlign w:val="center"/>
          </w:tcPr>
          <w:p>
            <w:pPr>
              <w:pStyle w:val="TableContents"/>
              <w:spacing w:before="0" w:after="0"/>
              <w:ind w:left="0" w:right="0" w:firstLine="30"/>
              <w:rPr/>
            </w:pPr>
            <w:r>
              <w:rPr/>
              <w:t> </w:t>
            </w:r>
          </w:p>
        </w:tc>
        <w:tc>
          <w:tcPr>
            <w:tcW w:w="1430"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(3.2) MMbls</w:t>
            </w:r>
          </w:p>
        </w:tc>
        <w:tc>
          <w:tcPr>
            <w:tcW w:w="90" w:type="dxa"/>
            <w:tcBorders/>
            <w:shd w:fill="CCEEFF" w:val="clear"/>
            <w:vAlign w:val="center"/>
          </w:tcPr>
          <w:p>
            <w:pPr>
              <w:pStyle w:val="TableContents"/>
              <w:spacing w:before="0" w:after="0"/>
              <w:ind w:left="0" w:right="0" w:firstLine="30"/>
              <w:rPr/>
            </w:pPr>
            <w:r>
              <w:rPr/>
              <w:t> </w:t>
            </w:r>
          </w:p>
        </w:tc>
        <w:tc>
          <w:tcPr>
            <w:tcW w:w="1490"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March 2021</w:t>
            </w:r>
          </w:p>
        </w:tc>
      </w:tr>
      <w:tr>
        <w:trPr/>
        <w:tc>
          <w:tcPr>
            <w:tcW w:w="27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Condensate sales (WTI position)</w:t>
            </w:r>
          </w:p>
        </w:tc>
        <w:tc>
          <w:tcPr>
            <w:tcW w:w="90" w:type="dxa"/>
            <w:tcBorders/>
            <w:shd w:fill="auto" w:val="clear"/>
            <w:vAlign w:val="center"/>
          </w:tcPr>
          <w:p>
            <w:pPr>
              <w:pStyle w:val="TableContents"/>
              <w:spacing w:before="0" w:after="0"/>
              <w:ind w:left="0" w:right="0" w:firstLine="30"/>
              <w:rPr/>
            </w:pPr>
            <w:r>
              <w:rPr/>
              <w:t> </w:t>
            </w:r>
          </w:p>
        </w:tc>
        <w:tc>
          <w:tcPr>
            <w:tcW w:w="143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(1.2) MMbls</w:t>
            </w:r>
          </w:p>
        </w:tc>
        <w:tc>
          <w:tcPr>
            <w:tcW w:w="90" w:type="dxa"/>
            <w:tcBorders/>
            <w:shd w:fill="auto" w:val="clear"/>
            <w:vAlign w:val="center"/>
          </w:tcPr>
          <w:p>
            <w:pPr>
              <w:pStyle w:val="TableContents"/>
              <w:spacing w:before="0" w:after="0"/>
              <w:ind w:left="0" w:right="0" w:firstLine="30"/>
              <w:rPr/>
            </w:pPr>
            <w:r>
              <w:rPr/>
              <w:t> </w:t>
            </w:r>
          </w:p>
        </w:tc>
        <w:tc>
          <w:tcPr>
            <w:tcW w:w="149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March 2021</w:t>
            </w:r>
          </w:p>
        </w:tc>
      </w:tr>
      <w:tr>
        <w:trPr/>
        <w:tc>
          <w:tcPr>
            <w:tcW w:w="2735" w:type="dxa"/>
            <w:tcBorders/>
            <w:shd w:fill="CCEEFF" w:val="clear"/>
            <w:vAlign w:val="center"/>
          </w:tcPr>
          <w:p>
            <w:pPr>
              <w:pStyle w:val="TableContents"/>
              <w:spacing w:lineRule="auto" w:line="288" w:before="0" w:after="0"/>
              <w:ind w:left="0" w:right="0" w:firstLine="30"/>
              <w:rPr>
                <w:sz w:val="17"/>
              </w:rPr>
            </w:pPr>
            <w:r>
              <w:rPr>
                <w:rFonts w:ascii="inherit" w:hAnsi="inherit"/>
                <w:sz w:val="17"/>
              </w:rPr>
              <w:t xml:space="preserve">Power supply requirements </w:t>
            </w:r>
            <w:r>
              <w:rPr>
                <w:rFonts w:ascii="inherit" w:hAnsi="inherit"/>
                <w:sz w:val="12"/>
              </w:rPr>
              <w:t>(1)</w:t>
            </w:r>
          </w:p>
        </w:tc>
        <w:tc>
          <w:tcPr>
            <w:tcW w:w="90" w:type="dxa"/>
            <w:tcBorders/>
            <w:shd w:fill="CCEEFF" w:val="clear"/>
            <w:vAlign w:val="center"/>
          </w:tcPr>
          <w:p>
            <w:pPr>
              <w:pStyle w:val="TableContents"/>
              <w:spacing w:before="0" w:after="0"/>
              <w:ind w:left="0" w:right="0" w:firstLine="30"/>
              <w:rPr/>
            </w:pPr>
            <w:r>
              <w:rPr/>
              <w:t> </w:t>
            </w:r>
          </w:p>
        </w:tc>
        <w:tc>
          <w:tcPr>
            <w:tcW w:w="1430"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1.1 TWh</w:t>
            </w:r>
          </w:p>
        </w:tc>
        <w:tc>
          <w:tcPr>
            <w:tcW w:w="90" w:type="dxa"/>
            <w:tcBorders/>
            <w:shd w:fill="CCEEFF" w:val="clear"/>
            <w:vAlign w:val="center"/>
          </w:tcPr>
          <w:p>
            <w:pPr>
              <w:pStyle w:val="TableContents"/>
              <w:spacing w:before="0" w:after="0"/>
              <w:ind w:left="0" w:right="0" w:firstLine="30"/>
              <w:rPr/>
            </w:pPr>
            <w:r>
              <w:rPr/>
              <w:t> </w:t>
            </w:r>
          </w:p>
        </w:tc>
        <w:tc>
          <w:tcPr>
            <w:tcW w:w="1490" w:type="dxa"/>
            <w:tcBorders/>
            <w:shd w:fill="CCEEFF" w:val="clear"/>
            <w:vAlign w:val="center"/>
          </w:tcPr>
          <w:p>
            <w:pPr>
              <w:pStyle w:val="TableContents"/>
              <w:spacing w:before="0" w:after="0"/>
              <w:jc w:val="center"/>
              <w:rPr>
                <w:rFonts w:ascii="inherit" w:hAnsi="inherit"/>
                <w:sz w:val="17"/>
              </w:rPr>
            </w:pPr>
            <w:r>
              <w:rPr>
                <w:rFonts w:ascii="inherit" w:hAnsi="inherit"/>
                <w:sz w:val="17"/>
              </w:rPr>
              <w:t>December 2022</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sz w:val="4"/>
                <w:szCs w:val="4"/>
              </w:rPr>
            </w:pPr>
            <w:r>
              <w:rPr>
                <w:sz w:val="4"/>
                <w:szCs w:val="4"/>
              </w:rPr>
            </w:r>
          </w:p>
        </w:tc>
      </w:tr>
      <w:tr>
        <w:trPr/>
        <w:tc>
          <w:tcPr>
            <w:tcW w:w="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 w:type="dxa"/>
            <w:tcBorders>
              <w:bottom w:val="single" w:sz="2" w:space="0" w:color="000000"/>
            </w:tcBorders>
            <w:shd w:fill="auto" w:val="clear"/>
            <w:tcMar>
              <w:bottom w:w="30" w:type="dxa"/>
            </w:tcMar>
            <w:vAlign w:val="center"/>
          </w:tcPr>
          <w:p>
            <w:pPr>
              <w:pStyle w:val="TableContents"/>
              <w:spacing w:before="0" w:after="0"/>
              <w:rPr/>
            </w:pPr>
            <w:r>
              <w:rPr/>
              <w:t> </w:t>
            </w:r>
          </w:p>
        </w:tc>
      </w:tr>
    </w:tbl>
    <w:tbl>
      <w:tblPr>
        <w:tblW w:w="10205" w:type="dxa"/>
        <w:jc w:val="left"/>
        <w:tblInd w:w="0" w:type="dxa"/>
        <w:tblCellMar>
          <w:top w:w="0" w:type="dxa"/>
          <w:left w:w="0" w:type="dxa"/>
          <w:bottom w:w="0" w:type="dxa"/>
          <w:right w:w="0" w:type="dxa"/>
        </w:tblCellMar>
      </w:tblPr>
      <w:tblGrid>
        <w:gridCol w:w="234"/>
        <w:gridCol w:w="9971"/>
      </w:tblGrid>
      <w:tr>
        <w:trPr/>
        <w:tc>
          <w:tcPr>
            <w:tcW w:w="234" w:type="dxa"/>
            <w:tcBorders/>
            <w:shd w:fill="auto" w:val="clear"/>
            <w:vAlign w:val="center"/>
          </w:tcPr>
          <w:p>
            <w:pPr>
              <w:pStyle w:val="TableContents"/>
              <w:spacing w:before="0" w:after="283"/>
              <w:rPr>
                <w:sz w:val="4"/>
                <w:szCs w:val="4"/>
              </w:rPr>
            </w:pPr>
            <w:r>
              <w:rPr>
                <w:sz w:val="4"/>
                <w:szCs w:val="4"/>
              </w:rPr>
            </w:r>
          </w:p>
        </w:tc>
        <w:tc>
          <w:tcPr>
            <w:tcW w:w="9971" w:type="dxa"/>
            <w:tcBorders/>
            <w:shd w:fill="auto" w:val="clear"/>
            <w:vAlign w:val="center"/>
          </w:tcPr>
          <w:p>
            <w:pPr>
              <w:pStyle w:val="TableContents"/>
              <w:spacing w:before="0" w:after="283"/>
              <w:rPr>
                <w:sz w:val="4"/>
                <w:szCs w:val="4"/>
              </w:rPr>
            </w:pPr>
            <w:r>
              <w:rPr>
                <w:sz w:val="4"/>
                <w:szCs w:val="4"/>
              </w:rPr>
            </w:r>
          </w:p>
        </w:tc>
      </w:tr>
      <w:tr>
        <w:trPr/>
        <w:tc>
          <w:tcPr>
            <w:tcW w:w="234"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(1)</w:t>
            </w:r>
            <w:r>
              <w:rPr>
                <w:rFonts w:ascii="inherit" w:hAnsi="inherit"/>
                <w:sz w:val="17"/>
              </w:rPr>
              <w:t> </w:t>
            </w:r>
          </w:p>
        </w:tc>
        <w:tc>
          <w:tcPr>
            <w:tcW w:w="9971" w:type="dxa"/>
            <w:tcBorders/>
            <w:shd w:fill="auto" w:val="clear"/>
            <w:vAlign w:val="center"/>
          </w:tcPr>
          <w:p>
            <w:pPr>
              <w:pStyle w:val="TableContents"/>
              <w:spacing w:lineRule="auto" w:line="288" w:before="0" w:after="0"/>
              <w:rPr>
                <w:rFonts w:ascii="inherit" w:hAnsi="inherit"/>
                <w:sz w:val="17"/>
              </w:rPr>
            </w:pPr>
            <w:r>
              <w:rPr>
                <w:rFonts w:ascii="inherit" w:hAnsi="inherit"/>
                <w:sz w:val="17"/>
              </w:rPr>
              <w:t>Power position to hedge a portion of our power supply requirements at our Canadian natural gas processing and fractionation plants.</w:t>
            </w:r>
          </w:p>
        </w:tc>
      </w:tr>
    </w:tbl>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lineRule="auto" w:line="288" w:before="0" w:after="0"/>
        <w:ind w:left="0" w:right="0" w:firstLine="720"/>
        <w:rPr>
          <w:rFonts w:ascii="inherit" w:hAnsi="inherit"/>
          <w:sz w:val="17"/>
        </w:rPr>
      </w:pPr>
      <w:r>
        <w:rPr>
          <w:rFonts w:ascii="inherit" w:hAnsi="inherit"/>
          <w:sz w:val="17"/>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pStyle w:val="TextBody"/>
        <w:spacing w:lineRule="auto" w:line="288" w:before="0" w:after="0"/>
        <w:rPr/>
      </w:pPr>
      <w:r>
        <w:rPr/>
        <w:t> </w:t>
      </w:r>
    </w:p>
    <w:p>
      <w:pPr>
        <w:pStyle w:val="TextBody"/>
        <w:spacing w:lineRule="auto" w:line="288" w:before="0" w:after="0"/>
        <w:rPr>
          <w:rFonts w:ascii="inherit" w:hAnsi="inherit"/>
          <w:b/>
          <w:i/>
          <w:sz w:val="17"/>
        </w:rPr>
      </w:pPr>
      <w:r>
        <w:rPr>
          <w:rFonts w:ascii="inherit" w:hAnsi="inherit"/>
          <w:b/>
          <w:i/>
          <w:sz w:val="17"/>
        </w:rPr>
        <w:t>Interest Rate Risk Hedging</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lineRule="auto" w:line="288" w:before="0" w:after="0"/>
        <w:ind w:left="0" w:right="0" w:firstLine="720"/>
        <w:rPr>
          <w:sz w:val="17"/>
        </w:rPr>
      </w:pPr>
      <w:r>
        <w:rPr>
          <w:rFonts w:ascii="inherit" w:hAnsi="inherit"/>
          <w:sz w:val="17"/>
        </w:rPr>
        <w:t>The following table summarizes the terms of our outstanding interest rate derivatives as of June 30, 2019</w:t>
      </w:r>
      <w:r>
        <w:rPr>
          <w:sz w:val="17"/>
        </w:rPr>
        <w:t xml:space="preserve"> </w:t>
      </w:r>
      <w:r>
        <w:rPr>
          <w:rFonts w:ascii="inherit" w:hAnsi="inherit"/>
          <w:sz w:val="17"/>
        </w:rPr>
        <w:t>(notional amounts in millions):</w:t>
      </w:r>
    </w:p>
    <w:tbl>
      <w:tblPr>
        <w:tblW w:w="9660" w:type="dxa"/>
        <w:jc w:val="left"/>
        <w:tblInd w:w="0" w:type="dxa"/>
        <w:tblCellMar>
          <w:top w:w="0" w:type="dxa"/>
          <w:left w:w="0" w:type="dxa"/>
          <w:bottom w:w="0" w:type="dxa"/>
          <w:right w:w="0" w:type="dxa"/>
        </w:tblCellMar>
      </w:tblPr>
      <w:tblGrid>
        <w:gridCol w:w="2585"/>
        <w:gridCol w:w="90"/>
        <w:gridCol w:w="2120"/>
        <w:gridCol w:w="90"/>
        <w:gridCol w:w="173"/>
        <w:gridCol w:w="464"/>
        <w:gridCol w:w="43"/>
        <w:gridCol w:w="90"/>
        <w:gridCol w:w="1325"/>
        <w:gridCol w:w="90"/>
        <w:gridCol w:w="691"/>
        <w:gridCol w:w="364"/>
        <w:gridCol w:w="90"/>
        <w:gridCol w:w="1445"/>
      </w:tblGrid>
      <w:tr>
        <w:trPr/>
        <w:tc>
          <w:tcPr>
            <w:tcW w:w="9660" w:type="dxa"/>
            <w:gridSpan w:val="14"/>
            <w:tcBorders/>
            <w:shd w:fill="auto" w:val="clear"/>
            <w:vAlign w:val="center"/>
          </w:tcPr>
          <w:p>
            <w:pPr>
              <w:pStyle w:val="TableContents"/>
              <w:spacing w:before="0" w:after="283"/>
              <w:rPr>
                <w:sz w:val="4"/>
                <w:szCs w:val="4"/>
              </w:rPr>
            </w:pPr>
            <w:r>
              <w:rPr>
                <w:sz w:val="4"/>
                <w:szCs w:val="4"/>
              </w:rPr>
            </w:r>
          </w:p>
        </w:tc>
      </w:tr>
      <w:tr>
        <w:trPr/>
        <w:tc>
          <w:tcPr>
            <w:tcW w:w="258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12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2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4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585" w:type="dxa"/>
            <w:tcBorders>
              <w:bottom w:val="single" w:sz="2" w:space="0" w:color="000000"/>
            </w:tcBorders>
            <w:shd w:fill="auto" w:val="clear"/>
            <w:tcMar>
              <w:bottom w:w="30" w:type="dxa"/>
            </w:tcMar>
            <w:vAlign w:val="center"/>
          </w:tcPr>
          <w:p>
            <w:pPr>
              <w:pStyle w:val="TableContents"/>
              <w:spacing w:before="0" w:after="0"/>
              <w:ind w:left="0" w:right="0" w:firstLine="30"/>
              <w:rPr>
                <w:rFonts w:ascii="inherit" w:hAnsi="inherit"/>
                <w:b/>
                <w:sz w:val="13"/>
              </w:rPr>
            </w:pPr>
            <w:r>
              <w:rPr>
                <w:rFonts w:ascii="inherit" w:hAnsi="inherit"/>
                <w:b/>
                <w:sz w:val="13"/>
              </w:rPr>
              <w:t>Hedged Transaction</w:t>
            </w:r>
          </w:p>
        </w:tc>
        <w:tc>
          <w:tcPr>
            <w:tcW w:w="90" w:type="dxa"/>
            <w:tcBorders/>
            <w:shd w:fill="auto" w:val="clear"/>
            <w:vAlign w:val="center"/>
          </w:tcPr>
          <w:p>
            <w:pPr>
              <w:pStyle w:val="TableContents"/>
              <w:spacing w:before="0" w:after="0"/>
              <w:ind w:left="0" w:right="0" w:firstLine="30"/>
              <w:rPr/>
            </w:pPr>
            <w:r>
              <w:rPr/>
              <w:t> </w:t>
            </w:r>
          </w:p>
        </w:tc>
        <w:tc>
          <w:tcPr>
            <w:tcW w:w="212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Number and Types of</w:t>
              <w:br/>
              <w:t>Derivatives Employed</w:t>
            </w:r>
          </w:p>
        </w:tc>
        <w:tc>
          <w:tcPr>
            <w:tcW w:w="90" w:type="dxa"/>
            <w:tcBorders/>
            <w:shd w:fill="auto" w:val="clear"/>
            <w:vAlign w:val="center"/>
          </w:tcPr>
          <w:p>
            <w:pPr>
              <w:pStyle w:val="TableContents"/>
              <w:spacing w:before="0" w:after="0"/>
              <w:ind w:left="0" w:right="0" w:firstLine="30"/>
              <w:rPr/>
            </w:pPr>
            <w:r>
              <w:rPr/>
              <w:t> </w:t>
            </w:r>
          </w:p>
        </w:tc>
        <w:tc>
          <w:tcPr>
            <w:tcW w:w="68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Notional</w:t>
              <w:br/>
              <w:t>Amount</w:t>
            </w:r>
          </w:p>
        </w:tc>
        <w:tc>
          <w:tcPr>
            <w:tcW w:w="90" w:type="dxa"/>
            <w:tcBorders/>
            <w:shd w:fill="auto" w:val="clear"/>
            <w:vAlign w:val="center"/>
          </w:tcPr>
          <w:p>
            <w:pPr>
              <w:pStyle w:val="TableContents"/>
              <w:spacing w:before="0" w:after="0"/>
              <w:ind w:left="0" w:right="0" w:firstLine="30"/>
              <w:rPr/>
            </w:pPr>
            <w:r>
              <w:rPr/>
              <w:t> </w:t>
            </w:r>
          </w:p>
        </w:tc>
        <w:tc>
          <w:tcPr>
            <w:tcW w:w="1325"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Expected</w:t>
              <w:br/>
              <w:t>Termination Date</w:t>
            </w:r>
          </w:p>
        </w:tc>
        <w:tc>
          <w:tcPr>
            <w:tcW w:w="90" w:type="dxa"/>
            <w:tcBorders/>
            <w:shd w:fill="auto" w:val="clear"/>
            <w:vAlign w:val="center"/>
          </w:tcPr>
          <w:p>
            <w:pPr>
              <w:pStyle w:val="TableContents"/>
              <w:spacing w:before="0" w:after="0"/>
              <w:ind w:left="0" w:right="0" w:firstLine="30"/>
              <w:rPr/>
            </w:pPr>
            <w:r>
              <w:rPr/>
              <w:t> </w:t>
            </w:r>
          </w:p>
        </w:tc>
        <w:tc>
          <w:tcPr>
            <w:tcW w:w="1055"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Average Rate</w:t>
              <w:br/>
              <w:t>Locked</w:t>
            </w:r>
          </w:p>
        </w:tc>
        <w:tc>
          <w:tcPr>
            <w:tcW w:w="90" w:type="dxa"/>
            <w:tcBorders/>
            <w:shd w:fill="auto" w:val="clear"/>
            <w:vAlign w:val="center"/>
          </w:tcPr>
          <w:p>
            <w:pPr>
              <w:pStyle w:val="TableContents"/>
              <w:spacing w:before="0" w:after="0"/>
              <w:ind w:left="0" w:right="0" w:firstLine="30"/>
              <w:rPr/>
            </w:pPr>
            <w:r>
              <w:rPr/>
              <w:t> </w:t>
            </w:r>
          </w:p>
        </w:tc>
        <w:tc>
          <w:tcPr>
            <w:tcW w:w="1445"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Accounting</w:t>
              <w:br/>
              <w:t>Treatment</w:t>
            </w:r>
          </w:p>
        </w:tc>
      </w:tr>
      <w:tr>
        <w:trPr/>
        <w:tc>
          <w:tcPr>
            <w:tcW w:w="25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Anticipated interest payments</w:t>
            </w:r>
          </w:p>
        </w:tc>
        <w:tc>
          <w:tcPr>
            <w:tcW w:w="90" w:type="dxa"/>
            <w:tcBorders/>
            <w:shd w:fill="CCEEFF" w:val="clear"/>
            <w:vAlign w:val="center"/>
          </w:tcPr>
          <w:p>
            <w:pPr>
              <w:pStyle w:val="TableContents"/>
              <w:spacing w:before="0" w:after="0"/>
              <w:ind w:left="0" w:right="0" w:firstLine="30"/>
              <w:rPr/>
            </w:pPr>
            <w:r>
              <w:rPr/>
              <w:t> </w:t>
            </w:r>
          </w:p>
        </w:tc>
        <w:tc>
          <w:tcPr>
            <w:tcW w:w="2120"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8 forward starting swaps</w:t>
              <w:br/>
              <w:t>(30-year)</w:t>
            </w:r>
          </w:p>
        </w:tc>
        <w:tc>
          <w:tcPr>
            <w:tcW w:w="90" w:type="dxa"/>
            <w:tcBorders/>
            <w:shd w:fill="CCEEFF" w:val="clear"/>
            <w:vAlign w:val="center"/>
          </w:tcPr>
          <w:p>
            <w:pPr>
              <w:pStyle w:val="TableContents"/>
              <w:spacing w:before="0" w:after="0"/>
              <w:ind w:left="0" w:right="0" w:firstLine="30"/>
              <w:rPr/>
            </w:pPr>
            <w:r>
              <w:rPr/>
              <w:t> </w:t>
            </w:r>
          </w:p>
        </w:tc>
        <w:tc>
          <w:tcPr>
            <w:tcW w:w="17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64" w:type="dxa"/>
            <w:tcBorders/>
            <w:shd w:fill="CCEEFF" w:val="clear"/>
            <w:vAlign w:val="center"/>
          </w:tcPr>
          <w:p>
            <w:pPr>
              <w:pStyle w:val="TableContents"/>
              <w:spacing w:before="0" w:after="0"/>
              <w:jc w:val="right"/>
              <w:rPr>
                <w:rFonts w:ascii="inherit" w:hAnsi="inherit"/>
                <w:sz w:val="17"/>
              </w:rPr>
            </w:pPr>
            <w:r>
              <w:rPr>
                <w:rFonts w:ascii="inherit" w:hAnsi="inherit"/>
                <w:sz w:val="17"/>
              </w:rPr>
              <w:t>200</w:t>
            </w:r>
          </w:p>
        </w:tc>
        <w:tc>
          <w:tcPr>
            <w:tcW w:w="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325"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12/13/2019</w:t>
            </w:r>
          </w:p>
        </w:tc>
        <w:tc>
          <w:tcPr>
            <w:tcW w:w="90" w:type="dxa"/>
            <w:tcBorders/>
            <w:shd w:fill="CCEEFF" w:val="clear"/>
            <w:vAlign w:val="center"/>
          </w:tcPr>
          <w:p>
            <w:pPr>
              <w:pStyle w:val="TableContents"/>
              <w:spacing w:before="0" w:after="0"/>
              <w:ind w:left="0" w:right="0" w:firstLine="30"/>
              <w:rPr/>
            </w:pPr>
            <w:r>
              <w:rPr/>
              <w:t> </w:t>
            </w:r>
          </w:p>
        </w:tc>
        <w:tc>
          <w:tcPr>
            <w:tcW w:w="691" w:type="dxa"/>
            <w:tcBorders/>
            <w:shd w:fill="CCEEFF" w:val="clear"/>
            <w:vAlign w:val="center"/>
          </w:tcPr>
          <w:p>
            <w:pPr>
              <w:pStyle w:val="TableContents"/>
              <w:spacing w:before="0" w:after="0"/>
              <w:jc w:val="right"/>
              <w:rPr>
                <w:rFonts w:ascii="inherit" w:hAnsi="inherit"/>
                <w:sz w:val="17"/>
              </w:rPr>
            </w:pPr>
            <w:r>
              <w:rPr>
                <w:rFonts w:ascii="inherit" w:hAnsi="inherit"/>
                <w:sz w:val="17"/>
              </w:rPr>
              <w:t>2.34</w:t>
            </w:r>
          </w:p>
        </w:tc>
        <w:tc>
          <w:tcPr>
            <w:tcW w:w="3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445"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Cash flow hedge</w:t>
            </w:r>
          </w:p>
        </w:tc>
      </w:tr>
      <w:tr>
        <w:trPr/>
        <w:tc>
          <w:tcPr>
            <w:tcW w:w="25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Anticipated interest payments</w:t>
            </w:r>
          </w:p>
        </w:tc>
        <w:tc>
          <w:tcPr>
            <w:tcW w:w="90" w:type="dxa"/>
            <w:tcBorders/>
            <w:shd w:fill="auto" w:val="clear"/>
            <w:vAlign w:val="center"/>
          </w:tcPr>
          <w:p>
            <w:pPr>
              <w:pStyle w:val="TableContents"/>
              <w:spacing w:before="0" w:after="0"/>
              <w:ind w:left="0" w:right="0" w:firstLine="30"/>
              <w:rPr/>
            </w:pPr>
            <w:r>
              <w:rPr/>
              <w:t> </w:t>
            </w:r>
          </w:p>
        </w:tc>
        <w:tc>
          <w:tcPr>
            <w:tcW w:w="2120" w:type="dxa"/>
            <w:tcBorders/>
            <w:shd w:fill="auto" w:val="clear"/>
            <w:vAlign w:val="center"/>
          </w:tcPr>
          <w:p>
            <w:pPr>
              <w:pStyle w:val="TableContents"/>
              <w:spacing w:before="0" w:after="0"/>
              <w:jc w:val="center"/>
              <w:rPr>
                <w:rFonts w:ascii="inherit" w:hAnsi="inherit"/>
                <w:sz w:val="17"/>
              </w:rPr>
            </w:pPr>
            <w:r>
              <w:rPr>
                <w:rFonts w:ascii="inherit" w:hAnsi="inherit"/>
                <w:sz w:val="17"/>
              </w:rPr>
              <w:t>8 forward starting swaps</w:t>
            </w:r>
          </w:p>
          <w:p>
            <w:pPr>
              <w:pStyle w:val="TableContents"/>
              <w:spacing w:before="0" w:after="0"/>
              <w:ind w:left="0" w:right="0" w:firstLine="30"/>
              <w:jc w:val="center"/>
              <w:rPr>
                <w:rFonts w:ascii="inherit" w:hAnsi="inherit"/>
                <w:sz w:val="17"/>
              </w:rPr>
            </w:pPr>
            <w:r>
              <w:rPr>
                <w:rFonts w:ascii="inherit" w:hAnsi="inherit"/>
                <w:sz w:val="17"/>
              </w:rPr>
              <w:t>(30-year)</w:t>
            </w:r>
          </w:p>
        </w:tc>
        <w:tc>
          <w:tcPr>
            <w:tcW w:w="90" w:type="dxa"/>
            <w:tcBorders/>
            <w:shd w:fill="auto" w:val="clear"/>
            <w:vAlign w:val="center"/>
          </w:tcPr>
          <w:p>
            <w:pPr>
              <w:pStyle w:val="TableContents"/>
              <w:spacing w:before="0" w:after="0"/>
              <w:ind w:left="0" w:right="0" w:firstLine="30"/>
              <w:rPr/>
            </w:pPr>
            <w:r>
              <w:rPr/>
              <w:t> </w:t>
            </w:r>
          </w:p>
        </w:tc>
        <w:tc>
          <w:tcPr>
            <w:tcW w:w="17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64" w:type="dxa"/>
            <w:tcBorders/>
            <w:shd w:fill="auto" w:val="clear"/>
            <w:vAlign w:val="center"/>
          </w:tcPr>
          <w:p>
            <w:pPr>
              <w:pStyle w:val="TableContents"/>
              <w:spacing w:before="0" w:after="0"/>
              <w:jc w:val="right"/>
              <w:rPr>
                <w:rFonts w:ascii="inherit" w:hAnsi="inherit"/>
                <w:sz w:val="17"/>
              </w:rPr>
            </w:pPr>
            <w:r>
              <w:rPr>
                <w:rFonts w:ascii="inherit" w:hAnsi="inherit"/>
                <w:sz w:val="17"/>
              </w:rPr>
              <w:t>200</w:t>
            </w:r>
          </w:p>
        </w:tc>
        <w:tc>
          <w:tcPr>
            <w:tcW w:w="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2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6/15/2020</w:t>
            </w:r>
          </w:p>
        </w:tc>
        <w:tc>
          <w:tcPr>
            <w:tcW w:w="90" w:type="dxa"/>
            <w:tcBorders/>
            <w:shd w:fill="auto" w:val="clear"/>
            <w:vAlign w:val="center"/>
          </w:tcPr>
          <w:p>
            <w:pPr>
              <w:pStyle w:val="TableContents"/>
              <w:spacing w:before="0" w:after="0"/>
              <w:ind w:left="0" w:right="0" w:firstLine="30"/>
              <w:rPr/>
            </w:pPr>
            <w:r>
              <w:rPr/>
              <w:t> </w:t>
            </w:r>
          </w:p>
        </w:tc>
        <w:tc>
          <w:tcPr>
            <w:tcW w:w="691" w:type="dxa"/>
            <w:tcBorders/>
            <w:shd w:fill="auto" w:val="clear"/>
            <w:vAlign w:val="center"/>
          </w:tcPr>
          <w:p>
            <w:pPr>
              <w:pStyle w:val="TableContents"/>
              <w:spacing w:before="0" w:after="0"/>
              <w:jc w:val="right"/>
              <w:rPr>
                <w:rFonts w:ascii="inherit" w:hAnsi="inherit"/>
                <w:sz w:val="17"/>
              </w:rPr>
            </w:pPr>
            <w:r>
              <w:rPr>
                <w:rFonts w:ascii="inherit" w:hAnsi="inherit"/>
                <w:sz w:val="17"/>
              </w:rPr>
              <w:t>3.06</w:t>
            </w:r>
          </w:p>
        </w:tc>
        <w:tc>
          <w:tcPr>
            <w:tcW w:w="3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445" w:type="dxa"/>
            <w:tcBorders/>
            <w:shd w:fill="auto" w:val="clear"/>
            <w:vAlign w:val="center"/>
          </w:tcPr>
          <w:p>
            <w:pPr>
              <w:pStyle w:val="TableContents"/>
              <w:spacing w:before="0" w:after="0"/>
              <w:jc w:val="center"/>
              <w:rPr>
                <w:rFonts w:ascii="inherit" w:hAnsi="inherit"/>
                <w:sz w:val="17"/>
              </w:rPr>
            </w:pPr>
            <w:r>
              <w:rPr>
                <w:rFonts w:ascii="inherit" w:hAnsi="inherit"/>
                <w:sz w:val="17"/>
              </w:rPr>
              <w:t>Cash flow hedge</w:t>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pPr>
      <w:r>
        <w:rPr/>
        <w:t> </w:t>
      </w:r>
    </w:p>
    <w:p>
      <w:pPr>
        <w:pStyle w:val="TextBody"/>
        <w:spacing w:lineRule="auto" w:line="288" w:before="0" w:after="0"/>
        <w:rPr>
          <w:rFonts w:ascii="inherit" w:hAnsi="inherit"/>
          <w:b/>
          <w:i/>
          <w:sz w:val="17"/>
        </w:rPr>
      </w:pPr>
      <w:r>
        <w:rPr>
          <w:rFonts w:ascii="inherit" w:hAnsi="inherit"/>
          <w:b/>
          <w:i/>
          <w:sz w:val="17"/>
        </w:rPr>
        <w:t>Currency Exchange Rate Risk Hedging</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Because a significant portion of our Canadian business is conducted in CAD, we use foreign currency derivatives to minimize the risk of unfavorable changes in exchange rates. These instruments include foreign currency exchange contracts, forwards and options.</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Our use of foreign currency derivatives include (i) derivatives we use to hedge currency exchange risk created by the use of USD-denominated commodity derivatives to hedge commodity price risk associated with CAD-denominated commodity purchases and sales and (ii) foreign currency exchange contracts we use to manage our Canadian business cash requirements.</w:t>
      </w:r>
    </w:p>
    <w:p>
      <w:pPr>
        <w:pStyle w:val="TextBody"/>
        <w:spacing w:lineRule="auto" w:line="288" w:before="0" w:after="0"/>
        <w:rPr/>
      </w:pPr>
      <w:r>
        <w:rPr/>
        <w:t>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24</w:t>
      </w:r>
      <w:r>
        <w:br w:type="page"/>
      </w:r>
    </w:p>
    <w:p>
      <w:pPr>
        <w:pStyle w:val="TextBody"/>
        <w:spacing w:lineRule="auto" w:line="288" w:before="0" w:after="0"/>
        <w:rPr/>
      </w:pPr>
      <w:hyperlink w:anchor="s3336AD8A685850CC9B7F2572CB2C0BC3">
        <w:r>
          <w:rPr>
            <w:rStyle w:val="InternetLink"/>
            <w:rFonts w:ascii="inherit" w:hAnsi="inherit"/>
            <w:sz w:val="17"/>
          </w:rPr>
          <w:t>Table of Contents</w:t>
        </w:r>
      </w:hyperlink>
      <w:r>
        <w:rPr>
          <w:sz w:val="17"/>
        </w:rPr>
        <w:t xml:space="preserve"> </w:t>
      </w:r>
    </w:p>
    <w:p>
      <w:pPr>
        <w:pStyle w:val="TextBody"/>
        <w:spacing w:lineRule="auto" w:line="288" w:before="0" w:after="0"/>
        <w:jc w:val="center"/>
        <w:rPr>
          <w:rFonts w:ascii="inherit" w:hAnsi="inherit"/>
          <w:b/>
          <w:sz w:val="17"/>
        </w:rPr>
      </w:pPr>
      <w:r>
        <w:rPr>
          <w:rFonts w:ascii="inherit" w:hAnsi="inherit"/>
          <w:b/>
          <w:sz w:val="17"/>
        </w:rPr>
        <w:t>PLAINS ALL AMERICAN PIPELINE, L.P. AND SUBSIDIARIES</w:t>
      </w:r>
    </w:p>
    <w:p>
      <w:pPr>
        <w:pStyle w:val="TextBody"/>
        <w:spacing w:lineRule="auto" w:line="288" w:before="0" w:after="0"/>
        <w:jc w:val="center"/>
        <w:rPr>
          <w:rFonts w:ascii="inherit" w:hAnsi="inherit"/>
          <w:b/>
          <w:sz w:val="17"/>
        </w:rPr>
      </w:pPr>
      <w:r>
        <w:rPr>
          <w:rFonts w:ascii="inherit" w:hAnsi="inherit"/>
          <w:b/>
          <w:sz w:val="17"/>
        </w:rPr>
        <w:t>NOTES TO THE UNAUDITED CONDENSED CONSOLIDATED FINANCIAL STATEMENTS</w:t>
      </w:r>
    </w:p>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720"/>
        <w:rPr>
          <w:sz w:val="17"/>
        </w:rPr>
      </w:pPr>
      <w:r>
        <w:rPr>
          <w:rFonts w:ascii="inherit" w:hAnsi="inherit"/>
          <w:sz w:val="17"/>
        </w:rPr>
        <w:t>The following table summarizes our open forward exchange contracts as of June 30, 2019</w:t>
      </w:r>
      <w:r>
        <w:rPr>
          <w:sz w:val="17"/>
        </w:rPr>
        <w:t xml:space="preserve"> </w:t>
      </w:r>
      <w:r>
        <w:rPr>
          <w:rFonts w:ascii="inherit" w:hAnsi="inherit"/>
          <w:sz w:val="17"/>
        </w:rPr>
        <w:t>(in millions):</w:t>
      </w:r>
    </w:p>
    <w:tbl>
      <w:tblPr>
        <w:tblW w:w="9020" w:type="dxa"/>
        <w:jc w:val="left"/>
        <w:tblInd w:w="0" w:type="dxa"/>
        <w:tblCellMar>
          <w:top w:w="0" w:type="dxa"/>
          <w:left w:w="0" w:type="dxa"/>
          <w:bottom w:w="0" w:type="dxa"/>
          <w:right w:w="0" w:type="dxa"/>
        </w:tblCellMar>
      </w:tblPr>
      <w:tblGrid>
        <w:gridCol w:w="5390"/>
        <w:gridCol w:w="90"/>
        <w:gridCol w:w="470"/>
        <w:gridCol w:w="90"/>
        <w:gridCol w:w="125"/>
        <w:gridCol w:w="335"/>
        <w:gridCol w:w="30"/>
        <w:gridCol w:w="90"/>
        <w:gridCol w:w="125"/>
        <w:gridCol w:w="335"/>
        <w:gridCol w:w="30"/>
        <w:gridCol w:w="90"/>
        <w:gridCol w:w="1820"/>
      </w:tblGrid>
      <w:tr>
        <w:trPr/>
        <w:tc>
          <w:tcPr>
            <w:tcW w:w="9020" w:type="dxa"/>
            <w:gridSpan w:val="13"/>
            <w:tcBorders/>
            <w:shd w:fill="auto" w:val="clear"/>
            <w:vAlign w:val="center"/>
          </w:tcPr>
          <w:p>
            <w:pPr>
              <w:pStyle w:val="TableContents"/>
              <w:spacing w:before="0" w:after="283"/>
              <w:rPr>
                <w:sz w:val="4"/>
                <w:szCs w:val="4"/>
              </w:rPr>
            </w:pPr>
            <w:r>
              <w:rPr>
                <w:sz w:val="4"/>
                <w:szCs w:val="4"/>
              </w:rPr>
            </w:r>
          </w:p>
        </w:tc>
      </w:tr>
      <w:tr>
        <w:trPr/>
        <w:tc>
          <w:tcPr>
            <w:tcW w:w="53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82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39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470" w:type="dxa"/>
            <w:tcBorders/>
            <w:shd w:fill="auto" w:val="clear"/>
            <w:vAlign w:val="center"/>
          </w:tcPr>
          <w:p>
            <w:pPr>
              <w:pStyle w:val="TableContents"/>
              <w:spacing w:before="0" w:after="0"/>
              <w:ind w:left="0" w:right="0" w:firstLine="30"/>
              <w:jc w:val="center"/>
              <w:rPr/>
            </w:pPr>
            <w:r>
              <w:rPr/>
              <w:t> </w:t>
            </w:r>
          </w:p>
        </w:tc>
        <w:tc>
          <w:tcPr>
            <w:tcW w:w="90" w:type="dxa"/>
            <w:tcBorders/>
            <w:shd w:fill="auto" w:val="clear"/>
            <w:vAlign w:val="center"/>
          </w:tcPr>
          <w:p>
            <w:pPr>
              <w:pStyle w:val="TableContents"/>
              <w:spacing w:before="0" w:after="0"/>
              <w:ind w:left="0" w:right="0" w:firstLine="30"/>
              <w:rPr/>
            </w:pPr>
            <w:r>
              <w:rPr/>
              <w:t> </w:t>
            </w:r>
          </w:p>
        </w:tc>
        <w:tc>
          <w:tcPr>
            <w:tcW w:w="49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USD</w:t>
            </w:r>
          </w:p>
        </w:tc>
        <w:tc>
          <w:tcPr>
            <w:tcW w:w="90" w:type="dxa"/>
            <w:tcBorders/>
            <w:shd w:fill="auto" w:val="clear"/>
            <w:vAlign w:val="center"/>
          </w:tcPr>
          <w:p>
            <w:pPr>
              <w:pStyle w:val="TableContents"/>
              <w:spacing w:before="0" w:after="0"/>
              <w:ind w:left="0" w:right="0" w:firstLine="30"/>
              <w:rPr/>
            </w:pPr>
            <w:r>
              <w:rPr/>
              <w:t> </w:t>
            </w:r>
          </w:p>
        </w:tc>
        <w:tc>
          <w:tcPr>
            <w:tcW w:w="49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CAD</w:t>
            </w:r>
          </w:p>
        </w:tc>
        <w:tc>
          <w:tcPr>
            <w:tcW w:w="90" w:type="dxa"/>
            <w:tcBorders/>
            <w:shd w:fill="auto" w:val="clear"/>
            <w:vAlign w:val="center"/>
          </w:tcPr>
          <w:p>
            <w:pPr>
              <w:pStyle w:val="TableContents"/>
              <w:spacing w:before="0" w:after="0"/>
              <w:ind w:left="0" w:right="0" w:firstLine="30"/>
              <w:rPr/>
            </w:pPr>
            <w:r>
              <w:rPr/>
              <w:t> </w:t>
            </w:r>
          </w:p>
        </w:tc>
        <w:tc>
          <w:tcPr>
            <w:tcW w:w="1820"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Average Exchange Rate</w:t>
              <w:br/>
              <w:t>USD to CAD</w:t>
            </w:r>
          </w:p>
        </w:tc>
      </w:tr>
      <w:tr>
        <w:trPr/>
        <w:tc>
          <w:tcPr>
            <w:tcW w:w="5390" w:type="dxa"/>
            <w:tcBorders/>
            <w:shd w:fill="CCEEFF" w:val="clear"/>
            <w:vAlign w:val="center"/>
          </w:tcPr>
          <w:p>
            <w:pPr>
              <w:pStyle w:val="TableContents"/>
              <w:spacing w:before="0" w:after="0"/>
              <w:ind w:left="0" w:right="0" w:firstLine="30"/>
              <w:rPr>
                <w:rFonts w:ascii="inherit" w:hAnsi="inherit"/>
                <w:b/>
                <w:sz w:val="17"/>
              </w:rPr>
            </w:pPr>
            <w:r>
              <w:rPr>
                <w:rFonts w:ascii="inherit" w:hAnsi="inherit"/>
                <w:b/>
                <w:sz w:val="17"/>
              </w:rPr>
              <w:t>Forward exchange contracts that exchange CAD for USD:</w:t>
            </w:r>
          </w:p>
        </w:tc>
        <w:tc>
          <w:tcPr>
            <w:tcW w:w="90" w:type="dxa"/>
            <w:tcBorders/>
            <w:shd w:fill="CCEEFF" w:val="clear"/>
            <w:vAlign w:val="center"/>
          </w:tcPr>
          <w:p>
            <w:pPr>
              <w:pStyle w:val="TableContents"/>
              <w:spacing w:before="0" w:after="0"/>
              <w:ind w:left="0" w:right="0" w:firstLine="30"/>
              <w:rPr/>
            </w:pPr>
            <w:r>
              <w:rPr/>
              <w:t> </w:t>
            </w:r>
          </w:p>
        </w:tc>
        <w:tc>
          <w:tcPr>
            <w:tcW w:w="470" w:type="dxa"/>
            <w:tcBorders/>
            <w:shd w:fill="CCEEFF" w:val="clear"/>
            <w:vAlign w:val="center"/>
          </w:tcPr>
          <w:p>
            <w:pPr>
              <w:pStyle w:val="TableContents"/>
              <w:spacing w:before="0" w:after="0"/>
              <w:ind w:left="0" w:right="0" w:firstLine="30"/>
              <w:jc w:val="right"/>
              <w:rPr/>
            </w:pPr>
            <w:r>
              <w:rPr/>
              <w:t> </w:t>
            </w:r>
          </w:p>
        </w:tc>
        <w:tc>
          <w:tcPr>
            <w:tcW w:w="90" w:type="dxa"/>
            <w:tcBorders/>
            <w:shd w:fill="CCEEFF" w:val="clear"/>
            <w:vAlign w:val="center"/>
          </w:tcPr>
          <w:p>
            <w:pPr>
              <w:pStyle w:val="TableContents"/>
              <w:spacing w:before="0" w:after="0"/>
              <w:ind w:left="0" w:right="0" w:firstLine="30"/>
              <w:rPr/>
            </w:pPr>
            <w:r>
              <w:rPr/>
              <w:t> </w:t>
            </w:r>
          </w:p>
        </w:tc>
        <w:tc>
          <w:tcPr>
            <w:tcW w:w="460" w:type="dxa"/>
            <w:gridSpan w:val="2"/>
            <w:tcBorders/>
            <w:shd w:fill="CCEEFF" w:val="clear"/>
            <w:vAlign w:val="center"/>
          </w:tcPr>
          <w:p>
            <w:pPr>
              <w:pStyle w:val="TableContents"/>
              <w:spacing w:before="0" w:after="0"/>
              <w:jc w:val="right"/>
              <w:rPr/>
            </w:pPr>
            <w:r>
              <w:rPr/>
              <w:t> </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460" w:type="dxa"/>
            <w:gridSpan w:val="2"/>
            <w:tcBorders/>
            <w:shd w:fill="CCEEFF" w:val="clear"/>
            <w:vAlign w:val="center"/>
          </w:tcPr>
          <w:p>
            <w:pPr>
              <w:pStyle w:val="TableContents"/>
              <w:spacing w:before="0" w:after="0"/>
              <w:jc w:val="right"/>
              <w:rPr/>
            </w:pPr>
            <w:r>
              <w:rPr/>
              <w:t> </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820" w:type="dxa"/>
            <w:tcBorders/>
            <w:shd w:fill="CCEEFF" w:val="clear"/>
            <w:vAlign w:val="center"/>
          </w:tcPr>
          <w:p>
            <w:pPr>
              <w:pStyle w:val="TableContents"/>
              <w:spacing w:before="0" w:after="0"/>
              <w:ind w:left="0" w:right="0" w:firstLine="30"/>
              <w:jc w:val="right"/>
              <w:rPr/>
            </w:pPr>
            <w:r>
              <w:rPr/>
              <w:t> </w:t>
            </w:r>
          </w:p>
        </w:tc>
      </w:tr>
      <w:tr>
        <w:trPr/>
        <w:tc>
          <w:tcPr>
            <w:tcW w:w="53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47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2019</w:t>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335" w:type="dxa"/>
            <w:tcBorders/>
            <w:shd w:fill="auto" w:val="clear"/>
            <w:vAlign w:val="center"/>
          </w:tcPr>
          <w:p>
            <w:pPr>
              <w:pStyle w:val="TableContents"/>
              <w:spacing w:before="0" w:after="0"/>
              <w:jc w:val="right"/>
              <w:rPr>
                <w:rFonts w:ascii="inherit" w:hAnsi="inherit"/>
                <w:sz w:val="17"/>
              </w:rPr>
            </w:pPr>
            <w:r>
              <w:rPr>
                <w:rFonts w:ascii="inherit" w:hAnsi="inherit"/>
                <w:sz w:val="17"/>
              </w:rPr>
              <w:t>63</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335" w:type="dxa"/>
            <w:tcBorders/>
            <w:shd w:fill="auto" w:val="clear"/>
            <w:vAlign w:val="center"/>
          </w:tcPr>
          <w:p>
            <w:pPr>
              <w:pStyle w:val="TableContents"/>
              <w:spacing w:before="0" w:after="0"/>
              <w:jc w:val="right"/>
              <w:rPr>
                <w:rFonts w:ascii="inherit" w:hAnsi="inherit"/>
                <w:sz w:val="17"/>
              </w:rPr>
            </w:pPr>
            <w:r>
              <w:rPr>
                <w:rFonts w:ascii="inherit" w:hAnsi="inherit"/>
                <w:sz w:val="17"/>
              </w:rPr>
              <w:t>83</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820"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$1.00 - $1.32</w:t>
            </w:r>
          </w:p>
        </w:tc>
      </w:tr>
      <w:tr>
        <w:trPr/>
        <w:tc>
          <w:tcPr>
            <w:tcW w:w="5390"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470"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49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49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820" w:type="dxa"/>
            <w:tcBorders/>
            <w:shd w:fill="CCEEFF" w:val="clear"/>
            <w:vAlign w:val="center"/>
          </w:tcPr>
          <w:p>
            <w:pPr>
              <w:pStyle w:val="TableContents"/>
              <w:spacing w:before="0" w:after="0"/>
              <w:ind w:left="0" w:right="0" w:firstLine="30"/>
              <w:rPr/>
            </w:pPr>
            <w:r>
              <w:rPr/>
              <w:t> </w:t>
            </w:r>
          </w:p>
        </w:tc>
      </w:tr>
      <w:tr>
        <w:trPr/>
        <w:tc>
          <w:tcPr>
            <w:tcW w:w="5390" w:type="dxa"/>
            <w:tcBorders/>
            <w:shd w:fill="auto" w:val="clear"/>
            <w:vAlign w:val="center"/>
          </w:tcPr>
          <w:p>
            <w:pPr>
              <w:pStyle w:val="TableContents"/>
              <w:spacing w:before="0" w:after="0"/>
              <w:ind w:left="0" w:right="0" w:firstLine="30"/>
              <w:rPr>
                <w:rFonts w:ascii="inherit" w:hAnsi="inherit"/>
                <w:b/>
                <w:sz w:val="17"/>
              </w:rPr>
            </w:pPr>
            <w:r>
              <w:rPr>
                <w:rFonts w:ascii="inherit" w:hAnsi="inherit"/>
                <w:b/>
                <w:sz w:val="17"/>
              </w:rPr>
              <w:t>Forward exchange contracts that exchange USD for CAD:</w:t>
            </w:r>
          </w:p>
        </w:tc>
        <w:tc>
          <w:tcPr>
            <w:tcW w:w="90" w:type="dxa"/>
            <w:tcBorders/>
            <w:shd w:fill="auto" w:val="clear"/>
            <w:vAlign w:val="center"/>
          </w:tcPr>
          <w:p>
            <w:pPr>
              <w:pStyle w:val="TableContents"/>
              <w:spacing w:before="0" w:after="0"/>
              <w:ind w:left="0" w:right="0" w:firstLine="30"/>
              <w:rPr/>
            </w:pPr>
            <w:r>
              <w:rPr/>
              <w:t> </w:t>
            </w:r>
          </w:p>
        </w:tc>
        <w:tc>
          <w:tcPr>
            <w:tcW w:w="470" w:type="dxa"/>
            <w:tcBorders/>
            <w:shd w:fill="auto" w:val="clear"/>
            <w:vAlign w:val="center"/>
          </w:tcPr>
          <w:p>
            <w:pPr>
              <w:pStyle w:val="TableContents"/>
              <w:spacing w:before="0" w:after="0"/>
              <w:ind w:left="0" w:right="0" w:firstLine="30"/>
              <w:jc w:val="center"/>
              <w:rPr/>
            </w:pPr>
            <w:r>
              <w:rPr/>
              <w:t> </w:t>
            </w:r>
          </w:p>
        </w:tc>
        <w:tc>
          <w:tcPr>
            <w:tcW w:w="90" w:type="dxa"/>
            <w:tcBorders/>
            <w:shd w:fill="auto" w:val="clear"/>
            <w:vAlign w:val="center"/>
          </w:tcPr>
          <w:p>
            <w:pPr>
              <w:pStyle w:val="TableContents"/>
              <w:spacing w:before="0" w:after="0"/>
              <w:ind w:left="0" w:right="0" w:firstLine="30"/>
              <w:rPr/>
            </w:pPr>
            <w:r>
              <w:rPr/>
              <w:t> </w:t>
            </w:r>
          </w:p>
        </w:tc>
        <w:tc>
          <w:tcPr>
            <w:tcW w:w="460" w:type="dxa"/>
            <w:gridSpan w:val="2"/>
            <w:tcBorders/>
            <w:shd w:fill="auto" w:val="clear"/>
            <w:vAlign w:val="center"/>
          </w:tcPr>
          <w:p>
            <w:pPr>
              <w:pStyle w:val="TableContents"/>
              <w:spacing w:before="0" w:after="0"/>
              <w:jc w:val="right"/>
              <w:rPr/>
            </w:pPr>
            <w:r>
              <w:rPr/>
              <w:t> </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60" w:type="dxa"/>
            <w:gridSpan w:val="2"/>
            <w:tcBorders/>
            <w:shd w:fill="auto" w:val="clear"/>
            <w:vAlign w:val="center"/>
          </w:tcPr>
          <w:p>
            <w:pPr>
              <w:pStyle w:val="TableContents"/>
              <w:spacing w:before="0" w:after="0"/>
              <w:jc w:val="right"/>
              <w:rPr/>
            </w:pPr>
            <w:r>
              <w:rPr/>
              <w:t> </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820" w:type="dxa"/>
            <w:tcBorders/>
            <w:shd w:fill="auto" w:val="clear"/>
            <w:vAlign w:val="center"/>
          </w:tcPr>
          <w:p>
            <w:pPr>
              <w:pStyle w:val="TableContents"/>
              <w:spacing w:before="0" w:after="0"/>
              <w:ind w:left="0" w:right="0" w:firstLine="30"/>
              <w:jc w:val="center"/>
              <w:rPr/>
            </w:pPr>
            <w:r>
              <w:rPr/>
              <w:t> </w:t>
            </w:r>
          </w:p>
        </w:tc>
      </w:tr>
      <w:tr>
        <w:trPr/>
        <w:tc>
          <w:tcPr>
            <w:tcW w:w="5390" w:type="dxa"/>
            <w:tcBorders/>
            <w:shd w:fill="CCEEFF" w:val="clear"/>
            <w:vAlign w:val="center"/>
          </w:tcPr>
          <w:p>
            <w:pPr>
              <w:pStyle w:val="TableContents"/>
              <w:spacing w:before="0" w:after="0"/>
              <w:ind w:left="0" w:right="0" w:firstLine="30"/>
              <w:jc w:val="left"/>
              <w:rPr/>
            </w:pPr>
            <w:r>
              <w:rPr/>
              <w:t> </w:t>
            </w:r>
          </w:p>
        </w:tc>
        <w:tc>
          <w:tcPr>
            <w:tcW w:w="90" w:type="dxa"/>
            <w:tcBorders/>
            <w:shd w:fill="CCEEFF" w:val="clear"/>
            <w:vAlign w:val="center"/>
          </w:tcPr>
          <w:p>
            <w:pPr>
              <w:pStyle w:val="TableContents"/>
              <w:spacing w:before="0" w:after="0"/>
              <w:ind w:left="0" w:right="0" w:firstLine="30"/>
              <w:rPr/>
            </w:pPr>
            <w:r>
              <w:rPr/>
              <w:t> </w:t>
            </w:r>
          </w:p>
        </w:tc>
        <w:tc>
          <w:tcPr>
            <w:tcW w:w="470"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2019</w:t>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335" w:type="dxa"/>
            <w:tcBorders/>
            <w:shd w:fill="CCEEFF" w:val="clear"/>
            <w:vAlign w:val="center"/>
          </w:tcPr>
          <w:p>
            <w:pPr>
              <w:pStyle w:val="TableContents"/>
              <w:spacing w:before="0" w:after="0"/>
              <w:jc w:val="right"/>
              <w:rPr>
                <w:rFonts w:ascii="inherit" w:hAnsi="inherit"/>
                <w:sz w:val="17"/>
              </w:rPr>
            </w:pPr>
            <w:r>
              <w:rPr>
                <w:rFonts w:ascii="inherit" w:hAnsi="inherit"/>
                <w:sz w:val="17"/>
              </w:rPr>
              <w:t>165</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335" w:type="dxa"/>
            <w:tcBorders/>
            <w:shd w:fill="CCEEFF" w:val="clear"/>
            <w:vAlign w:val="center"/>
          </w:tcPr>
          <w:p>
            <w:pPr>
              <w:pStyle w:val="TableContents"/>
              <w:spacing w:before="0" w:after="0"/>
              <w:jc w:val="right"/>
              <w:rPr>
                <w:rFonts w:ascii="inherit" w:hAnsi="inherit"/>
                <w:sz w:val="17"/>
              </w:rPr>
            </w:pPr>
            <w:r>
              <w:rPr>
                <w:rFonts w:ascii="inherit" w:hAnsi="inherit"/>
                <w:sz w:val="17"/>
              </w:rPr>
              <w:t>220</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820" w:type="dxa"/>
            <w:tcBorders/>
            <w:shd w:fill="CCEEFF" w:val="clear"/>
            <w:vAlign w:val="center"/>
          </w:tcPr>
          <w:p>
            <w:pPr>
              <w:pStyle w:val="TableContents"/>
              <w:spacing w:before="0" w:after="0"/>
              <w:jc w:val="center"/>
              <w:rPr>
                <w:rFonts w:ascii="inherit" w:hAnsi="inherit"/>
                <w:sz w:val="17"/>
              </w:rPr>
            </w:pPr>
            <w:r>
              <w:rPr>
                <w:rFonts w:ascii="inherit" w:hAnsi="inherit"/>
                <w:sz w:val="17"/>
              </w:rPr>
              <w:t>$1.00 - $1.33</w:t>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pPr>
      <w:r>
        <w:rPr/>
        <w:t> </w:t>
      </w:r>
    </w:p>
    <w:p>
      <w:pPr>
        <w:pStyle w:val="TextBody"/>
        <w:spacing w:lineRule="auto" w:line="288" w:before="0" w:after="0"/>
        <w:rPr>
          <w:rFonts w:ascii="inherit" w:hAnsi="inherit"/>
          <w:b/>
          <w:i/>
          <w:sz w:val="17"/>
        </w:rPr>
      </w:pPr>
      <w:r>
        <w:rPr>
          <w:rFonts w:ascii="inherit" w:hAnsi="inherit"/>
          <w:b/>
          <w:i/>
          <w:sz w:val="17"/>
        </w:rPr>
        <w:t>Preferred Distribution Rate Reset Option</w:t>
      </w:r>
    </w:p>
    <w:p>
      <w:pPr>
        <w:pStyle w:val="TextBody"/>
        <w:spacing w:lineRule="auto" w:line="288" w:before="0" w:after="0"/>
        <w:rPr/>
      </w:pPr>
      <w:r>
        <w:rPr/>
        <w:t> </w:t>
      </w:r>
    </w:p>
    <w:p>
      <w:pPr>
        <w:pStyle w:val="TextBody"/>
        <w:spacing w:lineRule="auto" w:line="288" w:before="0" w:after="0"/>
        <w:ind w:left="0" w:right="0" w:firstLine="720"/>
        <w:rPr>
          <w:sz w:val="17"/>
        </w:rPr>
      </w:pPr>
      <w:r>
        <w:rPr>
          <w:rFonts w:ascii="inherit" w:hAnsi="inherit"/>
          <w:sz w:val="17"/>
        </w:rPr>
        <w:t>A derivative feature embedded in a contract that does not meet the definition of a derivative in its entirety must be bifurcated and accounted for separately if the economic characteristics and risks of the embedded derivative are not clearly and closely related to those of the host contract. The Preferred Distribution Rate Reset Option of our Series A preferred units is an embedded derivative that must be bifurcated from the related host contract, our partnership agreement, and recorded at fair value on our Condensed Consolidated Balance Sheets. Corresponding changes in fair value are recognized in “Other income/(expense), net” in our Condensed Consolidated Statement of Operations. See Note 12 to our Consolidated Financial Statements included in Part IV of our 2018</w:t>
      </w:r>
      <w:r>
        <w:rPr>
          <w:sz w:val="17"/>
        </w:rPr>
        <w:t xml:space="preserve"> </w:t>
      </w:r>
      <w:r>
        <w:rPr>
          <w:rFonts w:ascii="inherit" w:hAnsi="inherit"/>
          <w:sz w:val="17"/>
        </w:rPr>
        <w:t>Annual Report on Form 10-K for additional information regarding our Series A preferred units and Preferred Distribution Rate Reset Option.</w:t>
      </w:r>
    </w:p>
    <w:p>
      <w:pPr>
        <w:pStyle w:val="TextBody"/>
        <w:spacing w:lineRule="auto" w:line="288" w:before="0" w:after="0"/>
        <w:rPr/>
      </w:pPr>
      <w:r>
        <w:rPr/>
        <w:t> </w:t>
      </w:r>
    </w:p>
    <w:p>
      <w:pPr>
        <w:pStyle w:val="TextBody"/>
        <w:spacing w:lineRule="auto" w:line="288" w:before="0" w:after="0"/>
        <w:rPr>
          <w:rFonts w:ascii="inherit" w:hAnsi="inherit"/>
          <w:b/>
          <w:i/>
          <w:sz w:val="17"/>
        </w:rPr>
      </w:pPr>
      <w:r>
        <w:rPr>
          <w:rFonts w:ascii="inherit" w:hAnsi="inherit"/>
          <w:b/>
          <w:i/>
          <w:sz w:val="17"/>
        </w:rPr>
        <w:t>Summary of Financial Impact</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are deferred in AOCI and recognized in earnings in the periods during which the underlying physical transactions are recognized in earnings. Derivatives that are not designated as a hedging instrument and derivatives that do not qualify for hedge accounting are recognized in earnings each period. Cash settlements associated with our derivative activities are classified within the same category as the related hedged item in our Condensed Consolidated Statements of Cash Flows.</w:t>
      </w:r>
    </w:p>
    <w:p>
      <w:pPr>
        <w:pStyle w:val="TextBody"/>
        <w:spacing w:lineRule="auto" w:line="288" w:before="0" w:after="0"/>
        <w:rPr/>
      </w:pPr>
      <w:r>
        <w:rPr/>
        <w:t>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25</w:t>
      </w:r>
      <w:r>
        <w:br w:type="page"/>
      </w:r>
    </w:p>
    <w:p>
      <w:pPr>
        <w:pStyle w:val="TextBody"/>
        <w:spacing w:lineRule="auto" w:line="288" w:before="0" w:after="0"/>
        <w:rPr/>
      </w:pPr>
      <w:hyperlink w:anchor="s3336AD8A685850CC9B7F2572CB2C0BC3">
        <w:r>
          <w:rPr>
            <w:rStyle w:val="InternetLink"/>
            <w:rFonts w:ascii="inherit" w:hAnsi="inherit"/>
            <w:sz w:val="17"/>
          </w:rPr>
          <w:t>Table of Contents</w:t>
        </w:r>
      </w:hyperlink>
      <w:r>
        <w:rPr>
          <w:sz w:val="17"/>
        </w:rPr>
        <w:t xml:space="preserve"> </w:t>
      </w:r>
    </w:p>
    <w:p>
      <w:pPr>
        <w:pStyle w:val="TextBody"/>
        <w:spacing w:lineRule="auto" w:line="288" w:before="0" w:after="0"/>
        <w:jc w:val="center"/>
        <w:rPr>
          <w:rFonts w:ascii="inherit" w:hAnsi="inherit"/>
          <w:b/>
          <w:sz w:val="17"/>
        </w:rPr>
      </w:pPr>
      <w:r>
        <w:rPr>
          <w:rFonts w:ascii="inherit" w:hAnsi="inherit"/>
          <w:b/>
          <w:sz w:val="17"/>
        </w:rPr>
        <w:t>PLAINS ALL AMERICAN PIPELINE, L.P. AND SUBSIDIARIES</w:t>
      </w:r>
    </w:p>
    <w:p>
      <w:pPr>
        <w:pStyle w:val="TextBody"/>
        <w:spacing w:lineRule="auto" w:line="288" w:before="0" w:after="0"/>
        <w:jc w:val="center"/>
        <w:rPr>
          <w:rFonts w:ascii="inherit" w:hAnsi="inherit"/>
          <w:b/>
          <w:sz w:val="17"/>
        </w:rPr>
      </w:pPr>
      <w:r>
        <w:rPr>
          <w:rFonts w:ascii="inherit" w:hAnsi="inherit"/>
          <w:b/>
          <w:sz w:val="17"/>
        </w:rPr>
        <w:t>NOTES TO THE UNAUDITED CONDENSED CONSOLIDATED FINANCIAL STATEMENTS</w:t>
      </w:r>
    </w:p>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720"/>
        <w:rPr>
          <w:rFonts w:ascii="inherit" w:hAnsi="inherit"/>
          <w:sz w:val="17"/>
        </w:rPr>
      </w:pPr>
      <w:r>
        <w:rPr>
          <w:rFonts w:ascii="inherit" w:hAnsi="inherit"/>
          <w:sz w:val="17"/>
        </w:rPr>
        <w:t>A summary of the impact of our derivatives recognized in earnings is as follows (in millions):</w:t>
      </w:r>
    </w:p>
    <w:tbl>
      <w:tblPr>
        <w:tblW w:w="10205" w:type="dxa"/>
        <w:jc w:val="center"/>
        <w:tblInd w:w="0" w:type="dxa"/>
        <w:tblCellMar>
          <w:top w:w="0" w:type="dxa"/>
          <w:left w:w="0" w:type="dxa"/>
          <w:bottom w:w="0" w:type="dxa"/>
          <w:right w:w="0" w:type="dxa"/>
        </w:tblCellMar>
      </w:tblPr>
      <w:tblGrid>
        <w:gridCol w:w="2919"/>
        <w:gridCol w:w="333"/>
        <w:gridCol w:w="615"/>
        <w:gridCol w:w="81"/>
        <w:gridCol w:w="97"/>
        <w:gridCol w:w="748"/>
        <w:gridCol w:w="748"/>
        <w:gridCol w:w="181"/>
        <w:gridCol w:w="97"/>
        <w:gridCol w:w="531"/>
        <w:gridCol w:w="1108"/>
        <w:gridCol w:w="470"/>
        <w:gridCol w:w="97"/>
        <w:gridCol w:w="387"/>
        <w:gridCol w:w="808"/>
        <w:gridCol w:w="344"/>
        <w:gridCol w:w="97"/>
        <w:gridCol w:w="147"/>
        <w:gridCol w:w="250"/>
        <w:gridCol w:w="147"/>
      </w:tblGrid>
      <w:tr>
        <w:trPr/>
        <w:tc>
          <w:tcPr>
            <w:tcW w:w="10205" w:type="dxa"/>
            <w:gridSpan w:val="20"/>
            <w:tcBorders/>
            <w:shd w:fill="auto" w:val="clear"/>
            <w:vAlign w:val="center"/>
          </w:tcPr>
          <w:p>
            <w:pPr>
              <w:pStyle w:val="TableContents"/>
              <w:spacing w:before="0" w:after="283"/>
              <w:rPr>
                <w:sz w:val="4"/>
                <w:szCs w:val="4"/>
              </w:rPr>
            </w:pPr>
            <w:r>
              <w:rPr>
                <w:sz w:val="4"/>
                <w:szCs w:val="4"/>
              </w:rPr>
            </w:r>
          </w:p>
        </w:tc>
      </w:tr>
      <w:tr>
        <w:trPr/>
        <w:tc>
          <w:tcPr>
            <w:tcW w:w="2919"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81"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919" w:type="dxa"/>
            <w:tcBorders/>
            <w:shd w:fill="auto" w:val="clear"/>
            <w:vAlign w:val="center"/>
          </w:tcPr>
          <w:p>
            <w:pPr>
              <w:pStyle w:val="TableContents"/>
              <w:spacing w:before="0" w:after="0"/>
              <w:ind w:left="0" w:right="0" w:firstLine="30"/>
              <w:rPr/>
            </w:pPr>
            <w:r>
              <w:rPr/>
              <w:t> </w:t>
            </w:r>
          </w:p>
        </w:tc>
        <w:tc>
          <w:tcPr>
            <w:tcW w:w="7286" w:type="dxa"/>
            <w:gridSpan w:val="19"/>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Three Months Ended June 30, 2019</w:t>
            </w:r>
          </w:p>
        </w:tc>
      </w:tr>
      <w:tr>
        <w:trPr/>
        <w:tc>
          <w:tcPr>
            <w:tcW w:w="2919" w:type="dxa"/>
            <w:tcBorders/>
            <w:shd w:fill="auto" w:val="clear"/>
            <w:vAlign w:val="center"/>
          </w:tcPr>
          <w:p>
            <w:pPr>
              <w:pStyle w:val="TableContents"/>
              <w:spacing w:before="0" w:after="0"/>
              <w:ind w:left="0" w:right="0" w:firstLine="30"/>
              <w:rPr>
                <w:rFonts w:ascii="inherit" w:hAnsi="inherit"/>
                <w:b/>
                <w:sz w:val="15"/>
              </w:rPr>
            </w:pPr>
            <w:r>
              <w:rPr>
                <w:rFonts w:ascii="inherit" w:hAnsi="inherit"/>
                <w:b/>
                <w:sz w:val="15"/>
              </w:rPr>
              <w:t>Location of Gain/(Loss)</w:t>
            </w:r>
          </w:p>
        </w:tc>
        <w:tc>
          <w:tcPr>
            <w:tcW w:w="102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 xml:space="preserve">Commodity </w:t>
              <w:br/>
              <w:t>Derivatives</w:t>
            </w:r>
          </w:p>
        </w:tc>
        <w:tc>
          <w:tcPr>
            <w:tcW w:w="97" w:type="dxa"/>
            <w:tcBorders/>
            <w:shd w:fill="auto" w:val="clear"/>
            <w:vAlign w:val="center"/>
          </w:tcPr>
          <w:p>
            <w:pPr>
              <w:pStyle w:val="TableContents"/>
              <w:spacing w:before="0" w:after="0"/>
              <w:ind w:left="0" w:right="0" w:firstLine="30"/>
              <w:rPr/>
            </w:pPr>
            <w:r>
              <w:rPr/>
              <w:t> </w:t>
            </w:r>
          </w:p>
        </w:tc>
        <w:tc>
          <w:tcPr>
            <w:tcW w:w="167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Foreign Currency Derivatives</w:t>
            </w:r>
          </w:p>
        </w:tc>
        <w:tc>
          <w:tcPr>
            <w:tcW w:w="97" w:type="dxa"/>
            <w:tcBorders/>
            <w:shd w:fill="auto" w:val="clear"/>
            <w:vAlign w:val="center"/>
          </w:tcPr>
          <w:p>
            <w:pPr>
              <w:pStyle w:val="TableContents"/>
              <w:spacing w:before="0" w:after="0"/>
              <w:ind w:left="0" w:right="0" w:firstLine="30"/>
              <w:rPr/>
            </w:pPr>
            <w:r>
              <w:rPr/>
              <w:t> </w:t>
            </w:r>
          </w:p>
        </w:tc>
        <w:tc>
          <w:tcPr>
            <w:tcW w:w="210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Preferred Distribution Rate Reset Option</w:t>
            </w:r>
          </w:p>
        </w:tc>
        <w:tc>
          <w:tcPr>
            <w:tcW w:w="97" w:type="dxa"/>
            <w:tcBorders/>
            <w:shd w:fill="auto" w:val="clear"/>
            <w:vAlign w:val="center"/>
          </w:tcPr>
          <w:p>
            <w:pPr>
              <w:pStyle w:val="TableContents"/>
              <w:spacing w:before="0" w:after="0"/>
              <w:ind w:left="0" w:right="0" w:firstLine="30"/>
              <w:rPr/>
            </w:pPr>
            <w:r>
              <w:rPr/>
              <w:t> </w:t>
            </w:r>
          </w:p>
        </w:tc>
        <w:tc>
          <w:tcPr>
            <w:tcW w:w="153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Interest Rate Derivatives</w:t>
            </w:r>
          </w:p>
        </w:tc>
        <w:tc>
          <w:tcPr>
            <w:tcW w:w="97" w:type="dxa"/>
            <w:tcBorders/>
            <w:shd w:fill="auto" w:val="clear"/>
            <w:vAlign w:val="center"/>
          </w:tcPr>
          <w:p>
            <w:pPr>
              <w:pStyle w:val="TableContents"/>
              <w:spacing w:before="0" w:after="0"/>
              <w:ind w:left="0" w:right="0" w:firstLine="30"/>
              <w:rPr/>
            </w:pPr>
            <w:r>
              <w:rPr/>
              <w:t> </w:t>
            </w:r>
          </w:p>
        </w:tc>
        <w:tc>
          <w:tcPr>
            <w:tcW w:w="54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Total</w:t>
            </w:r>
          </w:p>
        </w:tc>
      </w:tr>
      <w:tr>
        <w:trPr/>
        <w:tc>
          <w:tcPr>
            <w:tcW w:w="2919" w:type="dxa"/>
            <w:tcBorders/>
            <w:shd w:fill="CCEEFF" w:val="clear"/>
            <w:vAlign w:val="center"/>
          </w:tcPr>
          <w:p>
            <w:pPr>
              <w:pStyle w:val="TableContents"/>
              <w:spacing w:lineRule="auto" w:line="288" w:before="0" w:after="0"/>
              <w:ind w:left="0" w:right="0" w:firstLine="30"/>
              <w:rPr>
                <w:sz w:val="17"/>
              </w:rPr>
            </w:pPr>
            <w:r>
              <w:rPr>
                <w:rFonts w:ascii="inherit" w:hAnsi="inherit"/>
                <w:sz w:val="17"/>
              </w:rPr>
              <w:t xml:space="preserve">Supply and Logistics segment revenues </w:t>
            </w:r>
            <w:r>
              <w:rPr>
                <w:rFonts w:ascii="inherit" w:hAnsi="inherit"/>
                <w:sz w:val="12"/>
              </w:rPr>
              <w:t>(1)</w:t>
            </w:r>
          </w:p>
        </w:tc>
        <w:tc>
          <w:tcPr>
            <w:tcW w:w="33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15" w:type="dxa"/>
            <w:tcBorders/>
            <w:shd w:fill="CCEEFF" w:val="clear"/>
            <w:vAlign w:val="center"/>
          </w:tcPr>
          <w:p>
            <w:pPr>
              <w:pStyle w:val="TableContents"/>
              <w:spacing w:before="0" w:after="0"/>
              <w:jc w:val="right"/>
              <w:rPr>
                <w:rFonts w:ascii="inherit" w:hAnsi="inherit"/>
                <w:sz w:val="17"/>
              </w:rPr>
            </w:pPr>
            <w:r>
              <w:rPr>
                <w:rFonts w:ascii="inherit" w:hAnsi="inherit"/>
                <w:sz w:val="17"/>
              </w:rPr>
              <w:t>56</w:t>
            </w:r>
          </w:p>
        </w:tc>
        <w:tc>
          <w:tcPr>
            <w:tcW w:w="8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CCEEFF" w:val="clear"/>
            <w:vAlign w:val="center"/>
          </w:tcPr>
          <w:p>
            <w:pPr>
              <w:pStyle w:val="TableContents"/>
              <w:spacing w:before="0" w:after="0"/>
              <w:ind w:left="0" w:right="0" w:firstLine="30"/>
              <w:rPr/>
            </w:pPr>
            <w:r>
              <w:rPr/>
              <w:t> </w:t>
            </w:r>
          </w:p>
        </w:tc>
        <w:tc>
          <w:tcPr>
            <w:tcW w:w="74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48" w:type="dxa"/>
            <w:tcBorders/>
            <w:shd w:fill="CCEEFF" w:val="clear"/>
            <w:vAlign w:val="center"/>
          </w:tcPr>
          <w:p>
            <w:pPr>
              <w:pStyle w:val="TableContents"/>
              <w:spacing w:before="0" w:after="0"/>
              <w:jc w:val="right"/>
              <w:rPr>
                <w:rFonts w:ascii="inherit" w:hAnsi="inherit"/>
                <w:sz w:val="17"/>
              </w:rPr>
            </w:pPr>
            <w:r>
              <w:rPr>
                <w:rFonts w:ascii="inherit" w:hAnsi="inherit"/>
                <w:sz w:val="17"/>
              </w:rPr>
              <w:t>2</w:t>
            </w:r>
          </w:p>
        </w:tc>
        <w:tc>
          <w:tcPr>
            <w:tcW w:w="18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CCEEFF" w:val="clear"/>
            <w:vAlign w:val="center"/>
          </w:tcPr>
          <w:p>
            <w:pPr>
              <w:pStyle w:val="TableContents"/>
              <w:spacing w:before="0" w:after="0"/>
              <w:ind w:left="0" w:right="0" w:firstLine="30"/>
              <w:rPr/>
            </w:pPr>
            <w:r>
              <w:rPr/>
              <w:t> </w:t>
            </w:r>
          </w:p>
        </w:tc>
        <w:tc>
          <w:tcPr>
            <w:tcW w:w="53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08" w:type="dxa"/>
            <w:tcBorders/>
            <w:shd w:fill="CCEEFF" w:val="clear"/>
            <w:vAlign w:val="center"/>
          </w:tcPr>
          <w:p>
            <w:pPr>
              <w:pStyle w:val="TableContents"/>
              <w:spacing w:before="0" w:after="0"/>
              <w:jc w:val="right"/>
              <w:rPr/>
            </w:pPr>
            <w:r>
              <w:rPr/>
              <w:t>—</w:t>
            </w:r>
          </w:p>
        </w:tc>
        <w:tc>
          <w:tcPr>
            <w:tcW w:w="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CCEEFF" w:val="clear"/>
            <w:vAlign w:val="center"/>
          </w:tcPr>
          <w:p>
            <w:pPr>
              <w:pStyle w:val="TableContents"/>
              <w:spacing w:before="0" w:after="0"/>
              <w:ind w:left="0" w:right="0" w:firstLine="30"/>
              <w:rPr/>
            </w:pPr>
            <w:r>
              <w:rPr/>
              <w:t> </w:t>
            </w:r>
          </w:p>
        </w:tc>
        <w:tc>
          <w:tcPr>
            <w:tcW w:w="38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08" w:type="dxa"/>
            <w:tcBorders/>
            <w:shd w:fill="CCEEFF" w:val="clear"/>
            <w:vAlign w:val="center"/>
          </w:tcPr>
          <w:p>
            <w:pPr>
              <w:pStyle w:val="TableContents"/>
              <w:spacing w:before="0" w:after="0"/>
              <w:jc w:val="right"/>
              <w:rPr/>
            </w:pPr>
            <w:r>
              <w:rPr/>
              <w:t>—</w:t>
            </w:r>
          </w:p>
        </w:tc>
        <w:tc>
          <w:tcPr>
            <w:tcW w:w="3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CCEEFF" w:val="clear"/>
            <w:vAlign w:val="center"/>
          </w:tcPr>
          <w:p>
            <w:pPr>
              <w:pStyle w:val="TableContents"/>
              <w:spacing w:before="0" w:after="0"/>
              <w:ind w:left="0" w:right="0" w:firstLine="30"/>
              <w:rPr/>
            </w:pPr>
            <w:r>
              <w:rPr/>
              <w:t> </w:t>
            </w:r>
          </w:p>
        </w:tc>
        <w:tc>
          <w:tcPr>
            <w:tcW w:w="147"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250"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58</w:t>
            </w:r>
          </w:p>
        </w:tc>
        <w:tc>
          <w:tcPr>
            <w:tcW w:w="147"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919" w:type="dxa"/>
            <w:tcBorders/>
            <w:shd w:fill="auto" w:val="clear"/>
            <w:vAlign w:val="center"/>
          </w:tcPr>
          <w:p>
            <w:pPr>
              <w:pStyle w:val="TableContents"/>
              <w:spacing w:lineRule="auto" w:line="288" w:before="0" w:after="0"/>
              <w:ind w:left="0" w:right="0" w:firstLine="30"/>
              <w:rPr>
                <w:sz w:val="17"/>
              </w:rPr>
            </w:pPr>
            <w:r>
              <w:rPr>
                <w:rFonts w:ascii="inherit" w:hAnsi="inherit"/>
                <w:sz w:val="17"/>
              </w:rPr>
              <w:t xml:space="preserve">Field operating costs </w:t>
            </w:r>
            <w:r>
              <w:rPr>
                <w:rFonts w:ascii="inherit" w:hAnsi="inherit"/>
                <w:sz w:val="12"/>
              </w:rPr>
              <w:t>(1)</w:t>
            </w:r>
          </w:p>
        </w:tc>
        <w:tc>
          <w:tcPr>
            <w:tcW w:w="9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w:t>
            </w:r>
          </w:p>
        </w:tc>
        <w:tc>
          <w:tcPr>
            <w:tcW w:w="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auto" w:val="clear"/>
            <w:vAlign w:val="center"/>
          </w:tcPr>
          <w:p>
            <w:pPr>
              <w:pStyle w:val="TableContents"/>
              <w:spacing w:before="0" w:after="0"/>
              <w:ind w:left="0" w:right="0" w:firstLine="30"/>
              <w:rPr/>
            </w:pPr>
            <w:r>
              <w:rPr/>
              <w:t> </w:t>
            </w:r>
          </w:p>
        </w:tc>
        <w:tc>
          <w:tcPr>
            <w:tcW w:w="1496" w:type="dxa"/>
            <w:gridSpan w:val="2"/>
            <w:tcBorders/>
            <w:shd w:fill="auto" w:val="clear"/>
            <w:vAlign w:val="center"/>
          </w:tcPr>
          <w:p>
            <w:pPr>
              <w:pStyle w:val="TableContents"/>
              <w:spacing w:before="0" w:after="0"/>
              <w:jc w:val="right"/>
              <w:rPr/>
            </w:pPr>
            <w:r>
              <w:rPr/>
              <w:t>—</w:t>
            </w:r>
          </w:p>
        </w:tc>
        <w:tc>
          <w:tcPr>
            <w:tcW w:w="1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auto" w:val="clear"/>
            <w:vAlign w:val="center"/>
          </w:tcPr>
          <w:p>
            <w:pPr>
              <w:pStyle w:val="TableContents"/>
              <w:spacing w:before="0" w:after="0"/>
              <w:ind w:left="0" w:right="0" w:firstLine="30"/>
              <w:rPr/>
            </w:pPr>
            <w:r>
              <w:rPr/>
              <w:t> </w:t>
            </w:r>
          </w:p>
        </w:tc>
        <w:tc>
          <w:tcPr>
            <w:tcW w:w="1639" w:type="dxa"/>
            <w:gridSpan w:val="2"/>
            <w:tcBorders/>
            <w:shd w:fill="auto" w:val="clear"/>
            <w:vAlign w:val="center"/>
          </w:tcPr>
          <w:p>
            <w:pPr>
              <w:pStyle w:val="TableContents"/>
              <w:spacing w:before="0" w:after="0"/>
              <w:jc w:val="right"/>
              <w:rPr/>
            </w:pPr>
            <w:r>
              <w:rPr/>
              <w:t>—</w:t>
            </w:r>
          </w:p>
        </w:tc>
        <w:tc>
          <w:tcPr>
            <w:tcW w:w="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auto" w:val="clear"/>
            <w:vAlign w:val="center"/>
          </w:tcPr>
          <w:p>
            <w:pPr>
              <w:pStyle w:val="TableContents"/>
              <w:spacing w:before="0" w:after="0"/>
              <w:ind w:left="0" w:right="0" w:firstLine="30"/>
              <w:rPr/>
            </w:pPr>
            <w:r>
              <w:rPr/>
              <w:t> </w:t>
            </w:r>
          </w:p>
        </w:tc>
        <w:tc>
          <w:tcPr>
            <w:tcW w:w="1195" w:type="dxa"/>
            <w:gridSpan w:val="2"/>
            <w:tcBorders/>
            <w:shd w:fill="auto" w:val="clear"/>
            <w:vAlign w:val="center"/>
          </w:tcPr>
          <w:p>
            <w:pPr>
              <w:pStyle w:val="TableContents"/>
              <w:spacing w:before="0" w:after="0"/>
              <w:jc w:val="right"/>
              <w:rPr/>
            </w:pPr>
            <w:r>
              <w:rPr/>
              <w:t>—</w:t>
            </w:r>
          </w:p>
        </w:tc>
        <w:tc>
          <w:tcPr>
            <w:tcW w:w="3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auto" w:val="clear"/>
            <w:vAlign w:val="center"/>
          </w:tcPr>
          <w:p>
            <w:pPr>
              <w:pStyle w:val="TableContents"/>
              <w:spacing w:before="0" w:after="0"/>
              <w:ind w:left="0" w:right="0" w:firstLine="30"/>
              <w:rPr/>
            </w:pPr>
            <w:r>
              <w:rPr/>
              <w:t> </w:t>
            </w:r>
          </w:p>
        </w:tc>
        <w:tc>
          <w:tcPr>
            <w:tcW w:w="39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w:t>
            </w:r>
          </w:p>
        </w:tc>
        <w:tc>
          <w:tcPr>
            <w:tcW w:w="1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919" w:type="dxa"/>
            <w:tcBorders/>
            <w:shd w:fill="CCEEFF" w:val="clear"/>
            <w:vAlign w:val="center"/>
          </w:tcPr>
          <w:p>
            <w:pPr>
              <w:pStyle w:val="TableContents"/>
              <w:spacing w:lineRule="auto" w:line="288" w:before="0" w:after="0"/>
              <w:ind w:left="0" w:right="0" w:firstLine="30"/>
              <w:rPr>
                <w:sz w:val="17"/>
              </w:rPr>
            </w:pPr>
            <w:r>
              <w:rPr>
                <w:rFonts w:ascii="inherit" w:hAnsi="inherit"/>
                <w:sz w:val="17"/>
              </w:rPr>
              <w:t xml:space="preserve">Interest expense, net </w:t>
            </w:r>
            <w:r>
              <w:rPr>
                <w:rFonts w:ascii="inherit" w:hAnsi="inherit"/>
                <w:sz w:val="12"/>
              </w:rPr>
              <w:t>(2)</w:t>
            </w:r>
          </w:p>
        </w:tc>
        <w:tc>
          <w:tcPr>
            <w:tcW w:w="948" w:type="dxa"/>
            <w:gridSpan w:val="2"/>
            <w:tcBorders/>
            <w:shd w:fill="CCEEFF" w:val="clear"/>
            <w:vAlign w:val="center"/>
          </w:tcPr>
          <w:p>
            <w:pPr>
              <w:pStyle w:val="TableContents"/>
              <w:spacing w:before="0" w:after="0"/>
              <w:jc w:val="right"/>
              <w:rPr/>
            </w:pPr>
            <w:r>
              <w:rPr/>
              <w:t>—</w:t>
            </w:r>
          </w:p>
        </w:tc>
        <w:tc>
          <w:tcPr>
            <w:tcW w:w="8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CCEEFF" w:val="clear"/>
            <w:vAlign w:val="center"/>
          </w:tcPr>
          <w:p>
            <w:pPr>
              <w:pStyle w:val="TableContents"/>
              <w:spacing w:before="0" w:after="0"/>
              <w:ind w:left="0" w:right="0" w:firstLine="30"/>
              <w:rPr/>
            </w:pPr>
            <w:r>
              <w:rPr/>
              <w:t> </w:t>
            </w:r>
          </w:p>
        </w:tc>
        <w:tc>
          <w:tcPr>
            <w:tcW w:w="1496" w:type="dxa"/>
            <w:gridSpan w:val="2"/>
            <w:tcBorders/>
            <w:shd w:fill="CCEEFF" w:val="clear"/>
            <w:vAlign w:val="center"/>
          </w:tcPr>
          <w:p>
            <w:pPr>
              <w:pStyle w:val="TableContents"/>
              <w:spacing w:before="0" w:after="0"/>
              <w:jc w:val="right"/>
              <w:rPr/>
            </w:pPr>
            <w:r>
              <w:rPr/>
              <w:t>—</w:t>
            </w:r>
          </w:p>
        </w:tc>
        <w:tc>
          <w:tcPr>
            <w:tcW w:w="18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CCEEFF" w:val="clear"/>
            <w:vAlign w:val="center"/>
          </w:tcPr>
          <w:p>
            <w:pPr>
              <w:pStyle w:val="TableContents"/>
              <w:spacing w:before="0" w:after="0"/>
              <w:ind w:left="0" w:right="0" w:firstLine="30"/>
              <w:rPr/>
            </w:pPr>
            <w:r>
              <w:rPr/>
              <w:t> </w:t>
            </w:r>
          </w:p>
        </w:tc>
        <w:tc>
          <w:tcPr>
            <w:tcW w:w="1639" w:type="dxa"/>
            <w:gridSpan w:val="2"/>
            <w:tcBorders/>
            <w:shd w:fill="CCEEFF" w:val="clear"/>
            <w:vAlign w:val="center"/>
          </w:tcPr>
          <w:p>
            <w:pPr>
              <w:pStyle w:val="TableContents"/>
              <w:spacing w:before="0" w:after="0"/>
              <w:jc w:val="right"/>
              <w:rPr/>
            </w:pPr>
            <w:r>
              <w:rPr/>
              <w:t>—</w:t>
            </w:r>
          </w:p>
        </w:tc>
        <w:tc>
          <w:tcPr>
            <w:tcW w:w="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CCEEFF" w:val="clear"/>
            <w:vAlign w:val="center"/>
          </w:tcPr>
          <w:p>
            <w:pPr>
              <w:pStyle w:val="TableContents"/>
              <w:spacing w:before="0" w:after="0"/>
              <w:ind w:left="0" w:right="0" w:firstLine="30"/>
              <w:rPr/>
            </w:pPr>
            <w:r>
              <w:rPr/>
              <w:t> </w:t>
            </w:r>
          </w:p>
        </w:tc>
        <w:tc>
          <w:tcPr>
            <w:tcW w:w="11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w:t>
            </w:r>
          </w:p>
        </w:tc>
        <w:tc>
          <w:tcPr>
            <w:tcW w:w="3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7" w:type="dxa"/>
            <w:tcBorders/>
            <w:shd w:fill="CCEEFF" w:val="clear"/>
            <w:vAlign w:val="center"/>
          </w:tcPr>
          <w:p>
            <w:pPr>
              <w:pStyle w:val="TableContents"/>
              <w:spacing w:before="0" w:after="0"/>
              <w:ind w:left="0" w:right="0" w:firstLine="30"/>
              <w:rPr/>
            </w:pPr>
            <w:r>
              <w:rPr/>
              <w:t> </w:t>
            </w:r>
          </w:p>
        </w:tc>
        <w:tc>
          <w:tcPr>
            <w:tcW w:w="39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w:t>
            </w:r>
          </w:p>
        </w:tc>
        <w:tc>
          <w:tcPr>
            <w:tcW w:w="1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919" w:type="dxa"/>
            <w:tcBorders/>
            <w:shd w:fill="auto" w:val="clear"/>
            <w:vAlign w:val="center"/>
          </w:tcPr>
          <w:p>
            <w:pPr>
              <w:pStyle w:val="TableContents"/>
              <w:spacing w:lineRule="auto" w:line="288" w:before="0" w:after="0"/>
              <w:ind w:left="0" w:right="0" w:firstLine="30"/>
              <w:rPr>
                <w:sz w:val="17"/>
              </w:rPr>
            </w:pPr>
            <w:r>
              <w:rPr>
                <w:rFonts w:ascii="inherit" w:hAnsi="inherit"/>
                <w:sz w:val="17"/>
              </w:rPr>
              <w:t xml:space="preserve">Other income/(expense), net </w:t>
            </w:r>
            <w:r>
              <w:rPr>
                <w:rFonts w:ascii="inherit" w:hAnsi="inherit"/>
                <w:sz w:val="12"/>
              </w:rPr>
              <w:t>(1)</w:t>
            </w:r>
          </w:p>
        </w:tc>
        <w:tc>
          <w:tcPr>
            <w:tcW w:w="948" w:type="dxa"/>
            <w:gridSpan w:val="2"/>
            <w:tcBorders/>
            <w:shd w:fill="auto" w:val="clear"/>
            <w:vAlign w:val="center"/>
          </w:tcPr>
          <w:p>
            <w:pPr>
              <w:pStyle w:val="TableContents"/>
              <w:spacing w:before="0" w:after="0"/>
              <w:jc w:val="right"/>
              <w:rPr/>
            </w:pPr>
            <w:r>
              <w:rPr/>
              <w:t>—</w:t>
            </w:r>
          </w:p>
        </w:tc>
        <w:tc>
          <w:tcPr>
            <w:tcW w:w="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auto" w:val="clear"/>
            <w:vAlign w:val="center"/>
          </w:tcPr>
          <w:p>
            <w:pPr>
              <w:pStyle w:val="TableContents"/>
              <w:spacing w:before="0" w:after="0"/>
              <w:ind w:left="0" w:right="0" w:firstLine="30"/>
              <w:rPr/>
            </w:pPr>
            <w:r>
              <w:rPr/>
              <w:t> </w:t>
            </w:r>
          </w:p>
        </w:tc>
        <w:tc>
          <w:tcPr>
            <w:tcW w:w="1496" w:type="dxa"/>
            <w:gridSpan w:val="2"/>
            <w:tcBorders/>
            <w:shd w:fill="auto" w:val="clear"/>
            <w:vAlign w:val="center"/>
          </w:tcPr>
          <w:p>
            <w:pPr>
              <w:pStyle w:val="TableContents"/>
              <w:spacing w:before="0" w:after="0"/>
              <w:jc w:val="right"/>
              <w:rPr/>
            </w:pPr>
            <w:r>
              <w:rPr/>
              <w:t>—</w:t>
            </w:r>
          </w:p>
        </w:tc>
        <w:tc>
          <w:tcPr>
            <w:tcW w:w="1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auto" w:val="clear"/>
            <w:vAlign w:val="center"/>
          </w:tcPr>
          <w:p>
            <w:pPr>
              <w:pStyle w:val="TableContents"/>
              <w:spacing w:before="0" w:after="0"/>
              <w:ind w:left="0" w:right="0" w:firstLine="30"/>
              <w:rPr/>
            </w:pPr>
            <w:r>
              <w:rPr/>
              <w:t> </w:t>
            </w:r>
          </w:p>
        </w:tc>
        <w:tc>
          <w:tcPr>
            <w:tcW w:w="163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w:t>
            </w:r>
          </w:p>
        </w:tc>
        <w:tc>
          <w:tcPr>
            <w:tcW w:w="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7" w:type="dxa"/>
            <w:tcBorders/>
            <w:shd w:fill="auto" w:val="clear"/>
            <w:vAlign w:val="center"/>
          </w:tcPr>
          <w:p>
            <w:pPr>
              <w:pStyle w:val="TableContents"/>
              <w:spacing w:before="0" w:after="0"/>
              <w:ind w:left="0" w:right="0" w:firstLine="30"/>
              <w:rPr/>
            </w:pPr>
            <w:r>
              <w:rPr/>
              <w:t> </w:t>
            </w:r>
          </w:p>
        </w:tc>
        <w:tc>
          <w:tcPr>
            <w:tcW w:w="1195" w:type="dxa"/>
            <w:gridSpan w:val="2"/>
            <w:tcBorders/>
            <w:shd w:fill="auto" w:val="clear"/>
            <w:vAlign w:val="center"/>
          </w:tcPr>
          <w:p>
            <w:pPr>
              <w:pStyle w:val="TableContents"/>
              <w:spacing w:before="0" w:after="0"/>
              <w:jc w:val="right"/>
              <w:rPr/>
            </w:pPr>
            <w:r>
              <w:rPr/>
              <w:t>—</w:t>
            </w:r>
          </w:p>
        </w:tc>
        <w:tc>
          <w:tcPr>
            <w:tcW w:w="3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auto" w:val="clear"/>
            <w:vAlign w:val="center"/>
          </w:tcPr>
          <w:p>
            <w:pPr>
              <w:pStyle w:val="TableContents"/>
              <w:spacing w:before="0" w:after="0"/>
              <w:ind w:left="0" w:right="0" w:firstLine="30"/>
              <w:rPr/>
            </w:pPr>
            <w:r>
              <w:rPr/>
              <w:t> </w:t>
            </w:r>
          </w:p>
        </w:tc>
        <w:tc>
          <w:tcPr>
            <w:tcW w:w="39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w:t>
            </w:r>
          </w:p>
        </w:tc>
        <w:tc>
          <w:tcPr>
            <w:tcW w:w="147"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91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gain/(loss) on derivatives recognized in net income</w:t>
            </w:r>
          </w:p>
        </w:tc>
        <w:tc>
          <w:tcPr>
            <w:tcW w:w="33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1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60</w:t>
            </w:r>
          </w:p>
        </w:tc>
        <w:tc>
          <w:tcPr>
            <w:tcW w:w="8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CCEEFF" w:val="clear"/>
            <w:vAlign w:val="center"/>
          </w:tcPr>
          <w:p>
            <w:pPr>
              <w:pStyle w:val="TableContents"/>
              <w:spacing w:before="0" w:after="0"/>
              <w:ind w:left="0" w:right="0" w:firstLine="30"/>
              <w:rPr/>
            </w:pPr>
            <w:r>
              <w:rPr/>
              <w:t> </w:t>
            </w:r>
          </w:p>
        </w:tc>
        <w:tc>
          <w:tcPr>
            <w:tcW w:w="74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4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w:t>
            </w:r>
          </w:p>
        </w:tc>
        <w:tc>
          <w:tcPr>
            <w:tcW w:w="18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CCEEFF" w:val="clear"/>
            <w:vAlign w:val="center"/>
          </w:tcPr>
          <w:p>
            <w:pPr>
              <w:pStyle w:val="TableContents"/>
              <w:spacing w:before="0" w:after="0"/>
              <w:ind w:left="0" w:right="0" w:firstLine="30"/>
              <w:rPr/>
            </w:pPr>
            <w:r>
              <w:rPr/>
              <w:t> </w:t>
            </w:r>
          </w:p>
        </w:tc>
        <w:tc>
          <w:tcPr>
            <w:tcW w:w="53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0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w:t>
            </w:r>
          </w:p>
        </w:tc>
        <w:tc>
          <w:tcPr>
            <w:tcW w:w="47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7" w:type="dxa"/>
            <w:tcBorders/>
            <w:shd w:fill="CCEEFF" w:val="clear"/>
            <w:vAlign w:val="center"/>
          </w:tcPr>
          <w:p>
            <w:pPr>
              <w:pStyle w:val="TableContents"/>
              <w:spacing w:before="0" w:after="0"/>
              <w:ind w:left="0" w:right="0" w:firstLine="30"/>
              <w:rPr/>
            </w:pPr>
            <w:r>
              <w:rPr/>
              <w:t> </w:t>
            </w:r>
          </w:p>
        </w:tc>
        <w:tc>
          <w:tcPr>
            <w:tcW w:w="38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0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w:t>
            </w:r>
          </w:p>
        </w:tc>
        <w:tc>
          <w:tcPr>
            <w:tcW w:w="34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7" w:type="dxa"/>
            <w:tcBorders/>
            <w:shd w:fill="CCEEFF" w:val="clear"/>
            <w:vAlign w:val="center"/>
          </w:tcPr>
          <w:p>
            <w:pPr>
              <w:pStyle w:val="TableContents"/>
              <w:spacing w:before="0" w:after="0"/>
              <w:ind w:left="0" w:right="0" w:firstLine="30"/>
              <w:rPr/>
            </w:pPr>
            <w:r>
              <w:rPr/>
              <w:t> </w:t>
            </w:r>
          </w:p>
        </w:tc>
        <w:tc>
          <w:tcPr>
            <w:tcW w:w="14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25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52</w:t>
            </w:r>
          </w:p>
        </w:tc>
        <w:tc>
          <w:tcPr>
            <w:tcW w:w="147"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tbl>
      <w:tblPr>
        <w:tblW w:w="10205" w:type="dxa"/>
        <w:jc w:val="center"/>
        <w:tblInd w:w="0" w:type="dxa"/>
        <w:tblCellMar>
          <w:top w:w="0" w:type="dxa"/>
          <w:left w:w="0" w:type="dxa"/>
          <w:bottom w:w="0" w:type="dxa"/>
          <w:right w:w="0" w:type="dxa"/>
        </w:tblCellMar>
      </w:tblPr>
      <w:tblGrid>
        <w:gridCol w:w="2886"/>
        <w:gridCol w:w="203"/>
        <w:gridCol w:w="645"/>
        <w:gridCol w:w="180"/>
        <w:gridCol w:w="90"/>
        <w:gridCol w:w="494"/>
        <w:gridCol w:w="732"/>
        <w:gridCol w:w="436"/>
        <w:gridCol w:w="90"/>
        <w:gridCol w:w="628"/>
        <w:gridCol w:w="1306"/>
        <w:gridCol w:w="152"/>
        <w:gridCol w:w="90"/>
        <w:gridCol w:w="384"/>
        <w:gridCol w:w="802"/>
        <w:gridCol w:w="341"/>
        <w:gridCol w:w="90"/>
        <w:gridCol w:w="125"/>
        <w:gridCol w:w="397"/>
        <w:gridCol w:w="134"/>
      </w:tblGrid>
      <w:tr>
        <w:trPr/>
        <w:tc>
          <w:tcPr>
            <w:tcW w:w="10205" w:type="dxa"/>
            <w:gridSpan w:val="20"/>
            <w:tcBorders/>
            <w:shd w:fill="auto" w:val="clear"/>
            <w:vAlign w:val="center"/>
          </w:tcPr>
          <w:p>
            <w:pPr>
              <w:pStyle w:val="TableContents"/>
              <w:spacing w:before="0" w:after="283"/>
              <w:rPr>
                <w:sz w:val="4"/>
                <w:szCs w:val="4"/>
              </w:rPr>
            </w:pPr>
            <w:r>
              <w:rPr>
                <w:sz w:val="4"/>
                <w:szCs w:val="4"/>
              </w:rPr>
            </w:r>
          </w:p>
        </w:tc>
      </w:tr>
      <w:tr>
        <w:trPr/>
        <w:tc>
          <w:tcPr>
            <w:tcW w:w="288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1306"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886" w:type="dxa"/>
            <w:tcBorders/>
            <w:shd w:fill="auto" w:val="clear"/>
            <w:vAlign w:val="center"/>
          </w:tcPr>
          <w:p>
            <w:pPr>
              <w:pStyle w:val="TableContents"/>
              <w:spacing w:before="0" w:after="0"/>
              <w:ind w:left="0" w:right="0" w:firstLine="30"/>
              <w:rPr/>
            </w:pPr>
            <w:r>
              <w:rPr/>
              <w:t> </w:t>
            </w:r>
          </w:p>
        </w:tc>
        <w:tc>
          <w:tcPr>
            <w:tcW w:w="7319" w:type="dxa"/>
            <w:gridSpan w:val="19"/>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Three Months Ended June 30, 2018</w:t>
            </w:r>
          </w:p>
        </w:tc>
      </w:tr>
      <w:tr>
        <w:trPr/>
        <w:tc>
          <w:tcPr>
            <w:tcW w:w="2886" w:type="dxa"/>
            <w:tcBorders/>
            <w:shd w:fill="auto" w:val="clear"/>
            <w:vAlign w:val="center"/>
          </w:tcPr>
          <w:p>
            <w:pPr>
              <w:pStyle w:val="TableContents"/>
              <w:spacing w:before="0" w:after="0"/>
              <w:ind w:left="0" w:right="0" w:firstLine="30"/>
              <w:rPr>
                <w:rFonts w:ascii="inherit" w:hAnsi="inherit"/>
                <w:b/>
                <w:sz w:val="15"/>
              </w:rPr>
            </w:pPr>
            <w:r>
              <w:rPr>
                <w:rFonts w:ascii="inherit" w:hAnsi="inherit"/>
                <w:b/>
                <w:sz w:val="15"/>
              </w:rPr>
              <w:t>Location of Gain/(Loss)</w:t>
            </w:r>
          </w:p>
        </w:tc>
        <w:tc>
          <w:tcPr>
            <w:tcW w:w="102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 xml:space="preserve">Commodity </w:t>
              <w:br/>
              <w:t>Derivatives</w:t>
            </w:r>
          </w:p>
        </w:tc>
        <w:tc>
          <w:tcPr>
            <w:tcW w:w="90" w:type="dxa"/>
            <w:tcBorders/>
            <w:shd w:fill="auto" w:val="clear"/>
            <w:vAlign w:val="center"/>
          </w:tcPr>
          <w:p>
            <w:pPr>
              <w:pStyle w:val="TableContents"/>
              <w:spacing w:before="0" w:after="0"/>
              <w:ind w:left="0" w:right="0" w:firstLine="30"/>
              <w:rPr/>
            </w:pPr>
            <w:r>
              <w:rPr/>
              <w:t> </w:t>
            </w:r>
          </w:p>
        </w:tc>
        <w:tc>
          <w:tcPr>
            <w:tcW w:w="166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Foreign Currency Derivatives</w:t>
            </w:r>
          </w:p>
        </w:tc>
        <w:tc>
          <w:tcPr>
            <w:tcW w:w="90" w:type="dxa"/>
            <w:tcBorders/>
            <w:shd w:fill="auto" w:val="clear"/>
            <w:vAlign w:val="center"/>
          </w:tcPr>
          <w:p>
            <w:pPr>
              <w:pStyle w:val="TableContents"/>
              <w:spacing w:before="0" w:after="0"/>
              <w:ind w:left="0" w:right="0" w:firstLine="30"/>
              <w:rPr/>
            </w:pPr>
            <w:r>
              <w:rPr/>
              <w:t> </w:t>
            </w:r>
          </w:p>
        </w:tc>
        <w:tc>
          <w:tcPr>
            <w:tcW w:w="208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Preferred Distribution Rate Reset Option</w:t>
            </w:r>
          </w:p>
        </w:tc>
        <w:tc>
          <w:tcPr>
            <w:tcW w:w="90" w:type="dxa"/>
            <w:tcBorders/>
            <w:shd w:fill="auto" w:val="clear"/>
            <w:vAlign w:val="center"/>
          </w:tcPr>
          <w:p>
            <w:pPr>
              <w:pStyle w:val="TableContents"/>
              <w:spacing w:before="0" w:after="0"/>
              <w:ind w:left="0" w:right="0" w:firstLine="30"/>
              <w:rPr/>
            </w:pPr>
            <w:r>
              <w:rPr/>
              <w:t> </w:t>
            </w:r>
          </w:p>
        </w:tc>
        <w:tc>
          <w:tcPr>
            <w:tcW w:w="152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Interest Rate Derivatives</w:t>
            </w:r>
          </w:p>
        </w:tc>
        <w:tc>
          <w:tcPr>
            <w:tcW w:w="90" w:type="dxa"/>
            <w:tcBorders/>
            <w:shd w:fill="auto" w:val="clear"/>
            <w:vAlign w:val="center"/>
          </w:tcPr>
          <w:p>
            <w:pPr>
              <w:pStyle w:val="TableContents"/>
              <w:spacing w:before="0" w:after="0"/>
              <w:ind w:left="0" w:right="0" w:firstLine="30"/>
              <w:rPr/>
            </w:pPr>
            <w:r>
              <w:rPr/>
              <w:t> </w:t>
            </w:r>
          </w:p>
        </w:tc>
        <w:tc>
          <w:tcPr>
            <w:tcW w:w="65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Total</w:t>
            </w:r>
          </w:p>
        </w:tc>
      </w:tr>
      <w:tr>
        <w:trPr/>
        <w:tc>
          <w:tcPr>
            <w:tcW w:w="2886" w:type="dxa"/>
            <w:tcBorders/>
            <w:shd w:fill="CCEEFF" w:val="clear"/>
            <w:vAlign w:val="center"/>
          </w:tcPr>
          <w:p>
            <w:pPr>
              <w:pStyle w:val="TableContents"/>
              <w:spacing w:lineRule="auto" w:line="288" w:before="0" w:after="0"/>
              <w:ind w:left="0" w:right="0" w:firstLine="30"/>
              <w:rPr>
                <w:sz w:val="17"/>
              </w:rPr>
            </w:pPr>
            <w:r>
              <w:rPr>
                <w:rFonts w:ascii="inherit" w:hAnsi="inherit"/>
                <w:sz w:val="17"/>
              </w:rPr>
              <w:t xml:space="preserve">Supply and Logistics segment revenues </w:t>
            </w:r>
            <w:r>
              <w:rPr>
                <w:rFonts w:ascii="inherit" w:hAnsi="inherit"/>
                <w:sz w:val="12"/>
              </w:rPr>
              <w:t>(1)</w:t>
            </w:r>
          </w:p>
        </w:tc>
        <w:tc>
          <w:tcPr>
            <w:tcW w:w="20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45" w:type="dxa"/>
            <w:tcBorders/>
            <w:shd w:fill="CCEEFF" w:val="clear"/>
            <w:vAlign w:val="center"/>
          </w:tcPr>
          <w:p>
            <w:pPr>
              <w:pStyle w:val="TableContents"/>
              <w:spacing w:before="0" w:after="0"/>
              <w:jc w:val="right"/>
              <w:rPr>
                <w:rFonts w:ascii="inherit" w:hAnsi="inherit"/>
                <w:sz w:val="17"/>
              </w:rPr>
            </w:pPr>
            <w:r>
              <w:rPr>
                <w:rFonts w:ascii="inherit" w:hAnsi="inherit"/>
                <w:sz w:val="17"/>
              </w:rPr>
              <w:t>(339</w:t>
            </w:r>
          </w:p>
        </w:tc>
        <w:tc>
          <w:tcPr>
            <w:tcW w:w="1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49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32" w:type="dxa"/>
            <w:tcBorders/>
            <w:shd w:fill="CCEEFF" w:val="clear"/>
            <w:vAlign w:val="center"/>
          </w:tcPr>
          <w:p>
            <w:pPr>
              <w:pStyle w:val="TableContents"/>
              <w:spacing w:before="0" w:after="0"/>
              <w:jc w:val="right"/>
              <w:rPr>
                <w:rFonts w:ascii="inherit" w:hAnsi="inherit"/>
                <w:sz w:val="17"/>
              </w:rPr>
            </w:pPr>
            <w:r>
              <w:rPr>
                <w:rFonts w:ascii="inherit" w:hAnsi="inherit"/>
                <w:sz w:val="17"/>
              </w:rPr>
              <w:t>(6</w:t>
            </w:r>
          </w:p>
        </w:tc>
        <w:tc>
          <w:tcPr>
            <w:tcW w:w="4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62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06" w:type="dxa"/>
            <w:tcBorders/>
            <w:shd w:fill="CCEEFF" w:val="clear"/>
            <w:vAlign w:val="center"/>
          </w:tcPr>
          <w:p>
            <w:pPr>
              <w:pStyle w:val="TableContents"/>
              <w:spacing w:before="0" w:after="0"/>
              <w:jc w:val="right"/>
              <w:rPr/>
            </w:pPr>
            <w:r>
              <w:rPr/>
              <w:t>—</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8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02" w:type="dxa"/>
            <w:tcBorders/>
            <w:shd w:fill="CCEEFF" w:val="clear"/>
            <w:vAlign w:val="center"/>
          </w:tcPr>
          <w:p>
            <w:pPr>
              <w:pStyle w:val="TableContents"/>
              <w:spacing w:before="0" w:after="0"/>
              <w:jc w:val="right"/>
              <w:rPr/>
            </w:pPr>
            <w:r>
              <w:rPr/>
              <w:t>—</w:t>
            </w:r>
          </w:p>
        </w:tc>
        <w:tc>
          <w:tcPr>
            <w:tcW w:w="3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397"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(345</w:t>
            </w:r>
          </w:p>
        </w:tc>
        <w:tc>
          <w:tcPr>
            <w:tcW w:w="134"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886" w:type="dxa"/>
            <w:tcBorders/>
            <w:shd w:fill="auto" w:val="clear"/>
            <w:vAlign w:val="center"/>
          </w:tcPr>
          <w:p>
            <w:pPr>
              <w:pStyle w:val="TableContents"/>
              <w:spacing w:lineRule="auto" w:line="288" w:before="0" w:after="0"/>
              <w:ind w:left="0" w:right="0" w:firstLine="30"/>
              <w:rPr>
                <w:sz w:val="17"/>
              </w:rPr>
            </w:pPr>
            <w:r>
              <w:rPr>
                <w:rFonts w:ascii="inherit" w:hAnsi="inherit"/>
                <w:sz w:val="17"/>
              </w:rPr>
              <w:t xml:space="preserve">Interest expense, net </w:t>
            </w:r>
            <w:r>
              <w:rPr>
                <w:rFonts w:ascii="inherit" w:hAnsi="inherit"/>
                <w:sz w:val="12"/>
              </w:rPr>
              <w:t>(2)</w:t>
            </w:r>
          </w:p>
        </w:tc>
        <w:tc>
          <w:tcPr>
            <w:tcW w:w="848" w:type="dxa"/>
            <w:gridSpan w:val="2"/>
            <w:tcBorders/>
            <w:shd w:fill="auto" w:val="clear"/>
            <w:vAlign w:val="center"/>
          </w:tcPr>
          <w:p>
            <w:pPr>
              <w:pStyle w:val="TableContents"/>
              <w:spacing w:before="0" w:after="0"/>
              <w:jc w:val="right"/>
              <w:rPr/>
            </w:pPr>
            <w:r>
              <w:rPr/>
              <w:t>—</w:t>
            </w:r>
          </w:p>
        </w:tc>
        <w:tc>
          <w:tcPr>
            <w:tcW w:w="1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26" w:type="dxa"/>
            <w:gridSpan w:val="2"/>
            <w:tcBorders/>
            <w:shd w:fill="auto" w:val="clear"/>
            <w:vAlign w:val="center"/>
          </w:tcPr>
          <w:p>
            <w:pPr>
              <w:pStyle w:val="TableContents"/>
              <w:spacing w:before="0" w:after="0"/>
              <w:jc w:val="right"/>
              <w:rPr/>
            </w:pPr>
            <w:r>
              <w:rPr/>
              <w:t>—</w:t>
            </w:r>
          </w:p>
        </w:tc>
        <w:tc>
          <w:tcPr>
            <w:tcW w:w="4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934" w:type="dxa"/>
            <w:gridSpan w:val="2"/>
            <w:tcBorders/>
            <w:shd w:fill="auto" w:val="clear"/>
            <w:vAlign w:val="center"/>
          </w:tcPr>
          <w:p>
            <w:pPr>
              <w:pStyle w:val="TableContents"/>
              <w:spacing w:before="0" w:after="0"/>
              <w:jc w:val="right"/>
              <w:rPr/>
            </w:pPr>
            <w:r>
              <w:rPr/>
              <w:t>—</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8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w:t>
            </w:r>
          </w:p>
        </w:tc>
        <w:tc>
          <w:tcPr>
            <w:tcW w:w="3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52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886" w:type="dxa"/>
            <w:tcBorders/>
            <w:shd w:fill="CCEEFF" w:val="clear"/>
            <w:vAlign w:val="center"/>
          </w:tcPr>
          <w:p>
            <w:pPr>
              <w:pStyle w:val="TableContents"/>
              <w:spacing w:lineRule="auto" w:line="288" w:before="0" w:after="0"/>
              <w:ind w:left="0" w:right="0" w:firstLine="30"/>
              <w:rPr>
                <w:sz w:val="17"/>
              </w:rPr>
            </w:pPr>
            <w:r>
              <w:rPr>
                <w:rFonts w:ascii="inherit" w:hAnsi="inherit"/>
                <w:sz w:val="17"/>
              </w:rPr>
              <w:t xml:space="preserve">Other income/(expense), net </w:t>
            </w:r>
            <w:r>
              <w:rPr>
                <w:rFonts w:ascii="inherit" w:hAnsi="inherit"/>
                <w:sz w:val="12"/>
              </w:rPr>
              <w:t>(1)</w:t>
            </w:r>
          </w:p>
        </w:tc>
        <w:tc>
          <w:tcPr>
            <w:tcW w:w="848" w:type="dxa"/>
            <w:gridSpan w:val="2"/>
            <w:tcBorders/>
            <w:shd w:fill="CCEEFF" w:val="clear"/>
            <w:vAlign w:val="center"/>
          </w:tcPr>
          <w:p>
            <w:pPr>
              <w:pStyle w:val="TableContents"/>
              <w:spacing w:before="0" w:after="0"/>
              <w:jc w:val="right"/>
              <w:rPr/>
            </w:pPr>
            <w:r>
              <w:rPr/>
              <w:t>—</w:t>
            </w:r>
          </w:p>
        </w:tc>
        <w:tc>
          <w:tcPr>
            <w:tcW w:w="1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26" w:type="dxa"/>
            <w:gridSpan w:val="2"/>
            <w:tcBorders/>
            <w:shd w:fill="CCEEFF" w:val="clear"/>
            <w:vAlign w:val="center"/>
          </w:tcPr>
          <w:p>
            <w:pPr>
              <w:pStyle w:val="TableContents"/>
              <w:spacing w:before="0" w:after="0"/>
              <w:jc w:val="right"/>
              <w:rPr/>
            </w:pPr>
            <w:r>
              <w:rPr/>
              <w:t>—</w:t>
            </w:r>
          </w:p>
        </w:tc>
        <w:tc>
          <w:tcPr>
            <w:tcW w:w="4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93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86" w:type="dxa"/>
            <w:gridSpan w:val="2"/>
            <w:tcBorders/>
            <w:shd w:fill="CCEEFF" w:val="clear"/>
            <w:vAlign w:val="center"/>
          </w:tcPr>
          <w:p>
            <w:pPr>
              <w:pStyle w:val="TableContents"/>
              <w:spacing w:before="0" w:after="0"/>
              <w:jc w:val="right"/>
              <w:rPr/>
            </w:pPr>
            <w:r>
              <w:rPr/>
              <w:t>—</w:t>
            </w:r>
          </w:p>
        </w:tc>
        <w:tc>
          <w:tcPr>
            <w:tcW w:w="3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2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w:t>
            </w:r>
          </w:p>
        </w:tc>
        <w:tc>
          <w:tcPr>
            <w:tcW w:w="13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8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gain/(loss) on derivatives recognized in net income</w:t>
            </w:r>
          </w:p>
        </w:tc>
        <w:tc>
          <w:tcPr>
            <w:tcW w:w="20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4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(339</w:t>
            </w:r>
          </w:p>
        </w:tc>
        <w:tc>
          <w:tcPr>
            <w:tcW w:w="18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49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3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(6</w:t>
            </w:r>
          </w:p>
        </w:tc>
        <w:tc>
          <w:tcPr>
            <w:tcW w:w="43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62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0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8</w:t>
            </w:r>
          </w:p>
        </w:tc>
        <w:tc>
          <w:tcPr>
            <w:tcW w:w="15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38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0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w:t>
            </w:r>
          </w:p>
        </w:tc>
        <w:tc>
          <w:tcPr>
            <w:tcW w:w="34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9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(339</w:t>
            </w:r>
          </w:p>
        </w:tc>
        <w:tc>
          <w:tcPr>
            <w:tcW w:w="13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r>
    </w:tbl>
    <w:p>
      <w:pPr>
        <w:pStyle w:val="TextBody"/>
        <w:spacing w:lineRule="auto" w:line="288" w:before="0" w:after="0"/>
        <w:rPr>
          <w:rFonts w:ascii="inherit" w:hAnsi="inherit"/>
          <w:sz w:val="17"/>
        </w:rPr>
      </w:pPr>
      <w:r>
        <w:rPr>
          <w:rFonts w:ascii="inherit" w:hAnsi="inherit"/>
          <w:sz w:val="17"/>
        </w:rPr>
      </w:r>
    </w:p>
    <w:tbl>
      <w:tblPr>
        <w:tblW w:w="10205" w:type="dxa"/>
        <w:jc w:val="center"/>
        <w:tblInd w:w="0" w:type="dxa"/>
        <w:tblCellMar>
          <w:top w:w="0" w:type="dxa"/>
          <w:left w:w="0" w:type="dxa"/>
          <w:bottom w:w="0" w:type="dxa"/>
          <w:right w:w="0" w:type="dxa"/>
        </w:tblCellMar>
      </w:tblPr>
      <w:tblGrid>
        <w:gridCol w:w="2904"/>
        <w:gridCol w:w="262"/>
        <w:gridCol w:w="704"/>
        <w:gridCol w:w="64"/>
        <w:gridCol w:w="91"/>
        <w:gridCol w:w="745"/>
        <w:gridCol w:w="745"/>
        <w:gridCol w:w="180"/>
        <w:gridCol w:w="91"/>
        <w:gridCol w:w="632"/>
        <w:gridCol w:w="1314"/>
        <w:gridCol w:w="153"/>
        <w:gridCol w:w="91"/>
        <w:gridCol w:w="386"/>
        <w:gridCol w:w="805"/>
        <w:gridCol w:w="342"/>
        <w:gridCol w:w="91"/>
        <w:gridCol w:w="127"/>
        <w:gridCol w:w="341"/>
        <w:gridCol w:w="137"/>
      </w:tblGrid>
      <w:tr>
        <w:trPr/>
        <w:tc>
          <w:tcPr>
            <w:tcW w:w="10205" w:type="dxa"/>
            <w:gridSpan w:val="20"/>
            <w:tcBorders/>
            <w:shd w:fill="auto" w:val="clear"/>
            <w:vAlign w:val="center"/>
          </w:tcPr>
          <w:p>
            <w:pPr>
              <w:pStyle w:val="TableContents"/>
              <w:spacing w:before="0" w:after="283"/>
              <w:rPr>
                <w:sz w:val="4"/>
                <w:szCs w:val="4"/>
              </w:rPr>
            </w:pPr>
            <w:r>
              <w:rPr>
                <w:sz w:val="4"/>
                <w:szCs w:val="4"/>
              </w:rPr>
            </w:r>
          </w:p>
        </w:tc>
      </w:tr>
      <w:tr>
        <w:trPr/>
        <w:tc>
          <w:tcPr>
            <w:tcW w:w="2904"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131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904" w:type="dxa"/>
            <w:tcBorders/>
            <w:shd w:fill="auto" w:val="clear"/>
            <w:vAlign w:val="center"/>
          </w:tcPr>
          <w:p>
            <w:pPr>
              <w:pStyle w:val="TableContents"/>
              <w:spacing w:before="0" w:after="0"/>
              <w:ind w:left="0" w:right="0" w:firstLine="30"/>
              <w:rPr/>
            </w:pPr>
            <w:r>
              <w:rPr/>
              <w:t> </w:t>
            </w:r>
          </w:p>
        </w:tc>
        <w:tc>
          <w:tcPr>
            <w:tcW w:w="7301" w:type="dxa"/>
            <w:gridSpan w:val="19"/>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Six Months Ended June 30, 2019</w:t>
            </w:r>
          </w:p>
        </w:tc>
      </w:tr>
      <w:tr>
        <w:trPr/>
        <w:tc>
          <w:tcPr>
            <w:tcW w:w="2904" w:type="dxa"/>
            <w:tcBorders/>
            <w:shd w:fill="auto" w:val="clear"/>
            <w:vAlign w:val="center"/>
          </w:tcPr>
          <w:p>
            <w:pPr>
              <w:pStyle w:val="TableContents"/>
              <w:spacing w:before="0" w:after="0"/>
              <w:ind w:left="0" w:right="0" w:firstLine="30"/>
              <w:rPr>
                <w:rFonts w:ascii="inherit" w:hAnsi="inherit"/>
                <w:b/>
                <w:sz w:val="15"/>
              </w:rPr>
            </w:pPr>
            <w:r>
              <w:rPr>
                <w:rFonts w:ascii="inherit" w:hAnsi="inherit"/>
                <w:b/>
                <w:sz w:val="15"/>
              </w:rPr>
              <w:t>Location of Gain/(Loss)</w:t>
            </w:r>
          </w:p>
        </w:tc>
        <w:tc>
          <w:tcPr>
            <w:tcW w:w="103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 xml:space="preserve">Commodity </w:t>
              <w:br/>
              <w:t>Derivatives</w:t>
            </w:r>
          </w:p>
        </w:tc>
        <w:tc>
          <w:tcPr>
            <w:tcW w:w="91" w:type="dxa"/>
            <w:tcBorders/>
            <w:shd w:fill="auto" w:val="clear"/>
            <w:vAlign w:val="center"/>
          </w:tcPr>
          <w:p>
            <w:pPr>
              <w:pStyle w:val="TableContents"/>
              <w:spacing w:before="0" w:after="0"/>
              <w:ind w:left="0" w:right="0" w:firstLine="30"/>
              <w:rPr/>
            </w:pPr>
            <w:r>
              <w:rPr/>
              <w:t> </w:t>
            </w:r>
          </w:p>
        </w:tc>
        <w:tc>
          <w:tcPr>
            <w:tcW w:w="167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Foreign Currency Derivatives</w:t>
            </w:r>
          </w:p>
        </w:tc>
        <w:tc>
          <w:tcPr>
            <w:tcW w:w="91" w:type="dxa"/>
            <w:tcBorders/>
            <w:shd w:fill="auto" w:val="clear"/>
            <w:vAlign w:val="center"/>
          </w:tcPr>
          <w:p>
            <w:pPr>
              <w:pStyle w:val="TableContents"/>
              <w:spacing w:before="0" w:after="0"/>
              <w:ind w:left="0" w:right="0" w:firstLine="30"/>
              <w:rPr/>
            </w:pPr>
            <w:r>
              <w:rPr/>
              <w:t> </w:t>
            </w:r>
          </w:p>
        </w:tc>
        <w:tc>
          <w:tcPr>
            <w:tcW w:w="209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Preferred Distribution Rate Reset Option</w:t>
            </w:r>
          </w:p>
        </w:tc>
        <w:tc>
          <w:tcPr>
            <w:tcW w:w="91" w:type="dxa"/>
            <w:tcBorders/>
            <w:shd w:fill="auto" w:val="clear"/>
            <w:vAlign w:val="center"/>
          </w:tcPr>
          <w:p>
            <w:pPr>
              <w:pStyle w:val="TableContents"/>
              <w:spacing w:before="0" w:after="0"/>
              <w:ind w:left="0" w:right="0" w:firstLine="30"/>
              <w:rPr/>
            </w:pPr>
            <w:r>
              <w:rPr/>
              <w:t> </w:t>
            </w:r>
          </w:p>
        </w:tc>
        <w:tc>
          <w:tcPr>
            <w:tcW w:w="153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Interest Rate Derivatives</w:t>
            </w:r>
          </w:p>
        </w:tc>
        <w:tc>
          <w:tcPr>
            <w:tcW w:w="91" w:type="dxa"/>
            <w:tcBorders/>
            <w:shd w:fill="auto" w:val="clear"/>
            <w:vAlign w:val="center"/>
          </w:tcPr>
          <w:p>
            <w:pPr>
              <w:pStyle w:val="TableContents"/>
              <w:spacing w:before="0" w:after="0"/>
              <w:ind w:left="0" w:right="0" w:firstLine="30"/>
              <w:rPr/>
            </w:pPr>
            <w:r>
              <w:rPr/>
              <w:t> </w:t>
            </w:r>
          </w:p>
        </w:tc>
        <w:tc>
          <w:tcPr>
            <w:tcW w:w="60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Total</w:t>
            </w:r>
          </w:p>
        </w:tc>
      </w:tr>
      <w:tr>
        <w:trPr/>
        <w:tc>
          <w:tcPr>
            <w:tcW w:w="2904" w:type="dxa"/>
            <w:tcBorders/>
            <w:shd w:fill="CCEEFF" w:val="clear"/>
            <w:vAlign w:val="center"/>
          </w:tcPr>
          <w:p>
            <w:pPr>
              <w:pStyle w:val="TableContents"/>
              <w:spacing w:lineRule="auto" w:line="288" w:before="0" w:after="0"/>
              <w:ind w:left="0" w:right="0" w:firstLine="30"/>
              <w:rPr>
                <w:sz w:val="17"/>
              </w:rPr>
            </w:pPr>
            <w:r>
              <w:rPr>
                <w:rFonts w:ascii="inherit" w:hAnsi="inherit"/>
                <w:sz w:val="17"/>
              </w:rPr>
              <w:t xml:space="preserve">Supply and Logistics segment revenues </w:t>
            </w:r>
            <w:r>
              <w:rPr>
                <w:rFonts w:ascii="inherit" w:hAnsi="inherit"/>
                <w:sz w:val="12"/>
              </w:rPr>
              <w:t>(1)</w:t>
            </w:r>
          </w:p>
        </w:tc>
        <w:tc>
          <w:tcPr>
            <w:tcW w:w="26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04" w:type="dxa"/>
            <w:tcBorders/>
            <w:shd w:fill="CCEEFF" w:val="clear"/>
            <w:vAlign w:val="center"/>
          </w:tcPr>
          <w:p>
            <w:pPr>
              <w:pStyle w:val="TableContents"/>
              <w:spacing w:before="0" w:after="0"/>
              <w:jc w:val="right"/>
              <w:rPr>
                <w:rFonts w:ascii="inherit" w:hAnsi="inherit"/>
                <w:sz w:val="17"/>
              </w:rPr>
            </w:pPr>
            <w:r>
              <w:rPr>
                <w:rFonts w:ascii="inherit" w:hAnsi="inherit"/>
                <w:sz w:val="17"/>
              </w:rPr>
              <w:t>231</w:t>
            </w:r>
          </w:p>
        </w:tc>
        <w:tc>
          <w:tcPr>
            <w:tcW w:w="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CCEEFF" w:val="clear"/>
            <w:vAlign w:val="center"/>
          </w:tcPr>
          <w:p>
            <w:pPr>
              <w:pStyle w:val="TableContents"/>
              <w:spacing w:before="0" w:after="0"/>
              <w:ind w:left="0" w:right="0" w:firstLine="30"/>
              <w:rPr/>
            </w:pPr>
            <w:r>
              <w:rPr/>
              <w:t> </w:t>
            </w:r>
          </w:p>
        </w:tc>
        <w:tc>
          <w:tcPr>
            <w:tcW w:w="74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45" w:type="dxa"/>
            <w:tcBorders/>
            <w:shd w:fill="CCEEFF" w:val="clear"/>
            <w:vAlign w:val="center"/>
          </w:tcPr>
          <w:p>
            <w:pPr>
              <w:pStyle w:val="TableContents"/>
              <w:spacing w:before="0" w:after="0"/>
              <w:jc w:val="right"/>
              <w:rPr>
                <w:rFonts w:ascii="inherit" w:hAnsi="inherit"/>
                <w:sz w:val="17"/>
              </w:rPr>
            </w:pPr>
            <w:r>
              <w:rPr>
                <w:rFonts w:ascii="inherit" w:hAnsi="inherit"/>
                <w:sz w:val="17"/>
              </w:rPr>
              <w:t>7</w:t>
            </w:r>
          </w:p>
        </w:tc>
        <w:tc>
          <w:tcPr>
            <w:tcW w:w="1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CCEEFF" w:val="clear"/>
            <w:vAlign w:val="center"/>
          </w:tcPr>
          <w:p>
            <w:pPr>
              <w:pStyle w:val="TableContents"/>
              <w:spacing w:before="0" w:after="0"/>
              <w:ind w:left="0" w:right="0" w:firstLine="30"/>
              <w:rPr/>
            </w:pPr>
            <w:r>
              <w:rPr/>
              <w:t> </w:t>
            </w:r>
          </w:p>
        </w:tc>
        <w:tc>
          <w:tcPr>
            <w:tcW w:w="63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14" w:type="dxa"/>
            <w:tcBorders/>
            <w:shd w:fill="CCEEFF" w:val="clear"/>
            <w:vAlign w:val="center"/>
          </w:tcPr>
          <w:p>
            <w:pPr>
              <w:pStyle w:val="TableContents"/>
              <w:spacing w:before="0" w:after="0"/>
              <w:jc w:val="right"/>
              <w:rPr/>
            </w:pPr>
            <w:r>
              <w:rPr/>
              <w:t>—</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CCEEFF" w:val="clear"/>
            <w:vAlign w:val="center"/>
          </w:tcPr>
          <w:p>
            <w:pPr>
              <w:pStyle w:val="TableContents"/>
              <w:spacing w:before="0" w:after="0"/>
              <w:ind w:left="0" w:right="0" w:firstLine="30"/>
              <w:rPr/>
            </w:pPr>
            <w:r>
              <w:rPr/>
              <w:t> </w:t>
            </w:r>
          </w:p>
        </w:tc>
        <w:tc>
          <w:tcPr>
            <w:tcW w:w="38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805" w:type="dxa"/>
            <w:tcBorders/>
            <w:shd w:fill="CCEEFF" w:val="clear"/>
            <w:vAlign w:val="center"/>
          </w:tcPr>
          <w:p>
            <w:pPr>
              <w:pStyle w:val="TableContents"/>
              <w:spacing w:before="0" w:after="0"/>
              <w:jc w:val="right"/>
              <w:rPr/>
            </w:pPr>
            <w:r>
              <w:rPr/>
              <w:t>—</w:t>
            </w:r>
          </w:p>
        </w:tc>
        <w:tc>
          <w:tcPr>
            <w:tcW w:w="3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CCEEFF" w:val="clear"/>
            <w:vAlign w:val="center"/>
          </w:tcPr>
          <w:p>
            <w:pPr>
              <w:pStyle w:val="TableContents"/>
              <w:spacing w:before="0" w:after="0"/>
              <w:ind w:left="0" w:right="0" w:firstLine="30"/>
              <w:rPr/>
            </w:pPr>
            <w:r>
              <w:rPr/>
              <w:t> </w:t>
            </w:r>
          </w:p>
        </w:tc>
        <w:tc>
          <w:tcPr>
            <w:tcW w:w="127"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341"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238</w:t>
            </w:r>
          </w:p>
        </w:tc>
        <w:tc>
          <w:tcPr>
            <w:tcW w:w="137"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904" w:type="dxa"/>
            <w:tcBorders/>
            <w:shd w:fill="auto" w:val="clear"/>
            <w:vAlign w:val="center"/>
          </w:tcPr>
          <w:p>
            <w:pPr>
              <w:pStyle w:val="TableContents"/>
              <w:spacing w:lineRule="auto" w:line="288" w:before="0" w:after="0"/>
              <w:ind w:left="0" w:right="0" w:firstLine="30"/>
              <w:rPr>
                <w:sz w:val="17"/>
              </w:rPr>
            </w:pPr>
            <w:r>
              <w:rPr>
                <w:rFonts w:ascii="inherit" w:hAnsi="inherit"/>
                <w:sz w:val="17"/>
              </w:rPr>
              <w:t xml:space="preserve">Field operating costs </w:t>
            </w:r>
            <w:r>
              <w:rPr>
                <w:rFonts w:ascii="inherit" w:hAnsi="inherit"/>
                <w:sz w:val="12"/>
              </w:rPr>
              <w:t>(1)</w:t>
            </w:r>
          </w:p>
        </w:tc>
        <w:tc>
          <w:tcPr>
            <w:tcW w:w="96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w:t>
            </w:r>
          </w:p>
        </w:tc>
        <w:tc>
          <w:tcPr>
            <w:tcW w:w="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auto" w:val="clear"/>
            <w:vAlign w:val="center"/>
          </w:tcPr>
          <w:p>
            <w:pPr>
              <w:pStyle w:val="TableContents"/>
              <w:spacing w:before="0" w:after="0"/>
              <w:ind w:left="0" w:right="0" w:firstLine="30"/>
              <w:rPr/>
            </w:pPr>
            <w:r>
              <w:rPr/>
              <w:t> </w:t>
            </w:r>
          </w:p>
        </w:tc>
        <w:tc>
          <w:tcPr>
            <w:tcW w:w="1490" w:type="dxa"/>
            <w:gridSpan w:val="2"/>
            <w:tcBorders/>
            <w:shd w:fill="auto" w:val="clear"/>
            <w:vAlign w:val="center"/>
          </w:tcPr>
          <w:p>
            <w:pPr>
              <w:pStyle w:val="TableContents"/>
              <w:spacing w:before="0" w:after="0"/>
              <w:jc w:val="right"/>
              <w:rPr/>
            </w:pPr>
            <w:r>
              <w:rPr/>
              <w:t>—</w:t>
            </w:r>
          </w:p>
        </w:tc>
        <w:tc>
          <w:tcPr>
            <w:tcW w:w="1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auto" w:val="clear"/>
            <w:vAlign w:val="center"/>
          </w:tcPr>
          <w:p>
            <w:pPr>
              <w:pStyle w:val="TableContents"/>
              <w:spacing w:before="0" w:after="0"/>
              <w:ind w:left="0" w:right="0" w:firstLine="30"/>
              <w:rPr/>
            </w:pPr>
            <w:r>
              <w:rPr/>
              <w:t> </w:t>
            </w:r>
          </w:p>
        </w:tc>
        <w:tc>
          <w:tcPr>
            <w:tcW w:w="1946" w:type="dxa"/>
            <w:gridSpan w:val="2"/>
            <w:tcBorders/>
            <w:shd w:fill="auto" w:val="clear"/>
            <w:vAlign w:val="center"/>
          </w:tcPr>
          <w:p>
            <w:pPr>
              <w:pStyle w:val="TableContents"/>
              <w:spacing w:before="0" w:after="0"/>
              <w:jc w:val="right"/>
              <w:rPr/>
            </w:pPr>
            <w:r>
              <w:rPr/>
              <w:t>—</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auto" w:val="clear"/>
            <w:vAlign w:val="center"/>
          </w:tcPr>
          <w:p>
            <w:pPr>
              <w:pStyle w:val="TableContents"/>
              <w:spacing w:before="0" w:after="0"/>
              <w:ind w:left="0" w:right="0" w:firstLine="30"/>
              <w:rPr/>
            </w:pPr>
            <w:r>
              <w:rPr/>
              <w:t> </w:t>
            </w:r>
          </w:p>
        </w:tc>
        <w:tc>
          <w:tcPr>
            <w:tcW w:w="1191" w:type="dxa"/>
            <w:gridSpan w:val="2"/>
            <w:tcBorders/>
            <w:shd w:fill="auto" w:val="clear"/>
            <w:vAlign w:val="center"/>
          </w:tcPr>
          <w:p>
            <w:pPr>
              <w:pStyle w:val="TableContents"/>
              <w:spacing w:before="0" w:after="0"/>
              <w:jc w:val="right"/>
              <w:rPr/>
            </w:pPr>
            <w:r>
              <w:rPr/>
              <w:t>—</w:t>
            </w:r>
          </w:p>
        </w:tc>
        <w:tc>
          <w:tcPr>
            <w:tcW w:w="3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auto" w:val="clear"/>
            <w:vAlign w:val="center"/>
          </w:tcPr>
          <w:p>
            <w:pPr>
              <w:pStyle w:val="TableContents"/>
              <w:spacing w:before="0" w:after="0"/>
              <w:ind w:left="0" w:right="0" w:firstLine="30"/>
              <w:rPr/>
            </w:pPr>
            <w:r>
              <w:rPr/>
              <w:t> </w:t>
            </w:r>
          </w:p>
        </w:tc>
        <w:tc>
          <w:tcPr>
            <w:tcW w:w="46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904" w:type="dxa"/>
            <w:tcBorders/>
            <w:shd w:fill="CCEEFF" w:val="clear"/>
            <w:vAlign w:val="center"/>
          </w:tcPr>
          <w:p>
            <w:pPr>
              <w:pStyle w:val="TableContents"/>
              <w:spacing w:lineRule="auto" w:line="288" w:before="0" w:after="0"/>
              <w:ind w:left="0" w:right="0" w:firstLine="30"/>
              <w:rPr>
                <w:sz w:val="17"/>
              </w:rPr>
            </w:pPr>
            <w:r>
              <w:rPr>
                <w:rFonts w:ascii="inherit" w:hAnsi="inherit"/>
                <w:sz w:val="17"/>
              </w:rPr>
              <w:t xml:space="preserve">Interest expense, net </w:t>
            </w:r>
            <w:r>
              <w:rPr>
                <w:rFonts w:ascii="inherit" w:hAnsi="inherit"/>
                <w:sz w:val="12"/>
              </w:rPr>
              <w:t>(2)</w:t>
            </w:r>
          </w:p>
        </w:tc>
        <w:tc>
          <w:tcPr>
            <w:tcW w:w="966" w:type="dxa"/>
            <w:gridSpan w:val="2"/>
            <w:tcBorders/>
            <w:shd w:fill="CCEEFF" w:val="clear"/>
            <w:vAlign w:val="center"/>
          </w:tcPr>
          <w:p>
            <w:pPr>
              <w:pStyle w:val="TableContents"/>
              <w:spacing w:before="0" w:after="0"/>
              <w:jc w:val="right"/>
              <w:rPr/>
            </w:pPr>
            <w:r>
              <w:rPr/>
              <w:t>—</w:t>
            </w:r>
          </w:p>
        </w:tc>
        <w:tc>
          <w:tcPr>
            <w:tcW w:w="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CCEEFF" w:val="clear"/>
            <w:vAlign w:val="center"/>
          </w:tcPr>
          <w:p>
            <w:pPr>
              <w:pStyle w:val="TableContents"/>
              <w:spacing w:before="0" w:after="0"/>
              <w:ind w:left="0" w:right="0" w:firstLine="30"/>
              <w:rPr/>
            </w:pPr>
            <w:r>
              <w:rPr/>
              <w:t> </w:t>
            </w:r>
          </w:p>
        </w:tc>
        <w:tc>
          <w:tcPr>
            <w:tcW w:w="1490" w:type="dxa"/>
            <w:gridSpan w:val="2"/>
            <w:tcBorders/>
            <w:shd w:fill="CCEEFF" w:val="clear"/>
            <w:vAlign w:val="center"/>
          </w:tcPr>
          <w:p>
            <w:pPr>
              <w:pStyle w:val="TableContents"/>
              <w:spacing w:before="0" w:after="0"/>
              <w:jc w:val="right"/>
              <w:rPr/>
            </w:pPr>
            <w:r>
              <w:rPr/>
              <w:t>—</w:t>
            </w:r>
          </w:p>
        </w:tc>
        <w:tc>
          <w:tcPr>
            <w:tcW w:w="1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CCEEFF" w:val="clear"/>
            <w:vAlign w:val="center"/>
          </w:tcPr>
          <w:p>
            <w:pPr>
              <w:pStyle w:val="TableContents"/>
              <w:spacing w:before="0" w:after="0"/>
              <w:ind w:left="0" w:right="0" w:firstLine="30"/>
              <w:rPr/>
            </w:pPr>
            <w:r>
              <w:rPr/>
              <w:t> </w:t>
            </w:r>
          </w:p>
        </w:tc>
        <w:tc>
          <w:tcPr>
            <w:tcW w:w="1946" w:type="dxa"/>
            <w:gridSpan w:val="2"/>
            <w:tcBorders/>
            <w:shd w:fill="CCEEFF" w:val="clear"/>
            <w:vAlign w:val="center"/>
          </w:tcPr>
          <w:p>
            <w:pPr>
              <w:pStyle w:val="TableContents"/>
              <w:spacing w:before="0" w:after="0"/>
              <w:jc w:val="right"/>
              <w:rPr/>
            </w:pPr>
            <w:r>
              <w:rPr/>
              <w:t>—</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CCEEFF" w:val="clear"/>
            <w:vAlign w:val="center"/>
          </w:tcPr>
          <w:p>
            <w:pPr>
              <w:pStyle w:val="TableContents"/>
              <w:spacing w:before="0" w:after="0"/>
              <w:ind w:left="0" w:right="0" w:firstLine="30"/>
              <w:rPr/>
            </w:pPr>
            <w:r>
              <w:rPr/>
              <w:t> </w:t>
            </w:r>
          </w:p>
        </w:tc>
        <w:tc>
          <w:tcPr>
            <w:tcW w:w="119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w:t>
            </w:r>
          </w:p>
        </w:tc>
        <w:tc>
          <w:tcPr>
            <w:tcW w:w="3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1" w:type="dxa"/>
            <w:tcBorders/>
            <w:shd w:fill="CCEEFF" w:val="clear"/>
            <w:vAlign w:val="center"/>
          </w:tcPr>
          <w:p>
            <w:pPr>
              <w:pStyle w:val="TableContents"/>
              <w:spacing w:before="0" w:after="0"/>
              <w:ind w:left="0" w:right="0" w:firstLine="30"/>
              <w:rPr/>
            </w:pPr>
            <w:r>
              <w:rPr/>
              <w:t> </w:t>
            </w:r>
          </w:p>
        </w:tc>
        <w:tc>
          <w:tcPr>
            <w:tcW w:w="46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904" w:type="dxa"/>
            <w:tcBorders/>
            <w:shd w:fill="auto" w:val="clear"/>
            <w:vAlign w:val="center"/>
          </w:tcPr>
          <w:p>
            <w:pPr>
              <w:pStyle w:val="TableContents"/>
              <w:spacing w:lineRule="auto" w:line="288" w:before="0" w:after="0"/>
              <w:ind w:left="0" w:right="0" w:firstLine="30"/>
              <w:rPr>
                <w:sz w:val="17"/>
              </w:rPr>
            </w:pPr>
            <w:r>
              <w:rPr>
                <w:rFonts w:ascii="inherit" w:hAnsi="inherit"/>
                <w:sz w:val="17"/>
              </w:rPr>
              <w:t xml:space="preserve">Other income/(expense), net </w:t>
            </w:r>
            <w:r>
              <w:rPr>
                <w:rFonts w:ascii="inherit" w:hAnsi="inherit"/>
                <w:sz w:val="12"/>
              </w:rPr>
              <w:t>(1)</w:t>
            </w:r>
          </w:p>
        </w:tc>
        <w:tc>
          <w:tcPr>
            <w:tcW w:w="966" w:type="dxa"/>
            <w:gridSpan w:val="2"/>
            <w:tcBorders/>
            <w:shd w:fill="auto" w:val="clear"/>
            <w:vAlign w:val="center"/>
          </w:tcPr>
          <w:p>
            <w:pPr>
              <w:pStyle w:val="TableContents"/>
              <w:spacing w:before="0" w:after="0"/>
              <w:jc w:val="right"/>
              <w:rPr/>
            </w:pPr>
            <w:r>
              <w:rPr/>
              <w:t>—</w:t>
            </w:r>
          </w:p>
        </w:tc>
        <w:tc>
          <w:tcPr>
            <w:tcW w:w="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auto" w:val="clear"/>
            <w:vAlign w:val="center"/>
          </w:tcPr>
          <w:p>
            <w:pPr>
              <w:pStyle w:val="TableContents"/>
              <w:spacing w:before="0" w:after="0"/>
              <w:ind w:left="0" w:right="0" w:firstLine="30"/>
              <w:rPr/>
            </w:pPr>
            <w:r>
              <w:rPr/>
              <w:t> </w:t>
            </w:r>
          </w:p>
        </w:tc>
        <w:tc>
          <w:tcPr>
            <w:tcW w:w="1490" w:type="dxa"/>
            <w:gridSpan w:val="2"/>
            <w:tcBorders/>
            <w:shd w:fill="auto" w:val="clear"/>
            <w:vAlign w:val="center"/>
          </w:tcPr>
          <w:p>
            <w:pPr>
              <w:pStyle w:val="TableContents"/>
              <w:spacing w:before="0" w:after="0"/>
              <w:jc w:val="right"/>
              <w:rPr/>
            </w:pPr>
            <w:r>
              <w:rPr/>
              <w:t>—</w:t>
            </w:r>
          </w:p>
        </w:tc>
        <w:tc>
          <w:tcPr>
            <w:tcW w:w="1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auto" w:val="clear"/>
            <w:vAlign w:val="center"/>
          </w:tcPr>
          <w:p>
            <w:pPr>
              <w:pStyle w:val="TableContents"/>
              <w:spacing w:before="0" w:after="0"/>
              <w:ind w:left="0" w:right="0" w:firstLine="30"/>
              <w:rPr/>
            </w:pPr>
            <w:r>
              <w:rPr/>
              <w:t> </w:t>
            </w:r>
          </w:p>
        </w:tc>
        <w:tc>
          <w:tcPr>
            <w:tcW w:w="194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auto" w:val="clear"/>
            <w:vAlign w:val="center"/>
          </w:tcPr>
          <w:p>
            <w:pPr>
              <w:pStyle w:val="TableContents"/>
              <w:spacing w:before="0" w:after="0"/>
              <w:ind w:left="0" w:right="0" w:firstLine="30"/>
              <w:rPr/>
            </w:pPr>
            <w:r>
              <w:rPr/>
              <w:t> </w:t>
            </w:r>
          </w:p>
        </w:tc>
        <w:tc>
          <w:tcPr>
            <w:tcW w:w="1191" w:type="dxa"/>
            <w:gridSpan w:val="2"/>
            <w:tcBorders/>
            <w:shd w:fill="auto" w:val="clear"/>
            <w:vAlign w:val="center"/>
          </w:tcPr>
          <w:p>
            <w:pPr>
              <w:pStyle w:val="TableContents"/>
              <w:spacing w:before="0" w:after="0"/>
              <w:jc w:val="right"/>
              <w:rPr/>
            </w:pPr>
            <w:r>
              <w:rPr/>
              <w:t>—</w:t>
            </w:r>
          </w:p>
        </w:tc>
        <w:tc>
          <w:tcPr>
            <w:tcW w:w="3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auto" w:val="clear"/>
            <w:vAlign w:val="center"/>
          </w:tcPr>
          <w:p>
            <w:pPr>
              <w:pStyle w:val="TableContents"/>
              <w:spacing w:before="0" w:after="0"/>
              <w:ind w:left="0" w:right="0" w:firstLine="30"/>
              <w:rPr/>
            </w:pPr>
            <w:r>
              <w:rPr/>
              <w:t> </w:t>
            </w:r>
          </w:p>
        </w:tc>
        <w:tc>
          <w:tcPr>
            <w:tcW w:w="46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w:t>
            </w:r>
          </w:p>
        </w:tc>
        <w:tc>
          <w:tcPr>
            <w:tcW w:w="13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9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gain/(loss) on derivatives recognized in net income</w:t>
            </w:r>
          </w:p>
        </w:tc>
        <w:tc>
          <w:tcPr>
            <w:tcW w:w="26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0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242</w:t>
            </w:r>
          </w:p>
        </w:tc>
        <w:tc>
          <w:tcPr>
            <w:tcW w:w="64"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CCEEFF" w:val="clear"/>
            <w:vAlign w:val="center"/>
          </w:tcPr>
          <w:p>
            <w:pPr>
              <w:pStyle w:val="TableContents"/>
              <w:spacing w:before="0" w:after="0"/>
              <w:ind w:left="0" w:right="0" w:firstLine="30"/>
              <w:rPr/>
            </w:pPr>
            <w:r>
              <w:rPr/>
              <w:t> </w:t>
            </w:r>
          </w:p>
        </w:tc>
        <w:tc>
          <w:tcPr>
            <w:tcW w:w="74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4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w:t>
            </w:r>
          </w:p>
        </w:tc>
        <w:tc>
          <w:tcPr>
            <w:tcW w:w="18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CCEEFF" w:val="clear"/>
            <w:vAlign w:val="center"/>
          </w:tcPr>
          <w:p>
            <w:pPr>
              <w:pStyle w:val="TableContents"/>
              <w:spacing w:before="0" w:after="0"/>
              <w:ind w:left="0" w:right="0" w:firstLine="30"/>
              <w:rPr/>
            </w:pPr>
            <w:r>
              <w:rPr/>
              <w:t> </w:t>
            </w:r>
          </w:p>
        </w:tc>
        <w:tc>
          <w:tcPr>
            <w:tcW w:w="63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1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16</w:t>
            </w:r>
          </w:p>
        </w:tc>
        <w:tc>
          <w:tcPr>
            <w:tcW w:w="153"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CCEEFF" w:val="clear"/>
            <w:vAlign w:val="center"/>
          </w:tcPr>
          <w:p>
            <w:pPr>
              <w:pStyle w:val="TableContents"/>
              <w:spacing w:before="0" w:after="0"/>
              <w:ind w:left="0" w:right="0" w:firstLine="30"/>
              <w:rPr/>
            </w:pPr>
            <w:r>
              <w:rPr/>
              <w:t> </w:t>
            </w:r>
          </w:p>
        </w:tc>
        <w:tc>
          <w:tcPr>
            <w:tcW w:w="38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0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w:t>
            </w:r>
          </w:p>
        </w:tc>
        <w:tc>
          <w:tcPr>
            <w:tcW w:w="34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1" w:type="dxa"/>
            <w:tcBorders/>
            <w:shd w:fill="CCEEFF" w:val="clear"/>
            <w:vAlign w:val="center"/>
          </w:tcPr>
          <w:p>
            <w:pPr>
              <w:pStyle w:val="TableContents"/>
              <w:spacing w:before="0" w:after="0"/>
              <w:ind w:left="0" w:right="0" w:firstLine="30"/>
              <w:rPr/>
            </w:pPr>
            <w:r>
              <w:rPr/>
              <w:t> </w:t>
            </w:r>
          </w:p>
        </w:tc>
        <w:tc>
          <w:tcPr>
            <w:tcW w:w="12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4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260</w:t>
            </w:r>
          </w:p>
        </w:tc>
        <w:tc>
          <w:tcPr>
            <w:tcW w:w="137"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tbl>
      <w:tblPr>
        <w:tblW w:w="10205" w:type="dxa"/>
        <w:jc w:val="center"/>
        <w:tblInd w:w="0" w:type="dxa"/>
        <w:tblCellMar>
          <w:top w:w="0" w:type="dxa"/>
          <w:left w:w="0" w:type="dxa"/>
          <w:bottom w:w="0" w:type="dxa"/>
          <w:right w:w="0" w:type="dxa"/>
        </w:tblCellMar>
      </w:tblPr>
      <w:tblGrid>
        <w:gridCol w:w="2888"/>
        <w:gridCol w:w="203"/>
        <w:gridCol w:w="645"/>
        <w:gridCol w:w="180"/>
        <w:gridCol w:w="90"/>
        <w:gridCol w:w="396"/>
        <w:gridCol w:w="918"/>
        <w:gridCol w:w="348"/>
        <w:gridCol w:w="90"/>
        <w:gridCol w:w="628"/>
        <w:gridCol w:w="1307"/>
        <w:gridCol w:w="152"/>
        <w:gridCol w:w="90"/>
        <w:gridCol w:w="385"/>
        <w:gridCol w:w="802"/>
        <w:gridCol w:w="341"/>
        <w:gridCol w:w="90"/>
        <w:gridCol w:w="125"/>
        <w:gridCol w:w="395"/>
        <w:gridCol w:w="132"/>
      </w:tblGrid>
      <w:tr>
        <w:trPr/>
        <w:tc>
          <w:tcPr>
            <w:tcW w:w="10205" w:type="dxa"/>
            <w:gridSpan w:val="20"/>
            <w:tcBorders/>
            <w:shd w:fill="auto" w:val="clear"/>
            <w:vAlign w:val="center"/>
          </w:tcPr>
          <w:p>
            <w:pPr>
              <w:pStyle w:val="TableContents"/>
              <w:spacing w:before="0" w:after="283"/>
              <w:rPr>
                <w:sz w:val="4"/>
                <w:szCs w:val="4"/>
              </w:rPr>
            </w:pPr>
            <w:r>
              <w:rPr>
                <w:sz w:val="4"/>
                <w:szCs w:val="4"/>
              </w:rPr>
            </w:r>
          </w:p>
        </w:tc>
      </w:tr>
      <w:tr>
        <w:trPr/>
        <w:tc>
          <w:tcPr>
            <w:tcW w:w="2888"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1307"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888" w:type="dxa"/>
            <w:tcBorders/>
            <w:shd w:fill="auto" w:val="clear"/>
            <w:vAlign w:val="center"/>
          </w:tcPr>
          <w:p>
            <w:pPr>
              <w:pStyle w:val="TableContents"/>
              <w:spacing w:before="0" w:after="0"/>
              <w:ind w:left="0" w:right="0" w:firstLine="30"/>
              <w:rPr/>
            </w:pPr>
            <w:r>
              <w:rPr/>
              <w:t> </w:t>
            </w:r>
          </w:p>
        </w:tc>
        <w:tc>
          <w:tcPr>
            <w:tcW w:w="7317" w:type="dxa"/>
            <w:gridSpan w:val="19"/>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Six Months Ended June 30, 2018</w:t>
            </w:r>
          </w:p>
        </w:tc>
      </w:tr>
      <w:tr>
        <w:trPr/>
        <w:tc>
          <w:tcPr>
            <w:tcW w:w="2888" w:type="dxa"/>
            <w:tcBorders/>
            <w:shd w:fill="auto" w:val="clear"/>
            <w:vAlign w:val="center"/>
          </w:tcPr>
          <w:p>
            <w:pPr>
              <w:pStyle w:val="TableContents"/>
              <w:spacing w:before="0" w:after="0"/>
              <w:ind w:left="0" w:right="0" w:firstLine="30"/>
              <w:rPr>
                <w:rFonts w:ascii="inherit" w:hAnsi="inherit"/>
                <w:b/>
                <w:sz w:val="15"/>
              </w:rPr>
            </w:pPr>
            <w:r>
              <w:rPr>
                <w:rFonts w:ascii="inherit" w:hAnsi="inherit"/>
                <w:b/>
                <w:sz w:val="15"/>
              </w:rPr>
              <w:t>Location of Gain/(Loss)</w:t>
            </w:r>
          </w:p>
        </w:tc>
        <w:tc>
          <w:tcPr>
            <w:tcW w:w="102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 xml:space="preserve">Commodity </w:t>
              <w:br/>
              <w:t>Derivatives</w:t>
            </w:r>
          </w:p>
        </w:tc>
        <w:tc>
          <w:tcPr>
            <w:tcW w:w="90" w:type="dxa"/>
            <w:tcBorders/>
            <w:shd w:fill="auto" w:val="clear"/>
            <w:vAlign w:val="center"/>
          </w:tcPr>
          <w:p>
            <w:pPr>
              <w:pStyle w:val="TableContents"/>
              <w:spacing w:before="0" w:after="0"/>
              <w:ind w:left="0" w:right="0" w:firstLine="30"/>
              <w:rPr/>
            </w:pPr>
            <w:r>
              <w:rPr/>
              <w:t> </w:t>
            </w:r>
          </w:p>
        </w:tc>
        <w:tc>
          <w:tcPr>
            <w:tcW w:w="166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Foreign Currency Derivatives</w:t>
            </w:r>
          </w:p>
        </w:tc>
        <w:tc>
          <w:tcPr>
            <w:tcW w:w="90" w:type="dxa"/>
            <w:tcBorders/>
            <w:shd w:fill="auto" w:val="clear"/>
            <w:vAlign w:val="center"/>
          </w:tcPr>
          <w:p>
            <w:pPr>
              <w:pStyle w:val="TableContents"/>
              <w:spacing w:before="0" w:after="0"/>
              <w:ind w:left="0" w:right="0" w:firstLine="30"/>
              <w:rPr/>
            </w:pPr>
            <w:r>
              <w:rPr/>
              <w:t> </w:t>
            </w:r>
          </w:p>
        </w:tc>
        <w:tc>
          <w:tcPr>
            <w:tcW w:w="208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Preferred Distribution Rate Reset Option</w:t>
            </w:r>
          </w:p>
        </w:tc>
        <w:tc>
          <w:tcPr>
            <w:tcW w:w="90" w:type="dxa"/>
            <w:tcBorders/>
            <w:shd w:fill="auto" w:val="clear"/>
            <w:vAlign w:val="center"/>
          </w:tcPr>
          <w:p>
            <w:pPr>
              <w:pStyle w:val="TableContents"/>
              <w:spacing w:before="0" w:after="0"/>
              <w:ind w:left="0" w:right="0" w:firstLine="30"/>
              <w:rPr/>
            </w:pPr>
            <w:r>
              <w:rPr/>
              <w:t> </w:t>
            </w:r>
          </w:p>
        </w:tc>
        <w:tc>
          <w:tcPr>
            <w:tcW w:w="152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Interest Rate Derivatives</w:t>
            </w:r>
          </w:p>
        </w:tc>
        <w:tc>
          <w:tcPr>
            <w:tcW w:w="90" w:type="dxa"/>
            <w:tcBorders/>
            <w:shd w:fill="auto" w:val="clear"/>
            <w:vAlign w:val="center"/>
          </w:tcPr>
          <w:p>
            <w:pPr>
              <w:pStyle w:val="TableContents"/>
              <w:spacing w:before="0" w:after="0"/>
              <w:ind w:left="0" w:right="0" w:firstLine="30"/>
              <w:rPr/>
            </w:pPr>
            <w:r>
              <w:rPr/>
              <w:t> </w:t>
            </w:r>
          </w:p>
        </w:tc>
        <w:tc>
          <w:tcPr>
            <w:tcW w:w="65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Total</w:t>
            </w:r>
          </w:p>
        </w:tc>
      </w:tr>
      <w:tr>
        <w:trPr/>
        <w:tc>
          <w:tcPr>
            <w:tcW w:w="2888" w:type="dxa"/>
            <w:tcBorders/>
            <w:shd w:fill="CCEEFF" w:val="clear"/>
            <w:vAlign w:val="center"/>
          </w:tcPr>
          <w:p>
            <w:pPr>
              <w:pStyle w:val="TableContents"/>
              <w:spacing w:lineRule="auto" w:line="288" w:before="0" w:after="0"/>
              <w:ind w:left="0" w:right="0" w:firstLine="30"/>
              <w:rPr>
                <w:sz w:val="17"/>
              </w:rPr>
            </w:pPr>
            <w:r>
              <w:rPr>
                <w:rFonts w:ascii="inherit" w:hAnsi="inherit"/>
                <w:sz w:val="17"/>
              </w:rPr>
              <w:t xml:space="preserve">Supply and Logistics segment revenues </w:t>
            </w:r>
            <w:r>
              <w:rPr>
                <w:rFonts w:ascii="inherit" w:hAnsi="inherit"/>
                <w:sz w:val="12"/>
              </w:rPr>
              <w:t xml:space="preserve">(1) </w:t>
            </w:r>
          </w:p>
        </w:tc>
        <w:tc>
          <w:tcPr>
            <w:tcW w:w="203"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645"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(384</w:t>
            </w:r>
          </w:p>
        </w:tc>
        <w:tc>
          <w:tcPr>
            <w:tcW w:w="180"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396"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918"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(12</w:t>
            </w:r>
          </w:p>
        </w:tc>
        <w:tc>
          <w:tcPr>
            <w:tcW w:w="348"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628"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307" w:type="dxa"/>
            <w:tcBorders>
              <w:top w:val="single" w:sz="2" w:space="0" w:color="000000"/>
            </w:tcBorders>
            <w:shd w:fill="CCEEFF" w:val="clear"/>
            <w:tcMar>
              <w:top w:w="30" w:type="dxa"/>
            </w:tcMar>
            <w:vAlign w:val="center"/>
          </w:tcPr>
          <w:p>
            <w:pPr>
              <w:pStyle w:val="TableContents"/>
              <w:spacing w:before="0" w:after="0"/>
              <w:jc w:val="right"/>
              <w:rPr/>
            </w:pPr>
            <w:r>
              <w:rPr/>
              <w:t>—</w:t>
            </w:r>
          </w:p>
        </w:tc>
        <w:tc>
          <w:tcPr>
            <w:tcW w:w="152"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85"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802" w:type="dxa"/>
            <w:tcBorders>
              <w:top w:val="single" w:sz="2" w:space="0" w:color="000000"/>
            </w:tcBorders>
            <w:shd w:fill="CCEEFF" w:val="clear"/>
            <w:tcMar>
              <w:top w:w="30" w:type="dxa"/>
            </w:tcMar>
            <w:vAlign w:val="center"/>
          </w:tcPr>
          <w:p>
            <w:pPr>
              <w:pStyle w:val="TableContents"/>
              <w:spacing w:before="0" w:after="0"/>
              <w:jc w:val="right"/>
              <w:rPr/>
            </w:pPr>
            <w:r>
              <w:rPr/>
              <w:t>—</w:t>
            </w:r>
          </w:p>
        </w:tc>
        <w:tc>
          <w:tcPr>
            <w:tcW w:w="341"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395"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(396</w:t>
            </w:r>
          </w:p>
        </w:tc>
        <w:tc>
          <w:tcPr>
            <w:tcW w:w="132"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888" w:type="dxa"/>
            <w:tcBorders/>
            <w:shd w:fill="auto" w:val="clear"/>
            <w:vAlign w:val="center"/>
          </w:tcPr>
          <w:p>
            <w:pPr>
              <w:pStyle w:val="TableContents"/>
              <w:spacing w:lineRule="auto" w:line="288" w:before="0" w:after="0"/>
              <w:ind w:left="0" w:right="0" w:firstLine="30"/>
              <w:rPr>
                <w:sz w:val="17"/>
              </w:rPr>
            </w:pPr>
            <w:r>
              <w:rPr>
                <w:rFonts w:ascii="inherit" w:hAnsi="inherit"/>
                <w:sz w:val="17"/>
              </w:rPr>
              <w:t xml:space="preserve">Field operating costs </w:t>
            </w:r>
            <w:r>
              <w:rPr>
                <w:rFonts w:ascii="inherit" w:hAnsi="inherit"/>
                <w:sz w:val="12"/>
              </w:rPr>
              <w:t>(1)</w:t>
            </w:r>
          </w:p>
        </w:tc>
        <w:tc>
          <w:tcPr>
            <w:tcW w:w="8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1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14" w:type="dxa"/>
            <w:gridSpan w:val="2"/>
            <w:tcBorders/>
            <w:shd w:fill="auto" w:val="clear"/>
            <w:vAlign w:val="center"/>
          </w:tcPr>
          <w:p>
            <w:pPr>
              <w:pStyle w:val="TableContents"/>
              <w:spacing w:before="0" w:after="0"/>
              <w:jc w:val="right"/>
              <w:rPr/>
            </w:pPr>
            <w:r>
              <w:rPr/>
              <w:t>—</w:t>
            </w:r>
          </w:p>
        </w:tc>
        <w:tc>
          <w:tcPr>
            <w:tcW w:w="3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935" w:type="dxa"/>
            <w:gridSpan w:val="2"/>
            <w:tcBorders/>
            <w:shd w:fill="auto" w:val="clear"/>
            <w:vAlign w:val="center"/>
          </w:tcPr>
          <w:p>
            <w:pPr>
              <w:pStyle w:val="TableContents"/>
              <w:spacing w:before="0" w:after="0"/>
              <w:jc w:val="right"/>
              <w:rPr/>
            </w:pPr>
            <w:r>
              <w:rPr/>
              <w:t>—</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87" w:type="dxa"/>
            <w:gridSpan w:val="2"/>
            <w:tcBorders/>
            <w:shd w:fill="auto" w:val="clear"/>
            <w:vAlign w:val="center"/>
          </w:tcPr>
          <w:p>
            <w:pPr>
              <w:pStyle w:val="TableContents"/>
              <w:spacing w:before="0" w:after="0"/>
              <w:jc w:val="right"/>
              <w:rPr/>
            </w:pPr>
            <w:r>
              <w:rPr/>
              <w:t>—</w:t>
            </w:r>
          </w:p>
        </w:tc>
        <w:tc>
          <w:tcPr>
            <w:tcW w:w="3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888" w:type="dxa"/>
            <w:tcBorders/>
            <w:shd w:fill="CCEEFF" w:val="clear"/>
            <w:vAlign w:val="center"/>
          </w:tcPr>
          <w:p>
            <w:pPr>
              <w:pStyle w:val="TableContents"/>
              <w:spacing w:lineRule="auto" w:line="288" w:before="0" w:after="0"/>
              <w:ind w:left="0" w:right="0" w:firstLine="30"/>
              <w:rPr>
                <w:sz w:val="17"/>
              </w:rPr>
            </w:pPr>
            <w:r>
              <w:rPr>
                <w:rFonts w:ascii="inherit" w:hAnsi="inherit"/>
                <w:sz w:val="17"/>
              </w:rPr>
              <w:t xml:space="preserve">Interest expense, net </w:t>
            </w:r>
            <w:r>
              <w:rPr>
                <w:rFonts w:ascii="inherit" w:hAnsi="inherit"/>
                <w:sz w:val="12"/>
              </w:rPr>
              <w:t>(2)</w:t>
            </w:r>
          </w:p>
        </w:tc>
        <w:tc>
          <w:tcPr>
            <w:tcW w:w="848" w:type="dxa"/>
            <w:gridSpan w:val="2"/>
            <w:tcBorders/>
            <w:shd w:fill="CCEEFF" w:val="clear"/>
            <w:vAlign w:val="center"/>
          </w:tcPr>
          <w:p>
            <w:pPr>
              <w:pStyle w:val="TableContents"/>
              <w:spacing w:before="0" w:after="0"/>
              <w:jc w:val="right"/>
              <w:rPr/>
            </w:pPr>
            <w:r>
              <w:rPr/>
              <w:t>—</w:t>
            </w:r>
          </w:p>
        </w:tc>
        <w:tc>
          <w:tcPr>
            <w:tcW w:w="1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314" w:type="dxa"/>
            <w:gridSpan w:val="2"/>
            <w:tcBorders/>
            <w:shd w:fill="CCEEFF" w:val="clear"/>
            <w:vAlign w:val="center"/>
          </w:tcPr>
          <w:p>
            <w:pPr>
              <w:pStyle w:val="TableContents"/>
              <w:spacing w:before="0" w:after="0"/>
              <w:jc w:val="right"/>
              <w:rPr/>
            </w:pPr>
            <w:r>
              <w:rPr/>
              <w:t>—</w:t>
            </w:r>
          </w:p>
        </w:tc>
        <w:tc>
          <w:tcPr>
            <w:tcW w:w="3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935" w:type="dxa"/>
            <w:gridSpan w:val="2"/>
            <w:tcBorders/>
            <w:shd w:fill="CCEEFF" w:val="clear"/>
            <w:vAlign w:val="center"/>
          </w:tcPr>
          <w:p>
            <w:pPr>
              <w:pStyle w:val="TableContents"/>
              <w:spacing w:before="0" w:after="0"/>
              <w:jc w:val="right"/>
              <w:rPr/>
            </w:pPr>
            <w:r>
              <w:rPr/>
              <w:t>—</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8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w:t>
            </w:r>
          </w:p>
        </w:tc>
        <w:tc>
          <w:tcPr>
            <w:tcW w:w="3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5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888" w:type="dxa"/>
            <w:tcBorders/>
            <w:shd w:fill="auto" w:val="clear"/>
            <w:vAlign w:val="center"/>
          </w:tcPr>
          <w:p>
            <w:pPr>
              <w:pStyle w:val="TableContents"/>
              <w:spacing w:lineRule="auto" w:line="288" w:before="0" w:after="0"/>
              <w:ind w:left="0" w:right="0" w:firstLine="30"/>
              <w:rPr>
                <w:sz w:val="17"/>
              </w:rPr>
            </w:pPr>
            <w:r>
              <w:rPr>
                <w:rFonts w:ascii="inherit" w:hAnsi="inherit"/>
                <w:sz w:val="17"/>
              </w:rPr>
              <w:t xml:space="preserve">Other income/(expense), net </w:t>
            </w:r>
            <w:r>
              <w:rPr>
                <w:rFonts w:ascii="inherit" w:hAnsi="inherit"/>
                <w:sz w:val="12"/>
              </w:rPr>
              <w:t>(1)</w:t>
            </w:r>
          </w:p>
        </w:tc>
        <w:tc>
          <w:tcPr>
            <w:tcW w:w="848"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8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14"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34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93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w:t>
            </w:r>
          </w:p>
        </w:tc>
        <w:tc>
          <w:tcPr>
            <w:tcW w:w="15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87"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34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w:t>
            </w:r>
          </w:p>
        </w:tc>
        <w:tc>
          <w:tcPr>
            <w:tcW w:w="13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88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gain/(loss) on derivatives recognized in net income</w:t>
            </w:r>
          </w:p>
        </w:tc>
        <w:tc>
          <w:tcPr>
            <w:tcW w:w="20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4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(383</w:t>
            </w:r>
          </w:p>
        </w:tc>
        <w:tc>
          <w:tcPr>
            <w:tcW w:w="18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39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1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(12</w:t>
            </w:r>
          </w:p>
        </w:tc>
        <w:tc>
          <w:tcPr>
            <w:tcW w:w="34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62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0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w:t>
            </w:r>
          </w:p>
        </w:tc>
        <w:tc>
          <w:tcPr>
            <w:tcW w:w="15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8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0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w:t>
            </w:r>
          </w:p>
        </w:tc>
        <w:tc>
          <w:tcPr>
            <w:tcW w:w="34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9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(391</w:t>
            </w:r>
          </w:p>
        </w:tc>
        <w:tc>
          <w:tcPr>
            <w:tcW w:w="13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sz w:val="4"/>
                <w:szCs w:val="4"/>
              </w:rPr>
            </w:pPr>
            <w:r>
              <w:rPr>
                <w:sz w:val="4"/>
                <w:szCs w:val="4"/>
              </w:rPr>
            </w:r>
          </w:p>
        </w:tc>
      </w:tr>
      <w:tr>
        <w:trPr/>
        <w:tc>
          <w:tcPr>
            <w:tcW w:w="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 w:type="dxa"/>
            <w:tcBorders>
              <w:bottom w:val="single" w:sz="2" w:space="0" w:color="000000"/>
            </w:tcBorders>
            <w:shd w:fill="auto" w:val="clear"/>
            <w:tcMar>
              <w:bottom w:w="30" w:type="dxa"/>
            </w:tcMar>
            <w:vAlign w:val="center"/>
          </w:tcPr>
          <w:p>
            <w:pPr>
              <w:pStyle w:val="TableContents"/>
              <w:spacing w:before="0" w:after="0"/>
              <w:rPr/>
            </w:pPr>
            <w:r>
              <w:rPr/>
              <w:t> </w:t>
            </w:r>
          </w:p>
        </w:tc>
      </w:tr>
    </w:tbl>
    <w:tbl>
      <w:tblPr>
        <w:tblW w:w="3580" w:type="dxa"/>
        <w:jc w:val="left"/>
        <w:tblInd w:w="0" w:type="dxa"/>
        <w:tblCellMar>
          <w:top w:w="0" w:type="dxa"/>
          <w:left w:w="0" w:type="dxa"/>
          <w:bottom w:w="0" w:type="dxa"/>
          <w:right w:w="0" w:type="dxa"/>
        </w:tblCellMar>
      </w:tblPr>
      <w:tblGrid>
        <w:gridCol w:w="245"/>
        <w:gridCol w:w="3335"/>
      </w:tblGrid>
      <w:tr>
        <w:trPr/>
        <w:tc>
          <w:tcPr>
            <w:tcW w:w="245" w:type="dxa"/>
            <w:tcBorders/>
            <w:shd w:fill="auto" w:val="clear"/>
            <w:vAlign w:val="center"/>
          </w:tcPr>
          <w:p>
            <w:pPr>
              <w:pStyle w:val="TableContents"/>
              <w:spacing w:before="0" w:after="283"/>
              <w:rPr>
                <w:sz w:val="4"/>
                <w:szCs w:val="4"/>
              </w:rPr>
            </w:pPr>
            <w:r>
              <w:rPr>
                <w:sz w:val="4"/>
                <w:szCs w:val="4"/>
              </w:rPr>
            </w:r>
          </w:p>
        </w:tc>
        <w:tc>
          <w:tcPr>
            <w:tcW w:w="3335"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(1)</w:t>
            </w:r>
            <w:r>
              <w:rPr>
                <w:rFonts w:ascii="inherit" w:hAnsi="inherit"/>
                <w:sz w:val="17"/>
              </w:rPr>
              <w:t> </w:t>
            </w:r>
          </w:p>
        </w:tc>
        <w:tc>
          <w:tcPr>
            <w:tcW w:w="3335" w:type="dxa"/>
            <w:tcBorders/>
            <w:shd w:fill="auto" w:val="clear"/>
            <w:vAlign w:val="center"/>
          </w:tcPr>
          <w:p>
            <w:pPr>
              <w:pStyle w:val="TableContents"/>
              <w:spacing w:lineRule="auto" w:line="288" w:before="0" w:after="0"/>
              <w:rPr>
                <w:rFonts w:ascii="inherit" w:hAnsi="inherit"/>
                <w:sz w:val="17"/>
              </w:rPr>
            </w:pPr>
            <w:r>
              <w:rPr>
                <w:rFonts w:ascii="inherit" w:hAnsi="inherit"/>
                <w:sz w:val="17"/>
              </w:rPr>
              <w:t xml:space="preserve">Derivatives not designated as a hedge. </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26</w:t>
      </w:r>
      <w:r>
        <w:br w:type="page"/>
      </w:r>
    </w:p>
    <w:p>
      <w:pPr>
        <w:pStyle w:val="TextBody"/>
        <w:spacing w:lineRule="auto" w:line="288" w:before="0" w:after="0"/>
        <w:rPr/>
      </w:pPr>
      <w:hyperlink w:anchor="s3336AD8A685850CC9B7F2572CB2C0BC3">
        <w:r>
          <w:rPr>
            <w:rStyle w:val="InternetLink"/>
            <w:rFonts w:ascii="inherit" w:hAnsi="inherit"/>
            <w:sz w:val="17"/>
          </w:rPr>
          <w:t>Table of Contents</w:t>
        </w:r>
      </w:hyperlink>
      <w:r>
        <w:rPr>
          <w:sz w:val="17"/>
        </w:rPr>
        <w:t xml:space="preserve"> </w:t>
      </w:r>
    </w:p>
    <w:p>
      <w:pPr>
        <w:pStyle w:val="TextBody"/>
        <w:spacing w:lineRule="auto" w:line="288" w:before="0" w:after="0"/>
        <w:jc w:val="center"/>
        <w:rPr>
          <w:rFonts w:ascii="inherit" w:hAnsi="inherit"/>
          <w:b/>
          <w:sz w:val="17"/>
        </w:rPr>
      </w:pPr>
      <w:r>
        <w:rPr>
          <w:rFonts w:ascii="inherit" w:hAnsi="inherit"/>
          <w:b/>
          <w:sz w:val="17"/>
        </w:rPr>
        <w:t>PLAINS ALL AMERICAN PIPELINE, L.P. AND SUBSIDIARIES</w:t>
      </w:r>
    </w:p>
    <w:p>
      <w:pPr>
        <w:pStyle w:val="TextBody"/>
        <w:spacing w:lineRule="auto" w:line="288" w:before="0" w:after="0"/>
        <w:jc w:val="center"/>
        <w:rPr>
          <w:rFonts w:ascii="inherit" w:hAnsi="inherit"/>
          <w:b/>
          <w:sz w:val="17"/>
        </w:rPr>
      </w:pPr>
      <w:r>
        <w:rPr>
          <w:rFonts w:ascii="inherit" w:hAnsi="inherit"/>
          <w:b/>
          <w:sz w:val="17"/>
        </w:rPr>
        <w:t>NOTES TO THE UNAUDITED CONDENSED CONSOLIDATED FINANCIAL STATEMENTS</w:t>
      </w:r>
    </w:p>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tbl>
      <w:tblPr>
        <w:tblW w:w="3325" w:type="dxa"/>
        <w:jc w:val="left"/>
        <w:tblInd w:w="0" w:type="dxa"/>
        <w:tblCellMar>
          <w:top w:w="0" w:type="dxa"/>
          <w:left w:w="0" w:type="dxa"/>
          <w:bottom w:w="0" w:type="dxa"/>
          <w:right w:w="0" w:type="dxa"/>
        </w:tblCellMar>
      </w:tblPr>
      <w:tblGrid>
        <w:gridCol w:w="245"/>
        <w:gridCol w:w="3080"/>
      </w:tblGrid>
      <w:tr>
        <w:trPr/>
        <w:tc>
          <w:tcPr>
            <w:tcW w:w="245" w:type="dxa"/>
            <w:tcBorders/>
            <w:shd w:fill="auto" w:val="clear"/>
            <w:vAlign w:val="center"/>
          </w:tcPr>
          <w:p>
            <w:pPr>
              <w:pStyle w:val="TableContents"/>
              <w:spacing w:before="0" w:after="283"/>
              <w:rPr>
                <w:sz w:val="4"/>
                <w:szCs w:val="4"/>
              </w:rPr>
            </w:pPr>
            <w:r>
              <w:rPr>
                <w:sz w:val="4"/>
                <w:szCs w:val="4"/>
              </w:rPr>
            </w:r>
          </w:p>
        </w:tc>
        <w:tc>
          <w:tcPr>
            <w:tcW w:w="3080"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(2)</w:t>
            </w:r>
            <w:r>
              <w:rPr>
                <w:rFonts w:ascii="inherit" w:hAnsi="inherit"/>
                <w:sz w:val="17"/>
              </w:rPr>
              <w:t> </w:t>
            </w:r>
          </w:p>
        </w:tc>
        <w:tc>
          <w:tcPr>
            <w:tcW w:w="3080" w:type="dxa"/>
            <w:tcBorders/>
            <w:shd w:fill="auto" w:val="clear"/>
            <w:vAlign w:val="center"/>
          </w:tcPr>
          <w:p>
            <w:pPr>
              <w:pStyle w:val="TableContents"/>
              <w:spacing w:lineRule="auto" w:line="288" w:before="0" w:after="0"/>
              <w:rPr>
                <w:rFonts w:ascii="inherit" w:hAnsi="inherit"/>
                <w:sz w:val="17"/>
              </w:rPr>
            </w:pPr>
            <w:r>
              <w:rPr>
                <w:rFonts w:ascii="inherit" w:hAnsi="inherit"/>
                <w:sz w:val="17"/>
              </w:rPr>
              <w:t>Derivatives in hedging relationships.</w:t>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ind w:left="0" w:right="0" w:firstLine="720"/>
        <w:rPr>
          <w:sz w:val="17"/>
        </w:rPr>
      </w:pPr>
      <w:r>
        <w:rPr>
          <w:rFonts w:ascii="inherit" w:hAnsi="inherit"/>
          <w:sz w:val="17"/>
        </w:rPr>
        <w:t>The following table summarizes the derivative assets and liabilities on our Condensed Consolidated Balance Sheet on a gross basis as of June 30, 2019</w:t>
      </w:r>
      <w:r>
        <w:rPr>
          <w:sz w:val="17"/>
        </w:rPr>
        <w:t xml:space="preserve"> </w:t>
      </w:r>
      <w:r>
        <w:rPr>
          <w:rFonts w:ascii="inherit" w:hAnsi="inherit"/>
          <w:sz w:val="17"/>
        </w:rPr>
        <w:t>(in millions):</w:t>
      </w:r>
    </w:p>
    <w:tbl>
      <w:tblPr>
        <w:tblW w:w="10205" w:type="dxa"/>
        <w:jc w:val="center"/>
        <w:tblInd w:w="0" w:type="dxa"/>
        <w:tblCellMar>
          <w:top w:w="0" w:type="dxa"/>
          <w:left w:w="0" w:type="dxa"/>
          <w:bottom w:w="0" w:type="dxa"/>
          <w:right w:w="0" w:type="dxa"/>
        </w:tblCellMar>
      </w:tblPr>
      <w:tblGrid>
        <w:gridCol w:w="1878"/>
        <w:gridCol w:w="90"/>
        <w:gridCol w:w="224"/>
        <w:gridCol w:w="696"/>
        <w:gridCol w:w="136"/>
        <w:gridCol w:w="111"/>
        <w:gridCol w:w="442"/>
        <w:gridCol w:w="654"/>
        <w:gridCol w:w="390"/>
        <w:gridCol w:w="111"/>
        <w:gridCol w:w="421"/>
        <w:gridCol w:w="979"/>
        <w:gridCol w:w="373"/>
        <w:gridCol w:w="111"/>
        <w:gridCol w:w="154"/>
        <w:gridCol w:w="488"/>
        <w:gridCol w:w="136"/>
        <w:gridCol w:w="90"/>
        <w:gridCol w:w="343"/>
        <w:gridCol w:w="796"/>
        <w:gridCol w:w="302"/>
        <w:gridCol w:w="90"/>
        <w:gridCol w:w="185"/>
        <w:gridCol w:w="587"/>
        <w:gridCol w:w="418"/>
      </w:tblGrid>
      <w:tr>
        <w:trPr/>
        <w:tc>
          <w:tcPr>
            <w:tcW w:w="10205" w:type="dxa"/>
            <w:gridSpan w:val="25"/>
            <w:tcBorders/>
            <w:shd w:fill="auto" w:val="clear"/>
            <w:vAlign w:val="center"/>
          </w:tcPr>
          <w:p>
            <w:pPr>
              <w:pStyle w:val="TableContents"/>
              <w:spacing w:before="0" w:after="283"/>
              <w:rPr>
                <w:sz w:val="4"/>
                <w:szCs w:val="4"/>
              </w:rPr>
            </w:pPr>
            <w:r>
              <w:rPr>
                <w:sz w:val="4"/>
                <w:szCs w:val="4"/>
              </w:rPr>
            </w:r>
          </w:p>
        </w:tc>
      </w:tr>
      <w:tr>
        <w:trPr/>
        <w:tc>
          <w:tcPr>
            <w:tcW w:w="1878"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878"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5426"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Derivatives Not Designated As Hedging Instruments</w:t>
            </w:r>
          </w:p>
        </w:tc>
        <w:tc>
          <w:tcPr>
            <w:tcW w:w="90" w:type="dxa"/>
            <w:tcBorders/>
            <w:shd w:fill="auto" w:val="clear"/>
            <w:vAlign w:val="center"/>
          </w:tcPr>
          <w:p>
            <w:pPr>
              <w:pStyle w:val="TableContents"/>
              <w:spacing w:before="0" w:after="0"/>
              <w:ind w:left="0" w:right="0" w:firstLine="30"/>
              <w:rPr/>
            </w:pPr>
            <w:r>
              <w:rPr/>
              <w:t> </w:t>
            </w:r>
          </w:p>
        </w:tc>
        <w:tc>
          <w:tcPr>
            <w:tcW w:w="1441"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90" w:type="dxa"/>
            <w:gridSpan w:val="3"/>
            <w:tcBorders/>
            <w:shd w:fill="auto" w:val="clear"/>
            <w:vAlign w:val="center"/>
          </w:tcPr>
          <w:p>
            <w:pPr>
              <w:pStyle w:val="TableContents"/>
              <w:spacing w:before="0" w:after="0"/>
              <w:ind w:left="0" w:right="0" w:firstLine="30"/>
              <w:rPr/>
            </w:pPr>
            <w:r>
              <w:rPr/>
              <w:t> </w:t>
            </w:r>
          </w:p>
        </w:tc>
      </w:tr>
      <w:tr>
        <w:trPr/>
        <w:tc>
          <w:tcPr>
            <w:tcW w:w="1878" w:type="dxa"/>
            <w:tcBorders>
              <w:bottom w:val="single" w:sz="2" w:space="0" w:color="000000"/>
            </w:tcBorders>
            <w:shd w:fill="auto" w:val="clear"/>
            <w:tcMar>
              <w:bottom w:w="30" w:type="dxa"/>
            </w:tcMar>
            <w:vAlign w:val="center"/>
          </w:tcPr>
          <w:p>
            <w:pPr>
              <w:pStyle w:val="TableContents"/>
              <w:spacing w:before="0" w:after="0"/>
              <w:ind w:left="0" w:right="0" w:firstLine="30"/>
              <w:rPr>
                <w:rFonts w:ascii="inherit" w:hAnsi="inherit"/>
                <w:b/>
                <w:sz w:val="15"/>
              </w:rPr>
            </w:pPr>
            <w:r>
              <w:rPr>
                <w:rFonts w:ascii="inherit" w:hAnsi="inherit"/>
                <w:b/>
                <w:sz w:val="15"/>
              </w:rPr>
              <w:t>Balance Sheet Location</w:t>
            </w:r>
          </w:p>
        </w:tc>
        <w:tc>
          <w:tcPr>
            <w:tcW w:w="90" w:type="dxa"/>
            <w:tcBorders/>
            <w:shd w:fill="auto" w:val="clear"/>
            <w:vAlign w:val="center"/>
          </w:tcPr>
          <w:p>
            <w:pPr>
              <w:pStyle w:val="TableContents"/>
              <w:spacing w:before="0" w:after="0"/>
              <w:ind w:left="0" w:right="0" w:firstLine="30"/>
              <w:rPr/>
            </w:pPr>
            <w:r>
              <w:rPr/>
              <w:t> </w:t>
            </w:r>
          </w:p>
        </w:tc>
        <w:tc>
          <w:tcPr>
            <w:tcW w:w="105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 xml:space="preserve">Commodity </w:t>
              <w:br/>
              <w:t xml:space="preserve">Derivatives </w:t>
            </w:r>
          </w:p>
        </w:tc>
        <w:tc>
          <w:tcPr>
            <w:tcW w:w="111" w:type="dxa"/>
            <w:tcBorders/>
            <w:shd w:fill="auto" w:val="clear"/>
            <w:vAlign w:val="center"/>
          </w:tcPr>
          <w:p>
            <w:pPr>
              <w:pStyle w:val="TableContents"/>
              <w:spacing w:before="0" w:after="0"/>
              <w:ind w:left="0" w:right="0" w:firstLine="30"/>
              <w:rPr/>
            </w:pPr>
            <w:r>
              <w:rPr/>
              <w:t> </w:t>
            </w:r>
          </w:p>
        </w:tc>
        <w:tc>
          <w:tcPr>
            <w:tcW w:w="148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 xml:space="preserve">Foreign Currency Derivatives </w:t>
            </w:r>
          </w:p>
        </w:tc>
        <w:tc>
          <w:tcPr>
            <w:tcW w:w="111" w:type="dxa"/>
            <w:tcBorders/>
            <w:shd w:fill="auto" w:val="clear"/>
            <w:vAlign w:val="center"/>
          </w:tcPr>
          <w:p>
            <w:pPr>
              <w:pStyle w:val="TableContents"/>
              <w:spacing w:before="0" w:after="0"/>
              <w:ind w:left="0" w:right="0" w:firstLine="30"/>
              <w:rPr/>
            </w:pPr>
            <w:r>
              <w:rPr/>
              <w:t> </w:t>
            </w:r>
          </w:p>
        </w:tc>
        <w:tc>
          <w:tcPr>
            <w:tcW w:w="177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Preferred Distribution Rate Reset Option</w:t>
            </w:r>
          </w:p>
        </w:tc>
        <w:tc>
          <w:tcPr>
            <w:tcW w:w="111" w:type="dxa"/>
            <w:tcBorders/>
            <w:shd w:fill="auto" w:val="clear"/>
            <w:vAlign w:val="center"/>
          </w:tcPr>
          <w:p>
            <w:pPr>
              <w:pStyle w:val="TableContents"/>
              <w:spacing w:before="0" w:after="0"/>
              <w:ind w:left="0" w:right="0" w:firstLine="30"/>
              <w:rPr/>
            </w:pPr>
            <w:r>
              <w:rPr/>
              <w:t> </w:t>
            </w:r>
          </w:p>
        </w:tc>
        <w:tc>
          <w:tcPr>
            <w:tcW w:w="77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 xml:space="preserve">Total </w:t>
            </w:r>
          </w:p>
        </w:tc>
        <w:tc>
          <w:tcPr>
            <w:tcW w:w="90" w:type="dxa"/>
            <w:tcBorders/>
            <w:shd w:fill="auto" w:val="clear"/>
            <w:vAlign w:val="center"/>
          </w:tcPr>
          <w:p>
            <w:pPr>
              <w:pStyle w:val="TableContents"/>
              <w:spacing w:before="0" w:after="0"/>
              <w:ind w:left="0" w:right="0" w:firstLine="30"/>
              <w:rPr/>
            </w:pPr>
            <w:r>
              <w:rPr/>
              <w:t> </w:t>
            </w:r>
          </w:p>
        </w:tc>
        <w:tc>
          <w:tcPr>
            <w:tcW w:w="1441" w:type="dxa"/>
            <w:gridSpan w:val="3"/>
            <w:tcBorders>
              <w:bottom w:val="single" w:sz="2" w:space="0" w:color="000000"/>
            </w:tcBorders>
            <w:shd w:fill="auto" w:val="clear"/>
            <w:tcMar>
              <w:bottom w:w="30" w:type="dxa"/>
            </w:tcMar>
            <w:vAlign w:val="center"/>
          </w:tcPr>
          <w:p>
            <w:pPr>
              <w:pStyle w:val="TableContents"/>
              <w:spacing w:lineRule="auto" w:line="288" w:before="0" w:after="0"/>
              <w:ind w:left="0" w:right="0" w:firstLine="30"/>
              <w:jc w:val="center"/>
              <w:rPr>
                <w:sz w:val="15"/>
              </w:rPr>
            </w:pPr>
            <w:r>
              <w:rPr>
                <w:rFonts w:ascii="inherit" w:hAnsi="inherit"/>
                <w:b/>
                <w:sz w:val="15"/>
              </w:rPr>
              <w:t xml:space="preserve">Interest Rate Derivatives </w:t>
            </w:r>
            <w:r>
              <w:rPr>
                <w:rFonts w:ascii="inherit" w:hAnsi="inherit"/>
                <w:b/>
                <w:sz w:val="10"/>
              </w:rPr>
              <w:t>(1)</w:t>
            </w:r>
          </w:p>
        </w:tc>
        <w:tc>
          <w:tcPr>
            <w:tcW w:w="90" w:type="dxa"/>
            <w:tcBorders/>
            <w:shd w:fill="auto" w:val="clear"/>
            <w:vAlign w:val="center"/>
          </w:tcPr>
          <w:p>
            <w:pPr>
              <w:pStyle w:val="TableContents"/>
              <w:spacing w:before="0" w:after="0"/>
              <w:ind w:left="0" w:right="0" w:firstLine="30"/>
              <w:rPr/>
            </w:pPr>
            <w:r>
              <w:rPr/>
              <w:t> </w:t>
            </w:r>
          </w:p>
        </w:tc>
        <w:tc>
          <w:tcPr>
            <w:tcW w:w="119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Total Derivatives</w:t>
            </w:r>
          </w:p>
        </w:tc>
      </w:tr>
      <w:tr>
        <w:trPr/>
        <w:tc>
          <w:tcPr>
            <w:tcW w:w="1878" w:type="dxa"/>
            <w:tcBorders/>
            <w:shd w:fill="CCEEFF" w:val="clear"/>
            <w:vAlign w:val="center"/>
          </w:tcPr>
          <w:p>
            <w:pPr>
              <w:pStyle w:val="TableContents"/>
              <w:spacing w:before="0" w:after="0"/>
              <w:ind w:left="0" w:right="0" w:firstLine="30"/>
              <w:rPr>
                <w:rFonts w:ascii="inherit" w:hAnsi="inherit"/>
                <w:b/>
                <w:sz w:val="17"/>
              </w:rPr>
            </w:pPr>
            <w:r>
              <w:rPr>
                <w:rFonts w:ascii="inherit" w:hAnsi="inherit"/>
                <w:b/>
                <w:sz w:val="17"/>
              </w:rPr>
              <w:t>Derivative Assets</w:t>
            </w:r>
          </w:p>
        </w:tc>
        <w:tc>
          <w:tcPr>
            <w:tcW w:w="90" w:type="dxa"/>
            <w:tcBorders/>
            <w:shd w:fill="CCEEFF" w:val="clear"/>
            <w:vAlign w:val="center"/>
          </w:tcPr>
          <w:p>
            <w:pPr>
              <w:pStyle w:val="TableContents"/>
              <w:spacing w:before="0" w:after="0"/>
              <w:ind w:left="0" w:right="0" w:firstLine="30"/>
              <w:rPr/>
            </w:pPr>
            <w:r>
              <w:rPr/>
              <w:t> </w:t>
            </w:r>
          </w:p>
        </w:tc>
        <w:tc>
          <w:tcPr>
            <w:tcW w:w="1056" w:type="dxa"/>
            <w:gridSpan w:val="3"/>
            <w:tcBorders/>
            <w:shd w:fill="CCEEFF" w:val="clear"/>
            <w:vAlign w:val="center"/>
          </w:tcPr>
          <w:p>
            <w:pPr>
              <w:pStyle w:val="TableContents"/>
              <w:spacing w:before="0" w:after="0"/>
              <w:ind w:left="0" w:right="0" w:firstLine="30"/>
              <w:rPr/>
            </w:pPr>
            <w:r>
              <w:rPr/>
              <w:t> </w:t>
            </w:r>
          </w:p>
        </w:tc>
        <w:tc>
          <w:tcPr>
            <w:tcW w:w="111" w:type="dxa"/>
            <w:tcBorders/>
            <w:shd w:fill="CCEEFF" w:val="clear"/>
            <w:vAlign w:val="center"/>
          </w:tcPr>
          <w:p>
            <w:pPr>
              <w:pStyle w:val="TableContents"/>
              <w:spacing w:before="0" w:after="0"/>
              <w:ind w:left="0" w:right="0" w:firstLine="30"/>
              <w:rPr/>
            </w:pPr>
            <w:r>
              <w:rPr/>
              <w:t> </w:t>
            </w:r>
          </w:p>
        </w:tc>
        <w:tc>
          <w:tcPr>
            <w:tcW w:w="1486" w:type="dxa"/>
            <w:gridSpan w:val="3"/>
            <w:tcBorders/>
            <w:shd w:fill="CCEEFF" w:val="clear"/>
            <w:vAlign w:val="center"/>
          </w:tcPr>
          <w:p>
            <w:pPr>
              <w:pStyle w:val="TableContents"/>
              <w:spacing w:before="0" w:after="0"/>
              <w:ind w:left="0" w:right="0" w:firstLine="30"/>
              <w:rPr/>
            </w:pPr>
            <w:r>
              <w:rPr/>
              <w:t> </w:t>
            </w:r>
          </w:p>
        </w:tc>
        <w:tc>
          <w:tcPr>
            <w:tcW w:w="111" w:type="dxa"/>
            <w:tcBorders/>
            <w:shd w:fill="CCEEFF" w:val="clear"/>
            <w:vAlign w:val="center"/>
          </w:tcPr>
          <w:p>
            <w:pPr>
              <w:pStyle w:val="TableContents"/>
              <w:spacing w:before="0" w:after="0"/>
              <w:ind w:left="0" w:right="0" w:firstLine="30"/>
              <w:rPr/>
            </w:pPr>
            <w:r>
              <w:rPr/>
              <w:t> </w:t>
            </w:r>
          </w:p>
        </w:tc>
        <w:tc>
          <w:tcPr>
            <w:tcW w:w="1773" w:type="dxa"/>
            <w:gridSpan w:val="3"/>
            <w:tcBorders/>
            <w:shd w:fill="CCEEFF" w:val="clear"/>
            <w:vAlign w:val="center"/>
          </w:tcPr>
          <w:p>
            <w:pPr>
              <w:pStyle w:val="TableContents"/>
              <w:spacing w:before="0" w:after="0"/>
              <w:ind w:left="0" w:right="0" w:firstLine="30"/>
              <w:rPr/>
            </w:pPr>
            <w:r>
              <w:rPr/>
              <w:t> </w:t>
            </w:r>
          </w:p>
        </w:tc>
        <w:tc>
          <w:tcPr>
            <w:tcW w:w="111" w:type="dxa"/>
            <w:tcBorders/>
            <w:shd w:fill="CCEEFF" w:val="clear"/>
            <w:vAlign w:val="center"/>
          </w:tcPr>
          <w:p>
            <w:pPr>
              <w:pStyle w:val="TableContents"/>
              <w:spacing w:before="0" w:after="0"/>
              <w:ind w:left="0" w:right="0" w:firstLine="30"/>
              <w:rPr/>
            </w:pPr>
            <w:r>
              <w:rPr/>
              <w:t> </w:t>
            </w:r>
          </w:p>
        </w:tc>
        <w:tc>
          <w:tcPr>
            <w:tcW w:w="778"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441"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190" w:type="dxa"/>
            <w:gridSpan w:val="3"/>
            <w:tcBorders/>
            <w:shd w:fill="CCEEFF" w:val="clear"/>
            <w:vAlign w:val="center"/>
          </w:tcPr>
          <w:p>
            <w:pPr>
              <w:pStyle w:val="TableContents"/>
              <w:spacing w:before="0" w:after="0"/>
              <w:ind w:left="0" w:right="0" w:firstLine="180"/>
              <w:rPr/>
            </w:pPr>
            <w:r>
              <w:rPr/>
              <w:t> </w:t>
            </w:r>
          </w:p>
        </w:tc>
      </w:tr>
      <w:tr>
        <w:trPr/>
        <w:tc>
          <w:tcPr>
            <w:tcW w:w="18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current assets</w:t>
            </w:r>
          </w:p>
        </w:tc>
        <w:tc>
          <w:tcPr>
            <w:tcW w:w="90" w:type="dxa"/>
            <w:tcBorders/>
            <w:shd w:fill="auto" w:val="clear"/>
            <w:vAlign w:val="center"/>
          </w:tcPr>
          <w:p>
            <w:pPr>
              <w:pStyle w:val="TableContents"/>
              <w:spacing w:before="0" w:after="0"/>
              <w:ind w:left="0" w:right="0" w:firstLine="30"/>
              <w:rPr/>
            </w:pPr>
            <w:r>
              <w:rPr/>
              <w:t> </w:t>
            </w:r>
          </w:p>
        </w:tc>
        <w:tc>
          <w:tcPr>
            <w:tcW w:w="22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96" w:type="dxa"/>
            <w:tcBorders/>
            <w:shd w:fill="auto" w:val="clear"/>
            <w:vAlign w:val="center"/>
          </w:tcPr>
          <w:p>
            <w:pPr>
              <w:pStyle w:val="TableContents"/>
              <w:spacing w:before="0" w:after="0"/>
              <w:jc w:val="right"/>
              <w:rPr>
                <w:rFonts w:ascii="inherit" w:hAnsi="inherit"/>
                <w:sz w:val="17"/>
              </w:rPr>
            </w:pPr>
            <w:r>
              <w:rPr>
                <w:rFonts w:ascii="inherit" w:hAnsi="inherit"/>
                <w:sz w:val="17"/>
              </w:rPr>
              <w:t>389</w:t>
            </w:r>
          </w:p>
        </w:tc>
        <w:tc>
          <w:tcPr>
            <w:tcW w:w="1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44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54" w:type="dxa"/>
            <w:tcBorders/>
            <w:shd w:fill="auto" w:val="clear"/>
            <w:vAlign w:val="center"/>
          </w:tcPr>
          <w:p>
            <w:pPr>
              <w:pStyle w:val="TableContents"/>
              <w:spacing w:before="0" w:after="0"/>
              <w:jc w:val="right"/>
              <w:rPr>
                <w:rFonts w:ascii="inherit" w:hAnsi="inherit"/>
                <w:sz w:val="17"/>
              </w:rPr>
            </w:pPr>
            <w:r>
              <w:rPr>
                <w:rFonts w:ascii="inherit" w:hAnsi="inherit"/>
                <w:sz w:val="17"/>
              </w:rPr>
              <w:t>4</w:t>
            </w:r>
          </w:p>
        </w:tc>
        <w:tc>
          <w:tcPr>
            <w:tcW w:w="3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42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79" w:type="dxa"/>
            <w:tcBorders/>
            <w:shd w:fill="auto" w:val="clear"/>
            <w:vAlign w:val="center"/>
          </w:tcPr>
          <w:p>
            <w:pPr>
              <w:pStyle w:val="TableContents"/>
              <w:spacing w:before="0" w:after="0"/>
              <w:jc w:val="right"/>
              <w:rPr/>
            </w:pPr>
            <w:r>
              <w:rPr/>
              <w:t>—</w:t>
            </w:r>
          </w:p>
        </w:tc>
        <w:tc>
          <w:tcPr>
            <w:tcW w:w="3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5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88" w:type="dxa"/>
            <w:tcBorders/>
            <w:shd w:fill="auto" w:val="clear"/>
            <w:vAlign w:val="center"/>
          </w:tcPr>
          <w:p>
            <w:pPr>
              <w:pStyle w:val="TableContents"/>
              <w:spacing w:before="0" w:after="0"/>
              <w:jc w:val="right"/>
              <w:rPr>
                <w:rFonts w:ascii="inherit" w:hAnsi="inherit"/>
                <w:sz w:val="17"/>
              </w:rPr>
            </w:pPr>
            <w:r>
              <w:rPr>
                <w:rFonts w:ascii="inherit" w:hAnsi="inherit"/>
                <w:sz w:val="17"/>
              </w:rPr>
              <w:t>393</w:t>
            </w:r>
          </w:p>
        </w:tc>
        <w:tc>
          <w:tcPr>
            <w:tcW w:w="1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34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96" w:type="dxa"/>
            <w:tcBorders/>
            <w:shd w:fill="auto" w:val="clear"/>
            <w:vAlign w:val="center"/>
          </w:tcPr>
          <w:p>
            <w:pPr>
              <w:pStyle w:val="TableContents"/>
              <w:spacing w:before="0" w:after="0"/>
              <w:jc w:val="right"/>
              <w:rPr/>
            </w:pPr>
            <w:r>
              <w:rPr/>
              <w:t>—</w:t>
            </w:r>
          </w:p>
        </w:tc>
        <w:tc>
          <w:tcPr>
            <w:tcW w:w="3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8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87" w:type="dxa"/>
            <w:tcBorders/>
            <w:shd w:fill="auto" w:val="clear"/>
            <w:vAlign w:val="center"/>
          </w:tcPr>
          <w:p>
            <w:pPr>
              <w:pStyle w:val="TableContents"/>
              <w:spacing w:before="0" w:after="0"/>
              <w:jc w:val="right"/>
              <w:rPr>
                <w:rFonts w:ascii="inherit" w:hAnsi="inherit"/>
                <w:sz w:val="17"/>
              </w:rPr>
            </w:pPr>
            <w:r>
              <w:rPr>
                <w:rFonts w:ascii="inherit" w:hAnsi="inherit"/>
                <w:sz w:val="17"/>
              </w:rPr>
              <w:t>393</w:t>
            </w:r>
          </w:p>
        </w:tc>
        <w:tc>
          <w:tcPr>
            <w:tcW w:w="418"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18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long-term assets, net</w:t>
            </w:r>
          </w:p>
        </w:tc>
        <w:tc>
          <w:tcPr>
            <w:tcW w:w="90" w:type="dxa"/>
            <w:tcBorders/>
            <w:shd w:fill="CCEEFF" w:val="clear"/>
            <w:vAlign w:val="center"/>
          </w:tcPr>
          <w:p>
            <w:pPr>
              <w:pStyle w:val="TableContents"/>
              <w:spacing w:before="0" w:after="0"/>
              <w:ind w:left="0" w:right="0" w:firstLine="30"/>
              <w:rPr/>
            </w:pPr>
            <w:r>
              <w:rPr/>
              <w:t> </w:t>
            </w:r>
          </w:p>
        </w:tc>
        <w:tc>
          <w:tcPr>
            <w:tcW w:w="9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w:t>
            </w:r>
          </w:p>
        </w:tc>
        <w:tc>
          <w:tcPr>
            <w:tcW w:w="1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096" w:type="dxa"/>
            <w:gridSpan w:val="2"/>
            <w:tcBorders/>
            <w:shd w:fill="CCEEFF" w:val="clear"/>
            <w:vAlign w:val="center"/>
          </w:tcPr>
          <w:p>
            <w:pPr>
              <w:pStyle w:val="TableContents"/>
              <w:spacing w:before="0" w:after="0"/>
              <w:jc w:val="right"/>
              <w:rPr/>
            </w:pPr>
            <w:r>
              <w:rPr/>
              <w:t>—</w:t>
            </w:r>
          </w:p>
        </w:tc>
        <w:tc>
          <w:tcPr>
            <w:tcW w:w="3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400" w:type="dxa"/>
            <w:gridSpan w:val="2"/>
            <w:tcBorders/>
            <w:shd w:fill="CCEEFF" w:val="clear"/>
            <w:vAlign w:val="center"/>
          </w:tcPr>
          <w:p>
            <w:pPr>
              <w:pStyle w:val="TableContents"/>
              <w:spacing w:before="0" w:after="0"/>
              <w:jc w:val="right"/>
              <w:rPr/>
            </w:pPr>
            <w:r>
              <w:rPr/>
              <w:t>—</w:t>
            </w:r>
          </w:p>
        </w:tc>
        <w:tc>
          <w:tcPr>
            <w:tcW w:w="3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64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w:t>
            </w:r>
          </w:p>
        </w:tc>
        <w:tc>
          <w:tcPr>
            <w:tcW w:w="1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pPr>
            <w:r>
              <w:rPr/>
              <w:t>—</w:t>
            </w:r>
          </w:p>
        </w:tc>
        <w:tc>
          <w:tcPr>
            <w:tcW w:w="3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7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w:t>
            </w:r>
          </w:p>
        </w:tc>
        <w:tc>
          <w:tcPr>
            <w:tcW w:w="418"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18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current liabilities</w:t>
            </w:r>
          </w:p>
        </w:tc>
        <w:tc>
          <w:tcPr>
            <w:tcW w:w="90" w:type="dxa"/>
            <w:tcBorders/>
            <w:shd w:fill="auto" w:val="clear"/>
            <w:vAlign w:val="center"/>
          </w:tcPr>
          <w:p>
            <w:pPr>
              <w:pStyle w:val="TableContents"/>
              <w:spacing w:before="0" w:after="0"/>
              <w:ind w:left="0" w:right="0" w:firstLine="30"/>
              <w:rPr/>
            </w:pPr>
            <w:r>
              <w:rPr/>
              <w:t> </w:t>
            </w:r>
          </w:p>
        </w:tc>
        <w:tc>
          <w:tcPr>
            <w:tcW w:w="920" w:type="dxa"/>
            <w:gridSpan w:val="2"/>
            <w:tcBorders/>
            <w:shd w:fill="auto" w:val="clear"/>
            <w:vAlign w:val="center"/>
          </w:tcPr>
          <w:p>
            <w:pPr>
              <w:pStyle w:val="TableContents"/>
              <w:spacing w:before="0" w:after="0"/>
              <w:jc w:val="right"/>
              <w:rPr/>
            </w:pPr>
            <w:r>
              <w:rPr/>
              <w:t>—</w:t>
            </w:r>
          </w:p>
        </w:tc>
        <w:tc>
          <w:tcPr>
            <w:tcW w:w="1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096" w:type="dxa"/>
            <w:gridSpan w:val="2"/>
            <w:tcBorders/>
            <w:shd w:fill="auto" w:val="clear"/>
            <w:vAlign w:val="center"/>
          </w:tcPr>
          <w:p>
            <w:pPr>
              <w:pStyle w:val="TableContents"/>
              <w:spacing w:before="0" w:after="0"/>
              <w:jc w:val="right"/>
              <w:rPr/>
            </w:pPr>
            <w:r>
              <w:rPr/>
              <w:t>—</w:t>
            </w:r>
          </w:p>
        </w:tc>
        <w:tc>
          <w:tcPr>
            <w:tcW w:w="3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400" w:type="dxa"/>
            <w:gridSpan w:val="2"/>
            <w:tcBorders/>
            <w:shd w:fill="auto" w:val="clear"/>
            <w:vAlign w:val="center"/>
          </w:tcPr>
          <w:p>
            <w:pPr>
              <w:pStyle w:val="TableContents"/>
              <w:spacing w:before="0" w:after="0"/>
              <w:jc w:val="right"/>
              <w:rPr/>
            </w:pPr>
            <w:r>
              <w:rPr/>
              <w:t>—</w:t>
            </w:r>
          </w:p>
        </w:tc>
        <w:tc>
          <w:tcPr>
            <w:tcW w:w="3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642" w:type="dxa"/>
            <w:gridSpan w:val="2"/>
            <w:tcBorders/>
            <w:shd w:fill="auto" w:val="clear"/>
            <w:vAlign w:val="center"/>
          </w:tcPr>
          <w:p>
            <w:pPr>
              <w:pStyle w:val="TableContents"/>
              <w:spacing w:before="0" w:after="0"/>
              <w:jc w:val="right"/>
              <w:rPr/>
            </w:pPr>
            <w:r>
              <w:rPr/>
              <w:t>—</w:t>
            </w:r>
          </w:p>
        </w:tc>
        <w:tc>
          <w:tcPr>
            <w:tcW w:w="1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pPr>
            <w:r>
              <w:rPr/>
              <w:t>—</w:t>
            </w:r>
          </w:p>
        </w:tc>
        <w:tc>
          <w:tcPr>
            <w:tcW w:w="3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72" w:type="dxa"/>
            <w:gridSpan w:val="2"/>
            <w:tcBorders/>
            <w:shd w:fill="auto" w:val="clear"/>
            <w:vAlign w:val="center"/>
          </w:tcPr>
          <w:p>
            <w:pPr>
              <w:pStyle w:val="TableContents"/>
              <w:spacing w:before="0" w:after="0"/>
              <w:jc w:val="right"/>
              <w:rPr/>
            </w:pPr>
            <w:r>
              <w:rPr/>
              <w:t>—</w:t>
            </w:r>
          </w:p>
        </w:tc>
        <w:tc>
          <w:tcPr>
            <w:tcW w:w="418"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18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long-term liabilities and deferred credits</w:t>
            </w:r>
          </w:p>
        </w:tc>
        <w:tc>
          <w:tcPr>
            <w:tcW w:w="90" w:type="dxa"/>
            <w:tcBorders/>
            <w:shd w:fill="CCEEFF" w:val="clear"/>
            <w:vAlign w:val="center"/>
          </w:tcPr>
          <w:p>
            <w:pPr>
              <w:pStyle w:val="TableContents"/>
              <w:spacing w:before="0" w:after="0"/>
              <w:ind w:left="0" w:right="0" w:firstLine="30"/>
              <w:rPr/>
            </w:pPr>
            <w:r>
              <w:rPr/>
              <w:t> </w:t>
            </w:r>
          </w:p>
        </w:tc>
        <w:tc>
          <w:tcPr>
            <w:tcW w:w="9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w:t>
            </w:r>
          </w:p>
        </w:tc>
        <w:tc>
          <w:tcPr>
            <w:tcW w:w="1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096" w:type="dxa"/>
            <w:gridSpan w:val="2"/>
            <w:tcBorders/>
            <w:shd w:fill="CCEEFF" w:val="clear"/>
            <w:vAlign w:val="center"/>
          </w:tcPr>
          <w:p>
            <w:pPr>
              <w:pStyle w:val="TableContents"/>
              <w:spacing w:before="0" w:after="0"/>
              <w:jc w:val="right"/>
              <w:rPr/>
            </w:pPr>
            <w:r>
              <w:rPr/>
              <w:t>—</w:t>
            </w:r>
          </w:p>
        </w:tc>
        <w:tc>
          <w:tcPr>
            <w:tcW w:w="3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400" w:type="dxa"/>
            <w:gridSpan w:val="2"/>
            <w:tcBorders/>
            <w:shd w:fill="CCEEFF" w:val="clear"/>
            <w:vAlign w:val="center"/>
          </w:tcPr>
          <w:p>
            <w:pPr>
              <w:pStyle w:val="TableContents"/>
              <w:spacing w:before="0" w:after="0"/>
              <w:jc w:val="right"/>
              <w:rPr/>
            </w:pPr>
            <w:r>
              <w:rPr/>
              <w:t>—</w:t>
            </w:r>
          </w:p>
        </w:tc>
        <w:tc>
          <w:tcPr>
            <w:tcW w:w="3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64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w:t>
            </w:r>
          </w:p>
        </w:tc>
        <w:tc>
          <w:tcPr>
            <w:tcW w:w="1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pPr>
            <w:r>
              <w:rPr/>
              <w:t>—</w:t>
            </w:r>
          </w:p>
        </w:tc>
        <w:tc>
          <w:tcPr>
            <w:tcW w:w="3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7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w:t>
            </w:r>
          </w:p>
        </w:tc>
        <w:tc>
          <w:tcPr>
            <w:tcW w:w="41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878" w:type="dxa"/>
            <w:tcBorders/>
            <w:shd w:fill="auto" w:val="clear"/>
            <w:vAlign w:val="center"/>
          </w:tcPr>
          <w:p>
            <w:pPr>
              <w:pStyle w:val="TableContents"/>
              <w:spacing w:before="0" w:after="0"/>
              <w:ind w:left="0" w:right="0" w:firstLine="30"/>
              <w:rPr>
                <w:rFonts w:ascii="inherit" w:hAnsi="inherit"/>
                <w:b/>
                <w:sz w:val="17"/>
              </w:rPr>
            </w:pPr>
            <w:r>
              <w:rPr>
                <w:rFonts w:ascii="inherit" w:hAnsi="inherit"/>
                <w:b/>
                <w:sz w:val="17"/>
              </w:rPr>
              <w:t>Total Derivative Assets</w:t>
            </w:r>
          </w:p>
        </w:tc>
        <w:tc>
          <w:tcPr>
            <w:tcW w:w="90" w:type="dxa"/>
            <w:tcBorders/>
            <w:shd w:fill="auto" w:val="clear"/>
            <w:vAlign w:val="center"/>
          </w:tcPr>
          <w:p>
            <w:pPr>
              <w:pStyle w:val="TableContents"/>
              <w:spacing w:before="0" w:after="0"/>
              <w:ind w:left="0" w:right="0" w:firstLine="30"/>
              <w:rPr/>
            </w:pPr>
            <w:r>
              <w:rPr/>
              <w:t> </w:t>
            </w:r>
          </w:p>
        </w:tc>
        <w:tc>
          <w:tcPr>
            <w:tcW w:w="22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432</w:t>
            </w:r>
          </w:p>
        </w:tc>
        <w:tc>
          <w:tcPr>
            <w:tcW w:w="13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44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5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w:t>
            </w:r>
          </w:p>
        </w:tc>
        <w:tc>
          <w:tcPr>
            <w:tcW w:w="39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42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7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pPr>
            <w:r>
              <w:rPr/>
              <w:t>—</w:t>
            </w:r>
          </w:p>
        </w:tc>
        <w:tc>
          <w:tcPr>
            <w:tcW w:w="373"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5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436</w:t>
            </w:r>
          </w:p>
        </w:tc>
        <w:tc>
          <w:tcPr>
            <w:tcW w:w="13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34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9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pPr>
            <w:r>
              <w:rPr/>
              <w:t>—</w:t>
            </w:r>
          </w:p>
        </w:tc>
        <w:tc>
          <w:tcPr>
            <w:tcW w:w="30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8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8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436</w:t>
            </w:r>
          </w:p>
        </w:tc>
        <w:tc>
          <w:tcPr>
            <w:tcW w:w="418"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878"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56" w:type="dxa"/>
            <w:gridSpan w:val="3"/>
            <w:tcBorders/>
            <w:shd w:fill="CCEEFF" w:val="clear"/>
            <w:vAlign w:val="center"/>
          </w:tcPr>
          <w:p>
            <w:pPr>
              <w:pStyle w:val="TableContents"/>
              <w:spacing w:before="0" w:after="0"/>
              <w:ind w:left="0" w:right="0" w:firstLine="30"/>
              <w:rPr/>
            </w:pPr>
            <w:r>
              <w:rPr/>
              <w:t> </w:t>
            </w:r>
          </w:p>
        </w:tc>
        <w:tc>
          <w:tcPr>
            <w:tcW w:w="111" w:type="dxa"/>
            <w:tcBorders/>
            <w:shd w:fill="CCEEFF" w:val="clear"/>
            <w:vAlign w:val="center"/>
          </w:tcPr>
          <w:p>
            <w:pPr>
              <w:pStyle w:val="TableContents"/>
              <w:spacing w:before="0" w:after="0"/>
              <w:ind w:left="0" w:right="0" w:firstLine="30"/>
              <w:rPr/>
            </w:pPr>
            <w:r>
              <w:rPr/>
              <w:t> </w:t>
            </w:r>
          </w:p>
        </w:tc>
        <w:tc>
          <w:tcPr>
            <w:tcW w:w="1486" w:type="dxa"/>
            <w:gridSpan w:val="3"/>
            <w:tcBorders/>
            <w:shd w:fill="CCEEFF" w:val="clear"/>
            <w:vAlign w:val="center"/>
          </w:tcPr>
          <w:p>
            <w:pPr>
              <w:pStyle w:val="TableContents"/>
              <w:spacing w:before="0" w:after="0"/>
              <w:ind w:left="0" w:right="0" w:firstLine="30"/>
              <w:rPr/>
            </w:pPr>
            <w:r>
              <w:rPr/>
              <w:t> </w:t>
            </w:r>
          </w:p>
        </w:tc>
        <w:tc>
          <w:tcPr>
            <w:tcW w:w="111" w:type="dxa"/>
            <w:tcBorders/>
            <w:shd w:fill="CCEEFF" w:val="clear"/>
            <w:vAlign w:val="center"/>
          </w:tcPr>
          <w:p>
            <w:pPr>
              <w:pStyle w:val="TableContents"/>
              <w:spacing w:before="0" w:after="0"/>
              <w:ind w:left="0" w:right="0" w:firstLine="30"/>
              <w:rPr/>
            </w:pPr>
            <w:r>
              <w:rPr/>
              <w:t> </w:t>
            </w:r>
          </w:p>
        </w:tc>
        <w:tc>
          <w:tcPr>
            <w:tcW w:w="1773" w:type="dxa"/>
            <w:gridSpan w:val="3"/>
            <w:tcBorders/>
            <w:shd w:fill="CCEEFF" w:val="clear"/>
            <w:vAlign w:val="center"/>
          </w:tcPr>
          <w:p>
            <w:pPr>
              <w:pStyle w:val="TableContents"/>
              <w:spacing w:before="0" w:after="0"/>
              <w:ind w:left="0" w:right="0" w:firstLine="30"/>
              <w:rPr/>
            </w:pPr>
            <w:r>
              <w:rPr/>
              <w:t> </w:t>
            </w:r>
          </w:p>
        </w:tc>
        <w:tc>
          <w:tcPr>
            <w:tcW w:w="111" w:type="dxa"/>
            <w:tcBorders/>
            <w:shd w:fill="CCEEFF" w:val="clear"/>
            <w:vAlign w:val="center"/>
          </w:tcPr>
          <w:p>
            <w:pPr>
              <w:pStyle w:val="TableContents"/>
              <w:spacing w:before="0" w:after="0"/>
              <w:ind w:left="0" w:right="0" w:firstLine="30"/>
              <w:rPr/>
            </w:pPr>
            <w:r>
              <w:rPr/>
              <w:t> </w:t>
            </w:r>
          </w:p>
        </w:tc>
        <w:tc>
          <w:tcPr>
            <w:tcW w:w="778"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441"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190" w:type="dxa"/>
            <w:gridSpan w:val="3"/>
            <w:tcBorders/>
            <w:shd w:fill="CCEEFF" w:val="clear"/>
            <w:vAlign w:val="center"/>
          </w:tcPr>
          <w:p>
            <w:pPr>
              <w:pStyle w:val="TableContents"/>
              <w:spacing w:before="0" w:after="0"/>
              <w:ind w:left="0" w:right="0" w:firstLine="30"/>
              <w:rPr/>
            </w:pPr>
            <w:r>
              <w:rPr/>
              <w:t> </w:t>
            </w:r>
          </w:p>
        </w:tc>
      </w:tr>
      <w:tr>
        <w:trPr/>
        <w:tc>
          <w:tcPr>
            <w:tcW w:w="1878" w:type="dxa"/>
            <w:tcBorders/>
            <w:shd w:fill="auto" w:val="clear"/>
            <w:vAlign w:val="center"/>
          </w:tcPr>
          <w:p>
            <w:pPr>
              <w:pStyle w:val="TableContents"/>
              <w:spacing w:before="0" w:after="0"/>
              <w:ind w:left="0" w:right="0" w:firstLine="30"/>
              <w:rPr>
                <w:rFonts w:ascii="inherit" w:hAnsi="inherit"/>
                <w:b/>
                <w:sz w:val="17"/>
              </w:rPr>
            </w:pPr>
            <w:r>
              <w:rPr>
                <w:rFonts w:ascii="inherit" w:hAnsi="inherit"/>
                <w:b/>
                <w:sz w:val="17"/>
              </w:rPr>
              <w:t>Derivative Liabilities</w:t>
            </w:r>
          </w:p>
        </w:tc>
        <w:tc>
          <w:tcPr>
            <w:tcW w:w="90" w:type="dxa"/>
            <w:tcBorders/>
            <w:shd w:fill="auto" w:val="clear"/>
            <w:vAlign w:val="center"/>
          </w:tcPr>
          <w:p>
            <w:pPr>
              <w:pStyle w:val="TableContents"/>
              <w:spacing w:before="0" w:after="0"/>
              <w:ind w:left="0" w:right="0" w:firstLine="30"/>
              <w:rPr/>
            </w:pPr>
            <w:r>
              <w:rPr/>
              <w:t> </w:t>
            </w:r>
          </w:p>
        </w:tc>
        <w:tc>
          <w:tcPr>
            <w:tcW w:w="1056" w:type="dxa"/>
            <w:gridSpan w:val="3"/>
            <w:tcBorders/>
            <w:shd w:fill="auto" w:val="clear"/>
            <w:vAlign w:val="center"/>
          </w:tcPr>
          <w:p>
            <w:pPr>
              <w:pStyle w:val="TableContents"/>
              <w:spacing w:before="0" w:after="0"/>
              <w:ind w:left="0" w:right="0" w:firstLine="30"/>
              <w:rPr/>
            </w:pPr>
            <w:r>
              <w:rPr/>
              <w:t> </w:t>
            </w:r>
          </w:p>
        </w:tc>
        <w:tc>
          <w:tcPr>
            <w:tcW w:w="111" w:type="dxa"/>
            <w:tcBorders/>
            <w:shd w:fill="auto" w:val="clear"/>
            <w:vAlign w:val="center"/>
          </w:tcPr>
          <w:p>
            <w:pPr>
              <w:pStyle w:val="TableContents"/>
              <w:spacing w:before="0" w:after="0"/>
              <w:ind w:left="0" w:right="0" w:firstLine="30"/>
              <w:rPr/>
            </w:pPr>
            <w:r>
              <w:rPr/>
              <w:t> </w:t>
            </w:r>
          </w:p>
        </w:tc>
        <w:tc>
          <w:tcPr>
            <w:tcW w:w="1486" w:type="dxa"/>
            <w:gridSpan w:val="3"/>
            <w:tcBorders/>
            <w:shd w:fill="auto" w:val="clear"/>
            <w:vAlign w:val="center"/>
          </w:tcPr>
          <w:p>
            <w:pPr>
              <w:pStyle w:val="TableContents"/>
              <w:spacing w:before="0" w:after="0"/>
              <w:ind w:left="0" w:right="0" w:firstLine="30"/>
              <w:rPr/>
            </w:pPr>
            <w:r>
              <w:rPr/>
              <w:t> </w:t>
            </w:r>
          </w:p>
        </w:tc>
        <w:tc>
          <w:tcPr>
            <w:tcW w:w="111" w:type="dxa"/>
            <w:tcBorders/>
            <w:shd w:fill="auto" w:val="clear"/>
            <w:vAlign w:val="center"/>
          </w:tcPr>
          <w:p>
            <w:pPr>
              <w:pStyle w:val="TableContents"/>
              <w:spacing w:before="0" w:after="0"/>
              <w:ind w:left="0" w:right="0" w:firstLine="30"/>
              <w:rPr/>
            </w:pPr>
            <w:r>
              <w:rPr/>
              <w:t> </w:t>
            </w:r>
          </w:p>
        </w:tc>
        <w:tc>
          <w:tcPr>
            <w:tcW w:w="1773" w:type="dxa"/>
            <w:gridSpan w:val="3"/>
            <w:tcBorders/>
            <w:shd w:fill="auto" w:val="clear"/>
            <w:vAlign w:val="center"/>
          </w:tcPr>
          <w:p>
            <w:pPr>
              <w:pStyle w:val="TableContents"/>
              <w:spacing w:before="0" w:after="0"/>
              <w:ind w:left="0" w:right="0" w:firstLine="30"/>
              <w:rPr/>
            </w:pPr>
            <w:r>
              <w:rPr/>
              <w:t> </w:t>
            </w:r>
          </w:p>
        </w:tc>
        <w:tc>
          <w:tcPr>
            <w:tcW w:w="111" w:type="dxa"/>
            <w:tcBorders/>
            <w:shd w:fill="auto" w:val="clear"/>
            <w:vAlign w:val="center"/>
          </w:tcPr>
          <w:p>
            <w:pPr>
              <w:pStyle w:val="TableContents"/>
              <w:spacing w:before="0" w:after="0"/>
              <w:ind w:left="0" w:right="0" w:firstLine="30"/>
              <w:rPr/>
            </w:pPr>
            <w:r>
              <w:rPr/>
              <w:t> </w:t>
            </w:r>
          </w:p>
        </w:tc>
        <w:tc>
          <w:tcPr>
            <w:tcW w:w="778"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441"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90" w:type="dxa"/>
            <w:gridSpan w:val="3"/>
            <w:tcBorders/>
            <w:shd w:fill="auto" w:val="clear"/>
            <w:vAlign w:val="center"/>
          </w:tcPr>
          <w:p>
            <w:pPr>
              <w:pStyle w:val="TableContents"/>
              <w:spacing w:before="0" w:after="0"/>
              <w:ind w:left="0" w:right="0" w:firstLine="180"/>
              <w:rPr/>
            </w:pPr>
            <w:r>
              <w:rPr/>
              <w:t> </w:t>
            </w:r>
          </w:p>
        </w:tc>
      </w:tr>
      <w:tr>
        <w:trPr/>
        <w:tc>
          <w:tcPr>
            <w:tcW w:w="18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current assets</w:t>
            </w:r>
          </w:p>
        </w:tc>
        <w:tc>
          <w:tcPr>
            <w:tcW w:w="90" w:type="dxa"/>
            <w:tcBorders/>
            <w:shd w:fill="CCEEFF" w:val="clear"/>
            <w:vAlign w:val="center"/>
          </w:tcPr>
          <w:p>
            <w:pPr>
              <w:pStyle w:val="TableContents"/>
              <w:spacing w:before="0" w:after="0"/>
              <w:ind w:left="0" w:right="0" w:firstLine="30"/>
              <w:rPr/>
            </w:pPr>
            <w:r>
              <w:rPr/>
              <w:t> </w:t>
            </w:r>
          </w:p>
        </w:tc>
        <w:tc>
          <w:tcPr>
            <w:tcW w:w="22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96" w:type="dxa"/>
            <w:tcBorders/>
            <w:shd w:fill="CCEEFF" w:val="clear"/>
            <w:vAlign w:val="center"/>
          </w:tcPr>
          <w:p>
            <w:pPr>
              <w:pStyle w:val="TableContents"/>
              <w:spacing w:before="0" w:after="0"/>
              <w:jc w:val="right"/>
              <w:rPr>
                <w:rFonts w:ascii="inherit" w:hAnsi="inherit"/>
                <w:sz w:val="17"/>
              </w:rPr>
            </w:pPr>
            <w:r>
              <w:rPr>
                <w:rFonts w:ascii="inherit" w:hAnsi="inherit"/>
                <w:sz w:val="17"/>
              </w:rPr>
              <w:t>(96</w:t>
            </w:r>
          </w:p>
        </w:tc>
        <w:tc>
          <w:tcPr>
            <w:tcW w:w="1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1" w:type="dxa"/>
            <w:tcBorders/>
            <w:shd w:fill="CCEEFF" w:val="clear"/>
            <w:vAlign w:val="center"/>
          </w:tcPr>
          <w:p>
            <w:pPr>
              <w:pStyle w:val="TableContents"/>
              <w:spacing w:before="0" w:after="0"/>
              <w:ind w:left="0" w:right="0" w:firstLine="30"/>
              <w:rPr/>
            </w:pPr>
            <w:r>
              <w:rPr/>
              <w:t> </w:t>
            </w:r>
          </w:p>
        </w:tc>
        <w:tc>
          <w:tcPr>
            <w:tcW w:w="44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54" w:type="dxa"/>
            <w:tcBorders/>
            <w:shd w:fill="CCEEFF" w:val="clear"/>
            <w:vAlign w:val="center"/>
          </w:tcPr>
          <w:p>
            <w:pPr>
              <w:pStyle w:val="TableContents"/>
              <w:spacing w:before="0" w:after="0"/>
              <w:jc w:val="right"/>
              <w:rPr>
                <w:rFonts w:ascii="inherit" w:hAnsi="inherit"/>
                <w:sz w:val="17"/>
              </w:rPr>
            </w:pPr>
            <w:r>
              <w:rPr>
                <w:rFonts w:ascii="inherit" w:hAnsi="inherit"/>
                <w:sz w:val="17"/>
              </w:rPr>
              <w:t>(1</w:t>
            </w:r>
          </w:p>
        </w:tc>
        <w:tc>
          <w:tcPr>
            <w:tcW w:w="3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1" w:type="dxa"/>
            <w:tcBorders/>
            <w:shd w:fill="CCEEFF" w:val="clear"/>
            <w:vAlign w:val="center"/>
          </w:tcPr>
          <w:p>
            <w:pPr>
              <w:pStyle w:val="TableContents"/>
              <w:spacing w:before="0" w:after="0"/>
              <w:ind w:left="0" w:right="0" w:firstLine="30"/>
              <w:rPr/>
            </w:pPr>
            <w:r>
              <w:rPr/>
              <w:t> </w:t>
            </w:r>
          </w:p>
        </w:tc>
        <w:tc>
          <w:tcPr>
            <w:tcW w:w="42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79" w:type="dxa"/>
            <w:tcBorders/>
            <w:shd w:fill="CCEEFF" w:val="clear"/>
            <w:vAlign w:val="center"/>
          </w:tcPr>
          <w:p>
            <w:pPr>
              <w:pStyle w:val="TableContents"/>
              <w:spacing w:before="0" w:after="0"/>
              <w:jc w:val="right"/>
              <w:rPr/>
            </w:pPr>
            <w:r>
              <w:rPr/>
              <w:t>—</w:t>
            </w:r>
          </w:p>
        </w:tc>
        <w:tc>
          <w:tcPr>
            <w:tcW w:w="3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5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88" w:type="dxa"/>
            <w:tcBorders/>
            <w:shd w:fill="CCEEFF" w:val="clear"/>
            <w:vAlign w:val="center"/>
          </w:tcPr>
          <w:p>
            <w:pPr>
              <w:pStyle w:val="TableContents"/>
              <w:spacing w:before="0" w:after="0"/>
              <w:jc w:val="right"/>
              <w:rPr>
                <w:rFonts w:ascii="inherit" w:hAnsi="inherit"/>
                <w:sz w:val="17"/>
              </w:rPr>
            </w:pPr>
            <w:r>
              <w:rPr>
                <w:rFonts w:ascii="inherit" w:hAnsi="inherit"/>
                <w:sz w:val="17"/>
              </w:rPr>
              <w:t>(97</w:t>
            </w:r>
          </w:p>
        </w:tc>
        <w:tc>
          <w:tcPr>
            <w:tcW w:w="1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34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96" w:type="dxa"/>
            <w:tcBorders/>
            <w:shd w:fill="CCEEFF" w:val="clear"/>
            <w:vAlign w:val="center"/>
          </w:tcPr>
          <w:p>
            <w:pPr>
              <w:pStyle w:val="TableContents"/>
              <w:spacing w:before="0" w:after="0"/>
              <w:jc w:val="right"/>
              <w:rPr/>
            </w:pPr>
            <w:r>
              <w:rPr/>
              <w:t>—</w:t>
            </w:r>
          </w:p>
        </w:tc>
        <w:tc>
          <w:tcPr>
            <w:tcW w:w="3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8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87" w:type="dxa"/>
            <w:tcBorders/>
            <w:shd w:fill="CCEEFF" w:val="clear"/>
            <w:vAlign w:val="center"/>
          </w:tcPr>
          <w:p>
            <w:pPr>
              <w:pStyle w:val="TableContents"/>
              <w:spacing w:before="0" w:after="0"/>
              <w:jc w:val="right"/>
              <w:rPr>
                <w:rFonts w:ascii="inherit" w:hAnsi="inherit"/>
                <w:sz w:val="17"/>
              </w:rPr>
            </w:pPr>
            <w:r>
              <w:rPr>
                <w:rFonts w:ascii="inherit" w:hAnsi="inherit"/>
                <w:sz w:val="17"/>
              </w:rPr>
              <w:t>(97</w:t>
            </w:r>
          </w:p>
        </w:tc>
        <w:tc>
          <w:tcPr>
            <w:tcW w:w="418"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18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long-term assets, net</w:t>
            </w:r>
          </w:p>
        </w:tc>
        <w:tc>
          <w:tcPr>
            <w:tcW w:w="90" w:type="dxa"/>
            <w:tcBorders/>
            <w:shd w:fill="auto" w:val="clear"/>
            <w:vAlign w:val="center"/>
          </w:tcPr>
          <w:p>
            <w:pPr>
              <w:pStyle w:val="TableContents"/>
              <w:spacing w:before="0" w:after="0"/>
              <w:ind w:left="0" w:right="0" w:firstLine="30"/>
              <w:rPr/>
            </w:pPr>
            <w:r>
              <w:rPr/>
              <w:t> </w:t>
            </w:r>
          </w:p>
        </w:tc>
        <w:tc>
          <w:tcPr>
            <w:tcW w:w="9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w:t>
            </w:r>
          </w:p>
        </w:tc>
        <w:tc>
          <w:tcPr>
            <w:tcW w:w="1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1" w:type="dxa"/>
            <w:tcBorders/>
            <w:shd w:fill="auto" w:val="clear"/>
            <w:vAlign w:val="center"/>
          </w:tcPr>
          <w:p>
            <w:pPr>
              <w:pStyle w:val="TableContents"/>
              <w:spacing w:before="0" w:after="0"/>
              <w:ind w:left="0" w:right="0" w:firstLine="30"/>
              <w:rPr/>
            </w:pPr>
            <w:r>
              <w:rPr/>
              <w:t> </w:t>
            </w:r>
          </w:p>
        </w:tc>
        <w:tc>
          <w:tcPr>
            <w:tcW w:w="1096" w:type="dxa"/>
            <w:gridSpan w:val="2"/>
            <w:tcBorders/>
            <w:shd w:fill="auto" w:val="clear"/>
            <w:vAlign w:val="center"/>
          </w:tcPr>
          <w:p>
            <w:pPr>
              <w:pStyle w:val="TableContents"/>
              <w:spacing w:before="0" w:after="0"/>
              <w:jc w:val="right"/>
              <w:rPr/>
            </w:pPr>
            <w:r>
              <w:rPr/>
              <w:t>—</w:t>
            </w:r>
          </w:p>
        </w:tc>
        <w:tc>
          <w:tcPr>
            <w:tcW w:w="3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400" w:type="dxa"/>
            <w:gridSpan w:val="2"/>
            <w:tcBorders/>
            <w:shd w:fill="auto" w:val="clear"/>
            <w:vAlign w:val="center"/>
          </w:tcPr>
          <w:p>
            <w:pPr>
              <w:pStyle w:val="TableContents"/>
              <w:spacing w:before="0" w:after="0"/>
              <w:jc w:val="right"/>
              <w:rPr/>
            </w:pPr>
            <w:r>
              <w:rPr/>
              <w:t>—</w:t>
            </w:r>
          </w:p>
        </w:tc>
        <w:tc>
          <w:tcPr>
            <w:tcW w:w="3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64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w:t>
            </w:r>
          </w:p>
        </w:tc>
        <w:tc>
          <w:tcPr>
            <w:tcW w:w="1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pPr>
            <w:r>
              <w:rPr/>
              <w:t>—</w:t>
            </w:r>
          </w:p>
        </w:tc>
        <w:tc>
          <w:tcPr>
            <w:tcW w:w="3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7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w:t>
            </w:r>
          </w:p>
        </w:tc>
        <w:tc>
          <w:tcPr>
            <w:tcW w:w="418"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18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current liabilities</w:t>
            </w:r>
          </w:p>
        </w:tc>
        <w:tc>
          <w:tcPr>
            <w:tcW w:w="90" w:type="dxa"/>
            <w:tcBorders/>
            <w:shd w:fill="CCEEFF" w:val="clear"/>
            <w:vAlign w:val="center"/>
          </w:tcPr>
          <w:p>
            <w:pPr>
              <w:pStyle w:val="TableContents"/>
              <w:spacing w:before="0" w:after="0"/>
              <w:ind w:left="0" w:right="0" w:firstLine="30"/>
              <w:rPr/>
            </w:pPr>
            <w:r>
              <w:rPr/>
              <w:t> </w:t>
            </w:r>
          </w:p>
        </w:tc>
        <w:tc>
          <w:tcPr>
            <w:tcW w:w="9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w:t>
            </w:r>
          </w:p>
        </w:tc>
        <w:tc>
          <w:tcPr>
            <w:tcW w:w="1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1" w:type="dxa"/>
            <w:tcBorders/>
            <w:shd w:fill="CCEEFF" w:val="clear"/>
            <w:vAlign w:val="center"/>
          </w:tcPr>
          <w:p>
            <w:pPr>
              <w:pStyle w:val="TableContents"/>
              <w:spacing w:before="0" w:after="0"/>
              <w:ind w:left="0" w:right="0" w:firstLine="30"/>
              <w:rPr/>
            </w:pPr>
            <w:r>
              <w:rPr/>
              <w:t> </w:t>
            </w:r>
          </w:p>
        </w:tc>
        <w:tc>
          <w:tcPr>
            <w:tcW w:w="1096" w:type="dxa"/>
            <w:gridSpan w:val="2"/>
            <w:tcBorders/>
            <w:shd w:fill="CCEEFF" w:val="clear"/>
            <w:vAlign w:val="center"/>
          </w:tcPr>
          <w:p>
            <w:pPr>
              <w:pStyle w:val="TableContents"/>
              <w:spacing w:before="0" w:after="0"/>
              <w:jc w:val="right"/>
              <w:rPr/>
            </w:pPr>
            <w:r>
              <w:rPr/>
              <w:t>—</w:t>
            </w:r>
          </w:p>
        </w:tc>
        <w:tc>
          <w:tcPr>
            <w:tcW w:w="3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400" w:type="dxa"/>
            <w:gridSpan w:val="2"/>
            <w:tcBorders/>
            <w:shd w:fill="CCEEFF" w:val="clear"/>
            <w:vAlign w:val="center"/>
          </w:tcPr>
          <w:p>
            <w:pPr>
              <w:pStyle w:val="TableContents"/>
              <w:spacing w:before="0" w:after="0"/>
              <w:jc w:val="right"/>
              <w:rPr/>
            </w:pPr>
            <w:r>
              <w:rPr/>
              <w:t>—</w:t>
            </w:r>
          </w:p>
        </w:tc>
        <w:tc>
          <w:tcPr>
            <w:tcW w:w="3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64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w:t>
            </w:r>
          </w:p>
        </w:tc>
        <w:tc>
          <w:tcPr>
            <w:tcW w:w="1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(43</w:t>
            </w:r>
          </w:p>
        </w:tc>
        <w:tc>
          <w:tcPr>
            <w:tcW w:w="3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77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(51</w:t>
            </w:r>
          </w:p>
        </w:tc>
        <w:tc>
          <w:tcPr>
            <w:tcW w:w="418"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18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long-term liabilities and deferred credits</w:t>
            </w:r>
          </w:p>
        </w:tc>
        <w:tc>
          <w:tcPr>
            <w:tcW w:w="90" w:type="dxa"/>
            <w:tcBorders/>
            <w:shd w:fill="auto" w:val="clear"/>
            <w:vAlign w:val="center"/>
          </w:tcPr>
          <w:p>
            <w:pPr>
              <w:pStyle w:val="TableContents"/>
              <w:spacing w:before="0" w:after="0"/>
              <w:ind w:left="0" w:right="0" w:firstLine="30"/>
              <w:rPr/>
            </w:pPr>
            <w:r>
              <w:rPr/>
              <w:t> </w:t>
            </w:r>
          </w:p>
        </w:tc>
        <w:tc>
          <w:tcPr>
            <w:tcW w:w="9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w:t>
            </w:r>
          </w:p>
        </w:tc>
        <w:tc>
          <w:tcPr>
            <w:tcW w:w="1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1" w:type="dxa"/>
            <w:tcBorders/>
            <w:shd w:fill="auto" w:val="clear"/>
            <w:vAlign w:val="center"/>
          </w:tcPr>
          <w:p>
            <w:pPr>
              <w:pStyle w:val="TableContents"/>
              <w:spacing w:before="0" w:after="0"/>
              <w:ind w:left="0" w:right="0" w:firstLine="30"/>
              <w:rPr/>
            </w:pPr>
            <w:r>
              <w:rPr/>
              <w:t> </w:t>
            </w:r>
          </w:p>
        </w:tc>
        <w:tc>
          <w:tcPr>
            <w:tcW w:w="1096" w:type="dxa"/>
            <w:gridSpan w:val="2"/>
            <w:tcBorders/>
            <w:shd w:fill="auto" w:val="clear"/>
            <w:vAlign w:val="center"/>
          </w:tcPr>
          <w:p>
            <w:pPr>
              <w:pStyle w:val="TableContents"/>
              <w:spacing w:before="0" w:after="0"/>
              <w:jc w:val="right"/>
              <w:rPr/>
            </w:pPr>
            <w:r>
              <w:rPr/>
              <w:t>—</w:t>
            </w:r>
          </w:p>
        </w:tc>
        <w:tc>
          <w:tcPr>
            <w:tcW w:w="3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40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w:t>
            </w:r>
          </w:p>
        </w:tc>
        <w:tc>
          <w:tcPr>
            <w:tcW w:w="3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1" w:type="dxa"/>
            <w:tcBorders/>
            <w:shd w:fill="auto" w:val="clear"/>
            <w:vAlign w:val="center"/>
          </w:tcPr>
          <w:p>
            <w:pPr>
              <w:pStyle w:val="TableContents"/>
              <w:spacing w:before="0" w:after="0"/>
              <w:ind w:left="0" w:right="0" w:firstLine="30"/>
              <w:rPr/>
            </w:pPr>
            <w:r>
              <w:rPr/>
              <w:t> </w:t>
            </w:r>
          </w:p>
        </w:tc>
        <w:tc>
          <w:tcPr>
            <w:tcW w:w="64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(35</w:t>
            </w:r>
          </w:p>
        </w:tc>
        <w:tc>
          <w:tcPr>
            <w:tcW w:w="1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pPr>
            <w:r>
              <w:rPr/>
              <w:t>—</w:t>
            </w:r>
          </w:p>
        </w:tc>
        <w:tc>
          <w:tcPr>
            <w:tcW w:w="3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7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(35</w:t>
            </w:r>
          </w:p>
        </w:tc>
        <w:tc>
          <w:tcPr>
            <w:tcW w:w="41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1878" w:type="dxa"/>
            <w:tcBorders/>
            <w:shd w:fill="CCEEFF" w:val="clear"/>
            <w:vAlign w:val="center"/>
          </w:tcPr>
          <w:p>
            <w:pPr>
              <w:pStyle w:val="TableContents"/>
              <w:spacing w:before="0" w:after="0"/>
              <w:ind w:left="0" w:right="0" w:firstLine="30"/>
              <w:rPr>
                <w:rFonts w:ascii="inherit" w:hAnsi="inherit"/>
                <w:b/>
                <w:sz w:val="17"/>
              </w:rPr>
            </w:pPr>
            <w:r>
              <w:rPr>
                <w:rFonts w:ascii="inherit" w:hAnsi="inherit"/>
                <w:b/>
                <w:sz w:val="17"/>
              </w:rPr>
              <w:t>Total Derivative Liabilities</w:t>
            </w:r>
          </w:p>
        </w:tc>
        <w:tc>
          <w:tcPr>
            <w:tcW w:w="90" w:type="dxa"/>
            <w:tcBorders/>
            <w:shd w:fill="CCEEFF" w:val="clear"/>
            <w:vAlign w:val="center"/>
          </w:tcPr>
          <w:p>
            <w:pPr>
              <w:pStyle w:val="TableContents"/>
              <w:spacing w:before="0" w:after="0"/>
              <w:ind w:left="0" w:right="0" w:firstLine="30"/>
              <w:rPr/>
            </w:pPr>
            <w:r>
              <w:rPr/>
              <w:t> </w:t>
            </w:r>
          </w:p>
        </w:tc>
        <w:tc>
          <w:tcPr>
            <w:tcW w:w="22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(123</w:t>
            </w:r>
          </w:p>
        </w:tc>
        <w:tc>
          <w:tcPr>
            <w:tcW w:w="13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1" w:type="dxa"/>
            <w:tcBorders/>
            <w:shd w:fill="CCEEFF" w:val="clear"/>
            <w:vAlign w:val="center"/>
          </w:tcPr>
          <w:p>
            <w:pPr>
              <w:pStyle w:val="TableContents"/>
              <w:spacing w:before="0" w:after="0"/>
              <w:ind w:left="0" w:right="0" w:firstLine="30"/>
              <w:rPr/>
            </w:pPr>
            <w:r>
              <w:rPr/>
              <w:t> </w:t>
            </w:r>
          </w:p>
        </w:tc>
        <w:tc>
          <w:tcPr>
            <w:tcW w:w="44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5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w:t>
            </w:r>
          </w:p>
        </w:tc>
        <w:tc>
          <w:tcPr>
            <w:tcW w:w="39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1" w:type="dxa"/>
            <w:tcBorders/>
            <w:shd w:fill="CCEEFF" w:val="clear"/>
            <w:vAlign w:val="center"/>
          </w:tcPr>
          <w:p>
            <w:pPr>
              <w:pStyle w:val="TableContents"/>
              <w:spacing w:before="0" w:after="0"/>
              <w:ind w:left="0" w:right="0" w:firstLine="30"/>
              <w:rPr/>
            </w:pPr>
            <w:r>
              <w:rPr/>
              <w:t> </w:t>
            </w:r>
          </w:p>
        </w:tc>
        <w:tc>
          <w:tcPr>
            <w:tcW w:w="42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7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(20</w:t>
            </w:r>
          </w:p>
        </w:tc>
        <w:tc>
          <w:tcPr>
            <w:tcW w:w="37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1" w:type="dxa"/>
            <w:tcBorders/>
            <w:shd w:fill="CCEEFF" w:val="clear"/>
            <w:vAlign w:val="center"/>
          </w:tcPr>
          <w:p>
            <w:pPr>
              <w:pStyle w:val="TableContents"/>
              <w:spacing w:before="0" w:after="0"/>
              <w:ind w:left="0" w:right="0" w:firstLine="30"/>
              <w:rPr/>
            </w:pPr>
            <w:r>
              <w:rPr/>
              <w:t> </w:t>
            </w:r>
          </w:p>
        </w:tc>
        <w:tc>
          <w:tcPr>
            <w:tcW w:w="15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(144</w:t>
            </w:r>
          </w:p>
        </w:tc>
        <w:tc>
          <w:tcPr>
            <w:tcW w:w="13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34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9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(43</w:t>
            </w:r>
          </w:p>
        </w:tc>
        <w:tc>
          <w:tcPr>
            <w:tcW w:w="30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8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8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(187</w:t>
            </w:r>
          </w:p>
        </w:tc>
        <w:tc>
          <w:tcPr>
            <w:tcW w:w="41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sz w:val="4"/>
                <w:szCs w:val="4"/>
              </w:rPr>
            </w:pPr>
            <w:r>
              <w:rPr>
                <w:sz w:val="4"/>
                <w:szCs w:val="4"/>
              </w:rPr>
            </w:r>
          </w:p>
        </w:tc>
      </w:tr>
      <w:tr>
        <w:trPr/>
        <w:tc>
          <w:tcPr>
            <w:tcW w:w="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 w:type="dxa"/>
            <w:tcBorders>
              <w:bottom w:val="single" w:sz="2" w:space="0" w:color="000000"/>
            </w:tcBorders>
            <w:shd w:fill="auto" w:val="clear"/>
            <w:tcMar>
              <w:bottom w:w="30" w:type="dxa"/>
            </w:tcMar>
            <w:vAlign w:val="center"/>
          </w:tcPr>
          <w:p>
            <w:pPr>
              <w:pStyle w:val="TableContents"/>
              <w:spacing w:before="0" w:after="0"/>
              <w:rPr/>
            </w:pPr>
            <w:r>
              <w:rPr/>
              <w:t> </w:t>
            </w:r>
          </w:p>
        </w:tc>
      </w:tr>
    </w:tbl>
    <w:tbl>
      <w:tblPr>
        <w:tblW w:w="3325" w:type="dxa"/>
        <w:jc w:val="left"/>
        <w:tblInd w:w="0" w:type="dxa"/>
        <w:tblCellMar>
          <w:top w:w="0" w:type="dxa"/>
          <w:left w:w="0" w:type="dxa"/>
          <w:bottom w:w="0" w:type="dxa"/>
          <w:right w:w="0" w:type="dxa"/>
        </w:tblCellMar>
      </w:tblPr>
      <w:tblGrid>
        <w:gridCol w:w="245"/>
        <w:gridCol w:w="3080"/>
      </w:tblGrid>
      <w:tr>
        <w:trPr/>
        <w:tc>
          <w:tcPr>
            <w:tcW w:w="245" w:type="dxa"/>
            <w:tcBorders/>
            <w:shd w:fill="auto" w:val="clear"/>
            <w:vAlign w:val="center"/>
          </w:tcPr>
          <w:p>
            <w:pPr>
              <w:pStyle w:val="TableContents"/>
              <w:spacing w:before="0" w:after="283"/>
              <w:rPr>
                <w:sz w:val="4"/>
                <w:szCs w:val="4"/>
              </w:rPr>
            </w:pPr>
            <w:r>
              <w:rPr>
                <w:sz w:val="4"/>
                <w:szCs w:val="4"/>
              </w:rPr>
            </w:r>
          </w:p>
        </w:tc>
        <w:tc>
          <w:tcPr>
            <w:tcW w:w="3080"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(1)</w:t>
            </w:r>
            <w:r>
              <w:rPr>
                <w:rFonts w:ascii="inherit" w:hAnsi="inherit"/>
                <w:sz w:val="17"/>
              </w:rPr>
              <w:t> </w:t>
            </w:r>
          </w:p>
        </w:tc>
        <w:tc>
          <w:tcPr>
            <w:tcW w:w="3080" w:type="dxa"/>
            <w:tcBorders/>
            <w:shd w:fill="auto" w:val="clear"/>
            <w:vAlign w:val="center"/>
          </w:tcPr>
          <w:p>
            <w:pPr>
              <w:pStyle w:val="TableContents"/>
              <w:spacing w:lineRule="auto" w:line="288" w:before="0" w:after="0"/>
              <w:rPr>
                <w:rFonts w:ascii="inherit" w:hAnsi="inherit"/>
                <w:sz w:val="17"/>
              </w:rPr>
            </w:pPr>
            <w:r>
              <w:rPr>
                <w:rFonts w:ascii="inherit" w:hAnsi="inherit"/>
                <w:sz w:val="17"/>
              </w:rPr>
              <w:t>Derivatives in hedging relationships.</w:t>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ind w:left="0" w:right="0" w:firstLine="720"/>
        <w:rPr>
          <w:sz w:val="17"/>
        </w:rPr>
      </w:pPr>
      <w:r>
        <w:rPr>
          <w:rFonts w:ascii="inherit" w:hAnsi="inherit"/>
          <w:sz w:val="17"/>
        </w:rPr>
        <w:t>The following table summarizes the derivative assets and liabilities on our Condensed Consolidated Balance Sheet on a gross basis as of December 31, 2018</w:t>
      </w:r>
      <w:r>
        <w:rPr>
          <w:sz w:val="17"/>
        </w:rPr>
        <w:t xml:space="preserve"> </w:t>
      </w:r>
      <w:r>
        <w:rPr>
          <w:rFonts w:ascii="inherit" w:hAnsi="inherit"/>
          <w:sz w:val="17"/>
        </w:rPr>
        <w:t>(in millions):</w:t>
      </w:r>
    </w:p>
    <w:tbl>
      <w:tblPr>
        <w:tblW w:w="10205" w:type="dxa"/>
        <w:jc w:val="center"/>
        <w:tblInd w:w="0" w:type="dxa"/>
        <w:tblCellMar>
          <w:top w:w="0" w:type="dxa"/>
          <w:left w:w="0" w:type="dxa"/>
          <w:bottom w:w="0" w:type="dxa"/>
          <w:right w:w="0" w:type="dxa"/>
        </w:tblCellMar>
      </w:tblPr>
      <w:tblGrid>
        <w:gridCol w:w="1886"/>
        <w:gridCol w:w="90"/>
        <w:gridCol w:w="217"/>
        <w:gridCol w:w="688"/>
        <w:gridCol w:w="141"/>
        <w:gridCol w:w="109"/>
        <w:gridCol w:w="375"/>
        <w:gridCol w:w="782"/>
        <w:gridCol w:w="333"/>
        <w:gridCol w:w="109"/>
        <w:gridCol w:w="423"/>
        <w:gridCol w:w="983"/>
        <w:gridCol w:w="375"/>
        <w:gridCol w:w="109"/>
        <w:gridCol w:w="152"/>
        <w:gridCol w:w="483"/>
        <w:gridCol w:w="134"/>
        <w:gridCol w:w="90"/>
        <w:gridCol w:w="363"/>
        <w:gridCol w:w="758"/>
        <w:gridCol w:w="322"/>
        <w:gridCol w:w="90"/>
        <w:gridCol w:w="185"/>
        <w:gridCol w:w="587"/>
        <w:gridCol w:w="421"/>
      </w:tblGrid>
      <w:tr>
        <w:trPr/>
        <w:tc>
          <w:tcPr>
            <w:tcW w:w="10205" w:type="dxa"/>
            <w:gridSpan w:val="25"/>
            <w:tcBorders/>
            <w:shd w:fill="auto" w:val="clear"/>
            <w:vAlign w:val="center"/>
          </w:tcPr>
          <w:p>
            <w:pPr>
              <w:pStyle w:val="TableContents"/>
              <w:spacing w:before="0" w:after="283"/>
              <w:rPr>
                <w:sz w:val="4"/>
                <w:szCs w:val="4"/>
              </w:rPr>
            </w:pPr>
            <w:r>
              <w:rPr>
                <w:sz w:val="4"/>
                <w:szCs w:val="4"/>
              </w:rPr>
            </w:r>
          </w:p>
        </w:tc>
      </w:tr>
      <w:tr>
        <w:trPr/>
        <w:tc>
          <w:tcPr>
            <w:tcW w:w="188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3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886"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5413"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Derivatives Not Designated As Hedging Instruments</w:t>
            </w:r>
          </w:p>
        </w:tc>
        <w:tc>
          <w:tcPr>
            <w:tcW w:w="90" w:type="dxa"/>
            <w:tcBorders/>
            <w:shd w:fill="auto" w:val="clear"/>
            <w:vAlign w:val="center"/>
          </w:tcPr>
          <w:p>
            <w:pPr>
              <w:pStyle w:val="TableContents"/>
              <w:spacing w:before="0" w:after="0"/>
              <w:ind w:left="0" w:right="0" w:firstLine="30"/>
              <w:rPr/>
            </w:pPr>
            <w:r>
              <w:rPr/>
              <w:t> </w:t>
            </w:r>
          </w:p>
        </w:tc>
        <w:tc>
          <w:tcPr>
            <w:tcW w:w="1443"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93" w:type="dxa"/>
            <w:gridSpan w:val="3"/>
            <w:tcBorders/>
            <w:shd w:fill="auto" w:val="clear"/>
            <w:vAlign w:val="center"/>
          </w:tcPr>
          <w:p>
            <w:pPr>
              <w:pStyle w:val="TableContents"/>
              <w:spacing w:before="0" w:after="0"/>
              <w:ind w:left="0" w:right="0" w:firstLine="30"/>
              <w:rPr/>
            </w:pPr>
            <w:r>
              <w:rPr/>
              <w:t> </w:t>
            </w:r>
          </w:p>
        </w:tc>
      </w:tr>
      <w:tr>
        <w:trPr/>
        <w:tc>
          <w:tcPr>
            <w:tcW w:w="1886" w:type="dxa"/>
            <w:tcBorders>
              <w:bottom w:val="single" w:sz="2" w:space="0" w:color="000000"/>
            </w:tcBorders>
            <w:shd w:fill="auto" w:val="clear"/>
            <w:tcMar>
              <w:bottom w:w="30" w:type="dxa"/>
            </w:tcMar>
            <w:vAlign w:val="center"/>
          </w:tcPr>
          <w:p>
            <w:pPr>
              <w:pStyle w:val="TableContents"/>
              <w:spacing w:before="0" w:after="0"/>
              <w:ind w:left="0" w:right="0" w:firstLine="30"/>
              <w:rPr>
                <w:rFonts w:ascii="inherit" w:hAnsi="inherit"/>
                <w:b/>
                <w:sz w:val="15"/>
              </w:rPr>
            </w:pPr>
            <w:r>
              <w:rPr>
                <w:rFonts w:ascii="inherit" w:hAnsi="inherit"/>
                <w:b/>
                <w:sz w:val="15"/>
              </w:rPr>
              <w:t>Balance Sheet Location</w:t>
            </w:r>
          </w:p>
        </w:tc>
        <w:tc>
          <w:tcPr>
            <w:tcW w:w="90" w:type="dxa"/>
            <w:tcBorders/>
            <w:shd w:fill="auto" w:val="clear"/>
            <w:vAlign w:val="center"/>
          </w:tcPr>
          <w:p>
            <w:pPr>
              <w:pStyle w:val="TableContents"/>
              <w:spacing w:before="0" w:after="0"/>
              <w:ind w:left="0" w:right="0" w:firstLine="30"/>
              <w:rPr/>
            </w:pPr>
            <w:r>
              <w:rPr/>
              <w:t> </w:t>
            </w:r>
          </w:p>
        </w:tc>
        <w:tc>
          <w:tcPr>
            <w:tcW w:w="104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 xml:space="preserve">Commodity </w:t>
              <w:br/>
              <w:t xml:space="preserve">Derivatives </w:t>
            </w:r>
          </w:p>
        </w:tc>
        <w:tc>
          <w:tcPr>
            <w:tcW w:w="109" w:type="dxa"/>
            <w:tcBorders/>
            <w:shd w:fill="auto" w:val="clear"/>
            <w:vAlign w:val="center"/>
          </w:tcPr>
          <w:p>
            <w:pPr>
              <w:pStyle w:val="TableContents"/>
              <w:spacing w:before="0" w:after="0"/>
              <w:ind w:left="0" w:right="0" w:firstLine="30"/>
              <w:rPr/>
            </w:pPr>
            <w:r>
              <w:rPr/>
              <w:t> </w:t>
            </w:r>
          </w:p>
        </w:tc>
        <w:tc>
          <w:tcPr>
            <w:tcW w:w="149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 xml:space="preserve">Foreign Currency Derivatives </w:t>
            </w:r>
          </w:p>
        </w:tc>
        <w:tc>
          <w:tcPr>
            <w:tcW w:w="109" w:type="dxa"/>
            <w:tcBorders/>
            <w:shd w:fill="auto" w:val="clear"/>
            <w:vAlign w:val="center"/>
          </w:tcPr>
          <w:p>
            <w:pPr>
              <w:pStyle w:val="TableContents"/>
              <w:spacing w:before="0" w:after="0"/>
              <w:ind w:left="0" w:right="0" w:firstLine="30"/>
              <w:rPr/>
            </w:pPr>
            <w:r>
              <w:rPr/>
              <w:t> </w:t>
            </w:r>
          </w:p>
        </w:tc>
        <w:tc>
          <w:tcPr>
            <w:tcW w:w="178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Preferred Distribution Rate Reset Option</w:t>
            </w:r>
          </w:p>
        </w:tc>
        <w:tc>
          <w:tcPr>
            <w:tcW w:w="109" w:type="dxa"/>
            <w:tcBorders/>
            <w:shd w:fill="auto" w:val="clear"/>
            <w:vAlign w:val="center"/>
          </w:tcPr>
          <w:p>
            <w:pPr>
              <w:pStyle w:val="TableContents"/>
              <w:spacing w:before="0" w:after="0"/>
              <w:ind w:left="0" w:right="0" w:firstLine="30"/>
              <w:rPr/>
            </w:pPr>
            <w:r>
              <w:rPr/>
              <w:t> </w:t>
            </w:r>
          </w:p>
        </w:tc>
        <w:tc>
          <w:tcPr>
            <w:tcW w:w="76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 xml:space="preserve">Total </w:t>
            </w:r>
          </w:p>
        </w:tc>
        <w:tc>
          <w:tcPr>
            <w:tcW w:w="90" w:type="dxa"/>
            <w:tcBorders/>
            <w:shd w:fill="auto" w:val="clear"/>
            <w:vAlign w:val="center"/>
          </w:tcPr>
          <w:p>
            <w:pPr>
              <w:pStyle w:val="TableContents"/>
              <w:spacing w:before="0" w:after="0"/>
              <w:ind w:left="0" w:right="0" w:firstLine="30"/>
              <w:rPr/>
            </w:pPr>
            <w:r>
              <w:rPr/>
              <w:t> </w:t>
            </w:r>
          </w:p>
        </w:tc>
        <w:tc>
          <w:tcPr>
            <w:tcW w:w="1443" w:type="dxa"/>
            <w:gridSpan w:val="3"/>
            <w:tcBorders>
              <w:bottom w:val="single" w:sz="2" w:space="0" w:color="000000"/>
            </w:tcBorders>
            <w:shd w:fill="auto" w:val="clear"/>
            <w:tcMar>
              <w:bottom w:w="30" w:type="dxa"/>
            </w:tcMar>
            <w:vAlign w:val="center"/>
          </w:tcPr>
          <w:p>
            <w:pPr>
              <w:pStyle w:val="TableContents"/>
              <w:spacing w:lineRule="auto" w:line="288" w:before="0" w:after="0"/>
              <w:ind w:left="0" w:right="0" w:firstLine="30"/>
              <w:jc w:val="center"/>
              <w:rPr>
                <w:sz w:val="15"/>
              </w:rPr>
            </w:pPr>
            <w:r>
              <w:rPr>
                <w:rFonts w:ascii="inherit" w:hAnsi="inherit"/>
                <w:b/>
                <w:sz w:val="15"/>
              </w:rPr>
              <w:t xml:space="preserve">Interest Rate Derivatives </w:t>
            </w:r>
            <w:r>
              <w:rPr>
                <w:rFonts w:ascii="inherit" w:hAnsi="inherit"/>
                <w:b/>
                <w:sz w:val="10"/>
              </w:rPr>
              <w:t>(1)</w:t>
            </w:r>
          </w:p>
        </w:tc>
        <w:tc>
          <w:tcPr>
            <w:tcW w:w="90" w:type="dxa"/>
            <w:tcBorders/>
            <w:shd w:fill="auto" w:val="clear"/>
            <w:vAlign w:val="center"/>
          </w:tcPr>
          <w:p>
            <w:pPr>
              <w:pStyle w:val="TableContents"/>
              <w:spacing w:before="0" w:after="0"/>
              <w:ind w:left="0" w:right="0" w:firstLine="30"/>
              <w:rPr/>
            </w:pPr>
            <w:r>
              <w:rPr/>
              <w:t> </w:t>
            </w:r>
          </w:p>
        </w:tc>
        <w:tc>
          <w:tcPr>
            <w:tcW w:w="119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Total Derivatives</w:t>
            </w:r>
          </w:p>
        </w:tc>
      </w:tr>
      <w:tr>
        <w:trPr/>
        <w:tc>
          <w:tcPr>
            <w:tcW w:w="1886" w:type="dxa"/>
            <w:tcBorders/>
            <w:shd w:fill="CCEEFF" w:val="clear"/>
            <w:vAlign w:val="center"/>
          </w:tcPr>
          <w:p>
            <w:pPr>
              <w:pStyle w:val="TableContents"/>
              <w:spacing w:before="0" w:after="0"/>
              <w:ind w:left="0" w:right="0" w:firstLine="30"/>
              <w:rPr>
                <w:rFonts w:ascii="inherit" w:hAnsi="inherit"/>
                <w:b/>
                <w:sz w:val="17"/>
              </w:rPr>
            </w:pPr>
            <w:r>
              <w:rPr>
                <w:rFonts w:ascii="inherit" w:hAnsi="inherit"/>
                <w:b/>
                <w:sz w:val="17"/>
              </w:rPr>
              <w:t>Derivative Assets</w:t>
            </w:r>
          </w:p>
        </w:tc>
        <w:tc>
          <w:tcPr>
            <w:tcW w:w="90" w:type="dxa"/>
            <w:tcBorders/>
            <w:shd w:fill="CCEEFF" w:val="clear"/>
            <w:vAlign w:val="center"/>
          </w:tcPr>
          <w:p>
            <w:pPr>
              <w:pStyle w:val="TableContents"/>
              <w:spacing w:before="0" w:after="0"/>
              <w:ind w:left="0" w:right="0" w:firstLine="30"/>
              <w:rPr/>
            </w:pPr>
            <w:r>
              <w:rPr/>
              <w:t> </w:t>
            </w:r>
          </w:p>
        </w:tc>
        <w:tc>
          <w:tcPr>
            <w:tcW w:w="1046" w:type="dxa"/>
            <w:gridSpan w:val="3"/>
            <w:tcBorders/>
            <w:shd w:fill="CCEEFF" w:val="clear"/>
            <w:vAlign w:val="center"/>
          </w:tcPr>
          <w:p>
            <w:pPr>
              <w:pStyle w:val="TableContents"/>
              <w:spacing w:before="0" w:after="0"/>
              <w:ind w:left="0" w:right="0" w:firstLine="30"/>
              <w:rPr/>
            </w:pPr>
            <w:r>
              <w:rPr/>
              <w:t> </w:t>
            </w:r>
          </w:p>
        </w:tc>
        <w:tc>
          <w:tcPr>
            <w:tcW w:w="109" w:type="dxa"/>
            <w:tcBorders/>
            <w:shd w:fill="CCEEFF" w:val="clear"/>
            <w:vAlign w:val="center"/>
          </w:tcPr>
          <w:p>
            <w:pPr>
              <w:pStyle w:val="TableContents"/>
              <w:spacing w:before="0" w:after="0"/>
              <w:ind w:left="0" w:right="0" w:firstLine="30"/>
              <w:rPr/>
            </w:pPr>
            <w:r>
              <w:rPr/>
              <w:t> </w:t>
            </w:r>
          </w:p>
        </w:tc>
        <w:tc>
          <w:tcPr>
            <w:tcW w:w="1490" w:type="dxa"/>
            <w:gridSpan w:val="3"/>
            <w:tcBorders/>
            <w:shd w:fill="CCEEFF" w:val="clear"/>
            <w:vAlign w:val="center"/>
          </w:tcPr>
          <w:p>
            <w:pPr>
              <w:pStyle w:val="TableContents"/>
              <w:spacing w:before="0" w:after="0"/>
              <w:ind w:left="0" w:right="0" w:firstLine="30"/>
              <w:rPr/>
            </w:pPr>
            <w:r>
              <w:rPr/>
              <w:t> </w:t>
            </w:r>
          </w:p>
        </w:tc>
        <w:tc>
          <w:tcPr>
            <w:tcW w:w="109" w:type="dxa"/>
            <w:tcBorders/>
            <w:shd w:fill="CCEEFF" w:val="clear"/>
            <w:vAlign w:val="center"/>
          </w:tcPr>
          <w:p>
            <w:pPr>
              <w:pStyle w:val="TableContents"/>
              <w:spacing w:before="0" w:after="0"/>
              <w:ind w:left="0" w:right="0" w:firstLine="30"/>
              <w:rPr/>
            </w:pPr>
            <w:r>
              <w:rPr/>
              <w:t> </w:t>
            </w:r>
          </w:p>
        </w:tc>
        <w:tc>
          <w:tcPr>
            <w:tcW w:w="1781" w:type="dxa"/>
            <w:gridSpan w:val="3"/>
            <w:tcBorders/>
            <w:shd w:fill="CCEEFF" w:val="clear"/>
            <w:vAlign w:val="center"/>
          </w:tcPr>
          <w:p>
            <w:pPr>
              <w:pStyle w:val="TableContents"/>
              <w:spacing w:before="0" w:after="0"/>
              <w:ind w:left="0" w:right="0" w:firstLine="30"/>
              <w:rPr/>
            </w:pPr>
            <w:r>
              <w:rPr/>
              <w:t> </w:t>
            </w:r>
          </w:p>
        </w:tc>
        <w:tc>
          <w:tcPr>
            <w:tcW w:w="109" w:type="dxa"/>
            <w:tcBorders/>
            <w:shd w:fill="CCEEFF" w:val="clear"/>
            <w:vAlign w:val="center"/>
          </w:tcPr>
          <w:p>
            <w:pPr>
              <w:pStyle w:val="TableContents"/>
              <w:spacing w:before="0" w:after="0"/>
              <w:ind w:left="0" w:right="0" w:firstLine="30"/>
              <w:rPr/>
            </w:pPr>
            <w:r>
              <w:rPr/>
              <w:t> </w:t>
            </w:r>
          </w:p>
        </w:tc>
        <w:tc>
          <w:tcPr>
            <w:tcW w:w="769"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443"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193" w:type="dxa"/>
            <w:gridSpan w:val="3"/>
            <w:tcBorders/>
            <w:shd w:fill="CCEEFF" w:val="clear"/>
            <w:vAlign w:val="center"/>
          </w:tcPr>
          <w:p>
            <w:pPr>
              <w:pStyle w:val="TableContents"/>
              <w:spacing w:before="0" w:after="0"/>
              <w:ind w:left="0" w:right="0" w:firstLine="180"/>
              <w:rPr/>
            </w:pPr>
            <w:r>
              <w:rPr/>
              <w:t> </w:t>
            </w:r>
          </w:p>
        </w:tc>
      </w:tr>
      <w:tr>
        <w:trPr/>
        <w:tc>
          <w:tcPr>
            <w:tcW w:w="18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current assets</w:t>
            </w:r>
          </w:p>
        </w:tc>
        <w:tc>
          <w:tcPr>
            <w:tcW w:w="90" w:type="dxa"/>
            <w:tcBorders/>
            <w:shd w:fill="auto" w:val="clear"/>
            <w:vAlign w:val="center"/>
          </w:tcPr>
          <w:p>
            <w:pPr>
              <w:pStyle w:val="TableContents"/>
              <w:spacing w:before="0" w:after="0"/>
              <w:ind w:left="0" w:right="0" w:firstLine="30"/>
              <w:rPr/>
            </w:pPr>
            <w:r>
              <w:rPr/>
              <w:t> </w:t>
            </w:r>
          </w:p>
        </w:tc>
        <w:tc>
          <w:tcPr>
            <w:tcW w:w="21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88" w:type="dxa"/>
            <w:tcBorders/>
            <w:shd w:fill="auto" w:val="clear"/>
            <w:vAlign w:val="center"/>
          </w:tcPr>
          <w:p>
            <w:pPr>
              <w:pStyle w:val="TableContents"/>
              <w:spacing w:before="0" w:after="0"/>
              <w:jc w:val="right"/>
              <w:rPr>
                <w:rFonts w:ascii="inherit" w:hAnsi="inherit"/>
                <w:sz w:val="17"/>
              </w:rPr>
            </w:pPr>
            <w:r>
              <w:rPr>
                <w:rFonts w:ascii="inherit" w:hAnsi="inherit"/>
                <w:sz w:val="17"/>
              </w:rPr>
              <w:t>441</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auto" w:val="clear"/>
            <w:vAlign w:val="center"/>
          </w:tcPr>
          <w:p>
            <w:pPr>
              <w:pStyle w:val="TableContents"/>
              <w:spacing w:before="0" w:after="0"/>
              <w:ind w:left="0" w:right="0" w:firstLine="30"/>
              <w:rPr/>
            </w:pPr>
            <w:r>
              <w:rPr/>
              <w:t> </w:t>
            </w:r>
          </w:p>
        </w:tc>
        <w:tc>
          <w:tcPr>
            <w:tcW w:w="37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82" w:type="dxa"/>
            <w:tcBorders/>
            <w:shd w:fill="auto" w:val="clear"/>
            <w:vAlign w:val="center"/>
          </w:tcPr>
          <w:p>
            <w:pPr>
              <w:pStyle w:val="TableContents"/>
              <w:spacing w:before="0" w:after="0"/>
              <w:jc w:val="right"/>
              <w:rPr/>
            </w:pPr>
            <w:r>
              <w:rPr/>
              <w:t>—</w:t>
            </w:r>
          </w:p>
        </w:tc>
        <w:tc>
          <w:tcPr>
            <w:tcW w:w="3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auto" w:val="clear"/>
            <w:vAlign w:val="center"/>
          </w:tcPr>
          <w:p>
            <w:pPr>
              <w:pStyle w:val="TableContents"/>
              <w:spacing w:before="0" w:after="0"/>
              <w:ind w:left="0" w:right="0" w:firstLine="30"/>
              <w:rPr/>
            </w:pPr>
            <w:r>
              <w:rPr/>
              <w:t> </w:t>
            </w:r>
          </w:p>
        </w:tc>
        <w:tc>
          <w:tcPr>
            <w:tcW w:w="42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83" w:type="dxa"/>
            <w:tcBorders/>
            <w:shd w:fill="auto" w:val="clear"/>
            <w:vAlign w:val="center"/>
          </w:tcPr>
          <w:p>
            <w:pPr>
              <w:pStyle w:val="TableContents"/>
              <w:spacing w:before="0" w:after="0"/>
              <w:jc w:val="right"/>
              <w:rPr/>
            </w:pPr>
            <w:r>
              <w:rPr/>
              <w:t>—</w:t>
            </w:r>
          </w:p>
        </w:tc>
        <w:tc>
          <w:tcPr>
            <w:tcW w:w="3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auto" w:val="clear"/>
            <w:vAlign w:val="center"/>
          </w:tcPr>
          <w:p>
            <w:pPr>
              <w:pStyle w:val="TableContents"/>
              <w:spacing w:before="0" w:after="0"/>
              <w:ind w:left="0" w:right="0" w:firstLine="30"/>
              <w:rPr/>
            </w:pPr>
            <w:r>
              <w:rPr/>
              <w:t> </w:t>
            </w:r>
          </w:p>
        </w:tc>
        <w:tc>
          <w:tcPr>
            <w:tcW w:w="15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83" w:type="dxa"/>
            <w:tcBorders/>
            <w:shd w:fill="auto" w:val="clear"/>
            <w:vAlign w:val="center"/>
          </w:tcPr>
          <w:p>
            <w:pPr>
              <w:pStyle w:val="TableContents"/>
              <w:spacing w:before="0" w:after="0"/>
              <w:jc w:val="right"/>
              <w:rPr>
                <w:rFonts w:ascii="inherit" w:hAnsi="inherit"/>
                <w:sz w:val="17"/>
              </w:rPr>
            </w:pPr>
            <w:r>
              <w:rPr>
                <w:rFonts w:ascii="inherit" w:hAnsi="inherit"/>
                <w:sz w:val="17"/>
              </w:rPr>
              <w:t>441</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36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58" w:type="dxa"/>
            <w:tcBorders/>
            <w:shd w:fill="auto" w:val="clear"/>
            <w:vAlign w:val="center"/>
          </w:tcPr>
          <w:p>
            <w:pPr>
              <w:pStyle w:val="TableContents"/>
              <w:spacing w:before="0" w:after="0"/>
              <w:jc w:val="right"/>
              <w:rPr>
                <w:rFonts w:ascii="inherit" w:hAnsi="inherit"/>
                <w:sz w:val="17"/>
              </w:rPr>
            </w:pPr>
            <w:r>
              <w:rPr>
                <w:rFonts w:ascii="inherit" w:hAnsi="inherit"/>
                <w:sz w:val="17"/>
              </w:rPr>
              <w:t>2</w:t>
            </w:r>
          </w:p>
        </w:tc>
        <w:tc>
          <w:tcPr>
            <w:tcW w:w="3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8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87" w:type="dxa"/>
            <w:tcBorders/>
            <w:shd w:fill="auto" w:val="clear"/>
            <w:vAlign w:val="center"/>
          </w:tcPr>
          <w:p>
            <w:pPr>
              <w:pStyle w:val="TableContents"/>
              <w:spacing w:before="0" w:after="0"/>
              <w:jc w:val="right"/>
              <w:rPr>
                <w:rFonts w:ascii="inherit" w:hAnsi="inherit"/>
                <w:sz w:val="17"/>
              </w:rPr>
            </w:pPr>
            <w:r>
              <w:rPr>
                <w:rFonts w:ascii="inherit" w:hAnsi="inherit"/>
                <w:sz w:val="17"/>
              </w:rPr>
              <w:t>443</w:t>
            </w:r>
          </w:p>
        </w:tc>
        <w:tc>
          <w:tcPr>
            <w:tcW w:w="421"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188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long-term assets, net</w:t>
            </w:r>
          </w:p>
        </w:tc>
        <w:tc>
          <w:tcPr>
            <w:tcW w:w="90" w:type="dxa"/>
            <w:tcBorders/>
            <w:shd w:fill="CCEEFF" w:val="clear"/>
            <w:vAlign w:val="center"/>
          </w:tcPr>
          <w:p>
            <w:pPr>
              <w:pStyle w:val="TableContents"/>
              <w:spacing w:before="0" w:after="0"/>
              <w:ind w:left="0" w:right="0" w:firstLine="30"/>
              <w:rPr/>
            </w:pPr>
            <w:r>
              <w:rPr/>
              <w:t> </w:t>
            </w:r>
          </w:p>
        </w:tc>
        <w:tc>
          <w:tcPr>
            <w:tcW w:w="90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CCEEFF" w:val="clear"/>
            <w:vAlign w:val="center"/>
          </w:tcPr>
          <w:p>
            <w:pPr>
              <w:pStyle w:val="TableContents"/>
              <w:spacing w:before="0" w:after="0"/>
              <w:ind w:left="0" w:right="0" w:firstLine="30"/>
              <w:rPr/>
            </w:pPr>
            <w:r>
              <w:rPr/>
              <w:t> </w:t>
            </w:r>
          </w:p>
        </w:tc>
        <w:tc>
          <w:tcPr>
            <w:tcW w:w="1157" w:type="dxa"/>
            <w:gridSpan w:val="2"/>
            <w:tcBorders/>
            <w:shd w:fill="CCEEFF" w:val="clear"/>
            <w:vAlign w:val="center"/>
          </w:tcPr>
          <w:p>
            <w:pPr>
              <w:pStyle w:val="TableContents"/>
              <w:spacing w:before="0" w:after="0"/>
              <w:jc w:val="right"/>
              <w:rPr/>
            </w:pPr>
            <w:r>
              <w:rPr/>
              <w:t>—</w:t>
            </w:r>
          </w:p>
        </w:tc>
        <w:tc>
          <w:tcPr>
            <w:tcW w:w="3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CCEEFF" w:val="clear"/>
            <w:vAlign w:val="center"/>
          </w:tcPr>
          <w:p>
            <w:pPr>
              <w:pStyle w:val="TableContents"/>
              <w:spacing w:before="0" w:after="0"/>
              <w:ind w:left="0" w:right="0" w:firstLine="30"/>
              <w:rPr/>
            </w:pPr>
            <w:r>
              <w:rPr/>
              <w:t> </w:t>
            </w:r>
          </w:p>
        </w:tc>
        <w:tc>
          <w:tcPr>
            <w:tcW w:w="1406" w:type="dxa"/>
            <w:gridSpan w:val="2"/>
            <w:tcBorders/>
            <w:shd w:fill="CCEEFF" w:val="clear"/>
            <w:vAlign w:val="center"/>
          </w:tcPr>
          <w:p>
            <w:pPr>
              <w:pStyle w:val="TableContents"/>
              <w:spacing w:before="0" w:after="0"/>
              <w:jc w:val="right"/>
              <w:rPr/>
            </w:pPr>
            <w:r>
              <w:rPr/>
              <w:t>—</w:t>
            </w:r>
          </w:p>
        </w:tc>
        <w:tc>
          <w:tcPr>
            <w:tcW w:w="3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CCEEFF" w:val="clear"/>
            <w:vAlign w:val="center"/>
          </w:tcPr>
          <w:p>
            <w:pPr>
              <w:pStyle w:val="TableContents"/>
              <w:spacing w:before="0" w:after="0"/>
              <w:ind w:left="0" w:right="0" w:firstLine="30"/>
              <w:rPr/>
            </w:pPr>
            <w:r>
              <w:rPr/>
              <w:t> </w:t>
            </w:r>
          </w:p>
        </w:tc>
        <w:tc>
          <w:tcPr>
            <w:tcW w:w="63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w:t>
            </w:r>
          </w:p>
        </w:tc>
        <w:tc>
          <w:tcPr>
            <w:tcW w:w="1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21" w:type="dxa"/>
            <w:gridSpan w:val="2"/>
            <w:tcBorders/>
            <w:shd w:fill="CCEEFF" w:val="clear"/>
            <w:vAlign w:val="center"/>
          </w:tcPr>
          <w:p>
            <w:pPr>
              <w:pStyle w:val="TableContents"/>
              <w:spacing w:before="0" w:after="0"/>
              <w:jc w:val="right"/>
              <w:rPr/>
            </w:pPr>
            <w:r>
              <w:rPr/>
              <w:t>—</w:t>
            </w:r>
          </w:p>
        </w:tc>
        <w:tc>
          <w:tcPr>
            <w:tcW w:w="32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7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w:t>
            </w:r>
          </w:p>
        </w:tc>
        <w:tc>
          <w:tcPr>
            <w:tcW w:w="421"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18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long-term liabilities and deferred credits</w:t>
            </w:r>
          </w:p>
        </w:tc>
        <w:tc>
          <w:tcPr>
            <w:tcW w:w="90" w:type="dxa"/>
            <w:tcBorders/>
            <w:shd w:fill="auto" w:val="clear"/>
            <w:vAlign w:val="center"/>
          </w:tcPr>
          <w:p>
            <w:pPr>
              <w:pStyle w:val="TableContents"/>
              <w:spacing w:before="0" w:after="0"/>
              <w:ind w:left="0" w:right="0" w:firstLine="30"/>
              <w:rPr/>
            </w:pPr>
            <w:r>
              <w:rPr/>
              <w:t> </w:t>
            </w:r>
          </w:p>
        </w:tc>
        <w:tc>
          <w:tcPr>
            <w:tcW w:w="90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auto" w:val="clear"/>
            <w:vAlign w:val="center"/>
          </w:tcPr>
          <w:p>
            <w:pPr>
              <w:pStyle w:val="TableContents"/>
              <w:spacing w:before="0" w:after="0"/>
              <w:ind w:left="0" w:right="0" w:firstLine="30"/>
              <w:rPr/>
            </w:pPr>
            <w:r>
              <w:rPr/>
              <w:t> </w:t>
            </w:r>
          </w:p>
        </w:tc>
        <w:tc>
          <w:tcPr>
            <w:tcW w:w="1157" w:type="dxa"/>
            <w:gridSpan w:val="2"/>
            <w:tcBorders/>
            <w:shd w:fill="auto" w:val="clear"/>
            <w:vAlign w:val="center"/>
          </w:tcPr>
          <w:p>
            <w:pPr>
              <w:pStyle w:val="TableContents"/>
              <w:spacing w:before="0" w:after="0"/>
              <w:jc w:val="right"/>
              <w:rPr/>
            </w:pPr>
            <w:r>
              <w:rPr/>
              <w:t>—</w:t>
            </w:r>
          </w:p>
        </w:tc>
        <w:tc>
          <w:tcPr>
            <w:tcW w:w="3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auto" w:val="clear"/>
            <w:vAlign w:val="center"/>
          </w:tcPr>
          <w:p>
            <w:pPr>
              <w:pStyle w:val="TableContents"/>
              <w:spacing w:before="0" w:after="0"/>
              <w:ind w:left="0" w:right="0" w:firstLine="30"/>
              <w:rPr/>
            </w:pPr>
            <w:r>
              <w:rPr/>
              <w:t> </w:t>
            </w:r>
          </w:p>
        </w:tc>
        <w:tc>
          <w:tcPr>
            <w:tcW w:w="1406" w:type="dxa"/>
            <w:gridSpan w:val="2"/>
            <w:tcBorders/>
            <w:shd w:fill="auto" w:val="clear"/>
            <w:vAlign w:val="center"/>
          </w:tcPr>
          <w:p>
            <w:pPr>
              <w:pStyle w:val="TableContents"/>
              <w:spacing w:before="0" w:after="0"/>
              <w:jc w:val="right"/>
              <w:rPr/>
            </w:pPr>
            <w:r>
              <w:rPr/>
              <w:t>—</w:t>
            </w:r>
          </w:p>
        </w:tc>
        <w:tc>
          <w:tcPr>
            <w:tcW w:w="3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auto" w:val="clear"/>
            <w:vAlign w:val="center"/>
          </w:tcPr>
          <w:p>
            <w:pPr>
              <w:pStyle w:val="TableContents"/>
              <w:spacing w:before="0" w:after="0"/>
              <w:ind w:left="0" w:right="0" w:firstLine="30"/>
              <w:rPr/>
            </w:pPr>
            <w:r>
              <w:rPr/>
              <w:t> </w:t>
            </w:r>
          </w:p>
        </w:tc>
        <w:tc>
          <w:tcPr>
            <w:tcW w:w="63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w:t>
            </w:r>
          </w:p>
        </w:tc>
        <w:tc>
          <w:tcPr>
            <w:tcW w:w="13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21" w:type="dxa"/>
            <w:gridSpan w:val="2"/>
            <w:tcBorders/>
            <w:shd w:fill="auto" w:val="clear"/>
            <w:vAlign w:val="center"/>
          </w:tcPr>
          <w:p>
            <w:pPr>
              <w:pStyle w:val="TableContents"/>
              <w:spacing w:before="0" w:after="0"/>
              <w:jc w:val="right"/>
              <w:rPr/>
            </w:pPr>
            <w:r>
              <w:rPr/>
              <w:t>—</w:t>
            </w:r>
          </w:p>
        </w:tc>
        <w:tc>
          <w:tcPr>
            <w:tcW w:w="3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7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w:t>
            </w:r>
          </w:p>
        </w:tc>
        <w:tc>
          <w:tcPr>
            <w:tcW w:w="42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886" w:type="dxa"/>
            <w:tcBorders/>
            <w:shd w:fill="CCEEFF" w:val="clear"/>
            <w:vAlign w:val="center"/>
          </w:tcPr>
          <w:p>
            <w:pPr>
              <w:pStyle w:val="TableContents"/>
              <w:spacing w:before="0" w:after="0"/>
              <w:ind w:left="0" w:right="0" w:firstLine="30"/>
              <w:rPr>
                <w:rFonts w:ascii="inherit" w:hAnsi="inherit"/>
                <w:b/>
                <w:sz w:val="17"/>
              </w:rPr>
            </w:pPr>
            <w:r>
              <w:rPr>
                <w:rFonts w:ascii="inherit" w:hAnsi="inherit"/>
                <w:b/>
                <w:sz w:val="17"/>
              </w:rPr>
              <w:t>Total Derivative Assets</w:t>
            </w:r>
          </w:p>
        </w:tc>
        <w:tc>
          <w:tcPr>
            <w:tcW w:w="90" w:type="dxa"/>
            <w:tcBorders/>
            <w:shd w:fill="CCEEFF" w:val="clear"/>
            <w:vAlign w:val="center"/>
          </w:tcPr>
          <w:p>
            <w:pPr>
              <w:pStyle w:val="TableContents"/>
              <w:spacing w:before="0" w:after="0"/>
              <w:ind w:left="0" w:right="0" w:firstLine="30"/>
              <w:rPr/>
            </w:pPr>
            <w:r>
              <w:rPr/>
              <w:t> </w:t>
            </w:r>
          </w:p>
        </w:tc>
        <w:tc>
          <w:tcPr>
            <w:tcW w:w="21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8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478</w:t>
            </w:r>
          </w:p>
        </w:tc>
        <w:tc>
          <w:tcPr>
            <w:tcW w:w="14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CCEEFF" w:val="clear"/>
            <w:vAlign w:val="center"/>
          </w:tcPr>
          <w:p>
            <w:pPr>
              <w:pStyle w:val="TableContents"/>
              <w:spacing w:before="0" w:after="0"/>
              <w:ind w:left="0" w:right="0" w:firstLine="30"/>
              <w:rPr/>
            </w:pPr>
            <w:r>
              <w:rPr/>
              <w:t> </w:t>
            </w:r>
          </w:p>
        </w:tc>
        <w:tc>
          <w:tcPr>
            <w:tcW w:w="37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8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pPr>
            <w:r>
              <w:rPr/>
              <w:t>—</w:t>
            </w:r>
          </w:p>
        </w:tc>
        <w:tc>
          <w:tcPr>
            <w:tcW w:w="333"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CCEEFF" w:val="clear"/>
            <w:vAlign w:val="center"/>
          </w:tcPr>
          <w:p>
            <w:pPr>
              <w:pStyle w:val="TableContents"/>
              <w:spacing w:before="0" w:after="0"/>
              <w:ind w:left="0" w:right="0" w:firstLine="30"/>
              <w:rPr/>
            </w:pPr>
            <w:r>
              <w:rPr/>
              <w:t> </w:t>
            </w:r>
          </w:p>
        </w:tc>
        <w:tc>
          <w:tcPr>
            <w:tcW w:w="42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8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pPr>
            <w:r>
              <w:rPr/>
              <w:t>—</w:t>
            </w:r>
          </w:p>
        </w:tc>
        <w:tc>
          <w:tcPr>
            <w:tcW w:w="37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CCEEFF" w:val="clear"/>
            <w:vAlign w:val="center"/>
          </w:tcPr>
          <w:p>
            <w:pPr>
              <w:pStyle w:val="TableContents"/>
              <w:spacing w:before="0" w:after="0"/>
              <w:ind w:left="0" w:right="0" w:firstLine="30"/>
              <w:rPr/>
            </w:pPr>
            <w:r>
              <w:rPr/>
              <w:t> </w:t>
            </w:r>
          </w:p>
        </w:tc>
        <w:tc>
          <w:tcPr>
            <w:tcW w:w="15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478</w:t>
            </w:r>
          </w:p>
        </w:tc>
        <w:tc>
          <w:tcPr>
            <w:tcW w:w="134"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363"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5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w:t>
            </w:r>
          </w:p>
        </w:tc>
        <w:tc>
          <w:tcPr>
            <w:tcW w:w="32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18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8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480</w:t>
            </w:r>
          </w:p>
        </w:tc>
        <w:tc>
          <w:tcPr>
            <w:tcW w:w="42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886"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46" w:type="dxa"/>
            <w:gridSpan w:val="3"/>
            <w:tcBorders/>
            <w:shd w:fill="auto" w:val="clear"/>
            <w:vAlign w:val="center"/>
          </w:tcPr>
          <w:p>
            <w:pPr>
              <w:pStyle w:val="TableContents"/>
              <w:spacing w:before="0" w:after="0"/>
              <w:ind w:left="0" w:right="0" w:firstLine="30"/>
              <w:rPr/>
            </w:pPr>
            <w:r>
              <w:rPr/>
              <w:t> </w:t>
            </w:r>
          </w:p>
        </w:tc>
        <w:tc>
          <w:tcPr>
            <w:tcW w:w="109" w:type="dxa"/>
            <w:tcBorders/>
            <w:shd w:fill="auto" w:val="clear"/>
            <w:vAlign w:val="center"/>
          </w:tcPr>
          <w:p>
            <w:pPr>
              <w:pStyle w:val="TableContents"/>
              <w:spacing w:before="0" w:after="0"/>
              <w:ind w:left="0" w:right="0" w:firstLine="30"/>
              <w:rPr/>
            </w:pPr>
            <w:r>
              <w:rPr/>
              <w:t> </w:t>
            </w:r>
          </w:p>
        </w:tc>
        <w:tc>
          <w:tcPr>
            <w:tcW w:w="1490" w:type="dxa"/>
            <w:gridSpan w:val="3"/>
            <w:tcBorders/>
            <w:shd w:fill="auto" w:val="clear"/>
            <w:vAlign w:val="center"/>
          </w:tcPr>
          <w:p>
            <w:pPr>
              <w:pStyle w:val="TableContents"/>
              <w:spacing w:before="0" w:after="0"/>
              <w:ind w:left="0" w:right="0" w:firstLine="30"/>
              <w:rPr/>
            </w:pPr>
            <w:r>
              <w:rPr/>
              <w:t> </w:t>
            </w:r>
          </w:p>
        </w:tc>
        <w:tc>
          <w:tcPr>
            <w:tcW w:w="109" w:type="dxa"/>
            <w:tcBorders/>
            <w:shd w:fill="auto" w:val="clear"/>
            <w:vAlign w:val="center"/>
          </w:tcPr>
          <w:p>
            <w:pPr>
              <w:pStyle w:val="TableContents"/>
              <w:spacing w:before="0" w:after="0"/>
              <w:ind w:left="0" w:right="0" w:firstLine="30"/>
              <w:rPr/>
            </w:pPr>
            <w:r>
              <w:rPr/>
              <w:t> </w:t>
            </w:r>
          </w:p>
        </w:tc>
        <w:tc>
          <w:tcPr>
            <w:tcW w:w="1781" w:type="dxa"/>
            <w:gridSpan w:val="3"/>
            <w:tcBorders/>
            <w:shd w:fill="auto" w:val="clear"/>
            <w:vAlign w:val="center"/>
          </w:tcPr>
          <w:p>
            <w:pPr>
              <w:pStyle w:val="TableContents"/>
              <w:spacing w:before="0" w:after="0"/>
              <w:ind w:left="0" w:right="0" w:firstLine="30"/>
              <w:rPr/>
            </w:pPr>
            <w:r>
              <w:rPr/>
              <w:t> </w:t>
            </w:r>
          </w:p>
        </w:tc>
        <w:tc>
          <w:tcPr>
            <w:tcW w:w="109" w:type="dxa"/>
            <w:tcBorders/>
            <w:shd w:fill="auto" w:val="clear"/>
            <w:vAlign w:val="center"/>
          </w:tcPr>
          <w:p>
            <w:pPr>
              <w:pStyle w:val="TableContents"/>
              <w:spacing w:before="0" w:after="0"/>
              <w:ind w:left="0" w:right="0" w:firstLine="30"/>
              <w:rPr/>
            </w:pPr>
            <w:r>
              <w:rPr/>
              <w:t> </w:t>
            </w:r>
          </w:p>
        </w:tc>
        <w:tc>
          <w:tcPr>
            <w:tcW w:w="769"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443"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93" w:type="dxa"/>
            <w:gridSpan w:val="3"/>
            <w:tcBorders/>
            <w:shd w:fill="auto" w:val="clear"/>
            <w:vAlign w:val="center"/>
          </w:tcPr>
          <w:p>
            <w:pPr>
              <w:pStyle w:val="TableContents"/>
              <w:spacing w:before="0" w:after="0"/>
              <w:ind w:left="0" w:right="0" w:firstLine="30"/>
              <w:rPr/>
            </w:pPr>
            <w:r>
              <w:rPr/>
              <w:t> </w:t>
            </w:r>
          </w:p>
        </w:tc>
      </w:tr>
      <w:tr>
        <w:trPr/>
        <w:tc>
          <w:tcPr>
            <w:tcW w:w="1886" w:type="dxa"/>
            <w:tcBorders/>
            <w:shd w:fill="CCEEFF" w:val="clear"/>
            <w:vAlign w:val="center"/>
          </w:tcPr>
          <w:p>
            <w:pPr>
              <w:pStyle w:val="TableContents"/>
              <w:spacing w:before="0" w:after="0"/>
              <w:ind w:left="0" w:right="0" w:firstLine="30"/>
              <w:rPr>
                <w:rFonts w:ascii="inherit" w:hAnsi="inherit"/>
                <w:b/>
                <w:sz w:val="17"/>
              </w:rPr>
            </w:pPr>
            <w:r>
              <w:rPr>
                <w:rFonts w:ascii="inherit" w:hAnsi="inherit"/>
                <w:b/>
                <w:sz w:val="17"/>
              </w:rPr>
              <w:t>Derivative Liabilities</w:t>
            </w:r>
          </w:p>
        </w:tc>
        <w:tc>
          <w:tcPr>
            <w:tcW w:w="90" w:type="dxa"/>
            <w:tcBorders/>
            <w:shd w:fill="CCEEFF" w:val="clear"/>
            <w:vAlign w:val="center"/>
          </w:tcPr>
          <w:p>
            <w:pPr>
              <w:pStyle w:val="TableContents"/>
              <w:spacing w:before="0" w:after="0"/>
              <w:ind w:left="0" w:right="0" w:firstLine="30"/>
              <w:rPr/>
            </w:pPr>
            <w:r>
              <w:rPr/>
              <w:t> </w:t>
            </w:r>
          </w:p>
        </w:tc>
        <w:tc>
          <w:tcPr>
            <w:tcW w:w="1046" w:type="dxa"/>
            <w:gridSpan w:val="3"/>
            <w:tcBorders/>
            <w:shd w:fill="CCEEFF" w:val="clear"/>
            <w:vAlign w:val="center"/>
          </w:tcPr>
          <w:p>
            <w:pPr>
              <w:pStyle w:val="TableContents"/>
              <w:spacing w:before="0" w:after="0"/>
              <w:ind w:left="0" w:right="0" w:firstLine="30"/>
              <w:rPr/>
            </w:pPr>
            <w:r>
              <w:rPr/>
              <w:t> </w:t>
            </w:r>
          </w:p>
        </w:tc>
        <w:tc>
          <w:tcPr>
            <w:tcW w:w="109" w:type="dxa"/>
            <w:tcBorders/>
            <w:shd w:fill="CCEEFF" w:val="clear"/>
            <w:vAlign w:val="center"/>
          </w:tcPr>
          <w:p>
            <w:pPr>
              <w:pStyle w:val="TableContents"/>
              <w:spacing w:before="0" w:after="0"/>
              <w:ind w:left="0" w:right="0" w:firstLine="30"/>
              <w:rPr/>
            </w:pPr>
            <w:r>
              <w:rPr/>
              <w:t> </w:t>
            </w:r>
          </w:p>
        </w:tc>
        <w:tc>
          <w:tcPr>
            <w:tcW w:w="1490" w:type="dxa"/>
            <w:gridSpan w:val="3"/>
            <w:tcBorders/>
            <w:shd w:fill="CCEEFF" w:val="clear"/>
            <w:vAlign w:val="center"/>
          </w:tcPr>
          <w:p>
            <w:pPr>
              <w:pStyle w:val="TableContents"/>
              <w:spacing w:before="0" w:after="0"/>
              <w:ind w:left="0" w:right="0" w:firstLine="30"/>
              <w:rPr/>
            </w:pPr>
            <w:r>
              <w:rPr/>
              <w:t> </w:t>
            </w:r>
          </w:p>
        </w:tc>
        <w:tc>
          <w:tcPr>
            <w:tcW w:w="109" w:type="dxa"/>
            <w:tcBorders/>
            <w:shd w:fill="CCEEFF" w:val="clear"/>
            <w:vAlign w:val="center"/>
          </w:tcPr>
          <w:p>
            <w:pPr>
              <w:pStyle w:val="TableContents"/>
              <w:spacing w:before="0" w:after="0"/>
              <w:ind w:left="0" w:right="0" w:firstLine="30"/>
              <w:rPr/>
            </w:pPr>
            <w:r>
              <w:rPr/>
              <w:t> </w:t>
            </w:r>
          </w:p>
        </w:tc>
        <w:tc>
          <w:tcPr>
            <w:tcW w:w="1781" w:type="dxa"/>
            <w:gridSpan w:val="3"/>
            <w:tcBorders/>
            <w:shd w:fill="CCEEFF" w:val="clear"/>
            <w:vAlign w:val="center"/>
          </w:tcPr>
          <w:p>
            <w:pPr>
              <w:pStyle w:val="TableContents"/>
              <w:spacing w:before="0" w:after="0"/>
              <w:ind w:left="0" w:right="0" w:firstLine="30"/>
              <w:rPr/>
            </w:pPr>
            <w:r>
              <w:rPr/>
              <w:t> </w:t>
            </w:r>
          </w:p>
        </w:tc>
        <w:tc>
          <w:tcPr>
            <w:tcW w:w="109" w:type="dxa"/>
            <w:tcBorders/>
            <w:shd w:fill="CCEEFF" w:val="clear"/>
            <w:vAlign w:val="center"/>
          </w:tcPr>
          <w:p>
            <w:pPr>
              <w:pStyle w:val="TableContents"/>
              <w:spacing w:before="0" w:after="0"/>
              <w:ind w:left="0" w:right="0" w:firstLine="30"/>
              <w:rPr/>
            </w:pPr>
            <w:r>
              <w:rPr/>
              <w:t> </w:t>
            </w:r>
          </w:p>
        </w:tc>
        <w:tc>
          <w:tcPr>
            <w:tcW w:w="769"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443"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193" w:type="dxa"/>
            <w:gridSpan w:val="3"/>
            <w:tcBorders/>
            <w:shd w:fill="CCEEFF" w:val="clear"/>
            <w:vAlign w:val="center"/>
          </w:tcPr>
          <w:p>
            <w:pPr>
              <w:pStyle w:val="TableContents"/>
              <w:spacing w:before="0" w:after="0"/>
              <w:ind w:left="0" w:right="0" w:firstLine="180"/>
              <w:rPr/>
            </w:pPr>
            <w:r>
              <w:rPr/>
              <w:t> </w:t>
            </w:r>
          </w:p>
        </w:tc>
      </w:tr>
      <w:tr>
        <w:trPr/>
        <w:tc>
          <w:tcPr>
            <w:tcW w:w="18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current assets</w:t>
            </w:r>
          </w:p>
        </w:tc>
        <w:tc>
          <w:tcPr>
            <w:tcW w:w="90" w:type="dxa"/>
            <w:tcBorders/>
            <w:shd w:fill="auto" w:val="clear"/>
            <w:vAlign w:val="center"/>
          </w:tcPr>
          <w:p>
            <w:pPr>
              <w:pStyle w:val="TableContents"/>
              <w:spacing w:before="0" w:after="0"/>
              <w:ind w:left="0" w:right="0" w:firstLine="30"/>
              <w:rPr/>
            </w:pPr>
            <w:r>
              <w:rPr/>
              <w:t> </w:t>
            </w:r>
          </w:p>
        </w:tc>
        <w:tc>
          <w:tcPr>
            <w:tcW w:w="21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88" w:type="dxa"/>
            <w:tcBorders/>
            <w:shd w:fill="auto" w:val="clear"/>
            <w:vAlign w:val="center"/>
          </w:tcPr>
          <w:p>
            <w:pPr>
              <w:pStyle w:val="TableContents"/>
              <w:spacing w:before="0" w:after="0"/>
              <w:jc w:val="right"/>
              <w:rPr>
                <w:rFonts w:ascii="inherit" w:hAnsi="inherit"/>
                <w:sz w:val="17"/>
              </w:rPr>
            </w:pPr>
            <w:r>
              <w:rPr>
                <w:rFonts w:ascii="inherit" w:hAnsi="inherit"/>
                <w:sz w:val="17"/>
              </w:rPr>
              <w:t>(182</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9" w:type="dxa"/>
            <w:tcBorders/>
            <w:shd w:fill="auto" w:val="clear"/>
            <w:vAlign w:val="center"/>
          </w:tcPr>
          <w:p>
            <w:pPr>
              <w:pStyle w:val="TableContents"/>
              <w:spacing w:before="0" w:after="0"/>
              <w:ind w:left="0" w:right="0" w:firstLine="30"/>
              <w:rPr/>
            </w:pPr>
            <w:r>
              <w:rPr/>
              <w:t> </w:t>
            </w:r>
          </w:p>
        </w:tc>
        <w:tc>
          <w:tcPr>
            <w:tcW w:w="37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82" w:type="dxa"/>
            <w:tcBorders/>
            <w:shd w:fill="auto" w:val="clear"/>
            <w:vAlign w:val="center"/>
          </w:tcPr>
          <w:p>
            <w:pPr>
              <w:pStyle w:val="TableContents"/>
              <w:spacing w:before="0" w:after="0"/>
              <w:jc w:val="right"/>
              <w:rPr/>
            </w:pPr>
            <w:r>
              <w:rPr/>
              <w:t>—</w:t>
            </w:r>
          </w:p>
        </w:tc>
        <w:tc>
          <w:tcPr>
            <w:tcW w:w="3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auto" w:val="clear"/>
            <w:vAlign w:val="center"/>
          </w:tcPr>
          <w:p>
            <w:pPr>
              <w:pStyle w:val="TableContents"/>
              <w:spacing w:before="0" w:after="0"/>
              <w:ind w:left="0" w:right="0" w:firstLine="30"/>
              <w:rPr/>
            </w:pPr>
            <w:r>
              <w:rPr/>
              <w:t> </w:t>
            </w:r>
          </w:p>
        </w:tc>
        <w:tc>
          <w:tcPr>
            <w:tcW w:w="42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83" w:type="dxa"/>
            <w:tcBorders/>
            <w:shd w:fill="auto" w:val="clear"/>
            <w:vAlign w:val="center"/>
          </w:tcPr>
          <w:p>
            <w:pPr>
              <w:pStyle w:val="TableContents"/>
              <w:spacing w:before="0" w:after="0"/>
              <w:jc w:val="right"/>
              <w:rPr/>
            </w:pPr>
            <w:r>
              <w:rPr/>
              <w:t>—</w:t>
            </w:r>
          </w:p>
        </w:tc>
        <w:tc>
          <w:tcPr>
            <w:tcW w:w="3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auto" w:val="clear"/>
            <w:vAlign w:val="center"/>
          </w:tcPr>
          <w:p>
            <w:pPr>
              <w:pStyle w:val="TableContents"/>
              <w:spacing w:before="0" w:after="0"/>
              <w:ind w:left="0" w:right="0" w:firstLine="30"/>
              <w:rPr/>
            </w:pPr>
            <w:r>
              <w:rPr/>
              <w:t> </w:t>
            </w:r>
          </w:p>
        </w:tc>
        <w:tc>
          <w:tcPr>
            <w:tcW w:w="15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83" w:type="dxa"/>
            <w:tcBorders/>
            <w:shd w:fill="auto" w:val="clear"/>
            <w:vAlign w:val="center"/>
          </w:tcPr>
          <w:p>
            <w:pPr>
              <w:pStyle w:val="TableContents"/>
              <w:spacing w:before="0" w:after="0"/>
              <w:jc w:val="right"/>
              <w:rPr>
                <w:rFonts w:ascii="inherit" w:hAnsi="inherit"/>
                <w:sz w:val="17"/>
              </w:rPr>
            </w:pPr>
            <w:r>
              <w:rPr>
                <w:rFonts w:ascii="inherit" w:hAnsi="inherit"/>
                <w:sz w:val="17"/>
              </w:rPr>
              <w:t>(182</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36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58" w:type="dxa"/>
            <w:tcBorders/>
            <w:shd w:fill="auto" w:val="clear"/>
            <w:vAlign w:val="center"/>
          </w:tcPr>
          <w:p>
            <w:pPr>
              <w:pStyle w:val="TableContents"/>
              <w:spacing w:before="0" w:after="0"/>
              <w:jc w:val="right"/>
              <w:rPr/>
            </w:pPr>
            <w:r>
              <w:rPr/>
              <w:t>—</w:t>
            </w:r>
          </w:p>
        </w:tc>
        <w:tc>
          <w:tcPr>
            <w:tcW w:w="3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8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87" w:type="dxa"/>
            <w:tcBorders/>
            <w:shd w:fill="auto" w:val="clear"/>
            <w:vAlign w:val="center"/>
          </w:tcPr>
          <w:p>
            <w:pPr>
              <w:pStyle w:val="TableContents"/>
              <w:spacing w:before="0" w:after="0"/>
              <w:jc w:val="right"/>
              <w:rPr>
                <w:rFonts w:ascii="inherit" w:hAnsi="inherit"/>
                <w:sz w:val="17"/>
              </w:rPr>
            </w:pPr>
            <w:r>
              <w:rPr>
                <w:rFonts w:ascii="inherit" w:hAnsi="inherit"/>
                <w:sz w:val="17"/>
              </w:rPr>
              <w:t>(182</w:t>
            </w:r>
          </w:p>
        </w:tc>
        <w:tc>
          <w:tcPr>
            <w:tcW w:w="421"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188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long-term assets, net</w:t>
            </w:r>
          </w:p>
        </w:tc>
        <w:tc>
          <w:tcPr>
            <w:tcW w:w="90" w:type="dxa"/>
            <w:tcBorders/>
            <w:shd w:fill="CCEEFF" w:val="clear"/>
            <w:vAlign w:val="center"/>
          </w:tcPr>
          <w:p>
            <w:pPr>
              <w:pStyle w:val="TableContents"/>
              <w:spacing w:before="0" w:after="0"/>
              <w:ind w:left="0" w:right="0" w:firstLine="30"/>
              <w:rPr/>
            </w:pPr>
            <w:r>
              <w:rPr/>
              <w:t> </w:t>
            </w:r>
          </w:p>
        </w:tc>
        <w:tc>
          <w:tcPr>
            <w:tcW w:w="90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9" w:type="dxa"/>
            <w:tcBorders/>
            <w:shd w:fill="CCEEFF" w:val="clear"/>
            <w:vAlign w:val="center"/>
          </w:tcPr>
          <w:p>
            <w:pPr>
              <w:pStyle w:val="TableContents"/>
              <w:spacing w:before="0" w:after="0"/>
              <w:ind w:left="0" w:right="0" w:firstLine="30"/>
              <w:rPr/>
            </w:pPr>
            <w:r>
              <w:rPr/>
              <w:t> </w:t>
            </w:r>
          </w:p>
        </w:tc>
        <w:tc>
          <w:tcPr>
            <w:tcW w:w="1157" w:type="dxa"/>
            <w:gridSpan w:val="2"/>
            <w:tcBorders/>
            <w:shd w:fill="CCEEFF" w:val="clear"/>
            <w:vAlign w:val="center"/>
          </w:tcPr>
          <w:p>
            <w:pPr>
              <w:pStyle w:val="TableContents"/>
              <w:spacing w:before="0" w:after="0"/>
              <w:jc w:val="right"/>
              <w:rPr/>
            </w:pPr>
            <w:r>
              <w:rPr/>
              <w:t>—</w:t>
            </w:r>
          </w:p>
        </w:tc>
        <w:tc>
          <w:tcPr>
            <w:tcW w:w="3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CCEEFF" w:val="clear"/>
            <w:vAlign w:val="center"/>
          </w:tcPr>
          <w:p>
            <w:pPr>
              <w:pStyle w:val="TableContents"/>
              <w:spacing w:before="0" w:after="0"/>
              <w:ind w:left="0" w:right="0" w:firstLine="30"/>
              <w:rPr/>
            </w:pPr>
            <w:r>
              <w:rPr/>
              <w:t> </w:t>
            </w:r>
          </w:p>
        </w:tc>
        <w:tc>
          <w:tcPr>
            <w:tcW w:w="1406" w:type="dxa"/>
            <w:gridSpan w:val="2"/>
            <w:tcBorders/>
            <w:shd w:fill="CCEEFF" w:val="clear"/>
            <w:vAlign w:val="center"/>
          </w:tcPr>
          <w:p>
            <w:pPr>
              <w:pStyle w:val="TableContents"/>
              <w:spacing w:before="0" w:after="0"/>
              <w:jc w:val="right"/>
              <w:rPr/>
            </w:pPr>
            <w:r>
              <w:rPr/>
              <w:t>—</w:t>
            </w:r>
          </w:p>
        </w:tc>
        <w:tc>
          <w:tcPr>
            <w:tcW w:w="3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CCEEFF" w:val="clear"/>
            <w:vAlign w:val="center"/>
          </w:tcPr>
          <w:p>
            <w:pPr>
              <w:pStyle w:val="TableContents"/>
              <w:spacing w:before="0" w:after="0"/>
              <w:ind w:left="0" w:right="0" w:firstLine="30"/>
              <w:rPr/>
            </w:pPr>
            <w:r>
              <w:rPr/>
              <w:t> </w:t>
            </w:r>
          </w:p>
        </w:tc>
        <w:tc>
          <w:tcPr>
            <w:tcW w:w="63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w:t>
            </w:r>
          </w:p>
        </w:tc>
        <w:tc>
          <w:tcPr>
            <w:tcW w:w="1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121" w:type="dxa"/>
            <w:gridSpan w:val="2"/>
            <w:tcBorders/>
            <w:shd w:fill="CCEEFF" w:val="clear"/>
            <w:vAlign w:val="center"/>
          </w:tcPr>
          <w:p>
            <w:pPr>
              <w:pStyle w:val="TableContents"/>
              <w:spacing w:before="0" w:after="0"/>
              <w:jc w:val="right"/>
              <w:rPr/>
            </w:pPr>
            <w:r>
              <w:rPr/>
              <w:t>—</w:t>
            </w:r>
          </w:p>
        </w:tc>
        <w:tc>
          <w:tcPr>
            <w:tcW w:w="32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7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w:t>
            </w:r>
          </w:p>
        </w:tc>
        <w:tc>
          <w:tcPr>
            <w:tcW w:w="421"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18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current liabilities</w:t>
            </w:r>
          </w:p>
        </w:tc>
        <w:tc>
          <w:tcPr>
            <w:tcW w:w="90" w:type="dxa"/>
            <w:tcBorders/>
            <w:shd w:fill="auto" w:val="clear"/>
            <w:vAlign w:val="center"/>
          </w:tcPr>
          <w:p>
            <w:pPr>
              <w:pStyle w:val="TableContents"/>
              <w:spacing w:before="0" w:after="0"/>
              <w:ind w:left="0" w:right="0" w:firstLine="30"/>
              <w:rPr/>
            </w:pPr>
            <w:r>
              <w:rPr/>
              <w:t> </w:t>
            </w:r>
          </w:p>
        </w:tc>
        <w:tc>
          <w:tcPr>
            <w:tcW w:w="90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9" w:type="dxa"/>
            <w:tcBorders/>
            <w:shd w:fill="auto" w:val="clear"/>
            <w:vAlign w:val="center"/>
          </w:tcPr>
          <w:p>
            <w:pPr>
              <w:pStyle w:val="TableContents"/>
              <w:spacing w:before="0" w:after="0"/>
              <w:ind w:left="0" w:right="0" w:firstLine="30"/>
              <w:rPr/>
            </w:pPr>
            <w:r>
              <w:rPr/>
              <w:t> </w:t>
            </w:r>
          </w:p>
        </w:tc>
        <w:tc>
          <w:tcPr>
            <w:tcW w:w="115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w:t>
            </w:r>
          </w:p>
        </w:tc>
        <w:tc>
          <w:tcPr>
            <w:tcW w:w="33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9" w:type="dxa"/>
            <w:tcBorders/>
            <w:shd w:fill="auto" w:val="clear"/>
            <w:vAlign w:val="center"/>
          </w:tcPr>
          <w:p>
            <w:pPr>
              <w:pStyle w:val="TableContents"/>
              <w:spacing w:before="0" w:after="0"/>
              <w:ind w:left="0" w:right="0" w:firstLine="30"/>
              <w:rPr/>
            </w:pPr>
            <w:r>
              <w:rPr/>
              <w:t> </w:t>
            </w:r>
          </w:p>
        </w:tc>
        <w:tc>
          <w:tcPr>
            <w:tcW w:w="1406" w:type="dxa"/>
            <w:gridSpan w:val="2"/>
            <w:tcBorders/>
            <w:shd w:fill="auto" w:val="clear"/>
            <w:vAlign w:val="center"/>
          </w:tcPr>
          <w:p>
            <w:pPr>
              <w:pStyle w:val="TableContents"/>
              <w:spacing w:before="0" w:after="0"/>
              <w:jc w:val="right"/>
              <w:rPr/>
            </w:pPr>
            <w:r>
              <w:rPr/>
              <w:t>—</w:t>
            </w:r>
          </w:p>
        </w:tc>
        <w:tc>
          <w:tcPr>
            <w:tcW w:w="3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auto" w:val="clear"/>
            <w:vAlign w:val="center"/>
          </w:tcPr>
          <w:p>
            <w:pPr>
              <w:pStyle w:val="TableContents"/>
              <w:spacing w:before="0" w:after="0"/>
              <w:ind w:left="0" w:right="0" w:firstLine="30"/>
              <w:rPr/>
            </w:pPr>
            <w:r>
              <w:rPr/>
              <w:t> </w:t>
            </w:r>
          </w:p>
        </w:tc>
        <w:tc>
          <w:tcPr>
            <w:tcW w:w="6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w:t>
            </w:r>
          </w:p>
        </w:tc>
        <w:tc>
          <w:tcPr>
            <w:tcW w:w="1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12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3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77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w:t>
            </w:r>
          </w:p>
        </w:tc>
        <w:tc>
          <w:tcPr>
            <w:tcW w:w="421"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188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long-term liabilities and deferred credits</w:t>
            </w:r>
          </w:p>
        </w:tc>
        <w:tc>
          <w:tcPr>
            <w:tcW w:w="90" w:type="dxa"/>
            <w:tcBorders/>
            <w:shd w:fill="CCEEFF" w:val="clear"/>
            <w:vAlign w:val="center"/>
          </w:tcPr>
          <w:p>
            <w:pPr>
              <w:pStyle w:val="TableContents"/>
              <w:spacing w:before="0" w:after="0"/>
              <w:ind w:left="0" w:right="0" w:firstLine="30"/>
              <w:rPr/>
            </w:pPr>
            <w:r>
              <w:rPr/>
              <w:t> </w:t>
            </w:r>
          </w:p>
        </w:tc>
        <w:tc>
          <w:tcPr>
            <w:tcW w:w="90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9" w:type="dxa"/>
            <w:tcBorders/>
            <w:shd w:fill="CCEEFF" w:val="clear"/>
            <w:vAlign w:val="center"/>
          </w:tcPr>
          <w:p>
            <w:pPr>
              <w:pStyle w:val="TableContents"/>
              <w:spacing w:before="0" w:after="0"/>
              <w:ind w:left="0" w:right="0" w:firstLine="30"/>
              <w:rPr/>
            </w:pPr>
            <w:r>
              <w:rPr/>
              <w:t> </w:t>
            </w:r>
          </w:p>
        </w:tc>
        <w:tc>
          <w:tcPr>
            <w:tcW w:w="1157" w:type="dxa"/>
            <w:gridSpan w:val="2"/>
            <w:tcBorders/>
            <w:shd w:fill="CCEEFF" w:val="clear"/>
            <w:vAlign w:val="center"/>
          </w:tcPr>
          <w:p>
            <w:pPr>
              <w:pStyle w:val="TableContents"/>
              <w:spacing w:before="0" w:after="0"/>
              <w:jc w:val="right"/>
              <w:rPr/>
            </w:pPr>
            <w:r>
              <w:rPr/>
              <w:t>—</w:t>
            </w:r>
          </w:p>
        </w:tc>
        <w:tc>
          <w:tcPr>
            <w:tcW w:w="3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9" w:type="dxa"/>
            <w:tcBorders/>
            <w:shd w:fill="CCEEFF" w:val="clear"/>
            <w:vAlign w:val="center"/>
          </w:tcPr>
          <w:p>
            <w:pPr>
              <w:pStyle w:val="TableContents"/>
              <w:spacing w:before="0" w:after="0"/>
              <w:ind w:left="0" w:right="0" w:firstLine="30"/>
              <w:rPr/>
            </w:pPr>
            <w:r>
              <w:rPr/>
              <w:t> </w:t>
            </w:r>
          </w:p>
        </w:tc>
        <w:tc>
          <w:tcPr>
            <w:tcW w:w="140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(36</w:t>
            </w:r>
          </w:p>
        </w:tc>
        <w:tc>
          <w:tcPr>
            <w:tcW w:w="3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9" w:type="dxa"/>
            <w:tcBorders/>
            <w:shd w:fill="CCEEFF" w:val="clear"/>
            <w:vAlign w:val="center"/>
          </w:tcPr>
          <w:p>
            <w:pPr>
              <w:pStyle w:val="TableContents"/>
              <w:spacing w:before="0" w:after="0"/>
              <w:ind w:left="0" w:right="0" w:firstLine="30"/>
              <w:rPr/>
            </w:pPr>
            <w:r>
              <w:rPr/>
              <w:t> </w:t>
            </w:r>
          </w:p>
        </w:tc>
        <w:tc>
          <w:tcPr>
            <w:tcW w:w="63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(45</w:t>
            </w:r>
          </w:p>
        </w:tc>
        <w:tc>
          <w:tcPr>
            <w:tcW w:w="134"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12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w:t>
            </w:r>
          </w:p>
        </w:tc>
        <w:tc>
          <w:tcPr>
            <w:tcW w:w="32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77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(53</w:t>
            </w:r>
          </w:p>
        </w:tc>
        <w:tc>
          <w:tcPr>
            <w:tcW w:w="421"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1886" w:type="dxa"/>
            <w:tcBorders/>
            <w:shd w:fill="auto" w:val="clear"/>
            <w:vAlign w:val="center"/>
          </w:tcPr>
          <w:p>
            <w:pPr>
              <w:pStyle w:val="TableContents"/>
              <w:spacing w:before="0" w:after="0"/>
              <w:ind w:left="0" w:right="0" w:firstLine="30"/>
              <w:rPr>
                <w:rFonts w:ascii="inherit" w:hAnsi="inherit"/>
                <w:b/>
                <w:sz w:val="17"/>
              </w:rPr>
            </w:pPr>
            <w:r>
              <w:rPr>
                <w:rFonts w:ascii="inherit" w:hAnsi="inherit"/>
                <w:b/>
                <w:sz w:val="17"/>
              </w:rPr>
              <w:t>Total Derivative Liabilities</w:t>
            </w:r>
          </w:p>
        </w:tc>
        <w:tc>
          <w:tcPr>
            <w:tcW w:w="90" w:type="dxa"/>
            <w:tcBorders/>
            <w:shd w:fill="auto" w:val="clear"/>
            <w:vAlign w:val="center"/>
          </w:tcPr>
          <w:p>
            <w:pPr>
              <w:pStyle w:val="TableContents"/>
              <w:spacing w:before="0" w:after="0"/>
              <w:ind w:left="0" w:right="0" w:firstLine="30"/>
              <w:rPr/>
            </w:pPr>
            <w:r>
              <w:rPr/>
              <w:t> </w:t>
            </w:r>
          </w:p>
        </w:tc>
        <w:tc>
          <w:tcPr>
            <w:tcW w:w="21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8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(208</w:t>
            </w:r>
          </w:p>
        </w:tc>
        <w:tc>
          <w:tcPr>
            <w:tcW w:w="14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9" w:type="dxa"/>
            <w:tcBorders/>
            <w:shd w:fill="auto" w:val="clear"/>
            <w:vAlign w:val="center"/>
          </w:tcPr>
          <w:p>
            <w:pPr>
              <w:pStyle w:val="TableContents"/>
              <w:spacing w:before="0" w:after="0"/>
              <w:ind w:left="0" w:right="0" w:firstLine="30"/>
              <w:rPr/>
            </w:pPr>
            <w:r>
              <w:rPr/>
              <w:t> </w:t>
            </w:r>
          </w:p>
        </w:tc>
        <w:tc>
          <w:tcPr>
            <w:tcW w:w="37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8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w:t>
            </w:r>
          </w:p>
        </w:tc>
        <w:tc>
          <w:tcPr>
            <w:tcW w:w="33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9" w:type="dxa"/>
            <w:tcBorders/>
            <w:shd w:fill="auto" w:val="clear"/>
            <w:vAlign w:val="center"/>
          </w:tcPr>
          <w:p>
            <w:pPr>
              <w:pStyle w:val="TableContents"/>
              <w:spacing w:before="0" w:after="0"/>
              <w:ind w:left="0" w:right="0" w:firstLine="30"/>
              <w:rPr/>
            </w:pPr>
            <w:r>
              <w:rPr/>
              <w:t> </w:t>
            </w:r>
          </w:p>
        </w:tc>
        <w:tc>
          <w:tcPr>
            <w:tcW w:w="42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8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(36</w:t>
            </w:r>
          </w:p>
        </w:tc>
        <w:tc>
          <w:tcPr>
            <w:tcW w:w="37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9" w:type="dxa"/>
            <w:tcBorders/>
            <w:shd w:fill="auto" w:val="clear"/>
            <w:vAlign w:val="center"/>
          </w:tcPr>
          <w:p>
            <w:pPr>
              <w:pStyle w:val="TableContents"/>
              <w:spacing w:before="0" w:after="0"/>
              <w:ind w:left="0" w:right="0" w:firstLine="30"/>
              <w:rPr/>
            </w:pPr>
            <w:r>
              <w:rPr/>
              <w:t> </w:t>
            </w:r>
          </w:p>
        </w:tc>
        <w:tc>
          <w:tcPr>
            <w:tcW w:w="15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(253</w:t>
            </w:r>
          </w:p>
        </w:tc>
        <w:tc>
          <w:tcPr>
            <w:tcW w:w="13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36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5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w:t>
            </w:r>
          </w:p>
        </w:tc>
        <w:tc>
          <w:tcPr>
            <w:tcW w:w="32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8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8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(262</w:t>
            </w:r>
          </w:p>
        </w:tc>
        <w:tc>
          <w:tcPr>
            <w:tcW w:w="42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sz w:val="4"/>
                <w:szCs w:val="4"/>
              </w:rPr>
            </w:pPr>
            <w:r>
              <w:rPr>
                <w:sz w:val="4"/>
                <w:szCs w:val="4"/>
              </w:rPr>
            </w:r>
          </w:p>
        </w:tc>
      </w:tr>
      <w:tr>
        <w:trPr/>
        <w:tc>
          <w:tcPr>
            <w:tcW w:w="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 w:type="dxa"/>
            <w:tcBorders>
              <w:bottom w:val="single" w:sz="2" w:space="0" w:color="000000"/>
            </w:tcBorders>
            <w:shd w:fill="auto" w:val="clear"/>
            <w:tcMar>
              <w:bottom w:w="30" w:type="dxa"/>
            </w:tcMar>
            <w:vAlign w:val="center"/>
          </w:tcPr>
          <w:p>
            <w:pPr>
              <w:pStyle w:val="TableContents"/>
              <w:spacing w:before="0" w:after="0"/>
              <w:rPr/>
            </w:pPr>
            <w:r>
              <w:rPr/>
              <w:t> </w:t>
            </w:r>
          </w:p>
        </w:tc>
      </w:tr>
    </w:tbl>
    <w:tbl>
      <w:tblPr>
        <w:tblW w:w="3325" w:type="dxa"/>
        <w:jc w:val="left"/>
        <w:tblInd w:w="0" w:type="dxa"/>
        <w:tblCellMar>
          <w:top w:w="0" w:type="dxa"/>
          <w:left w:w="0" w:type="dxa"/>
          <w:bottom w:w="0" w:type="dxa"/>
          <w:right w:w="0" w:type="dxa"/>
        </w:tblCellMar>
      </w:tblPr>
      <w:tblGrid>
        <w:gridCol w:w="245"/>
        <w:gridCol w:w="3080"/>
      </w:tblGrid>
      <w:tr>
        <w:trPr/>
        <w:tc>
          <w:tcPr>
            <w:tcW w:w="245" w:type="dxa"/>
            <w:tcBorders/>
            <w:shd w:fill="auto" w:val="clear"/>
            <w:vAlign w:val="center"/>
          </w:tcPr>
          <w:p>
            <w:pPr>
              <w:pStyle w:val="TableContents"/>
              <w:spacing w:before="0" w:after="283"/>
              <w:rPr>
                <w:sz w:val="4"/>
                <w:szCs w:val="4"/>
              </w:rPr>
            </w:pPr>
            <w:r>
              <w:rPr>
                <w:sz w:val="4"/>
                <w:szCs w:val="4"/>
              </w:rPr>
            </w:r>
          </w:p>
        </w:tc>
        <w:tc>
          <w:tcPr>
            <w:tcW w:w="3080"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(1)</w:t>
            </w:r>
            <w:r>
              <w:rPr>
                <w:rFonts w:ascii="inherit" w:hAnsi="inherit"/>
                <w:sz w:val="17"/>
              </w:rPr>
              <w:t> </w:t>
            </w:r>
          </w:p>
        </w:tc>
        <w:tc>
          <w:tcPr>
            <w:tcW w:w="3080" w:type="dxa"/>
            <w:tcBorders/>
            <w:shd w:fill="auto" w:val="clear"/>
            <w:vAlign w:val="center"/>
          </w:tcPr>
          <w:p>
            <w:pPr>
              <w:pStyle w:val="TableContents"/>
              <w:spacing w:lineRule="auto" w:line="288" w:before="0" w:after="0"/>
              <w:rPr>
                <w:rFonts w:ascii="inherit" w:hAnsi="inherit"/>
                <w:sz w:val="17"/>
              </w:rPr>
            </w:pPr>
            <w:r>
              <w:rPr>
                <w:rFonts w:ascii="inherit" w:hAnsi="inherit"/>
                <w:sz w:val="17"/>
              </w:rPr>
              <w:t>Derivatives in hedging relationships.</w:t>
            </w:r>
          </w:p>
        </w:tc>
      </w:tr>
    </w:tbl>
    <w:p>
      <w:pPr>
        <w:pStyle w:val="TextBody"/>
        <w:spacing w:lineRule="auto" w:line="288" w:before="0" w:after="0"/>
        <w:rPr/>
      </w:pPr>
      <w:r>
        <w:rPr/>
        <w:t>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27</w:t>
      </w:r>
      <w:r>
        <w:br w:type="page"/>
      </w:r>
    </w:p>
    <w:p>
      <w:pPr>
        <w:pStyle w:val="TextBody"/>
        <w:spacing w:lineRule="auto" w:line="288" w:before="0" w:after="0"/>
        <w:rPr/>
      </w:pPr>
      <w:hyperlink w:anchor="s3336AD8A685850CC9B7F2572CB2C0BC3">
        <w:r>
          <w:rPr>
            <w:rStyle w:val="InternetLink"/>
            <w:rFonts w:ascii="inherit" w:hAnsi="inherit"/>
            <w:sz w:val="17"/>
          </w:rPr>
          <w:t>Table of Contents</w:t>
        </w:r>
      </w:hyperlink>
      <w:r>
        <w:rPr>
          <w:sz w:val="17"/>
        </w:rPr>
        <w:t xml:space="preserve"> </w:t>
      </w:r>
    </w:p>
    <w:p>
      <w:pPr>
        <w:pStyle w:val="TextBody"/>
        <w:spacing w:lineRule="auto" w:line="288" w:before="0" w:after="0"/>
        <w:jc w:val="center"/>
        <w:rPr>
          <w:rFonts w:ascii="inherit" w:hAnsi="inherit"/>
          <w:b/>
          <w:sz w:val="17"/>
        </w:rPr>
      </w:pPr>
      <w:r>
        <w:rPr>
          <w:rFonts w:ascii="inherit" w:hAnsi="inherit"/>
          <w:b/>
          <w:sz w:val="17"/>
        </w:rPr>
        <w:t>PLAINS ALL AMERICAN PIPELINE, L.P. AND SUBSIDIARIES</w:t>
      </w:r>
    </w:p>
    <w:p>
      <w:pPr>
        <w:pStyle w:val="TextBody"/>
        <w:spacing w:lineRule="auto" w:line="288" w:before="0" w:after="0"/>
        <w:jc w:val="center"/>
        <w:rPr>
          <w:rFonts w:ascii="inherit" w:hAnsi="inherit"/>
          <w:b/>
          <w:sz w:val="17"/>
        </w:rPr>
      </w:pPr>
      <w:r>
        <w:rPr>
          <w:rFonts w:ascii="inherit" w:hAnsi="inherit"/>
          <w:b/>
          <w:sz w:val="17"/>
        </w:rPr>
        <w:t>NOTES TO THE UNAUDITED CONDENSED CONSOLIDATED FINANCIAL STATEMENTS</w:t>
      </w:r>
    </w:p>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720"/>
        <w:rPr>
          <w:rFonts w:ascii="inherit" w:hAnsi="inherit"/>
          <w:sz w:val="17"/>
        </w:rPr>
      </w:pPr>
      <w:r>
        <w:rPr>
          <w:rFonts w:ascii="inherit" w:hAnsi="inherit"/>
          <w:sz w:val="17"/>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 xml:space="preserve">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receivable/(payable): </w:t>
      </w:r>
    </w:p>
    <w:tbl>
      <w:tblPr>
        <w:tblW w:w="4091" w:type="dxa"/>
        <w:jc w:val="center"/>
        <w:tblInd w:w="0" w:type="dxa"/>
        <w:tblCellMar>
          <w:top w:w="0" w:type="dxa"/>
          <w:left w:w="0" w:type="dxa"/>
          <w:bottom w:w="0" w:type="dxa"/>
          <w:right w:w="0" w:type="dxa"/>
        </w:tblCellMar>
      </w:tblPr>
      <w:tblGrid>
        <w:gridCol w:w="2255"/>
        <w:gridCol w:w="161"/>
        <w:gridCol w:w="374"/>
        <w:gridCol w:w="143"/>
        <w:gridCol w:w="90"/>
        <w:gridCol w:w="247"/>
        <w:gridCol w:w="573"/>
        <w:gridCol w:w="248"/>
      </w:tblGrid>
      <w:tr>
        <w:trPr/>
        <w:tc>
          <w:tcPr>
            <w:tcW w:w="4091" w:type="dxa"/>
            <w:gridSpan w:val="8"/>
            <w:tcBorders/>
            <w:shd w:fill="auto" w:val="clear"/>
            <w:vAlign w:val="center"/>
          </w:tcPr>
          <w:p>
            <w:pPr>
              <w:pStyle w:val="TableContents"/>
              <w:spacing w:before="0" w:after="283"/>
              <w:rPr>
                <w:sz w:val="4"/>
                <w:szCs w:val="4"/>
              </w:rPr>
            </w:pPr>
            <w:r>
              <w:rPr>
                <w:sz w:val="4"/>
                <w:szCs w:val="4"/>
              </w:rPr>
            </w:r>
          </w:p>
        </w:tc>
      </w:tr>
      <w:tr>
        <w:trPr/>
        <w:tc>
          <w:tcPr>
            <w:tcW w:w="2255"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255" w:type="dxa"/>
            <w:tcBorders/>
            <w:shd w:fill="auto" w:val="clear"/>
            <w:vAlign w:val="center"/>
          </w:tcPr>
          <w:p>
            <w:pPr>
              <w:pStyle w:val="TableContents"/>
              <w:spacing w:before="0" w:after="0"/>
              <w:ind w:left="0" w:right="0" w:firstLine="30"/>
              <w:rPr/>
            </w:pPr>
            <w:r>
              <w:rPr/>
              <w:t> </w:t>
            </w:r>
          </w:p>
        </w:tc>
        <w:tc>
          <w:tcPr>
            <w:tcW w:w="67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June 30, </w:t>
              <w:br/>
              <w:t>2019</w:t>
            </w:r>
          </w:p>
        </w:tc>
        <w:tc>
          <w:tcPr>
            <w:tcW w:w="90" w:type="dxa"/>
            <w:tcBorders/>
            <w:shd w:fill="auto" w:val="clear"/>
            <w:vAlign w:val="center"/>
          </w:tcPr>
          <w:p>
            <w:pPr>
              <w:pStyle w:val="TableContents"/>
              <w:spacing w:before="0" w:after="0"/>
              <w:ind w:left="0" w:right="0" w:firstLine="30"/>
              <w:rPr/>
            </w:pPr>
            <w:r>
              <w:rPr/>
              <w:t> </w:t>
            </w:r>
          </w:p>
        </w:tc>
        <w:tc>
          <w:tcPr>
            <w:tcW w:w="106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December 31,</w:t>
              <w:br/>
              <w:t>2018</w:t>
            </w:r>
          </w:p>
        </w:tc>
      </w:tr>
      <w:tr>
        <w:trPr/>
        <w:tc>
          <w:tcPr>
            <w:tcW w:w="22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Initial margin</w:t>
            </w:r>
          </w:p>
        </w:tc>
        <w:tc>
          <w:tcPr>
            <w:tcW w:w="16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374" w:type="dxa"/>
            <w:tcBorders/>
            <w:shd w:fill="CCEEFF" w:val="clear"/>
            <w:vAlign w:val="center"/>
          </w:tcPr>
          <w:p>
            <w:pPr>
              <w:pStyle w:val="TableContents"/>
              <w:spacing w:before="0" w:after="0"/>
              <w:jc w:val="right"/>
              <w:rPr>
                <w:rFonts w:ascii="inherit" w:hAnsi="inherit"/>
                <w:sz w:val="17"/>
              </w:rPr>
            </w:pPr>
            <w:r>
              <w:rPr>
                <w:rFonts w:ascii="inherit" w:hAnsi="inherit"/>
                <w:sz w:val="17"/>
              </w:rPr>
              <w:t>71</w:t>
            </w:r>
          </w:p>
        </w:tc>
        <w:tc>
          <w:tcPr>
            <w:tcW w:w="1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4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73" w:type="dxa"/>
            <w:tcBorders/>
            <w:shd w:fill="CCEEFF" w:val="clear"/>
            <w:vAlign w:val="center"/>
          </w:tcPr>
          <w:p>
            <w:pPr>
              <w:pStyle w:val="TableContents"/>
              <w:spacing w:before="0" w:after="0"/>
              <w:jc w:val="right"/>
              <w:rPr>
                <w:rFonts w:ascii="inherit" w:hAnsi="inherit"/>
                <w:sz w:val="17"/>
              </w:rPr>
            </w:pPr>
            <w:r>
              <w:rPr>
                <w:rFonts w:ascii="inherit" w:hAnsi="inherit"/>
                <w:sz w:val="17"/>
              </w:rPr>
              <w:t>95</w:t>
            </w:r>
          </w:p>
        </w:tc>
        <w:tc>
          <w:tcPr>
            <w:tcW w:w="2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2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Variation margin returned</w:t>
            </w:r>
          </w:p>
        </w:tc>
        <w:tc>
          <w:tcPr>
            <w:tcW w:w="5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(85</w:t>
            </w:r>
          </w:p>
        </w:tc>
        <w:tc>
          <w:tcPr>
            <w:tcW w:w="1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(91</w:t>
            </w:r>
          </w:p>
        </w:tc>
        <w:tc>
          <w:tcPr>
            <w:tcW w:w="2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2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Letters of credit</w:t>
            </w:r>
          </w:p>
        </w:tc>
        <w:tc>
          <w:tcPr>
            <w:tcW w:w="53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(59</w:t>
            </w:r>
          </w:p>
        </w:tc>
        <w:tc>
          <w:tcPr>
            <w:tcW w:w="143"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(84</w:t>
            </w:r>
          </w:p>
        </w:tc>
        <w:tc>
          <w:tcPr>
            <w:tcW w:w="248"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2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broker payable</w:t>
            </w:r>
          </w:p>
        </w:tc>
        <w:tc>
          <w:tcPr>
            <w:tcW w:w="161"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74"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(73</w:t>
            </w:r>
          </w:p>
        </w:tc>
        <w:tc>
          <w:tcPr>
            <w:tcW w:w="143"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247"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73"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(80</w:t>
            </w:r>
          </w:p>
        </w:tc>
        <w:tc>
          <w:tcPr>
            <w:tcW w:w="248"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lineRule="auto" w:line="288" w:before="0" w:after="0"/>
        <w:ind w:left="0" w:right="0" w:firstLine="720"/>
        <w:rPr>
          <w:rFonts w:ascii="inherit" w:hAnsi="inherit"/>
          <w:sz w:val="17"/>
        </w:rPr>
      </w:pPr>
      <w:r>
        <w:rPr>
          <w:rFonts w:ascii="inherit" w:hAnsi="inherit"/>
          <w:sz w:val="17"/>
        </w:rPr>
        <w:t>The following table presents information about derivative financial assets and liabilities that are subject to offsetting, including enforceable master netting arrangements (in millions):</w:t>
      </w:r>
    </w:p>
    <w:tbl>
      <w:tblPr>
        <w:tblW w:w="10205" w:type="dxa"/>
        <w:jc w:val="left"/>
        <w:tblInd w:w="0" w:type="dxa"/>
        <w:tblCellMar>
          <w:top w:w="0" w:type="dxa"/>
          <w:left w:w="0" w:type="dxa"/>
          <w:bottom w:w="0" w:type="dxa"/>
          <w:right w:w="0" w:type="dxa"/>
        </w:tblCellMar>
      </w:tblPr>
      <w:tblGrid>
        <w:gridCol w:w="4729"/>
        <w:gridCol w:w="257"/>
        <w:gridCol w:w="690"/>
        <w:gridCol w:w="228"/>
        <w:gridCol w:w="90"/>
        <w:gridCol w:w="271"/>
        <w:gridCol w:w="858"/>
        <w:gridCol w:w="241"/>
        <w:gridCol w:w="90"/>
        <w:gridCol w:w="90"/>
        <w:gridCol w:w="257"/>
        <w:gridCol w:w="690"/>
        <w:gridCol w:w="228"/>
        <w:gridCol w:w="100"/>
        <w:gridCol w:w="268"/>
        <w:gridCol w:w="848"/>
        <w:gridCol w:w="270"/>
      </w:tblGrid>
      <w:tr>
        <w:trPr/>
        <w:tc>
          <w:tcPr>
            <w:tcW w:w="10205" w:type="dxa"/>
            <w:gridSpan w:val="17"/>
            <w:tcBorders/>
            <w:shd w:fill="auto" w:val="clear"/>
            <w:vAlign w:val="center"/>
          </w:tcPr>
          <w:p>
            <w:pPr>
              <w:pStyle w:val="TableContents"/>
              <w:spacing w:before="0" w:after="283"/>
              <w:rPr>
                <w:sz w:val="4"/>
                <w:szCs w:val="4"/>
              </w:rPr>
            </w:pPr>
            <w:r>
              <w:rPr>
                <w:sz w:val="4"/>
                <w:szCs w:val="4"/>
              </w:rPr>
            </w:r>
          </w:p>
        </w:tc>
      </w:tr>
      <w:tr>
        <w:trPr/>
        <w:tc>
          <w:tcPr>
            <w:tcW w:w="472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729" w:type="dxa"/>
            <w:tcBorders/>
            <w:shd w:fill="auto" w:val="clear"/>
            <w:vAlign w:val="center"/>
          </w:tcPr>
          <w:p>
            <w:pPr>
              <w:pStyle w:val="TableContents"/>
              <w:spacing w:before="0" w:after="0"/>
              <w:ind w:left="0" w:right="0" w:firstLine="30"/>
              <w:jc w:val="left"/>
              <w:rPr/>
            </w:pPr>
            <w:r>
              <w:rPr/>
              <w:t> </w:t>
            </w:r>
          </w:p>
        </w:tc>
        <w:tc>
          <w:tcPr>
            <w:tcW w:w="2635"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June 30, 2019</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661"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December 31, 2018</w:t>
            </w:r>
          </w:p>
        </w:tc>
      </w:tr>
      <w:tr>
        <w:trPr/>
        <w:tc>
          <w:tcPr>
            <w:tcW w:w="4729" w:type="dxa"/>
            <w:tcBorders/>
            <w:shd w:fill="auto" w:val="clear"/>
            <w:vAlign w:val="center"/>
          </w:tcPr>
          <w:p>
            <w:pPr>
              <w:pStyle w:val="TableContents"/>
              <w:spacing w:before="0" w:after="0"/>
              <w:ind w:left="0" w:right="0" w:firstLine="30"/>
              <w:rPr/>
            </w:pPr>
            <w:r>
              <w:rPr/>
              <w:t> </w:t>
            </w:r>
          </w:p>
        </w:tc>
        <w:tc>
          <w:tcPr>
            <w:tcW w:w="117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Derivative</w:t>
              <w:br/>
              <w:t>Asset Positions</w:t>
            </w:r>
          </w:p>
        </w:tc>
        <w:tc>
          <w:tcPr>
            <w:tcW w:w="90" w:type="dxa"/>
            <w:tcBorders/>
            <w:shd w:fill="auto" w:val="clear"/>
            <w:vAlign w:val="center"/>
          </w:tcPr>
          <w:p>
            <w:pPr>
              <w:pStyle w:val="TableContents"/>
              <w:spacing w:before="0" w:after="0"/>
              <w:ind w:left="0" w:right="0" w:firstLine="30"/>
              <w:rPr/>
            </w:pPr>
            <w:r>
              <w:rPr/>
              <w:t> </w:t>
            </w:r>
          </w:p>
        </w:tc>
        <w:tc>
          <w:tcPr>
            <w:tcW w:w="137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Derivative</w:t>
              <w:br/>
              <w:t>Liability Positions</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7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Derivative</w:t>
              <w:br/>
              <w:t>Asset Positions</w:t>
            </w:r>
          </w:p>
        </w:tc>
        <w:tc>
          <w:tcPr>
            <w:tcW w:w="100" w:type="dxa"/>
            <w:tcBorders/>
            <w:shd w:fill="auto" w:val="clear"/>
            <w:vAlign w:val="center"/>
          </w:tcPr>
          <w:p>
            <w:pPr>
              <w:pStyle w:val="TableContents"/>
              <w:spacing w:before="0" w:after="0"/>
              <w:ind w:left="0" w:right="0" w:firstLine="30"/>
              <w:rPr/>
            </w:pPr>
            <w:r>
              <w:rPr/>
              <w:t> </w:t>
            </w:r>
          </w:p>
        </w:tc>
        <w:tc>
          <w:tcPr>
            <w:tcW w:w="138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Derivative</w:t>
              <w:br/>
              <w:t>Liability Positions</w:t>
            </w:r>
          </w:p>
        </w:tc>
      </w:tr>
      <w:tr>
        <w:trPr/>
        <w:tc>
          <w:tcPr>
            <w:tcW w:w="4729" w:type="dxa"/>
            <w:tcBorders/>
            <w:shd w:fill="CCEEFF" w:val="clear"/>
            <w:vAlign w:val="center"/>
          </w:tcPr>
          <w:p>
            <w:pPr>
              <w:pStyle w:val="TableContents"/>
              <w:spacing w:before="0" w:after="0"/>
              <w:ind w:left="0" w:right="0" w:firstLine="30"/>
              <w:rPr>
                <w:rFonts w:ascii="inherit" w:hAnsi="inherit"/>
                <w:b/>
                <w:sz w:val="17"/>
              </w:rPr>
            </w:pPr>
            <w:r>
              <w:rPr>
                <w:rFonts w:ascii="inherit" w:hAnsi="inherit"/>
                <w:b/>
                <w:sz w:val="17"/>
              </w:rPr>
              <w:t>Netting Adjustments:</w:t>
            </w:r>
          </w:p>
        </w:tc>
        <w:tc>
          <w:tcPr>
            <w:tcW w:w="947" w:type="dxa"/>
            <w:gridSpan w:val="2"/>
            <w:tcBorders/>
            <w:shd w:fill="CCEEFF" w:val="clear"/>
            <w:vAlign w:val="center"/>
          </w:tcPr>
          <w:p>
            <w:pPr>
              <w:pStyle w:val="TableContents"/>
              <w:spacing w:before="0" w:after="0"/>
              <w:jc w:val="right"/>
              <w:rPr/>
            </w:pPr>
            <w:r>
              <w:rPr/>
              <w:t> </w:t>
            </w:r>
          </w:p>
        </w:tc>
        <w:tc>
          <w:tcPr>
            <w:tcW w:w="2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29" w:type="dxa"/>
            <w:gridSpan w:val="2"/>
            <w:tcBorders/>
            <w:shd w:fill="CCEEFF" w:val="clear"/>
            <w:vAlign w:val="center"/>
          </w:tcPr>
          <w:p>
            <w:pPr>
              <w:pStyle w:val="TableContents"/>
              <w:spacing w:before="0" w:after="0"/>
              <w:jc w:val="right"/>
              <w:rPr/>
            </w:pPr>
            <w:r>
              <w:rPr/>
              <w:t> </w:t>
            </w:r>
          </w:p>
        </w:tc>
        <w:tc>
          <w:tcPr>
            <w:tcW w:w="2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947" w:type="dxa"/>
            <w:gridSpan w:val="2"/>
            <w:tcBorders/>
            <w:shd w:fill="CCEEFF" w:val="clear"/>
            <w:vAlign w:val="center"/>
          </w:tcPr>
          <w:p>
            <w:pPr>
              <w:pStyle w:val="TableContents"/>
              <w:spacing w:before="0" w:after="0"/>
              <w:jc w:val="right"/>
              <w:rPr/>
            </w:pPr>
            <w:r>
              <w:rPr/>
              <w:t> </w:t>
            </w:r>
          </w:p>
        </w:tc>
        <w:tc>
          <w:tcPr>
            <w:tcW w:w="2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CCEEFF" w:val="clear"/>
            <w:vAlign w:val="center"/>
          </w:tcPr>
          <w:p>
            <w:pPr>
              <w:pStyle w:val="TableContents"/>
              <w:spacing w:before="0" w:after="0"/>
              <w:ind w:left="0" w:right="0" w:firstLine="30"/>
              <w:rPr/>
            </w:pPr>
            <w:r>
              <w:rPr/>
              <w:t> </w:t>
            </w:r>
          </w:p>
        </w:tc>
        <w:tc>
          <w:tcPr>
            <w:tcW w:w="1116" w:type="dxa"/>
            <w:gridSpan w:val="2"/>
            <w:tcBorders/>
            <w:shd w:fill="CCEEFF" w:val="clear"/>
            <w:vAlign w:val="center"/>
          </w:tcPr>
          <w:p>
            <w:pPr>
              <w:pStyle w:val="TableContents"/>
              <w:spacing w:before="0" w:after="0"/>
              <w:jc w:val="right"/>
              <w:rPr/>
            </w:pPr>
            <w:r>
              <w:rPr/>
              <w:t> </w:t>
            </w:r>
          </w:p>
        </w:tc>
        <w:tc>
          <w:tcPr>
            <w:tcW w:w="2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72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Gross position - asset/(liability)</w:t>
            </w:r>
          </w:p>
        </w:tc>
        <w:tc>
          <w:tcPr>
            <w:tcW w:w="25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90" w:type="dxa"/>
            <w:tcBorders/>
            <w:shd w:fill="auto" w:val="clear"/>
            <w:vAlign w:val="center"/>
          </w:tcPr>
          <w:p>
            <w:pPr>
              <w:pStyle w:val="TableContents"/>
              <w:spacing w:before="0" w:after="0"/>
              <w:jc w:val="right"/>
              <w:rPr>
                <w:rFonts w:ascii="inherit" w:hAnsi="inherit"/>
                <w:sz w:val="17"/>
              </w:rPr>
            </w:pPr>
            <w:r>
              <w:rPr>
                <w:rFonts w:ascii="inherit" w:hAnsi="inherit"/>
                <w:sz w:val="17"/>
              </w:rPr>
              <w:t>436</w:t>
            </w:r>
          </w:p>
        </w:tc>
        <w:tc>
          <w:tcPr>
            <w:tcW w:w="2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7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58" w:type="dxa"/>
            <w:tcBorders/>
            <w:shd w:fill="auto" w:val="clear"/>
            <w:vAlign w:val="center"/>
          </w:tcPr>
          <w:p>
            <w:pPr>
              <w:pStyle w:val="TableContents"/>
              <w:spacing w:before="0" w:after="0"/>
              <w:jc w:val="right"/>
              <w:rPr>
                <w:rFonts w:ascii="inherit" w:hAnsi="inherit"/>
                <w:sz w:val="17"/>
              </w:rPr>
            </w:pPr>
            <w:r>
              <w:rPr>
                <w:rFonts w:ascii="inherit" w:hAnsi="inherit"/>
                <w:sz w:val="17"/>
              </w:rPr>
              <w:t>(187</w:t>
            </w:r>
          </w:p>
        </w:tc>
        <w:tc>
          <w:tcPr>
            <w:tcW w:w="2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25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90" w:type="dxa"/>
            <w:tcBorders/>
            <w:shd w:fill="auto" w:val="clear"/>
            <w:vAlign w:val="center"/>
          </w:tcPr>
          <w:p>
            <w:pPr>
              <w:pStyle w:val="TableContents"/>
              <w:spacing w:before="0" w:after="0"/>
              <w:jc w:val="right"/>
              <w:rPr>
                <w:rFonts w:ascii="inherit" w:hAnsi="inherit"/>
                <w:sz w:val="17"/>
              </w:rPr>
            </w:pPr>
            <w:r>
              <w:rPr>
                <w:rFonts w:ascii="inherit" w:hAnsi="inherit"/>
                <w:sz w:val="17"/>
              </w:rPr>
              <w:t>480</w:t>
            </w:r>
          </w:p>
        </w:tc>
        <w:tc>
          <w:tcPr>
            <w:tcW w:w="2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auto" w:val="clear"/>
            <w:vAlign w:val="center"/>
          </w:tcPr>
          <w:p>
            <w:pPr>
              <w:pStyle w:val="TableContents"/>
              <w:spacing w:before="0" w:after="0"/>
              <w:ind w:left="0" w:right="0" w:firstLine="30"/>
              <w:rPr/>
            </w:pPr>
            <w:r>
              <w:rPr/>
              <w:t> </w:t>
            </w:r>
          </w:p>
        </w:tc>
        <w:tc>
          <w:tcPr>
            <w:tcW w:w="26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48" w:type="dxa"/>
            <w:tcBorders/>
            <w:shd w:fill="auto" w:val="clear"/>
            <w:vAlign w:val="center"/>
          </w:tcPr>
          <w:p>
            <w:pPr>
              <w:pStyle w:val="TableContents"/>
              <w:spacing w:before="0" w:after="0"/>
              <w:jc w:val="right"/>
              <w:rPr>
                <w:rFonts w:ascii="inherit" w:hAnsi="inherit"/>
                <w:sz w:val="17"/>
              </w:rPr>
            </w:pPr>
            <w:r>
              <w:rPr>
                <w:rFonts w:ascii="inherit" w:hAnsi="inherit"/>
                <w:sz w:val="17"/>
              </w:rPr>
              <w:t>(262</w:t>
            </w:r>
          </w:p>
        </w:tc>
        <w:tc>
          <w:tcPr>
            <w:tcW w:w="2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7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Netting adjustment</w:t>
            </w:r>
          </w:p>
        </w:tc>
        <w:tc>
          <w:tcPr>
            <w:tcW w:w="94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(107</w:t>
            </w:r>
          </w:p>
        </w:tc>
        <w:tc>
          <w:tcPr>
            <w:tcW w:w="2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12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107</w:t>
            </w:r>
          </w:p>
        </w:tc>
        <w:tc>
          <w:tcPr>
            <w:tcW w:w="2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94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(192</w:t>
            </w:r>
          </w:p>
        </w:tc>
        <w:tc>
          <w:tcPr>
            <w:tcW w:w="2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0" w:type="dxa"/>
            <w:tcBorders/>
            <w:shd w:fill="CCEEFF" w:val="clear"/>
            <w:vAlign w:val="center"/>
          </w:tcPr>
          <w:p>
            <w:pPr>
              <w:pStyle w:val="TableContents"/>
              <w:spacing w:before="0" w:after="0"/>
              <w:ind w:left="0" w:right="0" w:firstLine="30"/>
              <w:rPr/>
            </w:pPr>
            <w:r>
              <w:rPr/>
              <w:t> </w:t>
            </w:r>
          </w:p>
        </w:tc>
        <w:tc>
          <w:tcPr>
            <w:tcW w:w="111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192</w:t>
            </w:r>
          </w:p>
        </w:tc>
        <w:tc>
          <w:tcPr>
            <w:tcW w:w="2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72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Cash collateral received</w:t>
            </w:r>
          </w:p>
        </w:tc>
        <w:tc>
          <w:tcPr>
            <w:tcW w:w="94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(73</w:t>
            </w:r>
          </w:p>
        </w:tc>
        <w:tc>
          <w:tcPr>
            <w:tcW w:w="228"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129"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24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94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(80</w:t>
            </w:r>
          </w:p>
        </w:tc>
        <w:tc>
          <w:tcPr>
            <w:tcW w:w="228"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0" w:type="dxa"/>
            <w:tcBorders/>
            <w:shd w:fill="auto" w:val="clear"/>
            <w:vAlign w:val="center"/>
          </w:tcPr>
          <w:p>
            <w:pPr>
              <w:pStyle w:val="TableContents"/>
              <w:spacing w:before="0" w:after="0"/>
              <w:ind w:left="0" w:right="0" w:firstLine="30"/>
              <w:rPr/>
            </w:pPr>
            <w:r>
              <w:rPr/>
              <w:t> </w:t>
            </w:r>
          </w:p>
        </w:tc>
        <w:tc>
          <w:tcPr>
            <w:tcW w:w="1116"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27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7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position - asset/(liability)</w:t>
            </w:r>
          </w:p>
        </w:tc>
        <w:tc>
          <w:tcPr>
            <w:tcW w:w="25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256</w:t>
            </w:r>
          </w:p>
        </w:tc>
        <w:tc>
          <w:tcPr>
            <w:tcW w:w="22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71"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58"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(80</w:t>
            </w:r>
          </w:p>
        </w:tc>
        <w:tc>
          <w:tcPr>
            <w:tcW w:w="241"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25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208</w:t>
            </w:r>
          </w:p>
        </w:tc>
        <w:tc>
          <w:tcPr>
            <w:tcW w:w="22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CCEEFF" w:val="clear"/>
            <w:vAlign w:val="center"/>
          </w:tcPr>
          <w:p>
            <w:pPr>
              <w:pStyle w:val="TableContents"/>
              <w:spacing w:before="0" w:after="0"/>
              <w:ind w:left="0" w:right="0" w:firstLine="30"/>
              <w:rPr/>
            </w:pPr>
            <w:r>
              <w:rPr/>
              <w:t> </w:t>
            </w:r>
          </w:p>
        </w:tc>
        <w:tc>
          <w:tcPr>
            <w:tcW w:w="26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48"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(70</w:t>
            </w:r>
          </w:p>
        </w:tc>
        <w:tc>
          <w:tcPr>
            <w:tcW w:w="270"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729" w:type="dxa"/>
            <w:tcBorders/>
            <w:shd w:fill="auto" w:val="clear"/>
            <w:vAlign w:val="center"/>
          </w:tcPr>
          <w:p>
            <w:pPr>
              <w:pStyle w:val="TableContents"/>
              <w:spacing w:before="0" w:after="0"/>
              <w:ind w:left="0" w:right="0" w:firstLine="30"/>
              <w:rPr/>
            </w:pPr>
            <w:r>
              <w:rPr/>
              <w:t> </w:t>
            </w:r>
          </w:p>
        </w:tc>
        <w:tc>
          <w:tcPr>
            <w:tcW w:w="117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7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1175" w:type="dxa"/>
            <w:gridSpan w:val="3"/>
            <w:tcBorders/>
            <w:shd w:fill="auto" w:val="clear"/>
            <w:vAlign w:val="center"/>
          </w:tcPr>
          <w:p>
            <w:pPr>
              <w:pStyle w:val="TableContents"/>
              <w:spacing w:before="0" w:after="0"/>
              <w:ind w:left="0" w:right="0" w:firstLine="30"/>
              <w:rPr/>
            </w:pPr>
            <w:r>
              <w:rPr/>
              <w:t> </w:t>
            </w:r>
          </w:p>
        </w:tc>
        <w:tc>
          <w:tcPr>
            <w:tcW w:w="100" w:type="dxa"/>
            <w:tcBorders/>
            <w:shd w:fill="auto" w:val="clear"/>
            <w:vAlign w:val="center"/>
          </w:tcPr>
          <w:p>
            <w:pPr>
              <w:pStyle w:val="TableContents"/>
              <w:spacing w:before="0" w:after="0"/>
              <w:ind w:left="0" w:right="0" w:firstLine="30"/>
              <w:rPr/>
            </w:pPr>
            <w:r>
              <w:rPr/>
              <w:t> </w:t>
            </w:r>
          </w:p>
        </w:tc>
        <w:tc>
          <w:tcPr>
            <w:tcW w:w="1386" w:type="dxa"/>
            <w:gridSpan w:val="3"/>
            <w:tcBorders/>
            <w:shd w:fill="auto" w:val="clear"/>
            <w:vAlign w:val="center"/>
          </w:tcPr>
          <w:p>
            <w:pPr>
              <w:pStyle w:val="TableContents"/>
              <w:spacing w:before="0" w:after="0"/>
              <w:ind w:left="0" w:right="0" w:firstLine="30"/>
              <w:rPr/>
            </w:pPr>
            <w:r>
              <w:rPr/>
              <w:t> </w:t>
            </w:r>
          </w:p>
        </w:tc>
      </w:tr>
      <w:tr>
        <w:trPr/>
        <w:tc>
          <w:tcPr>
            <w:tcW w:w="4729" w:type="dxa"/>
            <w:tcBorders/>
            <w:shd w:fill="CCEEFF" w:val="clear"/>
            <w:vAlign w:val="center"/>
          </w:tcPr>
          <w:p>
            <w:pPr>
              <w:pStyle w:val="TableContents"/>
              <w:spacing w:before="0" w:after="0"/>
              <w:ind w:left="0" w:right="0" w:firstLine="30"/>
              <w:rPr>
                <w:rFonts w:ascii="inherit" w:hAnsi="inherit"/>
                <w:b/>
                <w:sz w:val="17"/>
              </w:rPr>
            </w:pPr>
            <w:r>
              <w:rPr>
                <w:rFonts w:ascii="inherit" w:hAnsi="inherit"/>
                <w:b/>
                <w:sz w:val="17"/>
              </w:rPr>
              <w:t>Balance Sheet Location After Netting Adjustments:</w:t>
            </w:r>
          </w:p>
        </w:tc>
        <w:tc>
          <w:tcPr>
            <w:tcW w:w="947" w:type="dxa"/>
            <w:gridSpan w:val="2"/>
            <w:tcBorders/>
            <w:shd w:fill="CCEEFF" w:val="clear"/>
            <w:vAlign w:val="center"/>
          </w:tcPr>
          <w:p>
            <w:pPr>
              <w:pStyle w:val="TableContents"/>
              <w:spacing w:before="0" w:after="0"/>
              <w:jc w:val="right"/>
              <w:rPr/>
            </w:pPr>
            <w:r>
              <w:rPr/>
              <w:t> </w:t>
            </w:r>
          </w:p>
        </w:tc>
        <w:tc>
          <w:tcPr>
            <w:tcW w:w="2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29" w:type="dxa"/>
            <w:gridSpan w:val="2"/>
            <w:tcBorders/>
            <w:shd w:fill="CCEEFF" w:val="clear"/>
            <w:vAlign w:val="center"/>
          </w:tcPr>
          <w:p>
            <w:pPr>
              <w:pStyle w:val="TableContents"/>
              <w:spacing w:before="0" w:after="0"/>
              <w:jc w:val="right"/>
              <w:rPr/>
            </w:pPr>
            <w:r>
              <w:rPr/>
              <w:t> </w:t>
            </w:r>
          </w:p>
        </w:tc>
        <w:tc>
          <w:tcPr>
            <w:tcW w:w="2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947" w:type="dxa"/>
            <w:gridSpan w:val="2"/>
            <w:tcBorders/>
            <w:shd w:fill="CCEEFF" w:val="clear"/>
            <w:vAlign w:val="center"/>
          </w:tcPr>
          <w:p>
            <w:pPr>
              <w:pStyle w:val="TableContents"/>
              <w:spacing w:before="0" w:after="0"/>
              <w:jc w:val="right"/>
              <w:rPr/>
            </w:pPr>
            <w:r>
              <w:rPr/>
              <w:t> </w:t>
            </w:r>
          </w:p>
        </w:tc>
        <w:tc>
          <w:tcPr>
            <w:tcW w:w="2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CCEEFF" w:val="clear"/>
            <w:vAlign w:val="center"/>
          </w:tcPr>
          <w:p>
            <w:pPr>
              <w:pStyle w:val="TableContents"/>
              <w:spacing w:before="0" w:after="0"/>
              <w:ind w:left="0" w:right="0" w:firstLine="30"/>
              <w:rPr/>
            </w:pPr>
            <w:r>
              <w:rPr/>
              <w:t> </w:t>
            </w:r>
          </w:p>
        </w:tc>
        <w:tc>
          <w:tcPr>
            <w:tcW w:w="1116" w:type="dxa"/>
            <w:gridSpan w:val="2"/>
            <w:tcBorders/>
            <w:shd w:fill="CCEEFF" w:val="clear"/>
            <w:vAlign w:val="center"/>
          </w:tcPr>
          <w:p>
            <w:pPr>
              <w:pStyle w:val="TableContents"/>
              <w:spacing w:before="0" w:after="0"/>
              <w:jc w:val="right"/>
              <w:rPr/>
            </w:pPr>
            <w:r>
              <w:rPr/>
              <w:t> </w:t>
            </w:r>
          </w:p>
        </w:tc>
        <w:tc>
          <w:tcPr>
            <w:tcW w:w="2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72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current assets</w:t>
            </w:r>
          </w:p>
        </w:tc>
        <w:tc>
          <w:tcPr>
            <w:tcW w:w="25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90" w:type="dxa"/>
            <w:tcBorders/>
            <w:shd w:fill="auto" w:val="clear"/>
            <w:vAlign w:val="center"/>
          </w:tcPr>
          <w:p>
            <w:pPr>
              <w:pStyle w:val="TableContents"/>
              <w:spacing w:before="0" w:after="0"/>
              <w:jc w:val="right"/>
              <w:rPr>
                <w:rFonts w:ascii="inherit" w:hAnsi="inherit"/>
                <w:sz w:val="17"/>
              </w:rPr>
            </w:pPr>
            <w:r>
              <w:rPr>
                <w:rFonts w:ascii="inherit" w:hAnsi="inherit"/>
                <w:sz w:val="17"/>
              </w:rPr>
              <w:t>223</w:t>
            </w:r>
          </w:p>
        </w:tc>
        <w:tc>
          <w:tcPr>
            <w:tcW w:w="2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7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58" w:type="dxa"/>
            <w:tcBorders/>
            <w:shd w:fill="auto" w:val="clear"/>
            <w:vAlign w:val="center"/>
          </w:tcPr>
          <w:p>
            <w:pPr>
              <w:pStyle w:val="TableContents"/>
              <w:spacing w:before="0" w:after="0"/>
              <w:jc w:val="right"/>
              <w:rPr/>
            </w:pPr>
            <w:r>
              <w:rPr/>
              <w:t>—</w:t>
            </w:r>
          </w:p>
        </w:tc>
        <w:tc>
          <w:tcPr>
            <w:tcW w:w="2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25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90" w:type="dxa"/>
            <w:tcBorders/>
            <w:shd w:fill="auto" w:val="clear"/>
            <w:vAlign w:val="center"/>
          </w:tcPr>
          <w:p>
            <w:pPr>
              <w:pStyle w:val="TableContents"/>
              <w:spacing w:before="0" w:after="0"/>
              <w:jc w:val="right"/>
              <w:rPr>
                <w:rFonts w:ascii="inherit" w:hAnsi="inherit"/>
                <w:sz w:val="17"/>
              </w:rPr>
            </w:pPr>
            <w:r>
              <w:rPr>
                <w:rFonts w:ascii="inherit" w:hAnsi="inherit"/>
                <w:sz w:val="17"/>
              </w:rPr>
              <w:t>181</w:t>
            </w:r>
          </w:p>
        </w:tc>
        <w:tc>
          <w:tcPr>
            <w:tcW w:w="2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auto" w:val="clear"/>
            <w:vAlign w:val="center"/>
          </w:tcPr>
          <w:p>
            <w:pPr>
              <w:pStyle w:val="TableContents"/>
              <w:spacing w:before="0" w:after="0"/>
              <w:ind w:left="0" w:right="0" w:firstLine="30"/>
              <w:rPr/>
            </w:pPr>
            <w:r>
              <w:rPr/>
              <w:t> </w:t>
            </w:r>
          </w:p>
        </w:tc>
        <w:tc>
          <w:tcPr>
            <w:tcW w:w="26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48" w:type="dxa"/>
            <w:tcBorders/>
            <w:shd w:fill="auto" w:val="clear"/>
            <w:vAlign w:val="center"/>
          </w:tcPr>
          <w:p>
            <w:pPr>
              <w:pStyle w:val="TableContents"/>
              <w:spacing w:before="0" w:after="0"/>
              <w:jc w:val="right"/>
              <w:rPr/>
            </w:pPr>
            <w:r>
              <w:rPr/>
              <w:t>—</w:t>
            </w:r>
          </w:p>
        </w:tc>
        <w:tc>
          <w:tcPr>
            <w:tcW w:w="2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7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long-term assets, net</w:t>
            </w:r>
          </w:p>
        </w:tc>
        <w:tc>
          <w:tcPr>
            <w:tcW w:w="94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33</w:t>
            </w:r>
          </w:p>
        </w:tc>
        <w:tc>
          <w:tcPr>
            <w:tcW w:w="2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29" w:type="dxa"/>
            <w:gridSpan w:val="2"/>
            <w:tcBorders/>
            <w:shd w:fill="CCEEFF" w:val="clear"/>
            <w:vAlign w:val="center"/>
          </w:tcPr>
          <w:p>
            <w:pPr>
              <w:pStyle w:val="TableContents"/>
              <w:spacing w:before="0" w:after="0"/>
              <w:jc w:val="right"/>
              <w:rPr/>
            </w:pPr>
            <w:r>
              <w:rPr/>
              <w:t>—</w:t>
            </w:r>
          </w:p>
        </w:tc>
        <w:tc>
          <w:tcPr>
            <w:tcW w:w="2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94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w:t>
            </w:r>
          </w:p>
        </w:tc>
        <w:tc>
          <w:tcPr>
            <w:tcW w:w="2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CCEEFF" w:val="clear"/>
            <w:vAlign w:val="center"/>
          </w:tcPr>
          <w:p>
            <w:pPr>
              <w:pStyle w:val="TableContents"/>
              <w:spacing w:before="0" w:after="0"/>
              <w:ind w:left="0" w:right="0" w:firstLine="30"/>
              <w:rPr/>
            </w:pPr>
            <w:r>
              <w:rPr/>
              <w:t> </w:t>
            </w:r>
          </w:p>
        </w:tc>
        <w:tc>
          <w:tcPr>
            <w:tcW w:w="1116" w:type="dxa"/>
            <w:gridSpan w:val="2"/>
            <w:tcBorders/>
            <w:shd w:fill="CCEEFF" w:val="clear"/>
            <w:vAlign w:val="center"/>
          </w:tcPr>
          <w:p>
            <w:pPr>
              <w:pStyle w:val="TableContents"/>
              <w:spacing w:before="0" w:after="0"/>
              <w:jc w:val="right"/>
              <w:rPr/>
            </w:pPr>
            <w:r>
              <w:rPr/>
              <w:t>—</w:t>
            </w:r>
          </w:p>
        </w:tc>
        <w:tc>
          <w:tcPr>
            <w:tcW w:w="2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72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current liabilities</w:t>
            </w:r>
          </w:p>
        </w:tc>
        <w:tc>
          <w:tcPr>
            <w:tcW w:w="947" w:type="dxa"/>
            <w:gridSpan w:val="2"/>
            <w:tcBorders/>
            <w:shd w:fill="auto" w:val="clear"/>
            <w:vAlign w:val="center"/>
          </w:tcPr>
          <w:p>
            <w:pPr>
              <w:pStyle w:val="TableContents"/>
              <w:spacing w:before="0" w:after="0"/>
              <w:jc w:val="right"/>
              <w:rPr/>
            </w:pPr>
            <w:r>
              <w:rPr/>
              <w:t>—</w:t>
            </w:r>
          </w:p>
        </w:tc>
        <w:tc>
          <w:tcPr>
            <w:tcW w:w="2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12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(51</w:t>
            </w:r>
          </w:p>
        </w:tc>
        <w:tc>
          <w:tcPr>
            <w:tcW w:w="2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947" w:type="dxa"/>
            <w:gridSpan w:val="2"/>
            <w:tcBorders/>
            <w:shd w:fill="auto" w:val="clear"/>
            <w:vAlign w:val="center"/>
          </w:tcPr>
          <w:p>
            <w:pPr>
              <w:pStyle w:val="TableContents"/>
              <w:spacing w:before="0" w:after="0"/>
              <w:jc w:val="right"/>
              <w:rPr/>
            </w:pPr>
            <w:r>
              <w:rPr/>
              <w:t>—</w:t>
            </w:r>
          </w:p>
        </w:tc>
        <w:tc>
          <w:tcPr>
            <w:tcW w:w="2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auto" w:val="clear"/>
            <w:vAlign w:val="center"/>
          </w:tcPr>
          <w:p>
            <w:pPr>
              <w:pStyle w:val="TableContents"/>
              <w:spacing w:before="0" w:after="0"/>
              <w:ind w:left="0" w:right="0" w:firstLine="30"/>
              <w:rPr/>
            </w:pPr>
            <w:r>
              <w:rPr/>
              <w:t> </w:t>
            </w:r>
          </w:p>
        </w:tc>
        <w:tc>
          <w:tcPr>
            <w:tcW w:w="111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w:t>
            </w:r>
          </w:p>
        </w:tc>
        <w:tc>
          <w:tcPr>
            <w:tcW w:w="2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7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long-term liabilities and deferred credits</w:t>
            </w:r>
          </w:p>
        </w:tc>
        <w:tc>
          <w:tcPr>
            <w:tcW w:w="947"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22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12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(29</w:t>
            </w:r>
          </w:p>
        </w:tc>
        <w:tc>
          <w:tcPr>
            <w:tcW w:w="241"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947"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22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CCEEFF" w:val="clear"/>
            <w:vAlign w:val="center"/>
          </w:tcPr>
          <w:p>
            <w:pPr>
              <w:pStyle w:val="TableContents"/>
              <w:spacing w:before="0" w:after="0"/>
              <w:ind w:left="0" w:right="0" w:firstLine="30"/>
              <w:rPr/>
            </w:pPr>
            <w:r>
              <w:rPr/>
              <w:t> </w:t>
            </w:r>
          </w:p>
        </w:tc>
        <w:tc>
          <w:tcPr>
            <w:tcW w:w="111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(50</w:t>
            </w:r>
          </w:p>
        </w:tc>
        <w:tc>
          <w:tcPr>
            <w:tcW w:w="27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729" w:type="dxa"/>
            <w:tcBorders/>
            <w:shd w:fill="auto" w:val="clear"/>
            <w:vAlign w:val="center"/>
          </w:tcPr>
          <w:p>
            <w:pPr>
              <w:pStyle w:val="TableContents"/>
              <w:spacing w:before="0" w:after="0"/>
              <w:ind w:left="0" w:right="0" w:firstLine="30"/>
              <w:jc w:val="left"/>
              <w:rPr/>
            </w:pPr>
            <w:r>
              <w:rPr/>
              <w:t> </w:t>
            </w:r>
          </w:p>
        </w:tc>
        <w:tc>
          <w:tcPr>
            <w:tcW w:w="257"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256</w:t>
            </w:r>
          </w:p>
        </w:tc>
        <w:tc>
          <w:tcPr>
            <w:tcW w:w="228"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71"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58"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(80</w:t>
            </w:r>
          </w:p>
        </w:tc>
        <w:tc>
          <w:tcPr>
            <w:tcW w:w="241"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257"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208</w:t>
            </w:r>
          </w:p>
        </w:tc>
        <w:tc>
          <w:tcPr>
            <w:tcW w:w="228"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auto" w:val="clear"/>
            <w:vAlign w:val="center"/>
          </w:tcPr>
          <w:p>
            <w:pPr>
              <w:pStyle w:val="TableContents"/>
              <w:spacing w:before="0" w:after="0"/>
              <w:ind w:left="0" w:right="0" w:firstLine="30"/>
              <w:rPr/>
            </w:pPr>
            <w:r>
              <w:rPr/>
              <w:t> </w:t>
            </w:r>
          </w:p>
        </w:tc>
        <w:tc>
          <w:tcPr>
            <w:tcW w:w="268"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48"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(70</w:t>
            </w:r>
          </w:p>
        </w:tc>
        <w:tc>
          <w:tcPr>
            <w:tcW w:w="27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pPr>
      <w:r>
        <w:rPr/>
        <w:t> </w:t>
      </w:r>
    </w:p>
    <w:p>
      <w:pPr>
        <w:pStyle w:val="TextBody"/>
        <w:spacing w:lineRule="auto" w:line="288" w:before="0" w:after="0"/>
        <w:ind w:left="0" w:right="0" w:firstLine="720"/>
        <w:rPr>
          <w:sz w:val="17"/>
        </w:rPr>
      </w:pPr>
      <w:r>
        <w:rPr>
          <w:rFonts w:ascii="inherit" w:hAnsi="inherit"/>
          <w:sz w:val="17"/>
        </w:rPr>
        <w:t>As of June 30, 2019, there was a net loss of $230 million</w:t>
      </w:r>
      <w:r>
        <w:rPr>
          <w:sz w:val="17"/>
        </w:rPr>
        <w:t xml:space="preserve"> </w:t>
      </w:r>
      <w:r>
        <w:rPr>
          <w:rFonts w:ascii="inherit" w:hAnsi="inherit"/>
          <w:sz w:val="17"/>
        </w:rPr>
        <w:t>deferred in AOCI. The deferred net loss recorded in AOCI is expected to be reclassified to future earnings contemporaneously with (i) the earnings recognition of the underlying hedged commodity transactions or (ii) interest expense accruals associated with underlying debt instruments. Of the total net loss deferred in AOCI at June 30, 2019, we expect to reclassify a net loss of $8 million</w:t>
      </w:r>
      <w:r>
        <w:rPr>
          <w:sz w:val="17"/>
        </w:rPr>
        <w:t xml:space="preserve"> </w:t>
      </w:r>
      <w:r>
        <w:rPr>
          <w:rFonts w:ascii="inherit" w:hAnsi="inherit"/>
          <w:sz w:val="17"/>
        </w:rPr>
        <w:t>to earnings in the next twelve months. We estimate that substantially all of the remaining deferred loss will be reclassified to earnings through 2050 as the underlying hedged transactions impact earnings. A portion of these amounts is based on market prices as of June 30, 2019; thus, actual amounts to be reclassified will differ and could vary materially as a result of changes in market conditions.</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The following table summarizes the net unrealized gain/(loss) recognized in AOCI for derivatives (in millions):</w:t>
      </w:r>
    </w:p>
    <w:tbl>
      <w:tblPr>
        <w:tblW w:w="5452" w:type="dxa"/>
        <w:jc w:val="left"/>
        <w:tblInd w:w="0" w:type="dxa"/>
        <w:tblCellMar>
          <w:top w:w="0" w:type="dxa"/>
          <w:left w:w="0" w:type="dxa"/>
          <w:bottom w:w="0" w:type="dxa"/>
          <w:right w:w="0" w:type="dxa"/>
        </w:tblCellMar>
      </w:tblPr>
      <w:tblGrid>
        <w:gridCol w:w="2450"/>
        <w:gridCol w:w="193"/>
        <w:gridCol w:w="449"/>
        <w:gridCol w:w="170"/>
        <w:gridCol w:w="139"/>
        <w:gridCol w:w="193"/>
        <w:gridCol w:w="356"/>
        <w:gridCol w:w="46"/>
        <w:gridCol w:w="90"/>
        <w:gridCol w:w="168"/>
        <w:gridCol w:w="391"/>
        <w:gridCol w:w="148"/>
        <w:gridCol w:w="121"/>
        <w:gridCol w:w="168"/>
        <w:gridCol w:w="310"/>
        <w:gridCol w:w="60"/>
      </w:tblGrid>
      <w:tr>
        <w:trPr/>
        <w:tc>
          <w:tcPr>
            <w:tcW w:w="5452" w:type="dxa"/>
            <w:gridSpan w:val="16"/>
            <w:tcBorders/>
            <w:shd w:fill="auto" w:val="clear"/>
            <w:vAlign w:val="center"/>
          </w:tcPr>
          <w:p>
            <w:pPr>
              <w:pStyle w:val="TableContents"/>
              <w:spacing w:before="0" w:after="283"/>
              <w:rPr>
                <w:sz w:val="4"/>
                <w:szCs w:val="4"/>
              </w:rPr>
            </w:pPr>
            <w:r>
              <w:rPr>
                <w:sz w:val="4"/>
                <w:szCs w:val="4"/>
              </w:rPr>
            </w:r>
          </w:p>
        </w:tc>
      </w:tr>
      <w:tr>
        <w:trPr/>
        <w:tc>
          <w:tcPr>
            <w:tcW w:w="2450"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4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450" w:type="dxa"/>
            <w:tcBorders/>
            <w:shd w:fill="auto" w:val="clear"/>
            <w:vAlign w:val="center"/>
          </w:tcPr>
          <w:p>
            <w:pPr>
              <w:pStyle w:val="TableContents"/>
              <w:spacing w:before="0" w:after="0"/>
              <w:ind w:left="0" w:right="0" w:firstLine="30"/>
              <w:rPr/>
            </w:pPr>
            <w:r>
              <w:rPr/>
              <w:t> </w:t>
            </w:r>
          </w:p>
        </w:tc>
        <w:tc>
          <w:tcPr>
            <w:tcW w:w="1546"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w:t>
              <w:br/>
              <w:t>June 30,</w:t>
            </w:r>
          </w:p>
        </w:tc>
        <w:tc>
          <w:tcPr>
            <w:tcW w:w="90" w:type="dxa"/>
            <w:tcBorders/>
            <w:shd w:fill="auto" w:val="clear"/>
            <w:vAlign w:val="center"/>
          </w:tcPr>
          <w:p>
            <w:pPr>
              <w:pStyle w:val="TableContents"/>
              <w:spacing w:before="0" w:after="0"/>
              <w:ind w:left="0" w:right="0" w:firstLine="30"/>
              <w:rPr/>
            </w:pPr>
            <w:r>
              <w:rPr/>
              <w:t> </w:t>
            </w:r>
          </w:p>
        </w:tc>
        <w:tc>
          <w:tcPr>
            <w:tcW w:w="1366"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w:t>
              <w:br/>
              <w:t>June 30,</w:t>
            </w:r>
          </w:p>
        </w:tc>
      </w:tr>
      <w:tr>
        <w:trPr/>
        <w:tc>
          <w:tcPr>
            <w:tcW w:w="2450" w:type="dxa"/>
            <w:tcBorders/>
            <w:shd w:fill="auto" w:val="clear"/>
            <w:vAlign w:val="center"/>
          </w:tcPr>
          <w:p>
            <w:pPr>
              <w:pStyle w:val="TableContents"/>
              <w:spacing w:before="0" w:after="0"/>
              <w:ind w:left="0" w:right="0" w:firstLine="30"/>
              <w:jc w:val="left"/>
              <w:rPr/>
            </w:pPr>
            <w:r>
              <w:rPr/>
              <w:t> </w:t>
            </w:r>
          </w:p>
        </w:tc>
        <w:tc>
          <w:tcPr>
            <w:tcW w:w="81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139" w:type="dxa"/>
            <w:tcBorders/>
            <w:shd w:fill="auto" w:val="clear"/>
            <w:vAlign w:val="center"/>
          </w:tcPr>
          <w:p>
            <w:pPr>
              <w:pStyle w:val="TableContents"/>
              <w:spacing w:before="0" w:after="0"/>
              <w:ind w:left="0" w:right="0" w:firstLine="30"/>
              <w:rPr/>
            </w:pPr>
            <w:r>
              <w:rPr/>
              <w:t> </w:t>
            </w:r>
          </w:p>
        </w:tc>
        <w:tc>
          <w:tcPr>
            <w:tcW w:w="59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0" w:type="dxa"/>
            <w:tcBorders/>
            <w:shd w:fill="auto" w:val="clear"/>
            <w:vAlign w:val="center"/>
          </w:tcPr>
          <w:p>
            <w:pPr>
              <w:pStyle w:val="TableContents"/>
              <w:spacing w:before="0" w:after="0"/>
              <w:ind w:left="0" w:right="0" w:firstLine="30"/>
              <w:rPr/>
            </w:pPr>
            <w:r>
              <w:rPr/>
              <w:t> </w:t>
            </w:r>
          </w:p>
        </w:tc>
        <w:tc>
          <w:tcPr>
            <w:tcW w:w="70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121" w:type="dxa"/>
            <w:tcBorders/>
            <w:shd w:fill="auto" w:val="clear"/>
            <w:vAlign w:val="center"/>
          </w:tcPr>
          <w:p>
            <w:pPr>
              <w:pStyle w:val="TableContents"/>
              <w:spacing w:before="0" w:after="0"/>
              <w:ind w:left="0" w:right="0" w:firstLine="30"/>
              <w:rPr/>
            </w:pPr>
            <w:r>
              <w:rPr/>
              <w:t> </w:t>
            </w:r>
          </w:p>
        </w:tc>
        <w:tc>
          <w:tcPr>
            <w:tcW w:w="53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r>
      <w:tr>
        <w:trPr/>
        <w:tc>
          <w:tcPr>
            <w:tcW w:w="24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rate derivatives, net</w:t>
            </w:r>
          </w:p>
        </w:tc>
        <w:tc>
          <w:tcPr>
            <w:tcW w:w="19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49" w:type="dxa"/>
            <w:tcBorders/>
            <w:shd w:fill="CCEEFF" w:val="clear"/>
            <w:vAlign w:val="center"/>
          </w:tcPr>
          <w:p>
            <w:pPr>
              <w:pStyle w:val="TableContents"/>
              <w:spacing w:before="0" w:after="0"/>
              <w:jc w:val="right"/>
              <w:rPr>
                <w:rFonts w:ascii="inherit" w:hAnsi="inherit"/>
                <w:sz w:val="17"/>
              </w:rPr>
            </w:pPr>
            <w:r>
              <w:rPr>
                <w:rFonts w:ascii="inherit" w:hAnsi="inherit"/>
                <w:sz w:val="17"/>
              </w:rPr>
              <w:t>(35</w:t>
            </w:r>
          </w:p>
        </w:tc>
        <w:tc>
          <w:tcPr>
            <w:tcW w:w="1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9" w:type="dxa"/>
            <w:tcBorders/>
            <w:shd w:fill="CCEEFF" w:val="clear"/>
            <w:vAlign w:val="center"/>
          </w:tcPr>
          <w:p>
            <w:pPr>
              <w:pStyle w:val="TableContents"/>
              <w:spacing w:before="0" w:after="0"/>
              <w:ind w:left="0" w:right="0" w:firstLine="30"/>
              <w:rPr/>
            </w:pPr>
            <w:r>
              <w:rPr/>
              <w:t> </w:t>
            </w:r>
          </w:p>
        </w:tc>
        <w:tc>
          <w:tcPr>
            <w:tcW w:w="19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356" w:type="dxa"/>
            <w:tcBorders/>
            <w:shd w:fill="CCEEFF" w:val="clear"/>
            <w:vAlign w:val="center"/>
          </w:tcPr>
          <w:p>
            <w:pPr>
              <w:pStyle w:val="TableContents"/>
              <w:spacing w:before="0" w:after="0"/>
              <w:jc w:val="right"/>
              <w:rPr>
                <w:rFonts w:ascii="inherit" w:hAnsi="inherit"/>
                <w:sz w:val="17"/>
              </w:rPr>
            </w:pPr>
            <w:r>
              <w:rPr>
                <w:rFonts w:ascii="inherit" w:hAnsi="inherit"/>
                <w:sz w:val="17"/>
              </w:rPr>
              <w:t>13</w:t>
            </w:r>
          </w:p>
        </w:tc>
        <w:tc>
          <w:tcPr>
            <w:tcW w:w="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68"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391"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(58</w:t>
            </w:r>
          </w:p>
        </w:tc>
        <w:tc>
          <w:tcPr>
            <w:tcW w:w="148"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CCEEFF" w:val="clear"/>
            <w:vAlign w:val="center"/>
          </w:tcPr>
          <w:p>
            <w:pPr>
              <w:pStyle w:val="TableContents"/>
              <w:spacing w:before="0" w:after="0"/>
              <w:ind w:left="0" w:right="0" w:firstLine="30"/>
              <w:rPr/>
            </w:pPr>
            <w:r>
              <w:rPr/>
              <w:t> </w:t>
            </w:r>
          </w:p>
        </w:tc>
        <w:tc>
          <w:tcPr>
            <w:tcW w:w="168"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310"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45</w:t>
            </w:r>
          </w:p>
        </w:tc>
        <w:tc>
          <w:tcPr>
            <w:tcW w:w="60" w:type="dxa"/>
            <w:tcBorders>
              <w:top w:val="single" w:sz="2" w:space="0" w:color="000000"/>
            </w:tcBorders>
            <w:shd w:fill="CCEEFF" w:val="clear"/>
            <w:tcMar>
              <w:top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pPr>
      <w:r>
        <w:rPr/>
        <w:t>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28</w:t>
      </w:r>
      <w:r>
        <w:br w:type="page"/>
      </w:r>
    </w:p>
    <w:p>
      <w:pPr>
        <w:pStyle w:val="TextBody"/>
        <w:spacing w:lineRule="auto" w:line="288" w:before="0" w:after="0"/>
        <w:rPr/>
      </w:pPr>
      <w:hyperlink w:anchor="s3336AD8A685850CC9B7F2572CB2C0BC3">
        <w:r>
          <w:rPr>
            <w:rStyle w:val="InternetLink"/>
            <w:rFonts w:ascii="inherit" w:hAnsi="inherit"/>
            <w:sz w:val="17"/>
          </w:rPr>
          <w:t>Table of Contents</w:t>
        </w:r>
      </w:hyperlink>
      <w:r>
        <w:rPr>
          <w:sz w:val="17"/>
        </w:rPr>
        <w:t xml:space="preserve"> </w:t>
      </w:r>
    </w:p>
    <w:p>
      <w:pPr>
        <w:pStyle w:val="TextBody"/>
        <w:spacing w:lineRule="auto" w:line="288" w:before="0" w:after="0"/>
        <w:jc w:val="center"/>
        <w:rPr>
          <w:rFonts w:ascii="inherit" w:hAnsi="inherit"/>
          <w:b/>
          <w:sz w:val="17"/>
        </w:rPr>
      </w:pPr>
      <w:r>
        <w:rPr>
          <w:rFonts w:ascii="inherit" w:hAnsi="inherit"/>
          <w:b/>
          <w:sz w:val="17"/>
        </w:rPr>
        <w:t>PLAINS ALL AMERICAN PIPELINE, L.P. AND SUBSIDIARIES</w:t>
      </w:r>
    </w:p>
    <w:p>
      <w:pPr>
        <w:pStyle w:val="TextBody"/>
        <w:spacing w:lineRule="auto" w:line="288" w:before="0" w:after="0"/>
        <w:jc w:val="center"/>
        <w:rPr>
          <w:rFonts w:ascii="inherit" w:hAnsi="inherit"/>
          <w:b/>
          <w:sz w:val="17"/>
        </w:rPr>
      </w:pPr>
      <w:r>
        <w:rPr>
          <w:rFonts w:ascii="inherit" w:hAnsi="inherit"/>
          <w:b/>
          <w:sz w:val="17"/>
        </w:rPr>
        <w:t>NOTES TO THE UNAUDITED CONDENSED CONSOLIDATED FINANCIAL STATEMENTS</w:t>
      </w:r>
    </w:p>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660"/>
        <w:rPr>
          <w:sz w:val="17"/>
        </w:rPr>
      </w:pPr>
      <w:r>
        <w:rPr>
          <w:rFonts w:ascii="inherit" w:hAnsi="inherit"/>
          <w:sz w:val="17"/>
        </w:rPr>
        <w:t>At June 30, 2019</w:t>
      </w:r>
      <w:r>
        <w:rPr>
          <w:sz w:val="17"/>
        </w:rPr>
        <w:t xml:space="preserve"> </w:t>
      </w:r>
      <w:r>
        <w:rPr>
          <w:rFonts w:ascii="inherit" w:hAnsi="inherit"/>
          <w:sz w:val="17"/>
        </w:rPr>
        <w:t>and December 31, 2018, none of our outstanding derivatives contained credit-risk related contingent features that would result in a material adverse impact to us upon any change in our credit ratings. Although we may be required to post margin on our cleared derivatives as described above, we do not require our non-cleared derivative counterparties to post collateral with us.</w:t>
      </w:r>
    </w:p>
    <w:p>
      <w:pPr>
        <w:pStyle w:val="TextBody"/>
        <w:spacing w:lineRule="auto" w:line="288" w:before="0" w:after="0"/>
        <w:rPr/>
      </w:pPr>
      <w:r>
        <w:rPr/>
        <w:t> </w:t>
      </w:r>
    </w:p>
    <w:p>
      <w:pPr>
        <w:pStyle w:val="TextBody"/>
        <w:spacing w:lineRule="auto" w:line="288" w:before="0" w:after="0"/>
        <w:rPr>
          <w:rFonts w:ascii="inherit" w:hAnsi="inherit"/>
          <w:b/>
          <w:i/>
          <w:sz w:val="17"/>
        </w:rPr>
      </w:pPr>
      <w:r>
        <w:rPr>
          <w:rFonts w:ascii="inherit" w:hAnsi="inherit"/>
          <w:b/>
          <w:i/>
          <w:sz w:val="17"/>
        </w:rPr>
        <w:t>Recurring Fair Value Measurements</w:t>
      </w:r>
    </w:p>
    <w:p>
      <w:pPr>
        <w:pStyle w:val="TextBody"/>
        <w:spacing w:lineRule="auto" w:line="288" w:before="0" w:after="0"/>
        <w:rPr/>
      </w:pPr>
      <w:r>
        <w:rPr/>
        <w:t> </w:t>
      </w:r>
    </w:p>
    <w:p>
      <w:pPr>
        <w:pStyle w:val="TextBody"/>
        <w:spacing w:lineRule="auto" w:line="288" w:before="0" w:after="0"/>
        <w:ind w:left="0" w:right="0" w:firstLine="720"/>
        <w:rPr>
          <w:rFonts w:ascii="inherit" w:hAnsi="inherit"/>
          <w:b/>
          <w:sz w:val="17"/>
        </w:rPr>
      </w:pPr>
      <w:r>
        <w:rPr>
          <w:rFonts w:ascii="inherit" w:hAnsi="inherit"/>
          <w:b/>
          <w:sz w:val="17"/>
        </w:rPr>
        <w:t>Derivative Financial Assets and Liabilities</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The following table sets forth by level within the fair value hierarchy our financial assets and liabilities that were accounted for at fair value on a recurring basis (in millions):</w:t>
      </w:r>
    </w:p>
    <w:tbl>
      <w:tblPr>
        <w:tblW w:w="9168" w:type="dxa"/>
        <w:jc w:val="left"/>
        <w:tblInd w:w="0" w:type="dxa"/>
        <w:tblCellMar>
          <w:top w:w="0" w:type="dxa"/>
          <w:left w:w="0" w:type="dxa"/>
          <w:bottom w:w="0" w:type="dxa"/>
          <w:right w:w="0" w:type="dxa"/>
        </w:tblCellMar>
      </w:tblPr>
      <w:tblGrid>
        <w:gridCol w:w="3440"/>
        <w:gridCol w:w="90"/>
        <w:gridCol w:w="150"/>
        <w:gridCol w:w="403"/>
        <w:gridCol w:w="37"/>
        <w:gridCol w:w="90"/>
        <w:gridCol w:w="158"/>
        <w:gridCol w:w="291"/>
        <w:gridCol w:w="141"/>
        <w:gridCol w:w="90"/>
        <w:gridCol w:w="140"/>
        <w:gridCol w:w="325"/>
        <w:gridCol w:w="125"/>
        <w:gridCol w:w="90"/>
        <w:gridCol w:w="125"/>
        <w:gridCol w:w="335"/>
        <w:gridCol w:w="110"/>
        <w:gridCol w:w="90"/>
        <w:gridCol w:w="90"/>
        <w:gridCol w:w="150"/>
        <w:gridCol w:w="403"/>
        <w:gridCol w:w="37"/>
        <w:gridCol w:w="96"/>
        <w:gridCol w:w="158"/>
        <w:gridCol w:w="291"/>
        <w:gridCol w:w="141"/>
        <w:gridCol w:w="96"/>
        <w:gridCol w:w="140"/>
        <w:gridCol w:w="325"/>
        <w:gridCol w:w="125"/>
        <w:gridCol w:w="96"/>
        <w:gridCol w:w="134"/>
        <w:gridCol w:w="360"/>
        <w:gridCol w:w="296"/>
      </w:tblGrid>
      <w:tr>
        <w:trPr/>
        <w:tc>
          <w:tcPr>
            <w:tcW w:w="9168" w:type="dxa"/>
            <w:gridSpan w:val="34"/>
            <w:tcBorders/>
            <w:shd w:fill="auto" w:val="clear"/>
            <w:vAlign w:val="center"/>
          </w:tcPr>
          <w:p>
            <w:pPr>
              <w:pStyle w:val="TableContents"/>
              <w:spacing w:before="0" w:after="283"/>
              <w:rPr>
                <w:sz w:val="4"/>
                <w:szCs w:val="4"/>
              </w:rPr>
            </w:pPr>
            <w:r>
              <w:rPr>
                <w:sz w:val="4"/>
                <w:szCs w:val="4"/>
              </w:rPr>
            </w:r>
          </w:p>
        </w:tc>
      </w:tr>
      <w:tr>
        <w:trPr/>
        <w:tc>
          <w:tcPr>
            <w:tcW w:w="344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37"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37"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44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2610"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Fair Value as of June 30, 2019</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848"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Fair Value as of December 31, 2018</w:t>
            </w:r>
          </w:p>
        </w:tc>
      </w:tr>
      <w:tr>
        <w:trPr/>
        <w:tc>
          <w:tcPr>
            <w:tcW w:w="3440" w:type="dxa"/>
            <w:tcBorders>
              <w:bottom w:val="single" w:sz="2" w:space="0" w:color="000000"/>
            </w:tcBorders>
            <w:shd w:fill="auto" w:val="clear"/>
            <w:tcMar>
              <w:bottom w:w="30" w:type="dxa"/>
            </w:tcMar>
            <w:vAlign w:val="center"/>
          </w:tcPr>
          <w:p>
            <w:pPr>
              <w:pStyle w:val="TableContents"/>
              <w:spacing w:lineRule="auto" w:line="288" w:before="0" w:after="0"/>
              <w:ind w:left="0" w:right="0" w:firstLine="30"/>
              <w:rPr>
                <w:sz w:val="17"/>
              </w:rPr>
            </w:pPr>
            <w:r>
              <w:rPr>
                <w:rFonts w:ascii="inherit" w:hAnsi="inherit"/>
                <w:b/>
                <w:sz w:val="13"/>
              </w:rPr>
              <w:t>Recurring Fair Value Measures </w:t>
            </w:r>
            <w:r>
              <w:rPr>
                <w:rFonts w:ascii="inherit" w:hAnsi="inherit"/>
                <w:b/>
                <w:sz w:val="12"/>
              </w:rPr>
              <w:t>(1)</w:t>
            </w:r>
          </w:p>
        </w:tc>
        <w:tc>
          <w:tcPr>
            <w:tcW w:w="90" w:type="dxa"/>
            <w:tcBorders/>
            <w:shd w:fill="auto" w:val="clear"/>
            <w:vAlign w:val="center"/>
          </w:tcPr>
          <w:p>
            <w:pPr>
              <w:pStyle w:val="TableContents"/>
              <w:spacing w:before="0" w:after="0"/>
              <w:ind w:left="0" w:right="0" w:firstLine="30"/>
              <w:rPr/>
            </w:pPr>
            <w:r>
              <w:rPr/>
              <w:t> </w:t>
            </w:r>
          </w:p>
        </w:tc>
        <w:tc>
          <w:tcPr>
            <w:tcW w:w="59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1</w:t>
            </w:r>
          </w:p>
        </w:tc>
        <w:tc>
          <w:tcPr>
            <w:tcW w:w="90" w:type="dxa"/>
            <w:tcBorders/>
            <w:shd w:fill="auto" w:val="clear"/>
            <w:vAlign w:val="center"/>
          </w:tcPr>
          <w:p>
            <w:pPr>
              <w:pStyle w:val="TableContents"/>
              <w:spacing w:before="0" w:after="0"/>
              <w:ind w:left="0" w:right="0" w:firstLine="30"/>
              <w:rPr/>
            </w:pPr>
            <w:r>
              <w:rPr/>
              <w:t> </w:t>
            </w:r>
          </w:p>
        </w:tc>
        <w:tc>
          <w:tcPr>
            <w:tcW w:w="59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2</w:t>
            </w:r>
          </w:p>
        </w:tc>
        <w:tc>
          <w:tcPr>
            <w:tcW w:w="90" w:type="dxa"/>
            <w:tcBorders/>
            <w:shd w:fill="auto" w:val="clear"/>
            <w:vAlign w:val="center"/>
          </w:tcPr>
          <w:p>
            <w:pPr>
              <w:pStyle w:val="TableContents"/>
              <w:spacing w:before="0" w:after="0"/>
              <w:ind w:left="0" w:right="0" w:firstLine="30"/>
              <w:rPr/>
            </w:pPr>
            <w:r>
              <w:rPr/>
              <w:t> </w:t>
            </w:r>
          </w:p>
        </w:tc>
        <w:tc>
          <w:tcPr>
            <w:tcW w:w="59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3</w:t>
            </w:r>
          </w:p>
        </w:tc>
        <w:tc>
          <w:tcPr>
            <w:tcW w:w="90" w:type="dxa"/>
            <w:tcBorders/>
            <w:shd w:fill="auto" w:val="clear"/>
            <w:vAlign w:val="center"/>
          </w:tcPr>
          <w:p>
            <w:pPr>
              <w:pStyle w:val="TableContents"/>
              <w:spacing w:before="0" w:after="0"/>
              <w:ind w:left="0" w:right="0" w:firstLine="30"/>
              <w:rPr/>
            </w:pPr>
            <w:r>
              <w:rPr/>
              <w:t> </w:t>
            </w:r>
          </w:p>
        </w:tc>
        <w:tc>
          <w:tcPr>
            <w:tcW w:w="57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Total</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59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1</w:t>
            </w:r>
          </w:p>
        </w:tc>
        <w:tc>
          <w:tcPr>
            <w:tcW w:w="96" w:type="dxa"/>
            <w:tcBorders/>
            <w:shd w:fill="auto" w:val="clear"/>
            <w:vAlign w:val="center"/>
          </w:tcPr>
          <w:p>
            <w:pPr>
              <w:pStyle w:val="TableContents"/>
              <w:spacing w:before="0" w:after="0"/>
              <w:ind w:left="0" w:right="0" w:firstLine="30"/>
              <w:rPr/>
            </w:pPr>
            <w:r>
              <w:rPr/>
              <w:t> </w:t>
            </w:r>
          </w:p>
        </w:tc>
        <w:tc>
          <w:tcPr>
            <w:tcW w:w="59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2</w:t>
            </w:r>
          </w:p>
        </w:tc>
        <w:tc>
          <w:tcPr>
            <w:tcW w:w="96" w:type="dxa"/>
            <w:tcBorders/>
            <w:shd w:fill="auto" w:val="clear"/>
            <w:vAlign w:val="center"/>
          </w:tcPr>
          <w:p>
            <w:pPr>
              <w:pStyle w:val="TableContents"/>
              <w:spacing w:before="0" w:after="0"/>
              <w:ind w:left="0" w:right="0" w:firstLine="30"/>
              <w:rPr/>
            </w:pPr>
            <w:r>
              <w:rPr/>
              <w:t> </w:t>
            </w:r>
          </w:p>
        </w:tc>
        <w:tc>
          <w:tcPr>
            <w:tcW w:w="59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Level 3</w:t>
            </w:r>
          </w:p>
        </w:tc>
        <w:tc>
          <w:tcPr>
            <w:tcW w:w="96" w:type="dxa"/>
            <w:tcBorders/>
            <w:shd w:fill="auto" w:val="clear"/>
            <w:vAlign w:val="center"/>
          </w:tcPr>
          <w:p>
            <w:pPr>
              <w:pStyle w:val="TableContents"/>
              <w:spacing w:before="0" w:after="0"/>
              <w:ind w:left="0" w:right="0" w:firstLine="30"/>
              <w:rPr/>
            </w:pPr>
            <w:r>
              <w:rPr/>
              <w:t> </w:t>
            </w:r>
          </w:p>
        </w:tc>
        <w:tc>
          <w:tcPr>
            <w:tcW w:w="79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Total</w:t>
            </w:r>
          </w:p>
        </w:tc>
      </w:tr>
      <w:tr>
        <w:trPr/>
        <w:tc>
          <w:tcPr>
            <w:tcW w:w="34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Commodity derivatives</w:t>
            </w:r>
          </w:p>
        </w:tc>
        <w:tc>
          <w:tcPr>
            <w:tcW w:w="90" w:type="dxa"/>
            <w:tcBorders/>
            <w:shd w:fill="CCEEFF" w:val="clear"/>
            <w:vAlign w:val="center"/>
          </w:tcPr>
          <w:p>
            <w:pPr>
              <w:pStyle w:val="TableContents"/>
              <w:spacing w:before="0" w:after="0"/>
              <w:ind w:left="0" w:right="0" w:firstLine="30"/>
              <w:rPr/>
            </w:pPr>
            <w:r>
              <w:rPr/>
              <w:t> </w:t>
            </w:r>
          </w:p>
        </w:tc>
        <w:tc>
          <w:tcPr>
            <w:tcW w:w="15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03" w:type="dxa"/>
            <w:tcBorders/>
            <w:shd w:fill="CCEEFF" w:val="clear"/>
            <w:vAlign w:val="center"/>
          </w:tcPr>
          <w:p>
            <w:pPr>
              <w:pStyle w:val="TableContents"/>
              <w:spacing w:before="0" w:after="0"/>
              <w:jc w:val="right"/>
              <w:rPr>
                <w:rFonts w:ascii="inherit" w:hAnsi="inherit"/>
                <w:sz w:val="17"/>
              </w:rPr>
            </w:pPr>
            <w:r>
              <w:rPr>
                <w:rFonts w:ascii="inherit" w:hAnsi="inherit"/>
                <w:sz w:val="17"/>
              </w:rPr>
              <w:t>235</w:t>
            </w:r>
          </w:p>
        </w:tc>
        <w:tc>
          <w:tcPr>
            <w:tcW w:w="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291" w:type="dxa"/>
            <w:tcBorders/>
            <w:shd w:fill="CCEEFF" w:val="clear"/>
            <w:vAlign w:val="center"/>
          </w:tcPr>
          <w:p>
            <w:pPr>
              <w:pStyle w:val="TableContents"/>
              <w:spacing w:before="0" w:after="0"/>
              <w:jc w:val="right"/>
              <w:rPr>
                <w:rFonts w:ascii="inherit" w:hAnsi="inherit"/>
                <w:sz w:val="17"/>
              </w:rPr>
            </w:pPr>
            <w:r>
              <w:rPr>
                <w:rFonts w:ascii="inherit" w:hAnsi="inherit"/>
                <w:sz w:val="17"/>
              </w:rPr>
              <w:t>80</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325" w:type="dxa"/>
            <w:tcBorders/>
            <w:shd w:fill="CCEEFF" w:val="clear"/>
            <w:vAlign w:val="center"/>
          </w:tcPr>
          <w:p>
            <w:pPr>
              <w:pStyle w:val="TableContents"/>
              <w:spacing w:before="0" w:after="0"/>
              <w:jc w:val="right"/>
              <w:rPr>
                <w:rFonts w:ascii="inherit" w:hAnsi="inherit"/>
                <w:sz w:val="17"/>
              </w:rPr>
            </w:pPr>
            <w:r>
              <w:rPr>
                <w:rFonts w:ascii="inherit" w:hAnsi="inherit"/>
                <w:sz w:val="17"/>
              </w:rPr>
              <w:t>(6</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335" w:type="dxa"/>
            <w:tcBorders/>
            <w:shd w:fill="CCEEFF" w:val="clear"/>
            <w:vAlign w:val="center"/>
          </w:tcPr>
          <w:p>
            <w:pPr>
              <w:pStyle w:val="TableContents"/>
              <w:spacing w:before="0" w:after="0"/>
              <w:jc w:val="right"/>
              <w:rPr>
                <w:rFonts w:ascii="inherit" w:hAnsi="inherit"/>
                <w:sz w:val="17"/>
              </w:rPr>
            </w:pPr>
            <w:r>
              <w:rPr>
                <w:rFonts w:ascii="inherit" w:hAnsi="inherit"/>
                <w:sz w:val="17"/>
              </w:rPr>
              <w:t>309</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15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03" w:type="dxa"/>
            <w:tcBorders/>
            <w:shd w:fill="CCEEFF" w:val="clear"/>
            <w:vAlign w:val="center"/>
          </w:tcPr>
          <w:p>
            <w:pPr>
              <w:pStyle w:val="TableContents"/>
              <w:spacing w:before="0" w:after="0"/>
              <w:jc w:val="right"/>
              <w:rPr>
                <w:rFonts w:ascii="inherit" w:hAnsi="inherit"/>
                <w:sz w:val="17"/>
              </w:rPr>
            </w:pPr>
            <w:r>
              <w:rPr>
                <w:rFonts w:ascii="inherit" w:hAnsi="inherit"/>
                <w:sz w:val="17"/>
              </w:rPr>
              <w:t>171</w:t>
            </w:r>
          </w:p>
        </w:tc>
        <w:tc>
          <w:tcPr>
            <w:tcW w:w="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6" w:type="dxa"/>
            <w:tcBorders/>
            <w:shd w:fill="CCEEFF" w:val="clear"/>
            <w:vAlign w:val="center"/>
          </w:tcPr>
          <w:p>
            <w:pPr>
              <w:pStyle w:val="TableContents"/>
              <w:spacing w:before="0" w:after="0"/>
              <w:ind w:left="0" w:right="0" w:firstLine="30"/>
              <w:rPr/>
            </w:pPr>
            <w:r>
              <w:rPr/>
              <w:t> </w:t>
            </w:r>
          </w:p>
        </w:tc>
        <w:tc>
          <w:tcPr>
            <w:tcW w:w="15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291" w:type="dxa"/>
            <w:tcBorders/>
            <w:shd w:fill="CCEEFF" w:val="clear"/>
            <w:vAlign w:val="center"/>
          </w:tcPr>
          <w:p>
            <w:pPr>
              <w:pStyle w:val="TableContents"/>
              <w:spacing w:before="0" w:after="0"/>
              <w:jc w:val="right"/>
              <w:rPr>
                <w:rFonts w:ascii="inherit" w:hAnsi="inherit"/>
                <w:sz w:val="17"/>
              </w:rPr>
            </w:pPr>
            <w:r>
              <w:rPr>
                <w:rFonts w:ascii="inherit" w:hAnsi="inherit"/>
                <w:sz w:val="17"/>
              </w:rPr>
              <w:t>87</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6" w:type="dxa"/>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325" w:type="dxa"/>
            <w:tcBorders/>
            <w:shd w:fill="CCEEFF" w:val="clear"/>
            <w:vAlign w:val="center"/>
          </w:tcPr>
          <w:p>
            <w:pPr>
              <w:pStyle w:val="TableContents"/>
              <w:spacing w:before="0" w:after="0"/>
              <w:jc w:val="right"/>
              <w:rPr>
                <w:rFonts w:ascii="inherit" w:hAnsi="inherit"/>
                <w:sz w:val="17"/>
              </w:rPr>
            </w:pPr>
            <w:r>
              <w:rPr>
                <w:rFonts w:ascii="inherit" w:hAnsi="inherit"/>
                <w:sz w:val="17"/>
              </w:rPr>
              <w:t>12</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6" w:type="dxa"/>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360" w:type="dxa"/>
            <w:tcBorders/>
            <w:shd w:fill="CCEEFF" w:val="clear"/>
            <w:vAlign w:val="center"/>
          </w:tcPr>
          <w:p>
            <w:pPr>
              <w:pStyle w:val="TableContents"/>
              <w:spacing w:before="0" w:after="0"/>
              <w:jc w:val="right"/>
              <w:rPr>
                <w:rFonts w:ascii="inherit" w:hAnsi="inherit"/>
                <w:sz w:val="17"/>
              </w:rPr>
            </w:pPr>
            <w:r>
              <w:rPr>
                <w:rFonts w:ascii="inherit" w:hAnsi="inherit"/>
                <w:sz w:val="17"/>
              </w:rPr>
              <w:t>270</w:t>
            </w:r>
          </w:p>
        </w:tc>
        <w:tc>
          <w:tcPr>
            <w:tcW w:w="29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rate derivatives</w:t>
            </w:r>
          </w:p>
        </w:tc>
        <w:tc>
          <w:tcPr>
            <w:tcW w:w="90" w:type="dxa"/>
            <w:tcBorders/>
            <w:shd w:fill="auto" w:val="clear"/>
            <w:vAlign w:val="center"/>
          </w:tcPr>
          <w:p>
            <w:pPr>
              <w:pStyle w:val="TableContents"/>
              <w:spacing w:before="0" w:after="0"/>
              <w:ind w:left="0" w:right="0" w:firstLine="30"/>
              <w:rPr/>
            </w:pPr>
            <w:r>
              <w:rPr/>
              <w:t> </w:t>
            </w:r>
          </w:p>
        </w:tc>
        <w:tc>
          <w:tcPr>
            <w:tcW w:w="553" w:type="dxa"/>
            <w:gridSpan w:val="2"/>
            <w:tcBorders/>
            <w:shd w:fill="auto" w:val="clear"/>
            <w:vAlign w:val="center"/>
          </w:tcPr>
          <w:p>
            <w:pPr>
              <w:pStyle w:val="TableContents"/>
              <w:spacing w:before="0" w:after="0"/>
              <w:jc w:val="right"/>
              <w:rPr/>
            </w:pPr>
            <w:r>
              <w:rPr/>
              <w:t>—</w:t>
            </w:r>
          </w:p>
        </w:tc>
        <w:tc>
          <w:tcPr>
            <w:tcW w:w="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4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(43</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465" w:type="dxa"/>
            <w:gridSpan w:val="2"/>
            <w:tcBorders/>
            <w:shd w:fill="auto" w:val="clear"/>
            <w:vAlign w:val="center"/>
          </w:tcPr>
          <w:p>
            <w:pPr>
              <w:pStyle w:val="TableContents"/>
              <w:spacing w:before="0" w:after="0"/>
              <w:jc w:val="right"/>
              <w:rPr/>
            </w:pPr>
            <w:r>
              <w:rPr/>
              <w:t>—</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6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(43</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553" w:type="dxa"/>
            <w:gridSpan w:val="2"/>
            <w:tcBorders/>
            <w:shd w:fill="auto" w:val="clear"/>
            <w:vAlign w:val="center"/>
          </w:tcPr>
          <w:p>
            <w:pPr>
              <w:pStyle w:val="TableContents"/>
              <w:spacing w:before="0" w:after="0"/>
              <w:jc w:val="right"/>
              <w:rPr/>
            </w:pPr>
            <w:r>
              <w:rPr/>
              <w:t>—</w:t>
            </w:r>
          </w:p>
        </w:tc>
        <w:tc>
          <w:tcPr>
            <w:tcW w:w="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6" w:type="dxa"/>
            <w:tcBorders/>
            <w:shd w:fill="auto" w:val="clear"/>
            <w:vAlign w:val="center"/>
          </w:tcPr>
          <w:p>
            <w:pPr>
              <w:pStyle w:val="TableContents"/>
              <w:spacing w:before="0" w:after="0"/>
              <w:ind w:left="0" w:right="0" w:firstLine="30"/>
              <w:rPr/>
            </w:pPr>
            <w:r>
              <w:rPr/>
              <w:t> </w:t>
            </w:r>
          </w:p>
        </w:tc>
        <w:tc>
          <w:tcPr>
            <w:tcW w:w="44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6" w:type="dxa"/>
            <w:tcBorders/>
            <w:shd w:fill="auto" w:val="clear"/>
            <w:vAlign w:val="center"/>
          </w:tcPr>
          <w:p>
            <w:pPr>
              <w:pStyle w:val="TableContents"/>
              <w:spacing w:before="0" w:after="0"/>
              <w:ind w:left="0" w:right="0" w:firstLine="30"/>
              <w:rPr/>
            </w:pPr>
            <w:r>
              <w:rPr/>
              <w:t> </w:t>
            </w:r>
          </w:p>
        </w:tc>
        <w:tc>
          <w:tcPr>
            <w:tcW w:w="465" w:type="dxa"/>
            <w:gridSpan w:val="2"/>
            <w:tcBorders/>
            <w:shd w:fill="auto" w:val="clear"/>
            <w:vAlign w:val="center"/>
          </w:tcPr>
          <w:p>
            <w:pPr>
              <w:pStyle w:val="TableContents"/>
              <w:spacing w:before="0" w:after="0"/>
              <w:jc w:val="right"/>
              <w:rPr/>
            </w:pPr>
            <w:r>
              <w:rPr/>
              <w:t>—</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6" w:type="dxa"/>
            <w:tcBorders/>
            <w:shd w:fill="auto" w:val="clear"/>
            <w:vAlign w:val="center"/>
          </w:tcPr>
          <w:p>
            <w:pPr>
              <w:pStyle w:val="TableContents"/>
              <w:spacing w:before="0" w:after="0"/>
              <w:ind w:left="0" w:right="0" w:firstLine="30"/>
              <w:rPr/>
            </w:pPr>
            <w:r>
              <w:rPr/>
              <w:t> </w:t>
            </w:r>
          </w:p>
        </w:tc>
        <w:tc>
          <w:tcPr>
            <w:tcW w:w="49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w:t>
            </w:r>
          </w:p>
        </w:tc>
        <w:tc>
          <w:tcPr>
            <w:tcW w:w="2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4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Foreign currency derivatives</w:t>
            </w:r>
          </w:p>
        </w:tc>
        <w:tc>
          <w:tcPr>
            <w:tcW w:w="90" w:type="dxa"/>
            <w:tcBorders/>
            <w:shd w:fill="CCEEFF" w:val="clear"/>
            <w:vAlign w:val="center"/>
          </w:tcPr>
          <w:p>
            <w:pPr>
              <w:pStyle w:val="TableContents"/>
              <w:spacing w:before="0" w:after="0"/>
              <w:ind w:left="0" w:right="0" w:firstLine="30"/>
              <w:rPr/>
            </w:pPr>
            <w:r>
              <w:rPr/>
              <w:t> </w:t>
            </w:r>
          </w:p>
        </w:tc>
        <w:tc>
          <w:tcPr>
            <w:tcW w:w="553" w:type="dxa"/>
            <w:gridSpan w:val="2"/>
            <w:tcBorders/>
            <w:shd w:fill="CCEEFF" w:val="clear"/>
            <w:vAlign w:val="center"/>
          </w:tcPr>
          <w:p>
            <w:pPr>
              <w:pStyle w:val="TableContents"/>
              <w:spacing w:before="0" w:after="0"/>
              <w:jc w:val="right"/>
              <w:rPr/>
            </w:pPr>
            <w:r>
              <w:rPr/>
              <w:t>—</w:t>
            </w:r>
          </w:p>
        </w:tc>
        <w:tc>
          <w:tcPr>
            <w:tcW w:w="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44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465" w:type="dxa"/>
            <w:gridSpan w:val="2"/>
            <w:tcBorders/>
            <w:shd w:fill="CCEEFF" w:val="clear"/>
            <w:vAlign w:val="center"/>
          </w:tcPr>
          <w:p>
            <w:pPr>
              <w:pStyle w:val="TableContents"/>
              <w:spacing w:before="0" w:after="0"/>
              <w:jc w:val="right"/>
              <w:rPr/>
            </w:pPr>
            <w:r>
              <w:rPr/>
              <w:t>—</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46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553" w:type="dxa"/>
            <w:gridSpan w:val="2"/>
            <w:tcBorders/>
            <w:shd w:fill="CCEEFF" w:val="clear"/>
            <w:vAlign w:val="center"/>
          </w:tcPr>
          <w:p>
            <w:pPr>
              <w:pStyle w:val="TableContents"/>
              <w:spacing w:before="0" w:after="0"/>
              <w:jc w:val="right"/>
              <w:rPr/>
            </w:pPr>
            <w:r>
              <w:rPr/>
              <w:t>—</w:t>
            </w:r>
          </w:p>
        </w:tc>
        <w:tc>
          <w:tcPr>
            <w:tcW w:w="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6" w:type="dxa"/>
            <w:tcBorders/>
            <w:shd w:fill="CCEEFF" w:val="clear"/>
            <w:vAlign w:val="center"/>
          </w:tcPr>
          <w:p>
            <w:pPr>
              <w:pStyle w:val="TableContents"/>
              <w:spacing w:before="0" w:after="0"/>
              <w:ind w:left="0" w:right="0" w:firstLine="30"/>
              <w:rPr/>
            </w:pPr>
            <w:r>
              <w:rPr/>
              <w:t> </w:t>
            </w:r>
          </w:p>
        </w:tc>
        <w:tc>
          <w:tcPr>
            <w:tcW w:w="44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6" w:type="dxa"/>
            <w:tcBorders/>
            <w:shd w:fill="CCEEFF" w:val="clear"/>
            <w:vAlign w:val="center"/>
          </w:tcPr>
          <w:p>
            <w:pPr>
              <w:pStyle w:val="TableContents"/>
              <w:spacing w:before="0" w:after="0"/>
              <w:ind w:left="0" w:right="0" w:firstLine="30"/>
              <w:rPr/>
            </w:pPr>
            <w:r>
              <w:rPr/>
              <w:t> </w:t>
            </w:r>
          </w:p>
        </w:tc>
        <w:tc>
          <w:tcPr>
            <w:tcW w:w="465" w:type="dxa"/>
            <w:gridSpan w:val="2"/>
            <w:tcBorders/>
            <w:shd w:fill="CCEEFF" w:val="clear"/>
            <w:vAlign w:val="center"/>
          </w:tcPr>
          <w:p>
            <w:pPr>
              <w:pStyle w:val="TableContents"/>
              <w:spacing w:before="0" w:after="0"/>
              <w:jc w:val="right"/>
              <w:rPr/>
            </w:pPr>
            <w:r>
              <w:rPr/>
              <w:t>—</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6" w:type="dxa"/>
            <w:tcBorders/>
            <w:shd w:fill="CCEEFF" w:val="clear"/>
            <w:vAlign w:val="center"/>
          </w:tcPr>
          <w:p>
            <w:pPr>
              <w:pStyle w:val="TableContents"/>
              <w:spacing w:before="0" w:after="0"/>
              <w:ind w:left="0" w:right="0" w:firstLine="30"/>
              <w:rPr/>
            </w:pPr>
            <w:r>
              <w:rPr/>
              <w:t> </w:t>
            </w:r>
          </w:p>
        </w:tc>
        <w:tc>
          <w:tcPr>
            <w:tcW w:w="49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w:t>
            </w:r>
          </w:p>
        </w:tc>
        <w:tc>
          <w:tcPr>
            <w:tcW w:w="29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4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Preferred Distribution Rate Reset Option</w:t>
            </w:r>
          </w:p>
        </w:tc>
        <w:tc>
          <w:tcPr>
            <w:tcW w:w="90" w:type="dxa"/>
            <w:tcBorders/>
            <w:shd w:fill="auto" w:val="clear"/>
            <w:vAlign w:val="center"/>
          </w:tcPr>
          <w:p>
            <w:pPr>
              <w:pStyle w:val="TableContents"/>
              <w:spacing w:before="0" w:after="0"/>
              <w:ind w:left="0" w:right="0" w:firstLine="30"/>
              <w:rPr/>
            </w:pPr>
            <w:r>
              <w:rPr/>
              <w:t> </w:t>
            </w:r>
          </w:p>
        </w:tc>
        <w:tc>
          <w:tcPr>
            <w:tcW w:w="553"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3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49"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6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(20</w:t>
            </w:r>
          </w:p>
        </w:tc>
        <w:tc>
          <w:tcPr>
            <w:tcW w:w="12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46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(20</w:t>
            </w:r>
          </w:p>
        </w:tc>
        <w:tc>
          <w:tcPr>
            <w:tcW w:w="11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553"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3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6" w:type="dxa"/>
            <w:tcBorders/>
            <w:shd w:fill="auto" w:val="clear"/>
            <w:vAlign w:val="center"/>
          </w:tcPr>
          <w:p>
            <w:pPr>
              <w:pStyle w:val="TableContents"/>
              <w:spacing w:before="0" w:after="0"/>
              <w:ind w:left="0" w:right="0" w:firstLine="30"/>
              <w:rPr/>
            </w:pPr>
            <w:r>
              <w:rPr/>
              <w:t> </w:t>
            </w:r>
          </w:p>
        </w:tc>
        <w:tc>
          <w:tcPr>
            <w:tcW w:w="449"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6" w:type="dxa"/>
            <w:tcBorders/>
            <w:shd w:fill="auto" w:val="clear"/>
            <w:vAlign w:val="center"/>
          </w:tcPr>
          <w:p>
            <w:pPr>
              <w:pStyle w:val="TableContents"/>
              <w:spacing w:before="0" w:after="0"/>
              <w:ind w:left="0" w:right="0" w:firstLine="30"/>
              <w:rPr/>
            </w:pPr>
            <w:r>
              <w:rPr/>
              <w:t> </w:t>
            </w:r>
          </w:p>
        </w:tc>
        <w:tc>
          <w:tcPr>
            <w:tcW w:w="46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(36</w:t>
            </w:r>
          </w:p>
        </w:tc>
        <w:tc>
          <w:tcPr>
            <w:tcW w:w="12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6" w:type="dxa"/>
            <w:tcBorders/>
            <w:shd w:fill="auto" w:val="clear"/>
            <w:vAlign w:val="center"/>
          </w:tcPr>
          <w:p>
            <w:pPr>
              <w:pStyle w:val="TableContents"/>
              <w:spacing w:before="0" w:after="0"/>
              <w:ind w:left="0" w:right="0" w:firstLine="30"/>
              <w:rPr/>
            </w:pPr>
            <w:r>
              <w:rPr/>
              <w:t> </w:t>
            </w:r>
          </w:p>
        </w:tc>
        <w:tc>
          <w:tcPr>
            <w:tcW w:w="49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(36</w:t>
            </w:r>
          </w:p>
        </w:tc>
        <w:tc>
          <w:tcPr>
            <w:tcW w:w="296" w:type="dxa"/>
            <w:tcBorders>
              <w:bottom w:val="single" w:sz="2" w:space="0" w:color="000000"/>
            </w:tcBorders>
            <w:shd w:fill="auto" w:val="clear"/>
            <w:tcMar>
              <w:bottom w:w="30" w:type="dxa"/>
            </w:tcM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34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net derivative asset/(liability)</w:t>
            </w:r>
          </w:p>
        </w:tc>
        <w:tc>
          <w:tcPr>
            <w:tcW w:w="90" w:type="dxa"/>
            <w:tcBorders/>
            <w:shd w:fill="CCEEFF" w:val="clear"/>
            <w:vAlign w:val="center"/>
          </w:tcPr>
          <w:p>
            <w:pPr>
              <w:pStyle w:val="TableContents"/>
              <w:spacing w:before="0" w:after="0"/>
              <w:ind w:left="0" w:right="0" w:firstLine="30"/>
              <w:rPr/>
            </w:pPr>
            <w:r>
              <w:rPr/>
              <w:t> </w:t>
            </w:r>
          </w:p>
        </w:tc>
        <w:tc>
          <w:tcPr>
            <w:tcW w:w="15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0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235</w:t>
            </w:r>
          </w:p>
        </w:tc>
        <w:tc>
          <w:tcPr>
            <w:tcW w:w="37"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29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40</w:t>
            </w:r>
          </w:p>
        </w:tc>
        <w:tc>
          <w:tcPr>
            <w:tcW w:w="141"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4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2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(26</w:t>
            </w:r>
          </w:p>
        </w:tc>
        <w:tc>
          <w:tcPr>
            <w:tcW w:w="125"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3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249</w:t>
            </w:r>
          </w:p>
        </w:tc>
        <w:tc>
          <w:tcPr>
            <w:tcW w:w="11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15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0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171</w:t>
            </w:r>
          </w:p>
        </w:tc>
        <w:tc>
          <w:tcPr>
            <w:tcW w:w="37"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6" w:type="dxa"/>
            <w:tcBorders/>
            <w:shd w:fill="CCEEFF" w:val="clear"/>
            <w:vAlign w:val="center"/>
          </w:tcPr>
          <w:p>
            <w:pPr>
              <w:pStyle w:val="TableContents"/>
              <w:spacing w:before="0" w:after="0"/>
              <w:ind w:left="0" w:right="0" w:firstLine="30"/>
              <w:rPr/>
            </w:pPr>
            <w:r>
              <w:rPr/>
              <w:t> </w:t>
            </w:r>
          </w:p>
        </w:tc>
        <w:tc>
          <w:tcPr>
            <w:tcW w:w="15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29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71</w:t>
            </w:r>
          </w:p>
        </w:tc>
        <w:tc>
          <w:tcPr>
            <w:tcW w:w="141"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6" w:type="dxa"/>
            <w:tcBorders/>
            <w:shd w:fill="CCEEFF" w:val="clear"/>
            <w:vAlign w:val="center"/>
          </w:tcPr>
          <w:p>
            <w:pPr>
              <w:pStyle w:val="TableContents"/>
              <w:spacing w:before="0" w:after="0"/>
              <w:ind w:left="0" w:right="0" w:firstLine="30"/>
              <w:rPr/>
            </w:pPr>
            <w:r>
              <w:rPr/>
              <w:t> </w:t>
            </w:r>
          </w:p>
        </w:tc>
        <w:tc>
          <w:tcPr>
            <w:tcW w:w="14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2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(24</w:t>
            </w:r>
          </w:p>
        </w:tc>
        <w:tc>
          <w:tcPr>
            <w:tcW w:w="125"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6" w:type="dxa"/>
            <w:tcBorders/>
            <w:shd w:fill="CCEEFF" w:val="clear"/>
            <w:vAlign w:val="center"/>
          </w:tcPr>
          <w:p>
            <w:pPr>
              <w:pStyle w:val="TableContents"/>
              <w:spacing w:before="0" w:after="0"/>
              <w:ind w:left="0" w:right="0" w:firstLine="30"/>
              <w:rPr/>
            </w:pPr>
            <w:r>
              <w:rPr/>
              <w:t> </w:t>
            </w:r>
          </w:p>
        </w:tc>
        <w:tc>
          <w:tcPr>
            <w:tcW w:w="134"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6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218</w:t>
            </w:r>
          </w:p>
        </w:tc>
        <w:tc>
          <w:tcPr>
            <w:tcW w:w="296"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sz w:val="4"/>
                <w:szCs w:val="4"/>
              </w:rPr>
            </w:pPr>
            <w:r>
              <w:rPr>
                <w:sz w:val="4"/>
                <w:szCs w:val="4"/>
              </w:rPr>
            </w:r>
          </w:p>
        </w:tc>
      </w:tr>
      <w:tr>
        <w:trPr/>
        <w:tc>
          <w:tcPr>
            <w:tcW w:w="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 w:type="dxa"/>
            <w:tcBorders>
              <w:bottom w:val="single" w:sz="2" w:space="0" w:color="000000"/>
            </w:tcBorders>
            <w:shd w:fill="auto" w:val="clear"/>
            <w:tcMar>
              <w:bottom w:w="30" w:type="dxa"/>
            </w:tcMar>
            <w:vAlign w:val="center"/>
          </w:tcPr>
          <w:p>
            <w:pPr>
              <w:pStyle w:val="TableContents"/>
              <w:spacing w:before="0" w:after="0"/>
              <w:rPr/>
            </w:pPr>
            <w:r>
              <w:rPr/>
              <w:t> </w:t>
            </w:r>
          </w:p>
        </w:tc>
      </w:tr>
    </w:tbl>
    <w:tbl>
      <w:tblPr>
        <w:tblW w:w="9925" w:type="dxa"/>
        <w:jc w:val="left"/>
        <w:tblInd w:w="0" w:type="dxa"/>
        <w:tblCellMar>
          <w:top w:w="0" w:type="dxa"/>
          <w:left w:w="0" w:type="dxa"/>
          <w:bottom w:w="0" w:type="dxa"/>
          <w:right w:w="0" w:type="dxa"/>
        </w:tblCellMar>
      </w:tblPr>
      <w:tblGrid>
        <w:gridCol w:w="245"/>
        <w:gridCol w:w="9680"/>
      </w:tblGrid>
      <w:tr>
        <w:trPr/>
        <w:tc>
          <w:tcPr>
            <w:tcW w:w="245" w:type="dxa"/>
            <w:tcBorders/>
            <w:shd w:fill="auto" w:val="clear"/>
            <w:vAlign w:val="center"/>
          </w:tcPr>
          <w:p>
            <w:pPr>
              <w:pStyle w:val="TableContents"/>
              <w:spacing w:before="0" w:after="283"/>
              <w:rPr>
                <w:sz w:val="4"/>
                <w:szCs w:val="4"/>
              </w:rPr>
            </w:pPr>
            <w:r>
              <w:rPr>
                <w:sz w:val="4"/>
                <w:szCs w:val="4"/>
              </w:rPr>
            </w:r>
          </w:p>
        </w:tc>
        <w:tc>
          <w:tcPr>
            <w:tcW w:w="9680"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(1)</w:t>
            </w:r>
            <w:r>
              <w:rPr>
                <w:rFonts w:ascii="inherit" w:hAnsi="inherit"/>
                <w:sz w:val="17"/>
              </w:rPr>
              <w:t> </w:t>
            </w:r>
          </w:p>
        </w:tc>
        <w:tc>
          <w:tcPr>
            <w:tcW w:w="9680" w:type="dxa"/>
            <w:tcBorders/>
            <w:shd w:fill="auto" w:val="clear"/>
            <w:vAlign w:val="center"/>
          </w:tcPr>
          <w:p>
            <w:pPr>
              <w:pStyle w:val="TableContents"/>
              <w:spacing w:lineRule="auto" w:line="288" w:before="0" w:after="0"/>
              <w:rPr>
                <w:rFonts w:ascii="inherit" w:hAnsi="inherit"/>
                <w:sz w:val="17"/>
              </w:rPr>
            </w:pPr>
            <w:r>
              <w:rPr>
                <w:rFonts w:ascii="inherit" w:hAnsi="inherit"/>
                <w:sz w:val="17"/>
              </w:rPr>
              <w:t>Derivative assets and liabilities are presented above on a net basis but do not include related cash margin deposits.</w:t>
            </w:r>
          </w:p>
        </w:tc>
      </w:tr>
    </w:tbl>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lineRule="auto" w:line="288" w:before="0" w:after="0"/>
        <w:ind w:left="0" w:right="0" w:firstLine="720"/>
        <w:rPr>
          <w:rFonts w:ascii="inherit" w:hAnsi="inherit"/>
          <w:b/>
          <w:i/>
          <w:sz w:val="17"/>
        </w:rPr>
      </w:pPr>
      <w:r>
        <w:rPr>
          <w:rFonts w:ascii="inherit" w:hAnsi="inherit"/>
          <w:b/>
          <w:i/>
          <w:sz w:val="17"/>
        </w:rPr>
        <w:t>Level 1</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Level 1 of the fair value hierarchy includes exchange-traded commodity derivatives and over-the-counter commodity contracts such as futures and swaps. The fair value of exchange-traded commodity derivatives and over-the-counter commodity contracts is based on unadjusted quoted prices in active markets.</w:t>
      </w:r>
    </w:p>
    <w:p>
      <w:pPr>
        <w:pStyle w:val="TextBody"/>
        <w:spacing w:lineRule="auto" w:line="288" w:before="0" w:after="0"/>
        <w:rPr/>
      </w:pPr>
      <w:r>
        <w:rPr/>
        <w:t> </w:t>
      </w:r>
    </w:p>
    <w:p>
      <w:pPr>
        <w:pStyle w:val="TextBody"/>
        <w:spacing w:lineRule="auto" w:line="288" w:before="0" w:after="0"/>
        <w:ind w:left="0" w:right="0" w:firstLine="735"/>
        <w:rPr>
          <w:rFonts w:ascii="inherit" w:hAnsi="inherit"/>
          <w:b/>
          <w:i/>
          <w:sz w:val="17"/>
        </w:rPr>
      </w:pPr>
      <w:r>
        <w:rPr>
          <w:rFonts w:ascii="inherit" w:hAnsi="inherit"/>
          <w:b/>
          <w:i/>
          <w:sz w:val="17"/>
        </w:rPr>
        <w:t>Level 2</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Level 2 of the fair value hierarchy includes exchange-cleared commodity derivatives and over-the-counter commodity, interest rate and foreign currency derivatives that are traded in observable markets with less volume and transaction frequency than active markets. In addition, it includes certain physical commodity contracts. The fair values of these derivatives are corroborated with market observable inputs.</w:t>
      </w:r>
    </w:p>
    <w:p>
      <w:pPr>
        <w:pStyle w:val="TextBody"/>
        <w:spacing w:lineRule="auto" w:line="288" w:before="0" w:after="0"/>
        <w:rPr/>
      </w:pPr>
      <w:r>
        <w:rPr/>
        <w:t> </w:t>
      </w:r>
    </w:p>
    <w:p>
      <w:pPr>
        <w:pStyle w:val="TextBody"/>
        <w:spacing w:lineRule="auto" w:line="288" w:before="0" w:after="0"/>
        <w:ind w:left="0" w:right="0" w:firstLine="720"/>
        <w:rPr>
          <w:rFonts w:ascii="inherit" w:hAnsi="inherit"/>
          <w:b/>
          <w:i/>
          <w:sz w:val="17"/>
        </w:rPr>
      </w:pPr>
      <w:r>
        <w:rPr>
          <w:rFonts w:ascii="inherit" w:hAnsi="inherit"/>
          <w:b/>
          <w:i/>
          <w:sz w:val="17"/>
        </w:rPr>
        <w:t>Level 3</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Level 3 of the fair value hierarchy includes certain physical commodity contracts, over-the-counter options and the Preferred Distribution Rate Reset Option contained in our partnership agreement which is classified as an embedded derivative.</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The fair values of our Level 3 physical commodity contracts and over-the-counter options are based on valuation models utilizing significant timing estimates, which involve management judgment, and pricing inputs from observable and unobservable markets with less volume and transaction frequency than active markets. Significant deviations from these estimates and inputs could result in a material change in fair value. We report unrealized gains and losses associated with these physical commodity contracts in our Condensed Consolidated Statements of Operations as Supply and Logistics segment revenues.</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The fair value of the embedded derivative feature contained in our partnership agreement is based on a valuation model that estimates the fair value of the Series A preferred units with and without the Preferred Distribution Rate Reset Option. This model contains inputs, including our common unit price, ten-year U.S. Treasury rates, default probabilities and timing estimates, some of which involve management judgment. A significant change in these inputs could result in a material change in fair value to this embedded derivative feature. We report unrealized gains and losses associated with this embedded derivative in our Condensed Consolidated Statements of Operations in “Other income/(expense), net.”</w:t>
      </w:r>
    </w:p>
    <w:p>
      <w:pPr>
        <w:pStyle w:val="TextBody"/>
        <w:spacing w:lineRule="auto" w:line="288" w:before="0" w:after="0"/>
        <w:rPr/>
      </w:pPr>
      <w:r>
        <w:rPr/>
        <w:t>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29</w:t>
      </w:r>
      <w:r>
        <w:br w:type="page"/>
      </w:r>
    </w:p>
    <w:p>
      <w:pPr>
        <w:pStyle w:val="TextBody"/>
        <w:spacing w:lineRule="auto" w:line="288" w:before="0" w:after="0"/>
        <w:rPr/>
      </w:pPr>
      <w:hyperlink w:anchor="s3336AD8A685850CC9B7F2572CB2C0BC3">
        <w:r>
          <w:rPr>
            <w:rStyle w:val="InternetLink"/>
            <w:rFonts w:ascii="inherit" w:hAnsi="inherit"/>
            <w:sz w:val="17"/>
          </w:rPr>
          <w:t>Table of Contents</w:t>
        </w:r>
      </w:hyperlink>
      <w:r>
        <w:rPr>
          <w:sz w:val="17"/>
        </w:rPr>
        <w:t xml:space="preserve"> </w:t>
      </w:r>
    </w:p>
    <w:p>
      <w:pPr>
        <w:pStyle w:val="TextBody"/>
        <w:spacing w:lineRule="auto" w:line="288" w:before="0" w:after="0"/>
        <w:jc w:val="center"/>
        <w:rPr>
          <w:rFonts w:ascii="inherit" w:hAnsi="inherit"/>
          <w:b/>
          <w:sz w:val="17"/>
        </w:rPr>
      </w:pPr>
      <w:r>
        <w:rPr>
          <w:rFonts w:ascii="inherit" w:hAnsi="inherit"/>
          <w:b/>
          <w:sz w:val="17"/>
        </w:rPr>
        <w:t>PLAINS ALL AMERICAN PIPELINE, L.P. AND SUBSIDIARIES</w:t>
      </w:r>
    </w:p>
    <w:p>
      <w:pPr>
        <w:pStyle w:val="TextBody"/>
        <w:spacing w:lineRule="auto" w:line="288" w:before="0" w:after="0"/>
        <w:jc w:val="center"/>
        <w:rPr>
          <w:rFonts w:ascii="inherit" w:hAnsi="inherit"/>
          <w:b/>
          <w:sz w:val="17"/>
        </w:rPr>
      </w:pPr>
      <w:r>
        <w:rPr>
          <w:rFonts w:ascii="inherit" w:hAnsi="inherit"/>
          <w:b/>
          <w:sz w:val="17"/>
        </w:rPr>
        <w:t>NOTES TO THE UNAUDITED CONDENSED CONSOLIDATED FINANCIAL STATEMENTS</w:t>
      </w:r>
    </w:p>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720"/>
        <w:rPr>
          <w:rFonts w:ascii="inherit" w:hAnsi="inherit"/>
          <w:sz w:val="17"/>
        </w:rPr>
      </w:pPr>
      <w:r>
        <w:rPr>
          <w:rFonts w:ascii="inherit" w:hAnsi="inherit"/>
          <w:sz w:val="17"/>
        </w:rPr>
        <w:t>To the extent any transfers between levels of the fair value hierarchy occur, our policy is to reflect these transfers as of the beginning of the reporting period in which they occur.</w:t>
      </w:r>
    </w:p>
    <w:p>
      <w:pPr>
        <w:pStyle w:val="TextBody"/>
        <w:spacing w:lineRule="auto" w:line="288" w:before="0" w:after="0"/>
        <w:rPr/>
      </w:pPr>
      <w:r>
        <w:rPr/>
        <w:t> </w:t>
      </w:r>
    </w:p>
    <w:p>
      <w:pPr>
        <w:pStyle w:val="TextBody"/>
        <w:spacing w:lineRule="auto" w:line="288" w:before="0" w:after="0"/>
        <w:rPr>
          <w:rFonts w:ascii="inherit" w:hAnsi="inherit"/>
          <w:b/>
          <w:i/>
          <w:sz w:val="17"/>
        </w:rPr>
      </w:pPr>
      <w:r>
        <w:rPr>
          <w:rFonts w:ascii="inherit" w:hAnsi="inherit"/>
          <w:b/>
          <w:i/>
          <w:sz w:val="17"/>
        </w:rPr>
        <w:t>Rollforward of Level 3 Net Asset/(Liability)</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The following table provides a reconciliation of changes in fair value of the beginning and ending balances for our derivatives classified as Level 3 (in millions):</w:t>
      </w:r>
    </w:p>
    <w:tbl>
      <w:tblPr>
        <w:tblW w:w="10205" w:type="dxa"/>
        <w:jc w:val="left"/>
        <w:tblInd w:w="0" w:type="dxa"/>
        <w:tblCellMar>
          <w:top w:w="0" w:type="dxa"/>
          <w:left w:w="0" w:type="dxa"/>
          <w:bottom w:w="0" w:type="dxa"/>
          <w:right w:w="0" w:type="dxa"/>
        </w:tblCellMar>
      </w:tblPr>
      <w:tblGrid>
        <w:gridCol w:w="7342"/>
        <w:gridCol w:w="155"/>
        <w:gridCol w:w="362"/>
        <w:gridCol w:w="137"/>
        <w:gridCol w:w="112"/>
        <w:gridCol w:w="155"/>
        <w:gridCol w:w="362"/>
        <w:gridCol w:w="137"/>
        <w:gridCol w:w="90"/>
        <w:gridCol w:w="129"/>
        <w:gridCol w:w="299"/>
        <w:gridCol w:w="113"/>
        <w:gridCol w:w="92"/>
        <w:gridCol w:w="129"/>
        <w:gridCol w:w="299"/>
        <w:gridCol w:w="292"/>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734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7342" w:type="dxa"/>
            <w:tcBorders/>
            <w:shd w:fill="auto" w:val="clear"/>
            <w:vAlign w:val="center"/>
          </w:tcPr>
          <w:p>
            <w:pPr>
              <w:pStyle w:val="TableContents"/>
              <w:spacing w:before="0" w:after="0"/>
              <w:ind w:left="0" w:right="0" w:firstLine="30"/>
              <w:rPr/>
            </w:pPr>
            <w:r>
              <w:rPr/>
              <w:t> </w:t>
            </w:r>
          </w:p>
        </w:tc>
        <w:tc>
          <w:tcPr>
            <w:tcW w:w="1420"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w:t>
              <w:br/>
              <w:t>June 30,</w:t>
            </w:r>
          </w:p>
        </w:tc>
        <w:tc>
          <w:tcPr>
            <w:tcW w:w="90" w:type="dxa"/>
            <w:tcBorders/>
            <w:shd w:fill="auto" w:val="clear"/>
            <w:vAlign w:val="center"/>
          </w:tcPr>
          <w:p>
            <w:pPr>
              <w:pStyle w:val="TableContents"/>
              <w:spacing w:before="0" w:after="0"/>
              <w:ind w:left="0" w:right="0" w:firstLine="30"/>
              <w:rPr/>
            </w:pPr>
            <w:r>
              <w:rPr/>
              <w:t> </w:t>
            </w:r>
          </w:p>
        </w:tc>
        <w:tc>
          <w:tcPr>
            <w:tcW w:w="1353"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w:t>
              <w:br/>
              <w:t>June 30,</w:t>
            </w:r>
          </w:p>
        </w:tc>
      </w:tr>
      <w:tr>
        <w:trPr/>
        <w:tc>
          <w:tcPr>
            <w:tcW w:w="7342" w:type="dxa"/>
            <w:tcBorders/>
            <w:shd w:fill="auto" w:val="clear"/>
            <w:vAlign w:val="center"/>
          </w:tcPr>
          <w:p>
            <w:pPr>
              <w:pStyle w:val="TableContents"/>
              <w:spacing w:before="0" w:after="0"/>
              <w:ind w:left="0" w:right="0" w:firstLine="30"/>
              <w:jc w:val="left"/>
              <w:rPr/>
            </w:pPr>
            <w:r>
              <w:rPr/>
              <w:t> </w:t>
            </w:r>
          </w:p>
        </w:tc>
        <w:tc>
          <w:tcPr>
            <w:tcW w:w="65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112" w:type="dxa"/>
            <w:tcBorders/>
            <w:shd w:fill="auto" w:val="clear"/>
            <w:vAlign w:val="center"/>
          </w:tcPr>
          <w:p>
            <w:pPr>
              <w:pStyle w:val="TableContents"/>
              <w:spacing w:before="0" w:after="0"/>
              <w:ind w:left="0" w:right="0" w:firstLine="30"/>
              <w:rPr/>
            </w:pPr>
            <w:r>
              <w:rPr/>
              <w:t> </w:t>
            </w:r>
          </w:p>
        </w:tc>
        <w:tc>
          <w:tcPr>
            <w:tcW w:w="65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0" w:type="dxa"/>
            <w:tcBorders/>
            <w:shd w:fill="auto" w:val="clear"/>
            <w:vAlign w:val="center"/>
          </w:tcPr>
          <w:p>
            <w:pPr>
              <w:pStyle w:val="TableContents"/>
              <w:spacing w:before="0" w:after="0"/>
              <w:ind w:left="0" w:right="0" w:firstLine="30"/>
              <w:rPr/>
            </w:pPr>
            <w:r>
              <w:rPr/>
              <w:t> </w:t>
            </w:r>
          </w:p>
        </w:tc>
        <w:tc>
          <w:tcPr>
            <w:tcW w:w="54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92" w:type="dxa"/>
            <w:tcBorders/>
            <w:shd w:fill="auto" w:val="clear"/>
            <w:vAlign w:val="center"/>
          </w:tcPr>
          <w:p>
            <w:pPr>
              <w:pStyle w:val="TableContents"/>
              <w:spacing w:before="0" w:after="0"/>
              <w:ind w:left="0" w:right="0" w:firstLine="30"/>
              <w:rPr/>
            </w:pPr>
            <w:r>
              <w:rPr/>
              <w:t> </w:t>
            </w:r>
          </w:p>
        </w:tc>
        <w:tc>
          <w:tcPr>
            <w:tcW w:w="72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r>
      <w:tr>
        <w:trPr/>
        <w:tc>
          <w:tcPr>
            <w:tcW w:w="73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Beginning Balance</w:t>
            </w:r>
          </w:p>
        </w:tc>
        <w:tc>
          <w:tcPr>
            <w:tcW w:w="15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362" w:type="dxa"/>
            <w:tcBorders/>
            <w:shd w:fill="CCEEFF" w:val="clear"/>
            <w:vAlign w:val="center"/>
          </w:tcPr>
          <w:p>
            <w:pPr>
              <w:pStyle w:val="TableContents"/>
              <w:spacing w:before="0" w:after="0"/>
              <w:jc w:val="right"/>
              <w:rPr>
                <w:rFonts w:ascii="inherit" w:hAnsi="inherit"/>
                <w:sz w:val="17"/>
              </w:rPr>
            </w:pPr>
            <w:r>
              <w:rPr>
                <w:rFonts w:ascii="inherit" w:hAnsi="inherit"/>
                <w:sz w:val="17"/>
              </w:rPr>
              <w:t>(10</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2" w:type="dxa"/>
            <w:tcBorders/>
            <w:shd w:fill="CCEEFF" w:val="clear"/>
            <w:vAlign w:val="center"/>
          </w:tcPr>
          <w:p>
            <w:pPr>
              <w:pStyle w:val="TableContents"/>
              <w:spacing w:before="0" w:after="0"/>
              <w:ind w:left="0" w:right="0" w:firstLine="30"/>
              <w:rPr/>
            </w:pPr>
            <w:r>
              <w:rPr/>
              <w:t> </w:t>
            </w:r>
          </w:p>
        </w:tc>
        <w:tc>
          <w:tcPr>
            <w:tcW w:w="15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362" w:type="dxa"/>
            <w:tcBorders/>
            <w:shd w:fill="CCEEFF" w:val="clear"/>
            <w:vAlign w:val="center"/>
          </w:tcPr>
          <w:p>
            <w:pPr>
              <w:pStyle w:val="TableContents"/>
              <w:spacing w:before="0" w:after="0"/>
              <w:jc w:val="right"/>
              <w:rPr>
                <w:rFonts w:ascii="inherit" w:hAnsi="inherit"/>
                <w:sz w:val="17"/>
              </w:rPr>
            </w:pPr>
            <w:r>
              <w:rPr>
                <w:rFonts w:ascii="inherit" w:hAnsi="inherit"/>
                <w:sz w:val="17"/>
              </w:rPr>
              <w:t>(26</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2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299" w:type="dxa"/>
            <w:tcBorders/>
            <w:shd w:fill="CCEEFF" w:val="clear"/>
            <w:vAlign w:val="center"/>
          </w:tcPr>
          <w:p>
            <w:pPr>
              <w:pStyle w:val="TableContents"/>
              <w:spacing w:before="0" w:after="0"/>
              <w:jc w:val="right"/>
              <w:rPr>
                <w:rFonts w:ascii="inherit" w:hAnsi="inherit"/>
                <w:sz w:val="17"/>
              </w:rPr>
            </w:pPr>
            <w:r>
              <w:rPr>
                <w:rFonts w:ascii="inherit" w:hAnsi="inherit"/>
                <w:sz w:val="17"/>
              </w:rPr>
              <w:t>(24</w:t>
            </w:r>
          </w:p>
        </w:tc>
        <w:tc>
          <w:tcPr>
            <w:tcW w:w="11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2" w:type="dxa"/>
            <w:tcBorders/>
            <w:shd w:fill="CCEEFF" w:val="clear"/>
            <w:vAlign w:val="center"/>
          </w:tcPr>
          <w:p>
            <w:pPr>
              <w:pStyle w:val="TableContents"/>
              <w:spacing w:before="0" w:after="0"/>
              <w:ind w:left="0" w:right="0" w:firstLine="30"/>
              <w:rPr/>
            </w:pPr>
            <w:r>
              <w:rPr/>
              <w:t> </w:t>
            </w:r>
          </w:p>
        </w:tc>
        <w:tc>
          <w:tcPr>
            <w:tcW w:w="12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299" w:type="dxa"/>
            <w:tcBorders/>
            <w:shd w:fill="CCEEFF" w:val="clear"/>
            <w:vAlign w:val="center"/>
          </w:tcPr>
          <w:p>
            <w:pPr>
              <w:pStyle w:val="TableContents"/>
              <w:spacing w:before="0" w:after="0"/>
              <w:jc w:val="right"/>
              <w:rPr>
                <w:rFonts w:ascii="inherit" w:hAnsi="inherit"/>
                <w:sz w:val="17"/>
              </w:rPr>
            </w:pPr>
            <w:r>
              <w:rPr>
                <w:rFonts w:ascii="inherit" w:hAnsi="inherit"/>
                <w:sz w:val="17"/>
              </w:rPr>
              <w:t>(30</w:t>
            </w:r>
          </w:p>
        </w:tc>
        <w:tc>
          <w:tcPr>
            <w:tcW w:w="292"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73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gains/(losses) for the period included in earnings</w:t>
            </w:r>
          </w:p>
        </w:tc>
        <w:tc>
          <w:tcPr>
            <w:tcW w:w="51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2" w:type="dxa"/>
            <w:tcBorders/>
            <w:shd w:fill="auto" w:val="clear"/>
            <w:vAlign w:val="center"/>
          </w:tcPr>
          <w:p>
            <w:pPr>
              <w:pStyle w:val="TableContents"/>
              <w:spacing w:before="0" w:after="0"/>
              <w:ind w:left="0" w:right="0" w:firstLine="30"/>
              <w:rPr/>
            </w:pPr>
            <w:r>
              <w:rPr/>
              <w:t> </w:t>
            </w:r>
          </w:p>
        </w:tc>
        <w:tc>
          <w:tcPr>
            <w:tcW w:w="51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w:t>
            </w:r>
          </w:p>
        </w:tc>
        <w:tc>
          <w:tcPr>
            <w:tcW w:w="1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2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w:t>
            </w:r>
          </w:p>
        </w:tc>
        <w:tc>
          <w:tcPr>
            <w:tcW w:w="11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2" w:type="dxa"/>
            <w:tcBorders/>
            <w:shd w:fill="auto" w:val="clear"/>
            <w:vAlign w:val="center"/>
          </w:tcPr>
          <w:p>
            <w:pPr>
              <w:pStyle w:val="TableContents"/>
              <w:spacing w:before="0" w:after="0"/>
              <w:ind w:left="0" w:right="0" w:firstLine="30"/>
              <w:rPr/>
            </w:pPr>
            <w:r>
              <w:rPr/>
              <w:t> </w:t>
            </w:r>
          </w:p>
        </w:tc>
        <w:tc>
          <w:tcPr>
            <w:tcW w:w="42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w:t>
            </w:r>
          </w:p>
        </w:tc>
        <w:tc>
          <w:tcPr>
            <w:tcW w:w="292"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73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Settlements</w:t>
            </w:r>
          </w:p>
        </w:tc>
        <w:tc>
          <w:tcPr>
            <w:tcW w:w="51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2" w:type="dxa"/>
            <w:tcBorders/>
            <w:shd w:fill="CCEEFF" w:val="clear"/>
            <w:vAlign w:val="center"/>
          </w:tcPr>
          <w:p>
            <w:pPr>
              <w:pStyle w:val="TableContents"/>
              <w:spacing w:before="0" w:after="0"/>
              <w:ind w:left="0" w:right="0" w:firstLine="30"/>
              <w:rPr/>
            </w:pPr>
            <w:r>
              <w:rPr/>
              <w:t> </w:t>
            </w:r>
          </w:p>
        </w:tc>
        <w:tc>
          <w:tcPr>
            <w:tcW w:w="51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42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w:t>
            </w:r>
          </w:p>
        </w:tc>
        <w:tc>
          <w:tcPr>
            <w:tcW w:w="11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2" w:type="dxa"/>
            <w:tcBorders/>
            <w:shd w:fill="CCEEFF" w:val="clear"/>
            <w:vAlign w:val="center"/>
          </w:tcPr>
          <w:p>
            <w:pPr>
              <w:pStyle w:val="TableContents"/>
              <w:spacing w:before="0" w:after="0"/>
              <w:ind w:left="0" w:right="0" w:firstLine="30"/>
              <w:rPr/>
            </w:pPr>
            <w:r>
              <w:rPr/>
              <w:t> </w:t>
            </w:r>
          </w:p>
        </w:tc>
        <w:tc>
          <w:tcPr>
            <w:tcW w:w="42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w:t>
            </w:r>
          </w:p>
        </w:tc>
        <w:tc>
          <w:tcPr>
            <w:tcW w:w="292"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73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Derivatives entered into during the period</w:t>
            </w:r>
          </w:p>
        </w:tc>
        <w:tc>
          <w:tcPr>
            <w:tcW w:w="51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w:t>
            </w:r>
          </w:p>
        </w:tc>
        <w:tc>
          <w:tcPr>
            <w:tcW w:w="137"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2" w:type="dxa"/>
            <w:tcBorders/>
            <w:shd w:fill="auto" w:val="clear"/>
            <w:vAlign w:val="center"/>
          </w:tcPr>
          <w:p>
            <w:pPr>
              <w:pStyle w:val="TableContents"/>
              <w:spacing w:before="0" w:after="0"/>
              <w:ind w:left="0" w:right="0" w:firstLine="30"/>
              <w:rPr/>
            </w:pPr>
            <w:r>
              <w:rPr/>
              <w:t> </w:t>
            </w:r>
          </w:p>
        </w:tc>
        <w:tc>
          <w:tcPr>
            <w:tcW w:w="517"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2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w:t>
            </w:r>
          </w:p>
        </w:tc>
        <w:tc>
          <w:tcPr>
            <w:tcW w:w="113"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2" w:type="dxa"/>
            <w:tcBorders/>
            <w:shd w:fill="auto" w:val="clear"/>
            <w:vAlign w:val="center"/>
          </w:tcPr>
          <w:p>
            <w:pPr>
              <w:pStyle w:val="TableContents"/>
              <w:spacing w:before="0" w:after="0"/>
              <w:ind w:left="0" w:right="0" w:firstLine="30"/>
              <w:rPr/>
            </w:pPr>
            <w:r>
              <w:rPr/>
              <w:t> </w:t>
            </w:r>
          </w:p>
        </w:tc>
        <w:tc>
          <w:tcPr>
            <w:tcW w:w="428"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29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3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Ending Balance</w:t>
            </w:r>
          </w:p>
        </w:tc>
        <w:tc>
          <w:tcPr>
            <w:tcW w:w="15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6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(26</w:t>
            </w:r>
          </w:p>
        </w:tc>
        <w:tc>
          <w:tcPr>
            <w:tcW w:w="137"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2" w:type="dxa"/>
            <w:tcBorders/>
            <w:shd w:fill="CCEEFF" w:val="clear"/>
            <w:vAlign w:val="center"/>
          </w:tcPr>
          <w:p>
            <w:pPr>
              <w:pStyle w:val="TableContents"/>
              <w:spacing w:before="0" w:after="0"/>
              <w:ind w:left="0" w:right="0" w:firstLine="30"/>
              <w:rPr/>
            </w:pPr>
            <w:r>
              <w:rPr/>
              <w:t> </w:t>
            </w:r>
          </w:p>
        </w:tc>
        <w:tc>
          <w:tcPr>
            <w:tcW w:w="15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6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(18</w:t>
            </w:r>
          </w:p>
        </w:tc>
        <w:tc>
          <w:tcPr>
            <w:tcW w:w="137"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29"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299"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(26</w:t>
            </w:r>
          </w:p>
        </w:tc>
        <w:tc>
          <w:tcPr>
            <w:tcW w:w="113"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2" w:type="dxa"/>
            <w:tcBorders/>
            <w:shd w:fill="CCEEFF" w:val="clear"/>
            <w:vAlign w:val="center"/>
          </w:tcPr>
          <w:p>
            <w:pPr>
              <w:pStyle w:val="TableContents"/>
              <w:spacing w:before="0" w:after="0"/>
              <w:ind w:left="0" w:right="0" w:firstLine="30"/>
              <w:rPr/>
            </w:pPr>
            <w:r>
              <w:rPr/>
              <w:t> </w:t>
            </w:r>
          </w:p>
        </w:tc>
        <w:tc>
          <w:tcPr>
            <w:tcW w:w="129"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299"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(18</w:t>
            </w:r>
          </w:p>
        </w:tc>
        <w:tc>
          <w:tcPr>
            <w:tcW w:w="292"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7342" w:type="dxa"/>
            <w:tcBorders/>
            <w:shd w:fill="auto" w:val="clear"/>
            <w:vAlign w:val="center"/>
          </w:tcPr>
          <w:p>
            <w:pPr>
              <w:pStyle w:val="TableContents"/>
              <w:spacing w:before="0" w:after="0"/>
              <w:ind w:left="0" w:right="0" w:firstLine="30"/>
              <w:rPr/>
            </w:pPr>
            <w:r>
              <w:rPr/>
              <w:t> </w:t>
            </w:r>
          </w:p>
        </w:tc>
        <w:tc>
          <w:tcPr>
            <w:tcW w:w="654" w:type="dxa"/>
            <w:gridSpan w:val="3"/>
            <w:tcBorders/>
            <w:shd w:fill="auto" w:val="clear"/>
            <w:vAlign w:val="center"/>
          </w:tcPr>
          <w:p>
            <w:pPr>
              <w:pStyle w:val="TableContents"/>
              <w:spacing w:before="0" w:after="0"/>
              <w:ind w:left="0" w:right="0" w:firstLine="30"/>
              <w:rPr/>
            </w:pPr>
            <w:r>
              <w:rPr/>
              <w:t> </w:t>
            </w:r>
          </w:p>
        </w:tc>
        <w:tc>
          <w:tcPr>
            <w:tcW w:w="112" w:type="dxa"/>
            <w:tcBorders/>
            <w:shd w:fill="auto" w:val="clear"/>
            <w:vAlign w:val="center"/>
          </w:tcPr>
          <w:p>
            <w:pPr>
              <w:pStyle w:val="TableContents"/>
              <w:spacing w:before="0" w:after="0"/>
              <w:ind w:left="0" w:right="0" w:firstLine="30"/>
              <w:rPr/>
            </w:pPr>
            <w:r>
              <w:rPr/>
              <w:t> </w:t>
            </w:r>
          </w:p>
        </w:tc>
        <w:tc>
          <w:tcPr>
            <w:tcW w:w="654"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541" w:type="dxa"/>
            <w:gridSpan w:val="3"/>
            <w:tcBorders/>
            <w:shd w:fill="auto" w:val="clear"/>
            <w:vAlign w:val="center"/>
          </w:tcPr>
          <w:p>
            <w:pPr>
              <w:pStyle w:val="TableContents"/>
              <w:spacing w:before="0" w:after="0"/>
              <w:ind w:left="0" w:right="0" w:firstLine="30"/>
              <w:rPr/>
            </w:pPr>
            <w:r>
              <w:rPr/>
              <w:t> </w:t>
            </w:r>
          </w:p>
        </w:tc>
        <w:tc>
          <w:tcPr>
            <w:tcW w:w="92" w:type="dxa"/>
            <w:tcBorders/>
            <w:shd w:fill="auto" w:val="clear"/>
            <w:vAlign w:val="center"/>
          </w:tcPr>
          <w:p>
            <w:pPr>
              <w:pStyle w:val="TableContents"/>
              <w:spacing w:before="0" w:after="0"/>
              <w:ind w:left="0" w:right="0" w:firstLine="30"/>
              <w:rPr/>
            </w:pPr>
            <w:r>
              <w:rPr/>
              <w:t> </w:t>
            </w:r>
          </w:p>
        </w:tc>
        <w:tc>
          <w:tcPr>
            <w:tcW w:w="720" w:type="dxa"/>
            <w:gridSpan w:val="3"/>
            <w:tcBorders/>
            <w:shd w:fill="auto" w:val="clear"/>
            <w:vAlign w:val="center"/>
          </w:tcPr>
          <w:p>
            <w:pPr>
              <w:pStyle w:val="TableContents"/>
              <w:spacing w:before="0" w:after="0"/>
              <w:ind w:left="0" w:right="0" w:firstLine="30"/>
              <w:rPr/>
            </w:pPr>
            <w:r>
              <w:rPr/>
              <w:t> </w:t>
            </w:r>
          </w:p>
        </w:tc>
      </w:tr>
      <w:tr>
        <w:trPr/>
        <w:tc>
          <w:tcPr>
            <w:tcW w:w="73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Change in unrealized gains/(losses) included in earnings relating to Level 3 derivatives still held at the end of the period</w:t>
            </w:r>
          </w:p>
        </w:tc>
        <w:tc>
          <w:tcPr>
            <w:tcW w:w="15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362" w:type="dxa"/>
            <w:tcBorders/>
            <w:shd w:fill="CCEEFF" w:val="clear"/>
            <w:vAlign w:val="center"/>
          </w:tcPr>
          <w:p>
            <w:pPr>
              <w:pStyle w:val="TableContents"/>
              <w:spacing w:before="0" w:after="0"/>
              <w:jc w:val="right"/>
              <w:rPr>
                <w:rFonts w:ascii="inherit" w:hAnsi="inherit"/>
                <w:sz w:val="17"/>
              </w:rPr>
            </w:pPr>
            <w:r>
              <w:rPr>
                <w:rFonts w:ascii="inherit" w:hAnsi="inherit"/>
                <w:sz w:val="17"/>
              </w:rPr>
              <w:t>(13</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2" w:type="dxa"/>
            <w:tcBorders/>
            <w:shd w:fill="CCEEFF" w:val="clear"/>
            <w:vAlign w:val="center"/>
          </w:tcPr>
          <w:p>
            <w:pPr>
              <w:pStyle w:val="TableContents"/>
              <w:spacing w:before="0" w:after="0"/>
              <w:ind w:left="0" w:right="0" w:firstLine="30"/>
              <w:rPr/>
            </w:pPr>
            <w:r>
              <w:rPr/>
              <w:t> </w:t>
            </w:r>
          </w:p>
        </w:tc>
        <w:tc>
          <w:tcPr>
            <w:tcW w:w="15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362" w:type="dxa"/>
            <w:tcBorders/>
            <w:shd w:fill="CCEEFF" w:val="clear"/>
            <w:vAlign w:val="center"/>
          </w:tcPr>
          <w:p>
            <w:pPr>
              <w:pStyle w:val="TableContents"/>
              <w:spacing w:before="0" w:after="0"/>
              <w:jc w:val="right"/>
              <w:rPr>
                <w:rFonts w:ascii="inherit" w:hAnsi="inherit"/>
                <w:sz w:val="17"/>
              </w:rPr>
            </w:pPr>
            <w:r>
              <w:rPr>
                <w:rFonts w:ascii="inherit" w:hAnsi="inherit"/>
                <w:sz w:val="17"/>
              </w:rPr>
              <w:t>7</w:t>
            </w:r>
          </w:p>
        </w:tc>
        <w:tc>
          <w:tcPr>
            <w:tcW w:w="1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299" w:type="dxa"/>
            <w:tcBorders/>
            <w:shd w:fill="CCEEFF" w:val="clear"/>
            <w:vAlign w:val="center"/>
          </w:tcPr>
          <w:p>
            <w:pPr>
              <w:pStyle w:val="TableContents"/>
              <w:spacing w:before="0" w:after="0"/>
              <w:jc w:val="right"/>
              <w:rPr>
                <w:rFonts w:ascii="inherit" w:hAnsi="inherit"/>
                <w:sz w:val="17"/>
              </w:rPr>
            </w:pPr>
            <w:r>
              <w:rPr>
                <w:rFonts w:ascii="inherit" w:hAnsi="inherit"/>
                <w:sz w:val="17"/>
              </w:rPr>
              <w:t>9</w:t>
            </w:r>
          </w:p>
        </w:tc>
        <w:tc>
          <w:tcPr>
            <w:tcW w:w="11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2" w:type="dxa"/>
            <w:tcBorders/>
            <w:shd w:fill="CCEEFF" w:val="clear"/>
            <w:vAlign w:val="center"/>
          </w:tcPr>
          <w:p>
            <w:pPr>
              <w:pStyle w:val="TableContents"/>
              <w:spacing w:before="0" w:after="0"/>
              <w:ind w:left="0" w:right="0" w:firstLine="30"/>
              <w:rPr/>
            </w:pPr>
            <w:r>
              <w:rPr/>
              <w:t> </w:t>
            </w:r>
          </w:p>
        </w:tc>
        <w:tc>
          <w:tcPr>
            <w:tcW w:w="12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299" w:type="dxa"/>
            <w:tcBorders/>
            <w:shd w:fill="CCEEFF" w:val="clear"/>
            <w:vAlign w:val="center"/>
          </w:tcPr>
          <w:p>
            <w:pPr>
              <w:pStyle w:val="TableContents"/>
              <w:spacing w:before="0" w:after="0"/>
              <w:jc w:val="right"/>
              <w:rPr>
                <w:rFonts w:ascii="inherit" w:hAnsi="inherit"/>
                <w:sz w:val="17"/>
              </w:rPr>
            </w:pPr>
            <w:r>
              <w:rPr>
                <w:rFonts w:ascii="inherit" w:hAnsi="inherit"/>
                <w:sz w:val="17"/>
              </w:rPr>
              <w:t>5</w:t>
            </w:r>
          </w:p>
        </w:tc>
        <w:tc>
          <w:tcPr>
            <w:tcW w:w="292"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sz w:val="17"/>
        </w:rPr>
      </w:pPr>
      <w:bookmarkStart w:id="24" w:name="sA517D95A3C8B5DF8956719C5C8555B0F"/>
      <w:bookmarkEnd w:id="24"/>
      <w:r>
        <w:rPr>
          <w:b/>
          <w:sz w:val="17"/>
        </w:rPr>
        <w:t>Note 11</w:t>
      </w:r>
      <w:r>
        <w:rPr>
          <w:sz w:val="17"/>
        </w:rPr>
        <w:t>—</w:t>
      </w:r>
      <w:r>
        <w:rPr>
          <w:rFonts w:ascii="inherit" w:hAnsi="inherit"/>
          <w:b/>
          <w:sz w:val="17"/>
        </w:rPr>
        <w:t>Leases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left"/>
        <w:rPr>
          <w:rFonts w:ascii="inherit" w:hAnsi="inherit"/>
          <w:b/>
          <w:i/>
          <w:sz w:val="17"/>
        </w:rPr>
      </w:pPr>
      <w:r>
        <w:rPr>
          <w:rFonts w:ascii="inherit" w:hAnsi="inherit"/>
          <w:b/>
          <w:i/>
          <w:sz w:val="17"/>
        </w:rPr>
        <w:t xml:space="preserve">Lessee </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ind w:left="0" w:right="0" w:firstLine="720"/>
        <w:jc w:val="left"/>
        <w:rPr>
          <w:sz w:val="17"/>
        </w:rPr>
      </w:pPr>
      <w:r>
        <w:rPr>
          <w:rFonts w:ascii="inherit" w:hAnsi="inherit"/>
          <w:sz w:val="17"/>
        </w:rPr>
        <w:t>We evaluate all agreements entered into or modified after the date of adoption of Topic 842 that convey to us the use of property or equipment for a term to determine whether the agreement is or contains a lease. We lease certain property and equipment under noncancelable and cancelable operating and finance leases. Our operating leases primarily relate to railcars, office space, land, vehicles, and storage tanks, and our finance leases primarily relate to tractor trailers, vehicles and land. For leases with an initial term of greater than 12 months, we recognize a right-of-use asset and lease liability on the balance sheet. Leases with an initial term of 12 months or less are not recorded on the balance sheet. Our lease agreements have remaining lease terms ranging from one year</w:t>
      </w:r>
      <w:r>
        <w:rPr>
          <w:sz w:val="17"/>
        </w:rPr>
        <w:t xml:space="preserve"> </w:t>
      </w:r>
      <w:r>
        <w:rPr>
          <w:rFonts w:ascii="inherit" w:hAnsi="inherit"/>
          <w:sz w:val="17"/>
        </w:rPr>
        <w:t>to approximately 60 years. When applicable, this range includes additional terms associated with leases for which we are reasonably certain to exercise the option to renew and such renewal options are recognized as part of our right-of-use assets and lease liabilities. We have renewal options for leases with terms ranging from one year</w:t>
      </w:r>
      <w:r>
        <w:rPr>
          <w:sz w:val="17"/>
        </w:rPr>
        <w:t xml:space="preserve"> </w:t>
      </w:r>
      <w:r>
        <w:rPr>
          <w:rFonts w:ascii="inherit" w:hAnsi="inherit"/>
          <w:sz w:val="17"/>
        </w:rPr>
        <w:t>to 40 years</w:t>
      </w:r>
      <w:r>
        <w:rPr>
          <w:sz w:val="17"/>
        </w:rPr>
        <w:t xml:space="preserve"> </w:t>
      </w:r>
      <w:r>
        <w:rPr>
          <w:rFonts w:ascii="inherit" w:hAnsi="inherit"/>
          <w:sz w:val="17"/>
        </w:rPr>
        <w:t xml:space="preserve">that are not recognized as part of our right-of-use assets or lease liabilities as we have determined we are not reasonably certain to exercise the option to renew. </w:t>
      </w:r>
    </w:p>
    <w:p>
      <w:pPr>
        <w:pStyle w:val="TextBody"/>
        <w:spacing w:lineRule="auto" w:line="288" w:before="0" w:after="0"/>
        <w:ind w:left="0" w:right="0" w:firstLine="720"/>
        <w:jc w:val="left"/>
        <w:rPr/>
      </w:pPr>
      <w:r>
        <w:rPr/>
        <w:t>    </w:t>
      </w:r>
    </w:p>
    <w:p>
      <w:pPr>
        <w:pStyle w:val="TextBody"/>
        <w:spacing w:lineRule="auto" w:line="288" w:before="0" w:after="0"/>
        <w:ind w:left="0" w:right="0" w:firstLine="720"/>
        <w:jc w:val="left"/>
        <w:rPr>
          <w:rFonts w:ascii="inherit" w:hAnsi="inherit"/>
          <w:sz w:val="17"/>
        </w:rPr>
      </w:pPr>
      <w:r>
        <w:rPr>
          <w:rFonts w:ascii="inherit" w:hAnsi="inherit"/>
          <w:sz w:val="17"/>
        </w:rPr>
        <w:t xml:space="preserve">Certain of our leases have variable lease payments, many of which are based on changes in market indices such as the Consumer Price Index. Our lease agreements for our tractor trailers contain residual value guarantees equal to the fair market value of the tractor trailers at the end of the lease term in the event that we elect not to purchase the asset for an amount equal to the fair value. Our lease agreements do not contain any material restrictive covenants. </w:t>
      </w:r>
    </w:p>
    <w:p>
      <w:pPr>
        <w:pStyle w:val="TextBody"/>
        <w:spacing w:lineRule="auto" w:line="288" w:before="0" w:after="0"/>
        <w:ind w:left="0" w:right="0" w:firstLine="720"/>
        <w:jc w:val="left"/>
        <w:rPr/>
      </w:pPr>
      <w:r>
        <w:rPr/>
        <w:t>    </w:t>
      </w:r>
    </w:p>
    <w:p>
      <w:pPr>
        <w:pStyle w:val="TextBody"/>
        <w:spacing w:lineRule="auto" w:line="288" w:before="0" w:after="0"/>
        <w:ind w:left="0" w:right="0" w:firstLine="720"/>
        <w:jc w:val="left"/>
        <w:rPr>
          <w:rFonts w:ascii="inherit" w:hAnsi="inherit"/>
          <w:sz w:val="17"/>
        </w:rPr>
      </w:pPr>
      <w:r>
        <w:rPr>
          <w:rFonts w:ascii="inherit" w:hAnsi="inherit"/>
          <w:sz w:val="17"/>
        </w:rPr>
        <w:t xml:space="preserve">For determining the present value of lease payments, we use the discount rate implicit in the lease when readily determinable; however, such rate is not readily determinable for most of our leases. For those leases for which the discount rate is not readily determinable, we utilize incremental borrowing rates that reflect collateralized borrowing with payments and terms that mirror our lease portfolio to discount the lease payments based on information available at the lease commencement date. </w:t>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30</w:t>
      </w:r>
      <w:r>
        <w:br w:type="page"/>
      </w:r>
    </w:p>
    <w:p>
      <w:pPr>
        <w:pStyle w:val="TextBody"/>
        <w:spacing w:lineRule="auto" w:line="288" w:before="0" w:after="0"/>
        <w:rPr/>
      </w:pPr>
      <w:hyperlink w:anchor="s3336AD8A685850CC9B7F2572CB2C0BC3">
        <w:r>
          <w:rPr>
            <w:rStyle w:val="InternetLink"/>
            <w:rFonts w:ascii="inherit" w:hAnsi="inherit"/>
            <w:sz w:val="17"/>
          </w:rPr>
          <w:t>Table of Contents</w:t>
        </w:r>
      </w:hyperlink>
      <w:r>
        <w:rPr>
          <w:sz w:val="17"/>
        </w:rPr>
        <w:t xml:space="preserve"> </w:t>
      </w:r>
    </w:p>
    <w:p>
      <w:pPr>
        <w:pStyle w:val="TextBody"/>
        <w:spacing w:lineRule="auto" w:line="288" w:before="0" w:after="0"/>
        <w:jc w:val="center"/>
        <w:rPr>
          <w:rFonts w:ascii="inherit" w:hAnsi="inherit"/>
          <w:b/>
          <w:sz w:val="17"/>
        </w:rPr>
      </w:pPr>
      <w:r>
        <w:rPr>
          <w:rFonts w:ascii="inherit" w:hAnsi="inherit"/>
          <w:b/>
          <w:sz w:val="17"/>
        </w:rPr>
        <w:t>PLAINS ALL AMERICAN PIPELINE, L.P. AND SUBSIDIARIES</w:t>
      </w:r>
    </w:p>
    <w:p>
      <w:pPr>
        <w:pStyle w:val="TextBody"/>
        <w:spacing w:lineRule="auto" w:line="288" w:before="0" w:after="0"/>
        <w:jc w:val="center"/>
        <w:rPr>
          <w:rFonts w:ascii="inherit" w:hAnsi="inherit"/>
          <w:b/>
          <w:sz w:val="17"/>
        </w:rPr>
      </w:pPr>
      <w:r>
        <w:rPr>
          <w:rFonts w:ascii="inherit" w:hAnsi="inherit"/>
          <w:b/>
          <w:sz w:val="17"/>
        </w:rPr>
        <w:t>NOTES TO THE UNAUDITED CONDENSED CONSOLIDATED FINANCIAL STATEMENTS</w:t>
      </w:r>
    </w:p>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720"/>
        <w:jc w:val="left"/>
        <w:rPr>
          <w:rFonts w:ascii="inherit" w:hAnsi="inherit"/>
          <w:sz w:val="17"/>
        </w:rPr>
      </w:pPr>
      <w:r>
        <w:rPr>
          <w:rFonts w:ascii="inherit" w:hAnsi="inherit"/>
          <w:sz w:val="17"/>
        </w:rPr>
        <w:t xml:space="preserve">The following table presents components of lease cost, including both amounts recognized in income and amounts capitalized (in millions): </w:t>
      </w:r>
    </w:p>
    <w:tbl>
      <w:tblPr>
        <w:tblW w:w="5111" w:type="dxa"/>
        <w:jc w:val="left"/>
        <w:tblInd w:w="0" w:type="dxa"/>
        <w:tblCellMar>
          <w:top w:w="0" w:type="dxa"/>
          <w:left w:w="0" w:type="dxa"/>
          <w:bottom w:w="0" w:type="dxa"/>
          <w:right w:w="0" w:type="dxa"/>
        </w:tblCellMar>
      </w:tblPr>
      <w:tblGrid>
        <w:gridCol w:w="1865"/>
        <w:gridCol w:w="90"/>
        <w:gridCol w:w="501"/>
        <w:gridCol w:w="924"/>
        <w:gridCol w:w="123"/>
        <w:gridCol w:w="90"/>
        <w:gridCol w:w="281"/>
        <w:gridCol w:w="521"/>
        <w:gridCol w:w="716"/>
      </w:tblGrid>
      <w:tr>
        <w:trPr/>
        <w:tc>
          <w:tcPr>
            <w:tcW w:w="5111" w:type="dxa"/>
            <w:gridSpan w:val="9"/>
            <w:tcBorders/>
            <w:shd w:fill="auto" w:val="clear"/>
            <w:vAlign w:val="center"/>
          </w:tcPr>
          <w:p>
            <w:pPr>
              <w:pStyle w:val="TableContents"/>
              <w:spacing w:before="0" w:after="283"/>
              <w:rPr>
                <w:sz w:val="4"/>
                <w:szCs w:val="4"/>
              </w:rPr>
            </w:pPr>
            <w:r>
              <w:rPr>
                <w:sz w:val="4"/>
                <w:szCs w:val="4"/>
              </w:rPr>
            </w:r>
          </w:p>
        </w:tc>
      </w:tr>
      <w:tr>
        <w:trPr/>
        <w:tc>
          <w:tcPr>
            <w:tcW w:w="186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865" w:type="dxa"/>
            <w:tcBorders>
              <w:bottom w:val="single" w:sz="2" w:space="0" w:color="000000"/>
            </w:tcBorders>
            <w:shd w:fill="auto" w:val="clear"/>
            <w:tcMar>
              <w:bottom w:w="30" w:type="dxa"/>
            </w:tcMar>
            <w:vAlign w:val="center"/>
          </w:tcPr>
          <w:p>
            <w:pPr>
              <w:pStyle w:val="TableContents"/>
              <w:spacing w:before="0" w:after="0"/>
              <w:ind w:left="0" w:right="0" w:firstLine="30"/>
              <w:rPr>
                <w:rFonts w:ascii="inherit" w:hAnsi="inherit"/>
                <w:b/>
                <w:sz w:val="13"/>
              </w:rPr>
            </w:pPr>
            <w:r>
              <w:rPr>
                <w:rFonts w:ascii="inherit" w:hAnsi="inherit"/>
                <w:b/>
                <w:sz w:val="13"/>
              </w:rPr>
              <w:t>Lease Cost</w:t>
            </w:r>
          </w:p>
        </w:tc>
        <w:tc>
          <w:tcPr>
            <w:tcW w:w="90" w:type="dxa"/>
            <w:tcBorders/>
            <w:shd w:fill="auto" w:val="clear"/>
            <w:vAlign w:val="center"/>
          </w:tcPr>
          <w:p>
            <w:pPr>
              <w:pStyle w:val="TableContents"/>
              <w:spacing w:before="0" w:after="0"/>
              <w:ind w:left="0" w:right="0" w:firstLine="30"/>
              <w:rPr/>
            </w:pPr>
            <w:r>
              <w:rPr/>
              <w:t> </w:t>
            </w:r>
          </w:p>
        </w:tc>
        <w:tc>
          <w:tcPr>
            <w:tcW w:w="154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w:t>
              <w:br/>
              <w:t>June 30, 2019</w:t>
            </w:r>
          </w:p>
        </w:tc>
        <w:tc>
          <w:tcPr>
            <w:tcW w:w="90" w:type="dxa"/>
            <w:tcBorders/>
            <w:shd w:fill="auto" w:val="clear"/>
            <w:vAlign w:val="center"/>
          </w:tcPr>
          <w:p>
            <w:pPr>
              <w:pStyle w:val="TableContents"/>
              <w:spacing w:before="0" w:after="0"/>
              <w:ind w:left="0" w:right="0" w:firstLine="30"/>
              <w:rPr/>
            </w:pPr>
            <w:r>
              <w:rPr/>
              <w:t> </w:t>
            </w:r>
          </w:p>
        </w:tc>
        <w:tc>
          <w:tcPr>
            <w:tcW w:w="1518" w:type="dxa"/>
            <w:gridSpan w:val="3"/>
            <w:tcBorders>
              <w:bottom w:val="single" w:sz="2" w:space="0" w:color="000000"/>
            </w:tcBorders>
            <w:shd w:fill="auto" w:val="clear"/>
            <w:tcMar>
              <w:bottom w:w="30" w:type="dxa"/>
            </w:tcMar>
            <w:vAlign w:val="center"/>
          </w:tcPr>
          <w:p>
            <w:pPr>
              <w:pStyle w:val="TableContents"/>
              <w:spacing w:before="0" w:after="0"/>
              <w:ind w:left="0" w:right="0" w:firstLine="180"/>
              <w:jc w:val="center"/>
              <w:rPr>
                <w:rFonts w:ascii="inherit" w:hAnsi="inherit"/>
                <w:b/>
                <w:sz w:val="13"/>
              </w:rPr>
            </w:pPr>
            <w:r>
              <w:rPr>
                <w:rFonts w:ascii="inherit" w:hAnsi="inherit"/>
                <w:b/>
                <w:sz w:val="13"/>
              </w:rPr>
              <w:t>Six Months Ended</w:t>
              <w:br/>
              <w:t>June 30, 2019</w:t>
            </w:r>
          </w:p>
        </w:tc>
      </w:tr>
      <w:tr>
        <w:trPr/>
        <w:tc>
          <w:tcPr>
            <w:tcW w:w="18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Operating lease cost</w:t>
            </w:r>
          </w:p>
        </w:tc>
        <w:tc>
          <w:tcPr>
            <w:tcW w:w="90" w:type="dxa"/>
            <w:tcBorders/>
            <w:shd w:fill="CCEEFF" w:val="clear"/>
            <w:vAlign w:val="center"/>
          </w:tcPr>
          <w:p>
            <w:pPr>
              <w:pStyle w:val="TableContents"/>
              <w:spacing w:before="0" w:after="0"/>
              <w:ind w:left="0" w:right="0" w:firstLine="30"/>
              <w:rPr/>
            </w:pPr>
            <w:r>
              <w:rPr/>
              <w:t> </w:t>
            </w:r>
          </w:p>
        </w:tc>
        <w:tc>
          <w:tcPr>
            <w:tcW w:w="50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24" w:type="dxa"/>
            <w:tcBorders/>
            <w:shd w:fill="CCEEFF" w:val="clear"/>
            <w:vAlign w:val="center"/>
          </w:tcPr>
          <w:p>
            <w:pPr>
              <w:pStyle w:val="TableContents"/>
              <w:spacing w:before="0" w:after="0"/>
              <w:jc w:val="right"/>
              <w:rPr>
                <w:rFonts w:ascii="inherit" w:hAnsi="inherit"/>
                <w:sz w:val="17"/>
              </w:rPr>
            </w:pPr>
            <w:r>
              <w:rPr>
                <w:rFonts w:ascii="inherit" w:hAnsi="inherit"/>
                <w:sz w:val="17"/>
              </w:rPr>
              <w:t>31</w:t>
            </w:r>
          </w:p>
        </w:tc>
        <w:tc>
          <w:tcPr>
            <w:tcW w:w="1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8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21" w:type="dxa"/>
            <w:tcBorders/>
            <w:shd w:fill="CCEEFF" w:val="clear"/>
            <w:vAlign w:val="center"/>
          </w:tcPr>
          <w:p>
            <w:pPr>
              <w:pStyle w:val="TableContents"/>
              <w:spacing w:before="0" w:after="0"/>
              <w:jc w:val="right"/>
              <w:rPr>
                <w:rFonts w:ascii="inherit" w:hAnsi="inherit"/>
                <w:sz w:val="17"/>
              </w:rPr>
            </w:pPr>
            <w:r>
              <w:rPr>
                <w:rFonts w:ascii="inherit" w:hAnsi="inherit"/>
                <w:sz w:val="17"/>
              </w:rPr>
              <w:t>63</w:t>
            </w:r>
          </w:p>
        </w:tc>
        <w:tc>
          <w:tcPr>
            <w:tcW w:w="716"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18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Short-term lease cost</w:t>
            </w:r>
          </w:p>
        </w:tc>
        <w:tc>
          <w:tcPr>
            <w:tcW w:w="90" w:type="dxa"/>
            <w:tcBorders/>
            <w:shd w:fill="auto" w:val="clear"/>
            <w:vAlign w:val="center"/>
          </w:tcPr>
          <w:p>
            <w:pPr>
              <w:pStyle w:val="TableContents"/>
              <w:spacing w:before="0" w:after="0"/>
              <w:ind w:left="0" w:right="0" w:firstLine="30"/>
              <w:rPr/>
            </w:pPr>
            <w:r>
              <w:rPr/>
              <w:t> </w:t>
            </w:r>
          </w:p>
        </w:tc>
        <w:tc>
          <w:tcPr>
            <w:tcW w:w="14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w:t>
            </w:r>
          </w:p>
        </w:tc>
        <w:tc>
          <w:tcPr>
            <w:tcW w:w="1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w:t>
            </w:r>
          </w:p>
        </w:tc>
        <w:tc>
          <w:tcPr>
            <w:tcW w:w="716"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1865" w:type="dxa"/>
            <w:tcBorders/>
            <w:shd w:fill="CCEEFF" w:val="clear"/>
            <w:vAlign w:val="center"/>
          </w:tcPr>
          <w:p>
            <w:pPr>
              <w:pStyle w:val="TableContents"/>
              <w:spacing w:lineRule="auto" w:line="288" w:before="0" w:after="0"/>
              <w:ind w:left="0" w:right="0" w:firstLine="30"/>
              <w:jc w:val="left"/>
              <w:rPr>
                <w:sz w:val="17"/>
              </w:rPr>
            </w:pPr>
            <w:r>
              <w:rPr>
                <w:rFonts w:ascii="inherit" w:hAnsi="inherit"/>
                <w:sz w:val="17"/>
              </w:rPr>
              <w:t xml:space="preserve">Other </w:t>
            </w:r>
            <w:r>
              <w:rPr>
                <w:rFonts w:ascii="inherit" w:hAnsi="inherit"/>
                <w:sz w:val="12"/>
              </w:rPr>
              <w:t>(1)</w:t>
            </w:r>
          </w:p>
        </w:tc>
        <w:tc>
          <w:tcPr>
            <w:tcW w:w="90" w:type="dxa"/>
            <w:tcBorders/>
            <w:shd w:fill="CCEEFF" w:val="clear"/>
            <w:vAlign w:val="center"/>
          </w:tcPr>
          <w:p>
            <w:pPr>
              <w:pStyle w:val="TableContents"/>
              <w:spacing w:before="0" w:after="0"/>
              <w:ind w:left="0" w:right="0" w:firstLine="30"/>
              <w:rPr/>
            </w:pPr>
            <w:r>
              <w:rPr/>
              <w:t> </w:t>
            </w:r>
          </w:p>
        </w:tc>
        <w:tc>
          <w:tcPr>
            <w:tcW w:w="1425"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2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0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w:t>
            </w:r>
          </w:p>
        </w:tc>
        <w:tc>
          <w:tcPr>
            <w:tcW w:w="716" w:type="dxa"/>
            <w:tcBorders>
              <w:bottom w:val="single" w:sz="2" w:space="0" w:color="000000"/>
            </w:tcBorders>
            <w:shd w:fill="CCEEFF" w:val="clear"/>
            <w:tcMar>
              <w:bottom w:w="28" w:type="dxa"/>
            </w:tcM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18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lease cost</w:t>
            </w:r>
          </w:p>
        </w:tc>
        <w:tc>
          <w:tcPr>
            <w:tcW w:w="90" w:type="dxa"/>
            <w:tcBorders/>
            <w:shd w:fill="auto" w:val="clear"/>
            <w:vAlign w:val="center"/>
          </w:tcPr>
          <w:p>
            <w:pPr>
              <w:pStyle w:val="TableContents"/>
              <w:spacing w:before="0" w:after="0"/>
              <w:ind w:left="0" w:right="0" w:firstLine="30"/>
              <w:rPr/>
            </w:pPr>
            <w:r>
              <w:rPr/>
              <w:t> </w:t>
            </w:r>
          </w:p>
        </w:tc>
        <w:tc>
          <w:tcPr>
            <w:tcW w:w="50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2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43</w:t>
            </w:r>
          </w:p>
        </w:tc>
        <w:tc>
          <w:tcPr>
            <w:tcW w:w="123"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8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2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84</w:t>
            </w:r>
          </w:p>
        </w:tc>
        <w:tc>
          <w:tcPr>
            <w:tcW w:w="71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sz w:val="4"/>
                <w:szCs w:val="4"/>
              </w:rPr>
            </w:pPr>
            <w:r>
              <w:rPr>
                <w:sz w:val="4"/>
                <w:szCs w:val="4"/>
              </w:rPr>
            </w:r>
          </w:p>
        </w:tc>
      </w:tr>
      <w:tr>
        <w:trPr/>
        <w:tc>
          <w:tcPr>
            <w:tcW w:w="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 w:type="dxa"/>
            <w:tcBorders>
              <w:bottom w:val="single" w:sz="2" w:space="0" w:color="000000"/>
            </w:tcBorders>
            <w:shd w:fill="auto" w:val="clear"/>
            <w:tcMar>
              <w:bottom w:w="30" w:type="dxa"/>
            </w:tcMar>
            <w:vAlign w:val="center"/>
          </w:tcPr>
          <w:p>
            <w:pPr>
              <w:pStyle w:val="TableContents"/>
              <w:spacing w:before="0" w:after="0"/>
              <w:rPr/>
            </w:pPr>
            <w:r>
              <w:rPr/>
              <w:t> </w:t>
            </w:r>
          </w:p>
        </w:tc>
      </w:tr>
    </w:tbl>
    <w:tbl>
      <w:tblPr>
        <w:tblW w:w="7240" w:type="dxa"/>
        <w:jc w:val="left"/>
        <w:tblInd w:w="0" w:type="dxa"/>
        <w:tblCellMar>
          <w:top w:w="0" w:type="dxa"/>
          <w:left w:w="0" w:type="dxa"/>
          <w:bottom w:w="0" w:type="dxa"/>
          <w:right w:w="0" w:type="dxa"/>
        </w:tblCellMar>
      </w:tblPr>
      <w:tblGrid>
        <w:gridCol w:w="260"/>
        <w:gridCol w:w="6980"/>
      </w:tblGrid>
      <w:tr>
        <w:trPr/>
        <w:tc>
          <w:tcPr>
            <w:tcW w:w="260" w:type="dxa"/>
            <w:tcBorders/>
            <w:shd w:fill="auto" w:val="clear"/>
            <w:vAlign w:val="center"/>
          </w:tcPr>
          <w:p>
            <w:pPr>
              <w:pStyle w:val="TableContents"/>
              <w:spacing w:before="0" w:after="283"/>
              <w:rPr>
                <w:sz w:val="4"/>
                <w:szCs w:val="4"/>
              </w:rPr>
            </w:pPr>
            <w:r>
              <w:rPr>
                <w:sz w:val="4"/>
                <w:szCs w:val="4"/>
              </w:rPr>
            </w:r>
          </w:p>
        </w:tc>
        <w:tc>
          <w:tcPr>
            <w:tcW w:w="6980" w:type="dxa"/>
            <w:tcBorders/>
            <w:shd w:fill="auto" w:val="clear"/>
            <w:vAlign w:val="center"/>
          </w:tcPr>
          <w:p>
            <w:pPr>
              <w:pStyle w:val="TableContents"/>
              <w:spacing w:before="0" w:after="283"/>
              <w:rPr>
                <w:sz w:val="4"/>
                <w:szCs w:val="4"/>
              </w:rPr>
            </w:pPr>
            <w:r>
              <w:rPr>
                <w:sz w:val="4"/>
                <w:szCs w:val="4"/>
              </w:rPr>
            </w:r>
          </w:p>
        </w:tc>
      </w:tr>
      <w:tr>
        <w:trPr/>
        <w:tc>
          <w:tcPr>
            <w:tcW w:w="260" w:type="dxa"/>
            <w:tcBorders/>
            <w:shd w:fill="auto" w:val="clear"/>
            <w:vAlign w:val="center"/>
          </w:tcPr>
          <w:p>
            <w:pPr>
              <w:pStyle w:val="TableContents"/>
              <w:spacing w:lineRule="auto" w:line="288" w:before="0" w:after="0"/>
              <w:ind w:left="0" w:right="0" w:hanging="0"/>
              <w:rPr>
                <w:rFonts w:ascii="inherit" w:hAnsi="inherit"/>
                <w:sz w:val="18"/>
              </w:rPr>
            </w:pPr>
            <w:r>
              <w:rPr>
                <w:rFonts w:ascii="inherit" w:hAnsi="inherit"/>
                <w:sz w:val="12"/>
              </w:rPr>
              <w:t>(1)</w:t>
            </w:r>
            <w:r>
              <w:rPr>
                <w:rFonts w:ascii="inherit" w:hAnsi="inherit"/>
                <w:sz w:val="18"/>
              </w:rPr>
              <w:t> </w:t>
            </w:r>
          </w:p>
        </w:tc>
        <w:tc>
          <w:tcPr>
            <w:tcW w:w="698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Includes immaterial finance lease costs, variable lease costs and sublease income. </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ind w:left="0" w:right="0" w:firstLine="720"/>
        <w:jc w:val="left"/>
        <w:rPr>
          <w:rFonts w:ascii="inherit" w:hAnsi="inherit"/>
          <w:sz w:val="17"/>
        </w:rPr>
      </w:pPr>
      <w:r>
        <w:rPr>
          <w:rFonts w:ascii="inherit" w:hAnsi="inherit"/>
          <w:sz w:val="17"/>
        </w:rPr>
        <w:t>The following table presents information related to cash flows arising from lease transactions (in millions):</w:t>
      </w:r>
    </w:p>
    <w:tbl>
      <w:tblPr>
        <w:tblW w:w="7508" w:type="dxa"/>
        <w:jc w:val="left"/>
        <w:tblInd w:w="0" w:type="dxa"/>
        <w:tblCellMar>
          <w:top w:w="0" w:type="dxa"/>
          <w:left w:w="0" w:type="dxa"/>
          <w:bottom w:w="0" w:type="dxa"/>
          <w:right w:w="0" w:type="dxa"/>
        </w:tblCellMar>
      </w:tblPr>
      <w:tblGrid>
        <w:gridCol w:w="5990"/>
        <w:gridCol w:w="281"/>
        <w:gridCol w:w="521"/>
        <w:gridCol w:w="716"/>
      </w:tblGrid>
      <w:tr>
        <w:trPr/>
        <w:tc>
          <w:tcPr>
            <w:tcW w:w="7508" w:type="dxa"/>
            <w:gridSpan w:val="4"/>
            <w:tcBorders/>
            <w:shd w:fill="auto" w:val="clear"/>
            <w:vAlign w:val="center"/>
          </w:tcPr>
          <w:p>
            <w:pPr>
              <w:pStyle w:val="TableContents"/>
              <w:spacing w:before="0" w:after="283"/>
              <w:rPr>
                <w:sz w:val="4"/>
                <w:szCs w:val="4"/>
              </w:rPr>
            </w:pPr>
            <w:r>
              <w:rPr>
                <w:sz w:val="4"/>
                <w:szCs w:val="4"/>
              </w:rPr>
            </w:r>
          </w:p>
        </w:tc>
      </w:tr>
      <w:tr>
        <w:trPr/>
        <w:tc>
          <w:tcPr>
            <w:tcW w:w="5990"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990" w:type="dxa"/>
            <w:tcBorders/>
            <w:shd w:fill="auto" w:val="clear"/>
            <w:vAlign w:val="center"/>
          </w:tcPr>
          <w:p>
            <w:pPr>
              <w:pStyle w:val="TableContents"/>
              <w:spacing w:before="0" w:after="0"/>
              <w:ind w:left="0" w:right="0" w:firstLine="30"/>
              <w:rPr/>
            </w:pPr>
            <w:r>
              <w:rPr/>
              <w:t> </w:t>
            </w:r>
          </w:p>
        </w:tc>
        <w:tc>
          <w:tcPr>
            <w:tcW w:w="1518" w:type="dxa"/>
            <w:gridSpan w:val="3"/>
            <w:tcBorders>
              <w:bottom w:val="single" w:sz="2" w:space="0" w:color="000000"/>
            </w:tcBorders>
            <w:shd w:fill="auto" w:val="clear"/>
            <w:tcMar>
              <w:bottom w:w="30" w:type="dxa"/>
            </w:tcMar>
            <w:vAlign w:val="center"/>
          </w:tcPr>
          <w:p>
            <w:pPr>
              <w:pStyle w:val="TableContents"/>
              <w:spacing w:before="0" w:after="0"/>
              <w:ind w:left="0" w:right="0" w:firstLine="180"/>
              <w:jc w:val="center"/>
              <w:rPr>
                <w:rFonts w:ascii="inherit" w:hAnsi="inherit"/>
                <w:b/>
                <w:sz w:val="13"/>
              </w:rPr>
            </w:pPr>
            <w:r>
              <w:rPr>
                <w:rFonts w:ascii="inherit" w:hAnsi="inherit"/>
                <w:b/>
                <w:sz w:val="13"/>
              </w:rPr>
              <w:t>Six Months Ended</w:t>
              <w:br/>
              <w:t>June 30, 2019</w:t>
            </w:r>
          </w:p>
        </w:tc>
      </w:tr>
      <w:tr>
        <w:trPr/>
        <w:tc>
          <w:tcPr>
            <w:tcW w:w="59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Cash paid for amounts included in the measurement of lease liabilities:</w:t>
            </w:r>
          </w:p>
        </w:tc>
        <w:tc>
          <w:tcPr>
            <w:tcW w:w="1518" w:type="dxa"/>
            <w:gridSpan w:val="3"/>
            <w:tcBorders/>
            <w:shd w:fill="CCEEFF" w:val="clear"/>
            <w:vAlign w:val="center"/>
          </w:tcPr>
          <w:p>
            <w:pPr>
              <w:pStyle w:val="TableContents"/>
              <w:spacing w:before="0" w:after="0"/>
              <w:ind w:left="0" w:right="0" w:firstLine="300"/>
              <w:rPr/>
            </w:pPr>
            <w:r>
              <w:rPr/>
              <w:t> </w:t>
            </w:r>
          </w:p>
        </w:tc>
      </w:tr>
      <w:tr>
        <w:trPr/>
        <w:tc>
          <w:tcPr>
            <w:tcW w:w="59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Operating cash flows for operating leases</w:t>
            </w:r>
          </w:p>
        </w:tc>
        <w:tc>
          <w:tcPr>
            <w:tcW w:w="28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21" w:type="dxa"/>
            <w:tcBorders/>
            <w:shd w:fill="auto" w:val="clear"/>
            <w:vAlign w:val="center"/>
          </w:tcPr>
          <w:p>
            <w:pPr>
              <w:pStyle w:val="TableContents"/>
              <w:spacing w:before="0" w:after="0"/>
              <w:jc w:val="right"/>
              <w:rPr>
                <w:rFonts w:ascii="inherit" w:hAnsi="inherit"/>
                <w:sz w:val="17"/>
              </w:rPr>
            </w:pPr>
            <w:r>
              <w:rPr>
                <w:rFonts w:ascii="inherit" w:hAnsi="inherit"/>
                <w:sz w:val="17"/>
              </w:rPr>
              <w:t>67</w:t>
            </w:r>
          </w:p>
        </w:tc>
        <w:tc>
          <w:tcPr>
            <w:tcW w:w="716"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9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Financing cash flows for finance leases</w:t>
            </w:r>
          </w:p>
        </w:tc>
        <w:tc>
          <w:tcPr>
            <w:tcW w:w="28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21" w:type="dxa"/>
            <w:tcBorders/>
            <w:shd w:fill="CCEEFF" w:val="clear"/>
            <w:vAlign w:val="center"/>
          </w:tcPr>
          <w:p>
            <w:pPr>
              <w:pStyle w:val="TableContents"/>
              <w:spacing w:before="0" w:after="0"/>
              <w:jc w:val="right"/>
              <w:rPr>
                <w:rFonts w:ascii="inherit" w:hAnsi="inherit"/>
                <w:sz w:val="17"/>
              </w:rPr>
            </w:pPr>
            <w:r>
              <w:rPr>
                <w:rFonts w:ascii="inherit" w:hAnsi="inherit"/>
                <w:sz w:val="17"/>
              </w:rPr>
              <w:t>7</w:t>
            </w:r>
          </w:p>
        </w:tc>
        <w:tc>
          <w:tcPr>
            <w:tcW w:w="7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90" w:type="dxa"/>
            <w:tcBorders/>
            <w:shd w:fill="auto" w:val="clear"/>
            <w:vAlign w:val="center"/>
          </w:tcPr>
          <w:p>
            <w:pPr>
              <w:pStyle w:val="TableContents"/>
              <w:spacing w:before="0" w:after="0"/>
              <w:ind w:left="0" w:right="0" w:firstLine="30"/>
              <w:rPr/>
            </w:pPr>
            <w:r>
              <w:rPr/>
              <w:t> </w:t>
            </w:r>
          </w:p>
        </w:tc>
        <w:tc>
          <w:tcPr>
            <w:tcW w:w="1518" w:type="dxa"/>
            <w:gridSpan w:val="3"/>
            <w:tcBorders/>
            <w:shd w:fill="auto" w:val="clear"/>
            <w:vAlign w:val="center"/>
          </w:tcPr>
          <w:p>
            <w:pPr>
              <w:pStyle w:val="TableContents"/>
              <w:spacing w:before="0" w:after="0"/>
              <w:ind w:left="0" w:right="0" w:firstLine="180"/>
              <w:rPr/>
            </w:pPr>
            <w:r>
              <w:rPr/>
              <w:t> </w:t>
            </w:r>
          </w:p>
        </w:tc>
      </w:tr>
      <w:tr>
        <w:trPr/>
        <w:tc>
          <w:tcPr>
            <w:tcW w:w="59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Right-of-use assets obtained in exchange for new lease liabilities:</w:t>
            </w:r>
          </w:p>
        </w:tc>
        <w:tc>
          <w:tcPr>
            <w:tcW w:w="1518" w:type="dxa"/>
            <w:gridSpan w:val="3"/>
            <w:tcBorders/>
            <w:shd w:fill="CCEEFF" w:val="clear"/>
            <w:vAlign w:val="center"/>
          </w:tcPr>
          <w:p>
            <w:pPr>
              <w:pStyle w:val="TableContents"/>
              <w:spacing w:before="0" w:after="0"/>
              <w:ind w:left="0" w:right="0" w:firstLine="300"/>
              <w:rPr/>
            </w:pPr>
            <w:r>
              <w:rPr/>
              <w:t> </w:t>
            </w:r>
          </w:p>
        </w:tc>
      </w:tr>
      <w:tr>
        <w:trPr/>
        <w:tc>
          <w:tcPr>
            <w:tcW w:w="59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Operating leases</w:t>
            </w:r>
          </w:p>
        </w:tc>
        <w:tc>
          <w:tcPr>
            <w:tcW w:w="28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21" w:type="dxa"/>
            <w:tcBorders/>
            <w:shd w:fill="auto" w:val="clear"/>
            <w:vAlign w:val="center"/>
          </w:tcPr>
          <w:p>
            <w:pPr>
              <w:pStyle w:val="TableContents"/>
              <w:spacing w:before="0" w:after="0"/>
              <w:jc w:val="right"/>
              <w:rPr>
                <w:rFonts w:ascii="inherit" w:hAnsi="inherit"/>
                <w:sz w:val="17"/>
              </w:rPr>
            </w:pPr>
            <w:r>
              <w:rPr>
                <w:rFonts w:ascii="inherit" w:hAnsi="inherit"/>
                <w:sz w:val="17"/>
              </w:rPr>
              <w:t>10</w:t>
            </w:r>
          </w:p>
        </w:tc>
        <w:tc>
          <w:tcPr>
            <w:tcW w:w="716"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ind w:left="0" w:right="0" w:firstLine="720"/>
        <w:jc w:val="left"/>
        <w:rPr>
          <w:rFonts w:ascii="inherit" w:hAnsi="inherit"/>
          <w:sz w:val="17"/>
        </w:rPr>
      </w:pPr>
      <w:r>
        <w:rPr>
          <w:rFonts w:ascii="inherit" w:hAnsi="inherit"/>
          <w:sz w:val="17"/>
        </w:rPr>
        <w:t>Information related to the weighted-average remaining lease term and discount rate is presented in the table below:</w:t>
      </w:r>
    </w:p>
    <w:tbl>
      <w:tblPr>
        <w:tblW w:w="5425" w:type="dxa"/>
        <w:jc w:val="left"/>
        <w:tblInd w:w="0" w:type="dxa"/>
        <w:tblCellMar>
          <w:top w:w="0" w:type="dxa"/>
          <w:left w:w="0" w:type="dxa"/>
          <w:bottom w:w="0" w:type="dxa"/>
          <w:right w:w="0" w:type="dxa"/>
        </w:tblCellMar>
      </w:tblPr>
      <w:tblGrid>
        <w:gridCol w:w="4370"/>
        <w:gridCol w:w="1055"/>
      </w:tblGrid>
      <w:tr>
        <w:trPr/>
        <w:tc>
          <w:tcPr>
            <w:tcW w:w="5425" w:type="dxa"/>
            <w:gridSpan w:val="2"/>
            <w:tcBorders/>
            <w:shd w:fill="auto" w:val="clear"/>
            <w:vAlign w:val="center"/>
          </w:tcPr>
          <w:p>
            <w:pPr>
              <w:pStyle w:val="TableContents"/>
              <w:spacing w:before="0" w:after="283"/>
              <w:rPr>
                <w:sz w:val="4"/>
                <w:szCs w:val="4"/>
              </w:rPr>
            </w:pPr>
            <w:r>
              <w:rPr>
                <w:sz w:val="4"/>
                <w:szCs w:val="4"/>
              </w:rPr>
            </w:r>
          </w:p>
        </w:tc>
      </w:tr>
      <w:tr>
        <w:trPr/>
        <w:tc>
          <w:tcPr>
            <w:tcW w:w="437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370" w:type="dxa"/>
            <w:tcBorders/>
            <w:shd w:fill="auto" w:val="clear"/>
            <w:vAlign w:val="center"/>
          </w:tcPr>
          <w:p>
            <w:pPr>
              <w:pStyle w:val="TableContents"/>
              <w:spacing w:before="0" w:after="0"/>
              <w:ind w:left="0" w:right="0" w:firstLine="30"/>
              <w:rPr/>
            </w:pPr>
            <w:r>
              <w:rPr/>
              <w:t> </w:t>
            </w:r>
          </w:p>
        </w:tc>
        <w:tc>
          <w:tcPr>
            <w:tcW w:w="1055"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June 30, 2019</w:t>
            </w:r>
          </w:p>
        </w:tc>
      </w:tr>
      <w:tr>
        <w:trPr/>
        <w:tc>
          <w:tcPr>
            <w:tcW w:w="43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Weighted-average remaining lease term (in years):</w:t>
            </w:r>
          </w:p>
        </w:tc>
        <w:tc>
          <w:tcPr>
            <w:tcW w:w="1055" w:type="dxa"/>
            <w:tcBorders/>
            <w:shd w:fill="CCEEFF" w:val="clear"/>
            <w:vAlign w:val="center"/>
          </w:tcPr>
          <w:p>
            <w:pPr>
              <w:pStyle w:val="TableContents"/>
              <w:spacing w:before="0" w:after="0"/>
              <w:ind w:left="0" w:right="0" w:firstLine="180"/>
              <w:rPr/>
            </w:pPr>
            <w:r>
              <w:rPr/>
              <w:t> </w:t>
            </w:r>
          </w:p>
        </w:tc>
      </w:tr>
      <w:tr>
        <w:trPr/>
        <w:tc>
          <w:tcPr>
            <w:tcW w:w="43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Operating leases</w:t>
            </w:r>
          </w:p>
        </w:tc>
        <w:tc>
          <w:tcPr>
            <w:tcW w:w="1055" w:type="dxa"/>
            <w:tcBorders/>
            <w:shd w:fill="auto" w:val="clear"/>
            <w:vAlign w:val="center"/>
          </w:tcPr>
          <w:p>
            <w:pPr>
              <w:pStyle w:val="TableContents"/>
              <w:spacing w:before="0" w:after="0"/>
              <w:ind w:left="0" w:right="0" w:firstLine="180"/>
              <w:jc w:val="center"/>
              <w:rPr>
                <w:rFonts w:ascii="inherit" w:hAnsi="inherit"/>
                <w:sz w:val="17"/>
              </w:rPr>
            </w:pPr>
            <w:r>
              <w:rPr>
                <w:rFonts w:ascii="inherit" w:hAnsi="inherit"/>
                <w:sz w:val="17"/>
              </w:rPr>
              <w:t>10.0</w:t>
            </w:r>
          </w:p>
        </w:tc>
      </w:tr>
      <w:tr>
        <w:trPr/>
        <w:tc>
          <w:tcPr>
            <w:tcW w:w="43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Finance leases</w:t>
            </w:r>
          </w:p>
        </w:tc>
        <w:tc>
          <w:tcPr>
            <w:tcW w:w="1055"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3.4</w:t>
            </w:r>
          </w:p>
        </w:tc>
      </w:tr>
      <w:tr>
        <w:trPr/>
        <w:tc>
          <w:tcPr>
            <w:tcW w:w="4370" w:type="dxa"/>
            <w:tcBorders/>
            <w:shd w:fill="auto" w:val="clear"/>
            <w:vAlign w:val="center"/>
          </w:tcPr>
          <w:p>
            <w:pPr>
              <w:pStyle w:val="TableContents"/>
              <w:spacing w:before="0" w:after="0"/>
              <w:ind w:left="0" w:right="0" w:firstLine="30"/>
              <w:rPr/>
            </w:pPr>
            <w:r>
              <w:rPr/>
              <w:t> </w:t>
            </w:r>
          </w:p>
        </w:tc>
        <w:tc>
          <w:tcPr>
            <w:tcW w:w="1055" w:type="dxa"/>
            <w:tcBorders/>
            <w:shd w:fill="auto" w:val="clear"/>
            <w:vAlign w:val="center"/>
          </w:tcPr>
          <w:p>
            <w:pPr>
              <w:pStyle w:val="TableContents"/>
              <w:spacing w:before="0" w:after="0"/>
              <w:ind w:left="0" w:right="0" w:firstLine="30"/>
              <w:rPr/>
            </w:pPr>
            <w:r>
              <w:rPr/>
              <w:t> </w:t>
            </w:r>
          </w:p>
        </w:tc>
      </w:tr>
      <w:tr>
        <w:trPr/>
        <w:tc>
          <w:tcPr>
            <w:tcW w:w="43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Weighted-average discount rate:</w:t>
            </w:r>
          </w:p>
        </w:tc>
        <w:tc>
          <w:tcPr>
            <w:tcW w:w="1055" w:type="dxa"/>
            <w:tcBorders/>
            <w:shd w:fill="CCEEFF" w:val="clear"/>
            <w:vAlign w:val="center"/>
          </w:tcPr>
          <w:p>
            <w:pPr>
              <w:pStyle w:val="TableContents"/>
              <w:spacing w:before="0" w:after="0"/>
              <w:ind w:left="0" w:right="0" w:firstLine="180"/>
              <w:rPr/>
            </w:pPr>
            <w:r>
              <w:rPr/>
              <w:t> </w:t>
            </w:r>
          </w:p>
        </w:tc>
      </w:tr>
      <w:tr>
        <w:trPr/>
        <w:tc>
          <w:tcPr>
            <w:tcW w:w="43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Operating leases</w:t>
            </w:r>
          </w:p>
        </w:tc>
        <w:tc>
          <w:tcPr>
            <w:tcW w:w="1055" w:type="dxa"/>
            <w:tcBorders/>
            <w:shd w:fill="auto" w:val="clear"/>
            <w:vAlign w:val="center"/>
          </w:tcPr>
          <w:p>
            <w:pPr>
              <w:pStyle w:val="TableContents"/>
              <w:spacing w:before="0" w:after="0"/>
              <w:ind w:left="0" w:right="0" w:firstLine="180"/>
              <w:jc w:val="center"/>
              <w:rPr>
                <w:rFonts w:ascii="inherit" w:hAnsi="inherit"/>
                <w:sz w:val="17"/>
              </w:rPr>
            </w:pPr>
            <w:r>
              <w:rPr>
                <w:rFonts w:ascii="inherit" w:hAnsi="inherit"/>
                <w:sz w:val="17"/>
              </w:rPr>
              <w:t>4.5%</w:t>
            </w:r>
          </w:p>
        </w:tc>
      </w:tr>
      <w:tr>
        <w:trPr/>
        <w:tc>
          <w:tcPr>
            <w:tcW w:w="43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Finance leases</w:t>
            </w:r>
          </w:p>
        </w:tc>
        <w:tc>
          <w:tcPr>
            <w:tcW w:w="1055" w:type="dxa"/>
            <w:tcBorders/>
            <w:shd w:fill="CCEEFF" w:val="clear"/>
            <w:vAlign w:val="center"/>
          </w:tcPr>
          <w:p>
            <w:pPr>
              <w:pStyle w:val="TableContents"/>
              <w:spacing w:before="0" w:after="0"/>
              <w:jc w:val="center"/>
              <w:rPr>
                <w:rFonts w:ascii="inherit" w:hAnsi="inherit"/>
                <w:sz w:val="17"/>
              </w:rPr>
            </w:pPr>
            <w:r>
              <w:rPr>
                <w:rFonts w:ascii="inherit" w:hAnsi="inherit"/>
                <w:sz w:val="17"/>
              </w:rPr>
              <w:t>2.2%</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8"/>
        </w:rPr>
      </w:pPr>
      <w:r>
        <w:rPr>
          <w:rFonts w:ascii="inherit" w:hAnsi="inherit"/>
          <w:sz w:val="18"/>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31</w:t>
      </w:r>
      <w:r>
        <w:br w:type="page"/>
      </w:r>
    </w:p>
    <w:p>
      <w:pPr>
        <w:pStyle w:val="TextBody"/>
        <w:spacing w:lineRule="auto" w:line="288" w:before="0" w:after="0"/>
        <w:rPr/>
      </w:pPr>
      <w:hyperlink w:anchor="s3336AD8A685850CC9B7F2572CB2C0BC3">
        <w:r>
          <w:rPr>
            <w:rStyle w:val="InternetLink"/>
            <w:rFonts w:ascii="inherit" w:hAnsi="inherit"/>
            <w:sz w:val="17"/>
          </w:rPr>
          <w:t>Table of Contents</w:t>
        </w:r>
      </w:hyperlink>
      <w:r>
        <w:rPr>
          <w:sz w:val="17"/>
        </w:rPr>
        <w:t xml:space="preserve"> </w:t>
      </w:r>
    </w:p>
    <w:p>
      <w:pPr>
        <w:pStyle w:val="TextBody"/>
        <w:spacing w:lineRule="auto" w:line="288" w:before="0" w:after="0"/>
        <w:jc w:val="center"/>
        <w:rPr>
          <w:rFonts w:ascii="inherit" w:hAnsi="inherit"/>
          <w:b/>
          <w:sz w:val="17"/>
        </w:rPr>
      </w:pPr>
      <w:r>
        <w:rPr>
          <w:rFonts w:ascii="inherit" w:hAnsi="inherit"/>
          <w:b/>
          <w:sz w:val="17"/>
        </w:rPr>
        <w:t>PLAINS ALL AMERICAN PIPELINE, L.P. AND SUBSIDIARIES</w:t>
      </w:r>
    </w:p>
    <w:p>
      <w:pPr>
        <w:pStyle w:val="TextBody"/>
        <w:spacing w:lineRule="auto" w:line="288" w:before="0" w:after="0"/>
        <w:jc w:val="center"/>
        <w:rPr>
          <w:rFonts w:ascii="inherit" w:hAnsi="inherit"/>
          <w:b/>
          <w:sz w:val="17"/>
        </w:rPr>
      </w:pPr>
      <w:r>
        <w:rPr>
          <w:rFonts w:ascii="inherit" w:hAnsi="inherit"/>
          <w:b/>
          <w:sz w:val="17"/>
        </w:rPr>
        <w:t>NOTES TO THE UNAUDITED CONDENSED CONSOLIDATED FINANCIAL STATEMENTS</w:t>
      </w:r>
    </w:p>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720"/>
        <w:jc w:val="left"/>
        <w:rPr>
          <w:rFonts w:ascii="inherit" w:hAnsi="inherit"/>
          <w:sz w:val="17"/>
        </w:rPr>
      </w:pPr>
      <w:r>
        <w:rPr>
          <w:rFonts w:ascii="inherit" w:hAnsi="inherit"/>
          <w:sz w:val="17"/>
        </w:rPr>
        <w:t>The following table presents the amount and location of our operating and finance lease right-of-use assets and liabilities on our Condensed Consolidated Balance Sheet (in millions):</w:t>
      </w:r>
    </w:p>
    <w:tbl>
      <w:tblPr>
        <w:tblW w:w="8474" w:type="dxa"/>
        <w:jc w:val="center"/>
        <w:tblInd w:w="0" w:type="dxa"/>
        <w:tblCellMar>
          <w:top w:w="0" w:type="dxa"/>
          <w:left w:w="0" w:type="dxa"/>
          <w:bottom w:w="0" w:type="dxa"/>
          <w:right w:w="0" w:type="dxa"/>
        </w:tblCellMar>
      </w:tblPr>
      <w:tblGrid>
        <w:gridCol w:w="3005"/>
        <w:gridCol w:w="90"/>
        <w:gridCol w:w="4235"/>
        <w:gridCol w:w="90"/>
        <w:gridCol w:w="170"/>
        <w:gridCol w:w="456"/>
        <w:gridCol w:w="428"/>
      </w:tblGrid>
      <w:tr>
        <w:trPr/>
        <w:tc>
          <w:tcPr>
            <w:tcW w:w="8474" w:type="dxa"/>
            <w:gridSpan w:val="7"/>
            <w:tcBorders/>
            <w:shd w:fill="auto" w:val="clear"/>
            <w:vAlign w:val="center"/>
          </w:tcPr>
          <w:p>
            <w:pPr>
              <w:pStyle w:val="TableContents"/>
              <w:spacing w:before="0" w:after="283"/>
              <w:rPr>
                <w:sz w:val="4"/>
                <w:szCs w:val="4"/>
              </w:rPr>
            </w:pPr>
            <w:r>
              <w:rPr>
                <w:sz w:val="4"/>
                <w:szCs w:val="4"/>
              </w:rPr>
            </w:r>
          </w:p>
        </w:tc>
      </w:tr>
      <w:tr>
        <w:trPr/>
        <w:tc>
          <w:tcPr>
            <w:tcW w:w="300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423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00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3"/>
              </w:rPr>
            </w:pPr>
            <w:r>
              <w:rPr>
                <w:rFonts w:ascii="inherit" w:hAnsi="inherit"/>
                <w:b/>
                <w:sz w:val="13"/>
              </w:rPr>
              <w:t>Leases</w:t>
            </w:r>
          </w:p>
        </w:tc>
        <w:tc>
          <w:tcPr>
            <w:tcW w:w="90" w:type="dxa"/>
            <w:tcBorders/>
            <w:shd w:fill="auto" w:val="clear"/>
            <w:vAlign w:val="center"/>
          </w:tcPr>
          <w:p>
            <w:pPr>
              <w:pStyle w:val="TableContents"/>
              <w:spacing w:before="0" w:after="0"/>
              <w:ind w:left="0" w:right="0" w:firstLine="30"/>
              <w:rPr/>
            </w:pPr>
            <w:r>
              <w:rPr/>
              <w:t> </w:t>
            </w:r>
          </w:p>
        </w:tc>
        <w:tc>
          <w:tcPr>
            <w:tcW w:w="4235"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Balance Sheet Location</w:t>
            </w:r>
          </w:p>
        </w:tc>
        <w:tc>
          <w:tcPr>
            <w:tcW w:w="90" w:type="dxa"/>
            <w:tcBorders/>
            <w:shd w:fill="auto" w:val="clear"/>
            <w:vAlign w:val="center"/>
          </w:tcPr>
          <w:p>
            <w:pPr>
              <w:pStyle w:val="TableContents"/>
              <w:spacing w:before="0" w:after="0"/>
              <w:ind w:left="0" w:right="0" w:firstLine="30"/>
              <w:rPr/>
            </w:pPr>
            <w:r>
              <w:rPr/>
              <w:t> </w:t>
            </w:r>
          </w:p>
        </w:tc>
        <w:tc>
          <w:tcPr>
            <w:tcW w:w="105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June 30, 2019</w:t>
            </w:r>
          </w:p>
        </w:tc>
      </w:tr>
      <w:tr>
        <w:trPr/>
        <w:tc>
          <w:tcPr>
            <w:tcW w:w="3005" w:type="dxa"/>
            <w:tcBorders/>
            <w:shd w:fill="CCEEFF" w:val="clear"/>
            <w:vAlign w:val="center"/>
          </w:tcPr>
          <w:p>
            <w:pPr>
              <w:pStyle w:val="TableContents"/>
              <w:spacing w:before="0" w:after="0"/>
              <w:ind w:left="0" w:right="0" w:firstLine="30"/>
              <w:rPr>
                <w:rFonts w:ascii="inherit" w:hAnsi="inherit"/>
                <w:b/>
                <w:sz w:val="17"/>
              </w:rPr>
            </w:pPr>
            <w:r>
              <w:rPr>
                <w:rFonts w:ascii="inherit" w:hAnsi="inherit"/>
                <w:b/>
                <w:sz w:val="17"/>
              </w:rPr>
              <w:t>Assets</w:t>
            </w:r>
          </w:p>
        </w:tc>
        <w:tc>
          <w:tcPr>
            <w:tcW w:w="90" w:type="dxa"/>
            <w:tcBorders/>
            <w:shd w:fill="CCEEFF" w:val="clear"/>
            <w:vAlign w:val="center"/>
          </w:tcPr>
          <w:p>
            <w:pPr>
              <w:pStyle w:val="TableContents"/>
              <w:spacing w:before="0" w:after="0"/>
              <w:ind w:left="0" w:right="0" w:firstLine="30"/>
              <w:rPr/>
            </w:pPr>
            <w:r>
              <w:rPr/>
              <w:t> </w:t>
            </w:r>
          </w:p>
        </w:tc>
        <w:tc>
          <w:tcPr>
            <w:tcW w:w="4235"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54" w:type="dxa"/>
            <w:gridSpan w:val="3"/>
            <w:tcBorders/>
            <w:shd w:fill="CCEEFF" w:val="clear"/>
            <w:vAlign w:val="center"/>
          </w:tcPr>
          <w:p>
            <w:pPr>
              <w:pStyle w:val="TableContents"/>
              <w:spacing w:before="0" w:after="0"/>
              <w:ind w:left="0" w:right="0" w:firstLine="180"/>
              <w:rPr/>
            </w:pPr>
            <w:r>
              <w:rPr/>
              <w:t> </w:t>
            </w:r>
          </w:p>
        </w:tc>
      </w:tr>
      <w:tr>
        <w:trPr/>
        <w:tc>
          <w:tcPr>
            <w:tcW w:w="30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Operating lease right-of-use assets</w:t>
            </w:r>
          </w:p>
        </w:tc>
        <w:tc>
          <w:tcPr>
            <w:tcW w:w="90" w:type="dxa"/>
            <w:tcBorders/>
            <w:shd w:fill="auto" w:val="clear"/>
            <w:vAlign w:val="center"/>
          </w:tcPr>
          <w:p>
            <w:pPr>
              <w:pStyle w:val="TableContents"/>
              <w:spacing w:before="0" w:after="0"/>
              <w:ind w:left="0" w:right="0" w:firstLine="30"/>
              <w:rPr/>
            </w:pPr>
            <w:r>
              <w:rPr/>
              <w:t> </w:t>
            </w:r>
          </w:p>
        </w:tc>
        <w:tc>
          <w:tcPr>
            <w:tcW w:w="423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Long-term operating lease right-of-use assets, net</w:t>
            </w:r>
          </w:p>
        </w:tc>
        <w:tc>
          <w:tcPr>
            <w:tcW w:w="90" w:type="dxa"/>
            <w:tcBorders/>
            <w:shd w:fill="auto" w:val="clear"/>
            <w:vAlign w:val="center"/>
          </w:tcPr>
          <w:p>
            <w:pPr>
              <w:pStyle w:val="TableContents"/>
              <w:spacing w:before="0" w:after="0"/>
              <w:ind w:left="0" w:right="0" w:firstLine="30"/>
              <w:rPr/>
            </w:pPr>
            <w:r>
              <w:rPr/>
              <w:t> </w:t>
            </w:r>
          </w:p>
        </w:tc>
        <w:tc>
          <w:tcPr>
            <w:tcW w:w="17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56" w:type="dxa"/>
            <w:tcBorders/>
            <w:shd w:fill="auto" w:val="clear"/>
            <w:vAlign w:val="center"/>
          </w:tcPr>
          <w:p>
            <w:pPr>
              <w:pStyle w:val="TableContents"/>
              <w:spacing w:before="0" w:after="0"/>
              <w:jc w:val="right"/>
              <w:rPr>
                <w:rFonts w:ascii="inherit" w:hAnsi="inherit"/>
                <w:sz w:val="17"/>
              </w:rPr>
            </w:pPr>
            <w:r>
              <w:rPr>
                <w:rFonts w:ascii="inherit" w:hAnsi="inherit"/>
                <w:sz w:val="17"/>
              </w:rPr>
              <w:t>469</w:t>
            </w:r>
          </w:p>
        </w:tc>
        <w:tc>
          <w:tcPr>
            <w:tcW w:w="4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05"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4235"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54" w:type="dxa"/>
            <w:gridSpan w:val="3"/>
            <w:tcBorders/>
            <w:shd w:fill="CCEEFF" w:val="clear"/>
            <w:vAlign w:val="center"/>
          </w:tcPr>
          <w:p>
            <w:pPr>
              <w:pStyle w:val="TableContents"/>
              <w:spacing w:before="0" w:after="0"/>
              <w:ind w:left="0" w:right="0" w:firstLine="180"/>
              <w:rPr/>
            </w:pPr>
            <w:r>
              <w:rPr/>
              <w:t> </w:t>
            </w:r>
          </w:p>
        </w:tc>
      </w:tr>
      <w:tr>
        <w:trPr/>
        <w:tc>
          <w:tcPr>
            <w:tcW w:w="30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Finance lease right-of-use assets</w:t>
            </w:r>
          </w:p>
        </w:tc>
        <w:tc>
          <w:tcPr>
            <w:tcW w:w="90" w:type="dxa"/>
            <w:tcBorders/>
            <w:shd w:fill="auto" w:val="clear"/>
            <w:vAlign w:val="center"/>
          </w:tcPr>
          <w:p>
            <w:pPr>
              <w:pStyle w:val="TableContents"/>
              <w:spacing w:before="0" w:after="0"/>
              <w:ind w:left="0" w:right="0" w:firstLine="30"/>
              <w:rPr/>
            </w:pPr>
            <w:r>
              <w:rPr/>
              <w:t> </w:t>
            </w:r>
          </w:p>
        </w:tc>
        <w:tc>
          <w:tcPr>
            <w:tcW w:w="423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Property and equipment</w:t>
            </w:r>
          </w:p>
        </w:tc>
        <w:tc>
          <w:tcPr>
            <w:tcW w:w="90" w:type="dxa"/>
            <w:tcBorders/>
            <w:shd w:fill="auto" w:val="clear"/>
            <w:vAlign w:val="center"/>
          </w:tcPr>
          <w:p>
            <w:pPr>
              <w:pStyle w:val="TableContents"/>
              <w:spacing w:before="0" w:after="0"/>
              <w:ind w:left="0" w:right="0" w:firstLine="30"/>
              <w:rPr/>
            </w:pPr>
            <w:r>
              <w:rPr/>
              <w:t> </w:t>
            </w:r>
          </w:p>
        </w:tc>
        <w:tc>
          <w:tcPr>
            <w:tcW w:w="17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56" w:type="dxa"/>
            <w:tcBorders/>
            <w:shd w:fill="auto" w:val="clear"/>
            <w:vAlign w:val="center"/>
          </w:tcPr>
          <w:p>
            <w:pPr>
              <w:pStyle w:val="TableContents"/>
              <w:spacing w:before="0" w:after="0"/>
              <w:jc w:val="right"/>
              <w:rPr>
                <w:rFonts w:ascii="inherit" w:hAnsi="inherit"/>
                <w:sz w:val="17"/>
              </w:rPr>
            </w:pPr>
            <w:r>
              <w:rPr>
                <w:rFonts w:ascii="inherit" w:hAnsi="inherit"/>
                <w:sz w:val="17"/>
              </w:rPr>
              <w:t>105</w:t>
            </w:r>
          </w:p>
        </w:tc>
        <w:tc>
          <w:tcPr>
            <w:tcW w:w="4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05"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4235"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Accumulated depreciation</w:t>
            </w:r>
          </w:p>
        </w:tc>
        <w:tc>
          <w:tcPr>
            <w:tcW w:w="90" w:type="dxa"/>
            <w:tcBorders/>
            <w:shd w:fill="CCEEFF" w:val="clear"/>
            <w:vAlign w:val="center"/>
          </w:tcPr>
          <w:p>
            <w:pPr>
              <w:pStyle w:val="TableContents"/>
              <w:spacing w:before="0" w:after="0"/>
              <w:ind w:left="0" w:right="0" w:firstLine="30"/>
              <w:rPr/>
            </w:pPr>
            <w:r>
              <w:rPr/>
              <w:t> </w:t>
            </w:r>
          </w:p>
        </w:tc>
        <w:tc>
          <w:tcPr>
            <w:tcW w:w="62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w:t>
            </w:r>
          </w:p>
        </w:tc>
        <w:tc>
          <w:tcPr>
            <w:tcW w:w="4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00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423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Property and equipment, net</w:t>
            </w:r>
          </w:p>
        </w:tc>
        <w:tc>
          <w:tcPr>
            <w:tcW w:w="90" w:type="dxa"/>
            <w:tcBorders/>
            <w:shd w:fill="auto" w:val="clear"/>
            <w:vAlign w:val="center"/>
          </w:tcPr>
          <w:p>
            <w:pPr>
              <w:pStyle w:val="TableContents"/>
              <w:spacing w:before="0" w:after="0"/>
              <w:ind w:left="0" w:right="0" w:firstLine="30"/>
              <w:rPr/>
            </w:pPr>
            <w:r>
              <w:rPr/>
              <w:t> </w:t>
            </w:r>
          </w:p>
        </w:tc>
        <w:tc>
          <w:tcPr>
            <w:tcW w:w="170"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456"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91</w:t>
            </w:r>
          </w:p>
        </w:tc>
        <w:tc>
          <w:tcPr>
            <w:tcW w:w="428"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05"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4235"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54" w:type="dxa"/>
            <w:gridSpan w:val="3"/>
            <w:tcBorders/>
            <w:shd w:fill="CCEEFF" w:val="clear"/>
            <w:vAlign w:val="center"/>
          </w:tcPr>
          <w:p>
            <w:pPr>
              <w:pStyle w:val="TableContents"/>
              <w:spacing w:before="0" w:after="0"/>
              <w:ind w:left="0" w:right="0" w:firstLine="30"/>
              <w:rPr/>
            </w:pPr>
            <w:r>
              <w:rPr/>
              <w:t> </w:t>
            </w:r>
          </w:p>
        </w:tc>
      </w:tr>
      <w:tr>
        <w:trPr/>
        <w:tc>
          <w:tcPr>
            <w:tcW w:w="3005" w:type="dxa"/>
            <w:tcBorders/>
            <w:shd w:fill="auto" w:val="clear"/>
            <w:vAlign w:val="center"/>
          </w:tcPr>
          <w:p>
            <w:pPr>
              <w:pStyle w:val="TableContents"/>
              <w:spacing w:before="0" w:after="0"/>
              <w:ind w:left="0" w:right="0" w:firstLine="30"/>
              <w:rPr>
                <w:rFonts w:ascii="inherit" w:hAnsi="inherit"/>
                <w:b/>
                <w:sz w:val="17"/>
              </w:rPr>
            </w:pPr>
            <w:r>
              <w:rPr>
                <w:rFonts w:ascii="inherit" w:hAnsi="inherit"/>
                <w:b/>
                <w:sz w:val="17"/>
              </w:rPr>
              <w:t>Total lease right-of-use assets</w:t>
            </w:r>
          </w:p>
        </w:tc>
        <w:tc>
          <w:tcPr>
            <w:tcW w:w="90" w:type="dxa"/>
            <w:tcBorders/>
            <w:shd w:fill="auto" w:val="clear"/>
            <w:vAlign w:val="center"/>
          </w:tcPr>
          <w:p>
            <w:pPr>
              <w:pStyle w:val="TableContents"/>
              <w:spacing w:before="0" w:after="0"/>
              <w:ind w:left="0" w:right="0" w:firstLine="30"/>
              <w:rPr/>
            </w:pPr>
            <w:r>
              <w:rPr/>
              <w:t> </w:t>
            </w:r>
          </w:p>
        </w:tc>
        <w:tc>
          <w:tcPr>
            <w:tcW w:w="423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5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560</w:t>
            </w:r>
          </w:p>
        </w:tc>
        <w:tc>
          <w:tcPr>
            <w:tcW w:w="428"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05"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4235"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54" w:type="dxa"/>
            <w:gridSpan w:val="3"/>
            <w:tcBorders/>
            <w:shd w:fill="CCEEFF" w:val="clear"/>
            <w:vAlign w:val="center"/>
          </w:tcPr>
          <w:p>
            <w:pPr>
              <w:pStyle w:val="TableContents"/>
              <w:spacing w:before="0" w:after="0"/>
              <w:ind w:left="0" w:right="0" w:firstLine="30"/>
              <w:rPr/>
            </w:pPr>
            <w:r>
              <w:rPr/>
              <w:t> </w:t>
            </w:r>
          </w:p>
        </w:tc>
      </w:tr>
      <w:tr>
        <w:trPr/>
        <w:tc>
          <w:tcPr>
            <w:tcW w:w="3005" w:type="dxa"/>
            <w:tcBorders/>
            <w:shd w:fill="auto" w:val="clear"/>
            <w:vAlign w:val="center"/>
          </w:tcPr>
          <w:p>
            <w:pPr>
              <w:pStyle w:val="TableContents"/>
              <w:spacing w:before="0" w:after="0"/>
              <w:ind w:left="0" w:right="0" w:firstLine="30"/>
              <w:rPr>
                <w:rFonts w:ascii="inherit" w:hAnsi="inherit"/>
                <w:b/>
                <w:sz w:val="17"/>
              </w:rPr>
            </w:pPr>
            <w:r>
              <w:rPr>
                <w:rFonts w:ascii="inherit" w:hAnsi="inherit"/>
                <w:b/>
                <w:sz w:val="17"/>
              </w:rPr>
              <w:t>Liabilities</w:t>
            </w:r>
          </w:p>
        </w:tc>
        <w:tc>
          <w:tcPr>
            <w:tcW w:w="90" w:type="dxa"/>
            <w:tcBorders/>
            <w:shd w:fill="auto" w:val="clear"/>
            <w:vAlign w:val="center"/>
          </w:tcPr>
          <w:p>
            <w:pPr>
              <w:pStyle w:val="TableContents"/>
              <w:spacing w:before="0" w:after="0"/>
              <w:ind w:left="0" w:right="0" w:firstLine="30"/>
              <w:rPr/>
            </w:pPr>
            <w:r>
              <w:rPr/>
              <w:t> </w:t>
            </w:r>
          </w:p>
        </w:tc>
        <w:tc>
          <w:tcPr>
            <w:tcW w:w="423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54" w:type="dxa"/>
            <w:gridSpan w:val="3"/>
            <w:tcBorders/>
            <w:shd w:fill="auto" w:val="clear"/>
            <w:vAlign w:val="center"/>
          </w:tcPr>
          <w:p>
            <w:pPr>
              <w:pStyle w:val="TableContents"/>
              <w:spacing w:before="0" w:after="0"/>
              <w:ind w:left="0" w:right="0" w:firstLine="180"/>
              <w:rPr/>
            </w:pPr>
            <w:r>
              <w:rPr/>
              <w:t> </w:t>
            </w:r>
          </w:p>
        </w:tc>
      </w:tr>
      <w:tr>
        <w:trPr/>
        <w:tc>
          <w:tcPr>
            <w:tcW w:w="30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Operating lease liabilities</w:t>
            </w:r>
          </w:p>
        </w:tc>
        <w:tc>
          <w:tcPr>
            <w:tcW w:w="90" w:type="dxa"/>
            <w:tcBorders/>
            <w:shd w:fill="CCEEFF" w:val="clear"/>
            <w:vAlign w:val="center"/>
          </w:tcPr>
          <w:p>
            <w:pPr>
              <w:pStyle w:val="TableContents"/>
              <w:spacing w:before="0" w:after="0"/>
              <w:ind w:left="0" w:right="0" w:firstLine="30"/>
              <w:rPr/>
            </w:pPr>
            <w:r>
              <w:rPr/>
              <w:t> </w:t>
            </w:r>
          </w:p>
        </w:tc>
        <w:tc>
          <w:tcPr>
            <w:tcW w:w="4235"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54" w:type="dxa"/>
            <w:gridSpan w:val="3"/>
            <w:tcBorders/>
            <w:shd w:fill="CCEEFF" w:val="clear"/>
            <w:vAlign w:val="center"/>
          </w:tcPr>
          <w:p>
            <w:pPr>
              <w:pStyle w:val="TableContents"/>
              <w:spacing w:before="0" w:after="0"/>
              <w:ind w:left="0" w:right="0" w:firstLine="300"/>
              <w:rPr/>
            </w:pPr>
            <w:r>
              <w:rPr/>
              <w:t> </w:t>
            </w:r>
          </w:p>
        </w:tc>
      </w:tr>
      <w:tr>
        <w:trPr/>
        <w:tc>
          <w:tcPr>
            <w:tcW w:w="30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Current</w:t>
            </w:r>
          </w:p>
        </w:tc>
        <w:tc>
          <w:tcPr>
            <w:tcW w:w="90" w:type="dxa"/>
            <w:tcBorders/>
            <w:shd w:fill="auto" w:val="clear"/>
            <w:vAlign w:val="center"/>
          </w:tcPr>
          <w:p>
            <w:pPr>
              <w:pStyle w:val="TableContents"/>
              <w:spacing w:before="0" w:after="0"/>
              <w:ind w:left="0" w:right="0" w:firstLine="30"/>
              <w:rPr/>
            </w:pPr>
            <w:r>
              <w:rPr/>
              <w:t> </w:t>
            </w:r>
          </w:p>
        </w:tc>
        <w:tc>
          <w:tcPr>
            <w:tcW w:w="423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Other current liabilities</w:t>
            </w:r>
          </w:p>
        </w:tc>
        <w:tc>
          <w:tcPr>
            <w:tcW w:w="90" w:type="dxa"/>
            <w:tcBorders/>
            <w:shd w:fill="auto" w:val="clear"/>
            <w:vAlign w:val="center"/>
          </w:tcPr>
          <w:p>
            <w:pPr>
              <w:pStyle w:val="TableContents"/>
              <w:spacing w:before="0" w:after="0"/>
              <w:ind w:left="0" w:right="0" w:firstLine="30"/>
              <w:rPr/>
            </w:pPr>
            <w:r>
              <w:rPr/>
              <w:t> </w:t>
            </w:r>
          </w:p>
        </w:tc>
        <w:tc>
          <w:tcPr>
            <w:tcW w:w="17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56" w:type="dxa"/>
            <w:tcBorders/>
            <w:shd w:fill="auto" w:val="clear"/>
            <w:vAlign w:val="center"/>
          </w:tcPr>
          <w:p>
            <w:pPr>
              <w:pStyle w:val="TableContents"/>
              <w:spacing w:before="0" w:after="0"/>
              <w:jc w:val="right"/>
              <w:rPr>
                <w:rFonts w:ascii="inherit" w:hAnsi="inherit"/>
                <w:sz w:val="17"/>
              </w:rPr>
            </w:pPr>
            <w:r>
              <w:rPr>
                <w:rFonts w:ascii="inherit" w:hAnsi="inherit"/>
                <w:sz w:val="17"/>
              </w:rPr>
              <w:t>104</w:t>
            </w:r>
          </w:p>
        </w:tc>
        <w:tc>
          <w:tcPr>
            <w:tcW w:w="428"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0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Noncurrent</w:t>
            </w:r>
          </w:p>
        </w:tc>
        <w:tc>
          <w:tcPr>
            <w:tcW w:w="90" w:type="dxa"/>
            <w:tcBorders/>
            <w:shd w:fill="CCEEFF" w:val="clear"/>
            <w:vAlign w:val="center"/>
          </w:tcPr>
          <w:p>
            <w:pPr>
              <w:pStyle w:val="TableContents"/>
              <w:spacing w:before="0" w:after="0"/>
              <w:ind w:left="0" w:right="0" w:firstLine="30"/>
              <w:rPr/>
            </w:pPr>
            <w:r>
              <w:rPr/>
              <w:t> </w:t>
            </w:r>
          </w:p>
        </w:tc>
        <w:tc>
          <w:tcPr>
            <w:tcW w:w="4235"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Long-term operating lease liabilities</w:t>
            </w:r>
          </w:p>
        </w:tc>
        <w:tc>
          <w:tcPr>
            <w:tcW w:w="90" w:type="dxa"/>
            <w:tcBorders/>
            <w:shd w:fill="CCEEFF" w:val="clear"/>
            <w:vAlign w:val="center"/>
          </w:tcPr>
          <w:p>
            <w:pPr>
              <w:pStyle w:val="TableContents"/>
              <w:spacing w:before="0" w:after="0"/>
              <w:ind w:left="0" w:right="0" w:firstLine="30"/>
              <w:rPr/>
            </w:pPr>
            <w:r>
              <w:rPr/>
              <w:t> </w:t>
            </w:r>
          </w:p>
        </w:tc>
        <w:tc>
          <w:tcPr>
            <w:tcW w:w="62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370</w:t>
            </w:r>
          </w:p>
        </w:tc>
        <w:tc>
          <w:tcPr>
            <w:tcW w:w="428"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0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operating lease liabilities</w:t>
            </w:r>
          </w:p>
        </w:tc>
        <w:tc>
          <w:tcPr>
            <w:tcW w:w="90" w:type="dxa"/>
            <w:tcBorders/>
            <w:shd w:fill="auto" w:val="clear"/>
            <w:vAlign w:val="center"/>
          </w:tcPr>
          <w:p>
            <w:pPr>
              <w:pStyle w:val="TableContents"/>
              <w:spacing w:before="0" w:after="0"/>
              <w:ind w:left="0" w:right="0" w:firstLine="30"/>
              <w:rPr/>
            </w:pPr>
            <w:r>
              <w:rPr/>
              <w:t> </w:t>
            </w:r>
          </w:p>
        </w:tc>
        <w:tc>
          <w:tcPr>
            <w:tcW w:w="423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0"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456"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474</w:t>
            </w:r>
          </w:p>
        </w:tc>
        <w:tc>
          <w:tcPr>
            <w:tcW w:w="428"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05"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4235"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54" w:type="dxa"/>
            <w:gridSpan w:val="3"/>
            <w:tcBorders/>
            <w:shd w:fill="CCEEFF" w:val="clear"/>
            <w:vAlign w:val="center"/>
          </w:tcPr>
          <w:p>
            <w:pPr>
              <w:pStyle w:val="TableContents"/>
              <w:spacing w:before="0" w:after="0"/>
              <w:ind w:left="0" w:right="0" w:firstLine="180"/>
              <w:rPr/>
            </w:pPr>
            <w:r>
              <w:rPr/>
              <w:t> </w:t>
            </w:r>
          </w:p>
        </w:tc>
      </w:tr>
      <w:tr>
        <w:trPr/>
        <w:tc>
          <w:tcPr>
            <w:tcW w:w="30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Finance lease liabilities</w:t>
            </w:r>
          </w:p>
        </w:tc>
        <w:tc>
          <w:tcPr>
            <w:tcW w:w="90" w:type="dxa"/>
            <w:tcBorders/>
            <w:shd w:fill="auto" w:val="clear"/>
            <w:vAlign w:val="center"/>
          </w:tcPr>
          <w:p>
            <w:pPr>
              <w:pStyle w:val="TableContents"/>
              <w:spacing w:before="0" w:after="0"/>
              <w:ind w:left="0" w:right="0" w:firstLine="30"/>
              <w:rPr/>
            </w:pPr>
            <w:r>
              <w:rPr/>
              <w:t> </w:t>
            </w:r>
          </w:p>
        </w:tc>
        <w:tc>
          <w:tcPr>
            <w:tcW w:w="423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54" w:type="dxa"/>
            <w:gridSpan w:val="3"/>
            <w:tcBorders/>
            <w:shd w:fill="auto" w:val="clear"/>
            <w:vAlign w:val="center"/>
          </w:tcPr>
          <w:p>
            <w:pPr>
              <w:pStyle w:val="TableContents"/>
              <w:spacing w:before="0" w:after="0"/>
              <w:ind w:left="0" w:right="0" w:firstLine="300"/>
              <w:rPr/>
            </w:pPr>
            <w:r>
              <w:rPr/>
              <w:t> </w:t>
            </w:r>
          </w:p>
        </w:tc>
      </w:tr>
      <w:tr>
        <w:trPr/>
        <w:tc>
          <w:tcPr>
            <w:tcW w:w="30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Current</w:t>
            </w:r>
          </w:p>
        </w:tc>
        <w:tc>
          <w:tcPr>
            <w:tcW w:w="90" w:type="dxa"/>
            <w:tcBorders/>
            <w:shd w:fill="CCEEFF" w:val="clear"/>
            <w:vAlign w:val="center"/>
          </w:tcPr>
          <w:p>
            <w:pPr>
              <w:pStyle w:val="TableContents"/>
              <w:spacing w:before="0" w:after="0"/>
              <w:ind w:left="0" w:right="0" w:firstLine="30"/>
              <w:rPr/>
            </w:pPr>
            <w:r>
              <w:rPr/>
              <w:t> </w:t>
            </w:r>
          </w:p>
        </w:tc>
        <w:tc>
          <w:tcPr>
            <w:tcW w:w="4235"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Short-term debt</w:t>
            </w:r>
          </w:p>
        </w:tc>
        <w:tc>
          <w:tcPr>
            <w:tcW w:w="90" w:type="dxa"/>
            <w:tcBorders/>
            <w:shd w:fill="CCEEFF" w:val="clear"/>
            <w:vAlign w:val="center"/>
          </w:tcPr>
          <w:p>
            <w:pPr>
              <w:pStyle w:val="TableContents"/>
              <w:spacing w:before="0" w:after="0"/>
              <w:ind w:left="0" w:right="0" w:firstLine="30"/>
              <w:rPr/>
            </w:pPr>
            <w:r>
              <w:rPr/>
              <w:t> </w:t>
            </w:r>
          </w:p>
        </w:tc>
        <w:tc>
          <w:tcPr>
            <w:tcW w:w="17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56" w:type="dxa"/>
            <w:tcBorders/>
            <w:shd w:fill="CCEEFF" w:val="clear"/>
            <w:vAlign w:val="center"/>
          </w:tcPr>
          <w:p>
            <w:pPr>
              <w:pStyle w:val="TableContents"/>
              <w:spacing w:before="0" w:after="0"/>
              <w:jc w:val="right"/>
              <w:rPr>
                <w:rFonts w:ascii="inherit" w:hAnsi="inherit"/>
                <w:sz w:val="17"/>
              </w:rPr>
            </w:pPr>
            <w:r>
              <w:rPr>
                <w:rFonts w:ascii="inherit" w:hAnsi="inherit"/>
                <w:sz w:val="17"/>
              </w:rPr>
              <w:t>19</w:t>
            </w:r>
          </w:p>
        </w:tc>
        <w:tc>
          <w:tcPr>
            <w:tcW w:w="428"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0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Noncurrent</w:t>
            </w:r>
          </w:p>
        </w:tc>
        <w:tc>
          <w:tcPr>
            <w:tcW w:w="90" w:type="dxa"/>
            <w:tcBorders/>
            <w:shd w:fill="auto" w:val="clear"/>
            <w:vAlign w:val="center"/>
          </w:tcPr>
          <w:p>
            <w:pPr>
              <w:pStyle w:val="TableContents"/>
              <w:spacing w:before="0" w:after="0"/>
              <w:ind w:left="0" w:right="0" w:firstLine="30"/>
              <w:rPr/>
            </w:pPr>
            <w:r>
              <w:rPr/>
              <w:t> </w:t>
            </w:r>
          </w:p>
        </w:tc>
        <w:tc>
          <w:tcPr>
            <w:tcW w:w="423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Other long-term debt, net</w:t>
            </w:r>
          </w:p>
        </w:tc>
        <w:tc>
          <w:tcPr>
            <w:tcW w:w="90" w:type="dxa"/>
            <w:tcBorders/>
            <w:shd w:fill="auto" w:val="clear"/>
            <w:vAlign w:val="center"/>
          </w:tcPr>
          <w:p>
            <w:pPr>
              <w:pStyle w:val="TableContents"/>
              <w:spacing w:before="0" w:after="0"/>
              <w:ind w:left="0" w:right="0" w:firstLine="30"/>
              <w:rPr/>
            </w:pPr>
            <w:r>
              <w:rPr/>
              <w:t> </w:t>
            </w:r>
          </w:p>
        </w:tc>
        <w:tc>
          <w:tcPr>
            <w:tcW w:w="62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32</w:t>
            </w:r>
          </w:p>
        </w:tc>
        <w:tc>
          <w:tcPr>
            <w:tcW w:w="428" w:type="dxa"/>
            <w:tcBorders>
              <w:bottom w:val="single" w:sz="2" w:space="0" w:color="000000"/>
            </w:tcBorders>
            <w:shd w:fill="auto"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0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finance lease liabilities</w:t>
            </w:r>
          </w:p>
        </w:tc>
        <w:tc>
          <w:tcPr>
            <w:tcW w:w="90" w:type="dxa"/>
            <w:tcBorders/>
            <w:shd w:fill="CCEEFF" w:val="clear"/>
            <w:vAlign w:val="center"/>
          </w:tcPr>
          <w:p>
            <w:pPr>
              <w:pStyle w:val="TableContents"/>
              <w:spacing w:before="0" w:after="0"/>
              <w:ind w:left="0" w:right="0" w:firstLine="30"/>
              <w:rPr/>
            </w:pPr>
            <w:r>
              <w:rPr/>
              <w:t> </w:t>
            </w:r>
          </w:p>
        </w:tc>
        <w:tc>
          <w:tcPr>
            <w:tcW w:w="4235"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7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56" w:type="dxa"/>
            <w:tcBorders/>
            <w:shd w:fill="CCEEFF" w:val="clear"/>
            <w:vAlign w:val="center"/>
          </w:tcPr>
          <w:p>
            <w:pPr>
              <w:pStyle w:val="TableContents"/>
              <w:spacing w:before="0" w:after="0"/>
              <w:jc w:val="right"/>
              <w:rPr>
                <w:rFonts w:ascii="inherit" w:hAnsi="inherit"/>
                <w:sz w:val="17"/>
              </w:rPr>
            </w:pPr>
            <w:r>
              <w:rPr>
                <w:rFonts w:ascii="inherit" w:hAnsi="inherit"/>
                <w:sz w:val="17"/>
              </w:rPr>
              <w:t>51</w:t>
            </w:r>
          </w:p>
        </w:tc>
        <w:tc>
          <w:tcPr>
            <w:tcW w:w="4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0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423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54" w:type="dxa"/>
            <w:gridSpan w:val="3"/>
            <w:tcBorders/>
            <w:shd w:fill="auto" w:val="clear"/>
            <w:vAlign w:val="center"/>
          </w:tcPr>
          <w:p>
            <w:pPr>
              <w:pStyle w:val="TableContents"/>
              <w:spacing w:before="0" w:after="0"/>
              <w:ind w:left="0" w:right="0" w:firstLine="30"/>
              <w:rPr/>
            </w:pPr>
            <w:r>
              <w:rPr/>
              <w:t> </w:t>
            </w:r>
          </w:p>
        </w:tc>
      </w:tr>
      <w:tr>
        <w:trPr/>
        <w:tc>
          <w:tcPr>
            <w:tcW w:w="3005" w:type="dxa"/>
            <w:tcBorders/>
            <w:shd w:fill="CCEEFF" w:val="clear"/>
            <w:vAlign w:val="center"/>
          </w:tcPr>
          <w:p>
            <w:pPr>
              <w:pStyle w:val="TableContents"/>
              <w:spacing w:before="0" w:after="0"/>
              <w:ind w:left="0" w:right="0" w:firstLine="30"/>
              <w:rPr>
                <w:rFonts w:ascii="inherit" w:hAnsi="inherit"/>
                <w:b/>
                <w:sz w:val="17"/>
              </w:rPr>
            </w:pPr>
            <w:r>
              <w:rPr>
                <w:rFonts w:ascii="inherit" w:hAnsi="inherit"/>
                <w:b/>
                <w:sz w:val="17"/>
              </w:rPr>
              <w:t>Total lease liabilities</w:t>
            </w:r>
          </w:p>
        </w:tc>
        <w:tc>
          <w:tcPr>
            <w:tcW w:w="90" w:type="dxa"/>
            <w:tcBorders/>
            <w:shd w:fill="CCEEFF" w:val="clear"/>
            <w:vAlign w:val="center"/>
          </w:tcPr>
          <w:p>
            <w:pPr>
              <w:pStyle w:val="TableContents"/>
              <w:spacing w:before="0" w:after="0"/>
              <w:ind w:left="0" w:right="0" w:firstLine="30"/>
              <w:rPr/>
            </w:pPr>
            <w:r>
              <w:rPr/>
              <w:t> </w:t>
            </w:r>
          </w:p>
        </w:tc>
        <w:tc>
          <w:tcPr>
            <w:tcW w:w="4235"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7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5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525</w:t>
            </w:r>
          </w:p>
        </w:tc>
        <w:tc>
          <w:tcPr>
            <w:tcW w:w="428"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ind w:left="0" w:right="0" w:firstLine="720"/>
        <w:jc w:val="left"/>
        <w:rPr>
          <w:sz w:val="17"/>
        </w:rPr>
      </w:pPr>
      <w:r>
        <w:rPr>
          <w:rFonts w:ascii="inherit" w:hAnsi="inherit"/>
          <w:sz w:val="17"/>
        </w:rPr>
        <w:t>The following table presents the maturity of undiscounted cash flows for future minimum lease payments under noncancelable leases as of June 30, 2019</w:t>
      </w:r>
      <w:r>
        <w:rPr>
          <w:sz w:val="17"/>
        </w:rPr>
        <w:t xml:space="preserve"> </w:t>
      </w:r>
      <w:r>
        <w:rPr>
          <w:rFonts w:ascii="inherit" w:hAnsi="inherit"/>
          <w:sz w:val="17"/>
        </w:rPr>
        <w:t>reconciled to our lease liabilities on our Condensed Consolidated Balance Sheet (amounts in millions):</w:t>
      </w:r>
    </w:p>
    <w:tbl>
      <w:tblPr>
        <w:tblW w:w="4640" w:type="dxa"/>
        <w:jc w:val="left"/>
        <w:tblInd w:w="0" w:type="dxa"/>
        <w:tblCellMar>
          <w:top w:w="0" w:type="dxa"/>
          <w:left w:w="0" w:type="dxa"/>
          <w:bottom w:w="0" w:type="dxa"/>
          <w:right w:w="0" w:type="dxa"/>
        </w:tblCellMar>
      </w:tblPr>
      <w:tblGrid>
        <w:gridCol w:w="3095"/>
        <w:gridCol w:w="172"/>
        <w:gridCol w:w="461"/>
        <w:gridCol w:w="152"/>
        <w:gridCol w:w="90"/>
        <w:gridCol w:w="125"/>
        <w:gridCol w:w="230"/>
        <w:gridCol w:w="315"/>
      </w:tblGrid>
      <w:tr>
        <w:trPr/>
        <w:tc>
          <w:tcPr>
            <w:tcW w:w="4640" w:type="dxa"/>
            <w:gridSpan w:val="8"/>
            <w:tcBorders/>
            <w:shd w:fill="auto" w:val="clear"/>
            <w:vAlign w:val="center"/>
          </w:tcPr>
          <w:p>
            <w:pPr>
              <w:pStyle w:val="TableContents"/>
              <w:spacing w:before="0" w:after="283"/>
              <w:rPr>
                <w:sz w:val="4"/>
                <w:szCs w:val="4"/>
              </w:rPr>
            </w:pPr>
            <w:r>
              <w:rPr>
                <w:sz w:val="4"/>
                <w:szCs w:val="4"/>
              </w:rPr>
            </w:r>
          </w:p>
        </w:tc>
      </w:tr>
      <w:tr>
        <w:trPr/>
        <w:tc>
          <w:tcPr>
            <w:tcW w:w="3095"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095" w:type="dxa"/>
            <w:tcBorders/>
            <w:shd w:fill="auto" w:val="clear"/>
            <w:vAlign w:val="center"/>
          </w:tcPr>
          <w:p>
            <w:pPr>
              <w:pStyle w:val="TableContents"/>
              <w:spacing w:before="0" w:after="0"/>
              <w:ind w:left="0" w:right="0" w:firstLine="30"/>
              <w:rPr/>
            </w:pPr>
            <w:r>
              <w:rPr/>
              <w:t> </w:t>
            </w:r>
          </w:p>
        </w:tc>
        <w:tc>
          <w:tcPr>
            <w:tcW w:w="78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Operating</w:t>
            </w:r>
          </w:p>
        </w:tc>
        <w:tc>
          <w:tcPr>
            <w:tcW w:w="90" w:type="dxa"/>
            <w:tcBorders/>
            <w:shd w:fill="auto" w:val="clear"/>
            <w:vAlign w:val="center"/>
          </w:tcPr>
          <w:p>
            <w:pPr>
              <w:pStyle w:val="TableContents"/>
              <w:spacing w:before="0" w:after="0"/>
              <w:ind w:left="0" w:right="0" w:firstLine="30"/>
              <w:rPr/>
            </w:pPr>
            <w:r>
              <w:rPr/>
              <w:t> </w:t>
            </w:r>
          </w:p>
        </w:tc>
        <w:tc>
          <w:tcPr>
            <w:tcW w:w="67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Finance</w:t>
            </w:r>
          </w:p>
        </w:tc>
      </w:tr>
      <w:tr>
        <w:trPr/>
        <w:tc>
          <w:tcPr>
            <w:tcW w:w="3095" w:type="dxa"/>
            <w:tcBorders/>
            <w:shd w:fill="CCEEFF" w:val="clear"/>
            <w:vAlign w:val="center"/>
          </w:tcPr>
          <w:p>
            <w:pPr>
              <w:pStyle w:val="TableContents"/>
              <w:spacing w:lineRule="auto" w:line="288" w:before="0" w:after="0"/>
              <w:ind w:left="0" w:right="0" w:firstLine="30"/>
              <w:rPr>
                <w:sz w:val="17"/>
              </w:rPr>
            </w:pPr>
            <w:r>
              <w:rPr>
                <w:rFonts w:ascii="inherit" w:hAnsi="inherit"/>
                <w:sz w:val="17"/>
              </w:rPr>
              <w:t>Future minimum lease payments</w:t>
            </w:r>
            <w:r>
              <w:rPr>
                <w:sz w:val="17"/>
              </w:rPr>
              <w:t> </w:t>
            </w:r>
            <w:r>
              <w:rPr>
                <w:rFonts w:ascii="inherit" w:hAnsi="inherit"/>
                <w:sz w:val="12"/>
              </w:rPr>
              <w:t>(1)</w:t>
            </w:r>
            <w:r>
              <w:rPr>
                <w:rFonts w:ascii="inherit" w:hAnsi="inherit"/>
                <w:sz w:val="17"/>
              </w:rPr>
              <w:t>:</w:t>
            </w:r>
          </w:p>
        </w:tc>
        <w:tc>
          <w:tcPr>
            <w:tcW w:w="78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670" w:type="dxa"/>
            <w:gridSpan w:val="3"/>
            <w:tcBorders/>
            <w:shd w:fill="CCEEFF" w:val="clear"/>
            <w:vAlign w:val="center"/>
          </w:tcPr>
          <w:p>
            <w:pPr>
              <w:pStyle w:val="TableContents"/>
              <w:spacing w:before="0" w:after="0"/>
              <w:ind w:left="0" w:right="0" w:firstLine="180"/>
              <w:rPr/>
            </w:pPr>
            <w:r>
              <w:rPr/>
              <w:t> </w:t>
            </w:r>
          </w:p>
        </w:tc>
      </w:tr>
      <w:tr>
        <w:trPr/>
        <w:tc>
          <w:tcPr>
            <w:tcW w:w="30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Remainder of 2019</w:t>
            </w:r>
          </w:p>
        </w:tc>
        <w:tc>
          <w:tcPr>
            <w:tcW w:w="17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61" w:type="dxa"/>
            <w:tcBorders/>
            <w:shd w:fill="auto" w:val="clear"/>
            <w:vAlign w:val="center"/>
          </w:tcPr>
          <w:p>
            <w:pPr>
              <w:pStyle w:val="TableContents"/>
              <w:spacing w:before="0" w:after="0"/>
              <w:jc w:val="right"/>
              <w:rPr>
                <w:rFonts w:ascii="inherit" w:hAnsi="inherit"/>
                <w:sz w:val="17"/>
              </w:rPr>
            </w:pPr>
            <w:r>
              <w:rPr>
                <w:rFonts w:ascii="inherit" w:hAnsi="inherit"/>
                <w:sz w:val="17"/>
              </w:rPr>
              <w:t>62</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230" w:type="dxa"/>
            <w:tcBorders/>
            <w:shd w:fill="auto" w:val="clear"/>
            <w:vAlign w:val="center"/>
          </w:tcPr>
          <w:p>
            <w:pPr>
              <w:pStyle w:val="TableContents"/>
              <w:spacing w:before="0" w:after="0"/>
              <w:jc w:val="right"/>
              <w:rPr>
                <w:rFonts w:ascii="inherit" w:hAnsi="inherit"/>
                <w:sz w:val="17"/>
              </w:rPr>
            </w:pPr>
            <w:r>
              <w:rPr>
                <w:rFonts w:ascii="inherit" w:hAnsi="inherit"/>
                <w:sz w:val="17"/>
              </w:rPr>
              <w:t>10</w:t>
            </w:r>
          </w:p>
        </w:tc>
        <w:tc>
          <w:tcPr>
            <w:tcW w:w="31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0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2020</w:t>
            </w:r>
          </w:p>
        </w:tc>
        <w:tc>
          <w:tcPr>
            <w:tcW w:w="63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111</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w:t>
            </w:r>
          </w:p>
        </w:tc>
        <w:tc>
          <w:tcPr>
            <w:tcW w:w="31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0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2021</w:t>
            </w:r>
          </w:p>
        </w:tc>
        <w:tc>
          <w:tcPr>
            <w:tcW w:w="63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92</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3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w:t>
            </w:r>
          </w:p>
        </w:tc>
        <w:tc>
          <w:tcPr>
            <w:tcW w:w="31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0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2022</w:t>
            </w:r>
          </w:p>
        </w:tc>
        <w:tc>
          <w:tcPr>
            <w:tcW w:w="63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78</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w:t>
            </w:r>
          </w:p>
        </w:tc>
        <w:tc>
          <w:tcPr>
            <w:tcW w:w="31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0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2023</w:t>
            </w:r>
          </w:p>
        </w:tc>
        <w:tc>
          <w:tcPr>
            <w:tcW w:w="63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54</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35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w:t>
            </w:r>
          </w:p>
        </w:tc>
        <w:tc>
          <w:tcPr>
            <w:tcW w:w="31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0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Thereafter</w:t>
            </w:r>
          </w:p>
        </w:tc>
        <w:tc>
          <w:tcPr>
            <w:tcW w:w="63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247</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w:t>
            </w:r>
          </w:p>
        </w:tc>
        <w:tc>
          <w:tcPr>
            <w:tcW w:w="315"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0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633"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644</w:t>
            </w:r>
          </w:p>
        </w:tc>
        <w:tc>
          <w:tcPr>
            <w:tcW w:w="152"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355"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54</w:t>
            </w:r>
          </w:p>
        </w:tc>
        <w:tc>
          <w:tcPr>
            <w:tcW w:w="315"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0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Less: Present value discount</w:t>
            </w:r>
          </w:p>
        </w:tc>
        <w:tc>
          <w:tcPr>
            <w:tcW w:w="63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(170</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3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w:t>
            </w:r>
          </w:p>
        </w:tc>
        <w:tc>
          <w:tcPr>
            <w:tcW w:w="3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0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Lease liabilities</w:t>
            </w:r>
          </w:p>
        </w:tc>
        <w:tc>
          <w:tcPr>
            <w:tcW w:w="17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6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474</w:t>
            </w:r>
          </w:p>
        </w:tc>
        <w:tc>
          <w:tcPr>
            <w:tcW w:w="15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23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51</w:t>
            </w:r>
          </w:p>
        </w:tc>
        <w:tc>
          <w:tcPr>
            <w:tcW w:w="31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sz w:val="4"/>
                <w:szCs w:val="4"/>
              </w:rPr>
            </w:pPr>
            <w:r>
              <w:rPr>
                <w:sz w:val="4"/>
                <w:szCs w:val="4"/>
              </w:rPr>
            </w:r>
          </w:p>
        </w:tc>
      </w:tr>
      <w:tr>
        <w:trPr/>
        <w:tc>
          <w:tcPr>
            <w:tcW w:w="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 w:type="dxa"/>
            <w:tcBorders>
              <w:bottom w:val="single" w:sz="2" w:space="0" w:color="000000"/>
            </w:tcBorders>
            <w:shd w:fill="auto" w:val="clear"/>
            <w:tcMar>
              <w:bottom w:w="30" w:type="dxa"/>
            </w:tcMar>
            <w:vAlign w:val="center"/>
          </w:tcPr>
          <w:p>
            <w:pPr>
              <w:pStyle w:val="TableContents"/>
              <w:spacing w:before="0" w:after="0"/>
              <w:rPr/>
            </w:pPr>
            <w:r>
              <w:rPr/>
              <w:t> </w:t>
            </w:r>
          </w:p>
        </w:tc>
      </w:tr>
    </w:tbl>
    <w:tbl>
      <w:tblPr>
        <w:tblW w:w="10205" w:type="dxa"/>
        <w:jc w:val="left"/>
        <w:tblInd w:w="0" w:type="dxa"/>
        <w:tblCellMar>
          <w:top w:w="0" w:type="dxa"/>
          <w:left w:w="0" w:type="dxa"/>
          <w:bottom w:w="0" w:type="dxa"/>
          <w:right w:w="0" w:type="dxa"/>
        </w:tblCellMar>
      </w:tblPr>
      <w:tblGrid>
        <w:gridCol w:w="241"/>
        <w:gridCol w:w="9964"/>
      </w:tblGrid>
      <w:tr>
        <w:trPr/>
        <w:tc>
          <w:tcPr>
            <w:tcW w:w="241" w:type="dxa"/>
            <w:tcBorders/>
            <w:shd w:fill="auto" w:val="clear"/>
            <w:vAlign w:val="center"/>
          </w:tcPr>
          <w:p>
            <w:pPr>
              <w:pStyle w:val="TableContents"/>
              <w:spacing w:before="0" w:after="283"/>
              <w:rPr>
                <w:sz w:val="4"/>
                <w:szCs w:val="4"/>
              </w:rPr>
            </w:pPr>
            <w:r>
              <w:rPr>
                <w:sz w:val="4"/>
                <w:szCs w:val="4"/>
              </w:rPr>
            </w:r>
          </w:p>
        </w:tc>
        <w:tc>
          <w:tcPr>
            <w:tcW w:w="9964" w:type="dxa"/>
            <w:tcBorders/>
            <w:shd w:fill="auto" w:val="clear"/>
            <w:vAlign w:val="center"/>
          </w:tcPr>
          <w:p>
            <w:pPr>
              <w:pStyle w:val="TableContents"/>
              <w:spacing w:before="0" w:after="283"/>
              <w:rPr>
                <w:sz w:val="4"/>
                <w:szCs w:val="4"/>
              </w:rPr>
            </w:pPr>
            <w:r>
              <w:rPr>
                <w:sz w:val="4"/>
                <w:szCs w:val="4"/>
              </w:rPr>
            </w:r>
          </w:p>
        </w:tc>
      </w:tr>
      <w:tr>
        <w:trPr/>
        <w:tc>
          <w:tcPr>
            <w:tcW w:w="241" w:type="dxa"/>
            <w:tcBorders/>
            <w:shd w:fill="auto" w:val="clear"/>
            <w:vAlign w:val="center"/>
          </w:tcPr>
          <w:p>
            <w:pPr>
              <w:pStyle w:val="TableContents"/>
              <w:spacing w:lineRule="auto" w:line="288" w:before="0" w:after="0"/>
              <w:ind w:left="0" w:right="0" w:hanging="0"/>
              <w:rPr>
                <w:rFonts w:ascii="inherit" w:hAnsi="inherit"/>
                <w:sz w:val="18"/>
              </w:rPr>
            </w:pPr>
            <w:r>
              <w:rPr>
                <w:rFonts w:ascii="inherit" w:hAnsi="inherit"/>
                <w:sz w:val="12"/>
              </w:rPr>
              <w:t>(1)</w:t>
            </w:r>
            <w:r>
              <w:rPr>
                <w:rFonts w:ascii="inherit" w:hAnsi="inherit"/>
                <w:sz w:val="18"/>
              </w:rPr>
              <w:t> </w:t>
            </w:r>
          </w:p>
        </w:tc>
        <w:tc>
          <w:tcPr>
            <w:tcW w:w="9964"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 xml:space="preserve">Excludes future minimum payments for short-term and other immaterial leases not included on our Condensed Consolidated Balance Sheet. </w:t>
            </w:r>
          </w:p>
        </w:tc>
      </w:tr>
    </w:tbl>
    <w:p>
      <w:pPr>
        <w:pStyle w:val="TextBody"/>
        <w:spacing w:lineRule="auto" w:line="288" w:before="0" w:after="0"/>
        <w:ind w:left="0" w:right="0" w:firstLine="720"/>
        <w:jc w:val="left"/>
        <w:rPr/>
      </w:pPr>
      <w:r>
        <w:rPr/>
        <w:t>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32</w:t>
      </w:r>
      <w:r>
        <w:br w:type="page"/>
      </w:r>
    </w:p>
    <w:p>
      <w:pPr>
        <w:pStyle w:val="TextBody"/>
        <w:spacing w:lineRule="auto" w:line="288" w:before="0" w:after="0"/>
        <w:rPr/>
      </w:pPr>
      <w:hyperlink w:anchor="s3336AD8A685850CC9B7F2572CB2C0BC3">
        <w:r>
          <w:rPr>
            <w:rStyle w:val="InternetLink"/>
            <w:rFonts w:ascii="inherit" w:hAnsi="inherit"/>
            <w:sz w:val="17"/>
          </w:rPr>
          <w:t>Table of Contents</w:t>
        </w:r>
      </w:hyperlink>
      <w:r>
        <w:rPr>
          <w:sz w:val="17"/>
        </w:rPr>
        <w:t xml:space="preserve"> </w:t>
      </w:r>
    </w:p>
    <w:p>
      <w:pPr>
        <w:pStyle w:val="TextBody"/>
        <w:spacing w:lineRule="auto" w:line="288" w:before="0" w:after="0"/>
        <w:jc w:val="center"/>
        <w:rPr>
          <w:rFonts w:ascii="inherit" w:hAnsi="inherit"/>
          <w:b/>
          <w:sz w:val="17"/>
        </w:rPr>
      </w:pPr>
      <w:r>
        <w:rPr>
          <w:rFonts w:ascii="inherit" w:hAnsi="inherit"/>
          <w:b/>
          <w:sz w:val="17"/>
        </w:rPr>
        <w:t>PLAINS ALL AMERICAN PIPELINE, L.P. AND SUBSIDIARIES</w:t>
      </w:r>
    </w:p>
    <w:p>
      <w:pPr>
        <w:pStyle w:val="TextBody"/>
        <w:spacing w:lineRule="auto" w:line="288" w:before="0" w:after="0"/>
        <w:jc w:val="center"/>
        <w:rPr>
          <w:rFonts w:ascii="inherit" w:hAnsi="inherit"/>
          <w:b/>
          <w:sz w:val="17"/>
        </w:rPr>
      </w:pPr>
      <w:r>
        <w:rPr>
          <w:rFonts w:ascii="inherit" w:hAnsi="inherit"/>
          <w:b/>
          <w:sz w:val="17"/>
        </w:rPr>
        <w:t>NOTES TO THE UNAUDITED CONDENSED CONSOLIDATED FINANCIAL STATEMENTS</w:t>
      </w:r>
    </w:p>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inherit" w:hAnsi="inherit"/>
          <w:b/>
          <w:i/>
          <w:sz w:val="17"/>
        </w:rPr>
      </w:pPr>
      <w:r>
        <w:rPr>
          <w:rFonts w:ascii="inherit" w:hAnsi="inherit"/>
          <w:b/>
          <w:i/>
          <w:sz w:val="17"/>
        </w:rPr>
        <w:t>Lessor</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ind w:left="0" w:right="0" w:firstLine="720"/>
        <w:jc w:val="left"/>
        <w:rPr>
          <w:rFonts w:ascii="inherit" w:hAnsi="inherit"/>
          <w:sz w:val="17"/>
        </w:rPr>
      </w:pPr>
      <w:r>
        <w:rPr>
          <w:rFonts w:ascii="inherit" w:hAnsi="inherit"/>
          <w:sz w:val="17"/>
        </w:rPr>
        <w:t xml:space="preserve">We evaluate all agreements entered into or modified after the date of adoption of Topic 842 that convey to others the use of property or equipment for a term to determine whether the agreement is or contains a lease. Significant judgment is required when determining whether a customer obtains the right to direct the use of identified property or equipment. The underlying assets associated with these agreements are evaluated for future use beyond the lease term. </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ind w:left="0" w:right="0" w:firstLine="720"/>
        <w:jc w:val="left"/>
        <w:rPr>
          <w:sz w:val="17"/>
        </w:rPr>
      </w:pPr>
      <w:r>
        <w:rPr>
          <w:rFonts w:ascii="inherit" w:hAnsi="inherit"/>
          <w:sz w:val="17"/>
        </w:rPr>
        <w:t>Our Facilities and Transportation segments enter into agreements to conduct fee-based activities associated with (i) providing storage services primarily for crude oil, NGL and natural gas and (ii) transporting crude oil and NGL. Certain of these agreements convey counterparties the right to direct the operation of physically distinct assets. Such agreements include (i) fixed consideration, which is measured based on an available capacity during the period multiplied by the rate in the agreement, or (ii) a fixed monthly fee and variable consideration based on usage. These agreements often include options to extend or terminate the lease, with advance notice. These agreements are operating leases under Topic 842. For the three and six</w:t>
      </w:r>
      <w:r>
        <w:rPr>
          <w:sz w:val="17"/>
        </w:rPr>
        <w:t xml:space="preserve"> </w:t>
      </w:r>
      <w:r>
        <w:rPr>
          <w:rFonts w:ascii="inherit" w:hAnsi="inherit"/>
          <w:sz w:val="17"/>
        </w:rPr>
        <w:t>months ended June 30, 2019, our lease revenue was not material.</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ind w:left="0" w:right="0" w:firstLine="720"/>
        <w:jc w:val="left"/>
        <w:rPr>
          <w:sz w:val="17"/>
        </w:rPr>
      </w:pPr>
      <w:r>
        <w:rPr>
          <w:rFonts w:ascii="inherit" w:hAnsi="inherit"/>
          <w:sz w:val="17"/>
        </w:rPr>
        <w:t>The table below presents the maturity of lease payments for operating lease agreements in effect as of June 30, 2019. This presentation includes minimum fixed lease payments and does not include an estimate of variable lease consideration. These agreements have remaining lease terms ranging from two years</w:t>
      </w:r>
      <w:r>
        <w:rPr>
          <w:sz w:val="17"/>
        </w:rPr>
        <w:t xml:space="preserve"> </w:t>
      </w:r>
      <w:r>
        <w:rPr>
          <w:rFonts w:ascii="inherit" w:hAnsi="inherit"/>
          <w:sz w:val="17"/>
        </w:rPr>
        <w:t>to 23 years. The following table presents the undiscounted cash flows expected to be received related to these agreements (in millions):</w:t>
      </w:r>
    </w:p>
    <w:tbl>
      <w:tblPr>
        <w:tblW w:w="5224" w:type="dxa"/>
        <w:jc w:val="left"/>
        <w:tblInd w:w="0" w:type="dxa"/>
        <w:tblCellMar>
          <w:top w:w="0" w:type="dxa"/>
          <w:left w:w="0" w:type="dxa"/>
          <w:bottom w:w="0" w:type="dxa"/>
          <w:right w:w="0" w:type="dxa"/>
        </w:tblCellMar>
      </w:tblPr>
      <w:tblGrid>
        <w:gridCol w:w="1310"/>
        <w:gridCol w:w="90"/>
        <w:gridCol w:w="397"/>
        <w:gridCol w:w="397"/>
        <w:gridCol w:w="95"/>
        <w:gridCol w:w="90"/>
        <w:gridCol w:w="133"/>
        <w:gridCol w:w="244"/>
        <w:gridCol w:w="33"/>
        <w:gridCol w:w="90"/>
        <w:gridCol w:w="133"/>
        <w:gridCol w:w="244"/>
        <w:gridCol w:w="33"/>
        <w:gridCol w:w="90"/>
        <w:gridCol w:w="133"/>
        <w:gridCol w:w="244"/>
        <w:gridCol w:w="33"/>
        <w:gridCol w:w="90"/>
        <w:gridCol w:w="133"/>
        <w:gridCol w:w="244"/>
        <w:gridCol w:w="33"/>
        <w:gridCol w:w="90"/>
        <w:gridCol w:w="209"/>
        <w:gridCol w:w="560"/>
        <w:gridCol w:w="76"/>
      </w:tblGrid>
      <w:tr>
        <w:trPr/>
        <w:tc>
          <w:tcPr>
            <w:tcW w:w="5224" w:type="dxa"/>
            <w:gridSpan w:val="25"/>
            <w:tcBorders/>
            <w:shd w:fill="auto" w:val="clear"/>
            <w:vAlign w:val="center"/>
          </w:tcPr>
          <w:p>
            <w:pPr>
              <w:pStyle w:val="TableContents"/>
              <w:spacing w:before="0" w:after="283"/>
              <w:rPr>
                <w:sz w:val="4"/>
                <w:szCs w:val="4"/>
              </w:rPr>
            </w:pPr>
            <w:r>
              <w:rPr>
                <w:sz w:val="4"/>
                <w:szCs w:val="4"/>
              </w:rPr>
            </w:r>
          </w:p>
        </w:tc>
      </w:tr>
      <w:tr>
        <w:trPr/>
        <w:tc>
          <w:tcPr>
            <w:tcW w:w="13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397"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3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3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3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3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31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8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Remainder </w:t>
              <w:br/>
              <w:t>of 2019</w:t>
            </w:r>
          </w:p>
        </w:tc>
        <w:tc>
          <w:tcPr>
            <w:tcW w:w="90" w:type="dxa"/>
            <w:tcBorders/>
            <w:shd w:fill="auto" w:val="clear"/>
            <w:vAlign w:val="center"/>
          </w:tcPr>
          <w:p>
            <w:pPr>
              <w:pStyle w:val="TableContents"/>
              <w:spacing w:before="0" w:after="0"/>
              <w:ind w:left="0" w:right="0" w:firstLine="30"/>
              <w:rPr/>
            </w:pPr>
            <w:r>
              <w:rPr/>
              <w:t> </w:t>
            </w:r>
          </w:p>
        </w:tc>
        <w:tc>
          <w:tcPr>
            <w:tcW w:w="41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2020</w:t>
            </w:r>
          </w:p>
        </w:tc>
        <w:tc>
          <w:tcPr>
            <w:tcW w:w="90" w:type="dxa"/>
            <w:tcBorders/>
            <w:shd w:fill="auto" w:val="clear"/>
            <w:vAlign w:val="center"/>
          </w:tcPr>
          <w:p>
            <w:pPr>
              <w:pStyle w:val="TableContents"/>
              <w:spacing w:before="0" w:after="0"/>
              <w:ind w:left="0" w:right="0" w:firstLine="30"/>
              <w:rPr/>
            </w:pPr>
            <w:r>
              <w:rPr/>
              <w:t> </w:t>
            </w:r>
          </w:p>
        </w:tc>
        <w:tc>
          <w:tcPr>
            <w:tcW w:w="41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2021</w:t>
            </w:r>
          </w:p>
        </w:tc>
        <w:tc>
          <w:tcPr>
            <w:tcW w:w="90" w:type="dxa"/>
            <w:tcBorders/>
            <w:shd w:fill="auto" w:val="clear"/>
            <w:vAlign w:val="center"/>
          </w:tcPr>
          <w:p>
            <w:pPr>
              <w:pStyle w:val="TableContents"/>
              <w:spacing w:before="0" w:after="0"/>
              <w:ind w:left="0" w:right="0" w:firstLine="30"/>
              <w:rPr/>
            </w:pPr>
            <w:r>
              <w:rPr/>
              <w:t> </w:t>
            </w:r>
          </w:p>
        </w:tc>
        <w:tc>
          <w:tcPr>
            <w:tcW w:w="41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2022</w:t>
            </w:r>
          </w:p>
        </w:tc>
        <w:tc>
          <w:tcPr>
            <w:tcW w:w="90" w:type="dxa"/>
            <w:tcBorders/>
            <w:shd w:fill="auto" w:val="clear"/>
            <w:vAlign w:val="center"/>
          </w:tcPr>
          <w:p>
            <w:pPr>
              <w:pStyle w:val="TableContents"/>
              <w:spacing w:before="0" w:after="0"/>
              <w:ind w:left="0" w:right="0" w:firstLine="30"/>
              <w:rPr/>
            </w:pPr>
            <w:r>
              <w:rPr/>
              <w:t> </w:t>
            </w:r>
          </w:p>
        </w:tc>
        <w:tc>
          <w:tcPr>
            <w:tcW w:w="41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2023</w:t>
            </w:r>
          </w:p>
        </w:tc>
        <w:tc>
          <w:tcPr>
            <w:tcW w:w="90" w:type="dxa"/>
            <w:tcBorders/>
            <w:shd w:fill="auto" w:val="clear"/>
            <w:vAlign w:val="center"/>
          </w:tcPr>
          <w:p>
            <w:pPr>
              <w:pStyle w:val="TableContents"/>
              <w:spacing w:before="0" w:after="0"/>
              <w:ind w:left="0" w:right="0" w:firstLine="30"/>
              <w:rPr/>
            </w:pPr>
            <w:r>
              <w:rPr/>
              <w:t> </w:t>
            </w:r>
          </w:p>
        </w:tc>
        <w:tc>
          <w:tcPr>
            <w:tcW w:w="84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Thereafter</w:t>
            </w:r>
          </w:p>
        </w:tc>
      </w:tr>
      <w:tr>
        <w:trPr/>
        <w:tc>
          <w:tcPr>
            <w:tcW w:w="13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Lease revenue</w:t>
            </w:r>
          </w:p>
        </w:tc>
        <w:tc>
          <w:tcPr>
            <w:tcW w:w="90" w:type="dxa"/>
            <w:tcBorders/>
            <w:shd w:fill="CCEEFF" w:val="clear"/>
            <w:vAlign w:val="center"/>
          </w:tcPr>
          <w:p>
            <w:pPr>
              <w:pStyle w:val="TableContents"/>
              <w:spacing w:before="0" w:after="0"/>
              <w:ind w:left="0" w:right="0" w:firstLine="30"/>
              <w:rPr/>
            </w:pPr>
            <w:r>
              <w:rPr/>
              <w:t> </w:t>
            </w:r>
          </w:p>
        </w:tc>
        <w:tc>
          <w:tcPr>
            <w:tcW w:w="39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397" w:type="dxa"/>
            <w:tcBorders/>
            <w:shd w:fill="CCEEFF" w:val="clear"/>
            <w:vAlign w:val="center"/>
          </w:tcPr>
          <w:p>
            <w:pPr>
              <w:pStyle w:val="TableContents"/>
              <w:spacing w:before="0" w:after="0"/>
              <w:jc w:val="right"/>
              <w:rPr>
                <w:rFonts w:ascii="inherit" w:hAnsi="inherit"/>
                <w:sz w:val="17"/>
              </w:rPr>
            </w:pPr>
            <w:r>
              <w:rPr>
                <w:rFonts w:ascii="inherit" w:hAnsi="inherit"/>
                <w:sz w:val="17"/>
              </w:rPr>
              <w:t>9</w:t>
            </w:r>
          </w:p>
        </w:tc>
        <w:tc>
          <w:tcPr>
            <w:tcW w:w="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244" w:type="dxa"/>
            <w:tcBorders/>
            <w:shd w:fill="CCEEFF" w:val="clear"/>
            <w:vAlign w:val="center"/>
          </w:tcPr>
          <w:p>
            <w:pPr>
              <w:pStyle w:val="TableContents"/>
              <w:spacing w:before="0" w:after="0"/>
              <w:jc w:val="right"/>
              <w:rPr>
                <w:rFonts w:ascii="inherit" w:hAnsi="inherit"/>
                <w:sz w:val="17"/>
              </w:rPr>
            </w:pPr>
            <w:r>
              <w:rPr>
                <w:rFonts w:ascii="inherit" w:hAnsi="inherit"/>
                <w:sz w:val="17"/>
              </w:rPr>
              <w:t>19</w:t>
            </w:r>
          </w:p>
        </w:tc>
        <w:tc>
          <w:tcPr>
            <w:tcW w:w="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244" w:type="dxa"/>
            <w:tcBorders/>
            <w:shd w:fill="CCEEFF" w:val="clear"/>
            <w:vAlign w:val="center"/>
          </w:tcPr>
          <w:p>
            <w:pPr>
              <w:pStyle w:val="TableContents"/>
              <w:spacing w:before="0" w:after="0"/>
              <w:jc w:val="right"/>
              <w:rPr>
                <w:rFonts w:ascii="inherit" w:hAnsi="inherit"/>
                <w:sz w:val="17"/>
              </w:rPr>
            </w:pPr>
            <w:r>
              <w:rPr>
                <w:rFonts w:ascii="inherit" w:hAnsi="inherit"/>
                <w:sz w:val="17"/>
              </w:rPr>
              <w:t>22</w:t>
            </w:r>
          </w:p>
        </w:tc>
        <w:tc>
          <w:tcPr>
            <w:tcW w:w="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244" w:type="dxa"/>
            <w:tcBorders/>
            <w:shd w:fill="CCEEFF" w:val="clear"/>
            <w:vAlign w:val="center"/>
          </w:tcPr>
          <w:p>
            <w:pPr>
              <w:pStyle w:val="TableContents"/>
              <w:spacing w:before="0" w:after="0"/>
              <w:jc w:val="right"/>
              <w:rPr>
                <w:rFonts w:ascii="inherit" w:hAnsi="inherit"/>
                <w:sz w:val="17"/>
              </w:rPr>
            </w:pPr>
            <w:r>
              <w:rPr>
                <w:rFonts w:ascii="inherit" w:hAnsi="inherit"/>
                <w:sz w:val="17"/>
              </w:rPr>
              <w:t>25</w:t>
            </w:r>
          </w:p>
        </w:tc>
        <w:tc>
          <w:tcPr>
            <w:tcW w:w="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3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244" w:type="dxa"/>
            <w:tcBorders/>
            <w:shd w:fill="CCEEFF" w:val="clear"/>
            <w:vAlign w:val="center"/>
          </w:tcPr>
          <w:p>
            <w:pPr>
              <w:pStyle w:val="TableContents"/>
              <w:spacing w:before="0" w:after="0"/>
              <w:jc w:val="right"/>
              <w:rPr>
                <w:rFonts w:ascii="inherit" w:hAnsi="inherit"/>
                <w:sz w:val="17"/>
              </w:rPr>
            </w:pPr>
            <w:r>
              <w:rPr>
                <w:rFonts w:ascii="inherit" w:hAnsi="inherit"/>
                <w:sz w:val="17"/>
              </w:rPr>
              <w:t>21</w:t>
            </w:r>
          </w:p>
        </w:tc>
        <w:tc>
          <w:tcPr>
            <w:tcW w:w="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0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60" w:type="dxa"/>
            <w:tcBorders/>
            <w:shd w:fill="CCEEFF" w:val="clear"/>
            <w:vAlign w:val="center"/>
          </w:tcPr>
          <w:p>
            <w:pPr>
              <w:pStyle w:val="TableContents"/>
              <w:spacing w:before="0" w:after="0"/>
              <w:jc w:val="right"/>
              <w:rPr>
                <w:rFonts w:ascii="inherit" w:hAnsi="inherit"/>
                <w:sz w:val="17"/>
              </w:rPr>
            </w:pPr>
            <w:r>
              <w:rPr>
                <w:rFonts w:ascii="inherit" w:hAnsi="inherit"/>
                <w:sz w:val="17"/>
              </w:rPr>
              <w:t>226</w:t>
            </w:r>
          </w:p>
        </w:tc>
        <w:tc>
          <w:tcPr>
            <w:tcW w:w="76"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rPr>
          <w:sz w:val="17"/>
        </w:rPr>
      </w:pPr>
      <w:bookmarkStart w:id="25" w:name="sA87405A3319D581FAD3ABBB837CA41D9"/>
      <w:bookmarkEnd w:id="25"/>
      <w:r>
        <w:rPr>
          <w:b/>
          <w:sz w:val="17"/>
        </w:rPr>
        <w:t>Note 12</w:t>
      </w:r>
      <w:r>
        <w:rPr>
          <w:sz w:val="17"/>
        </w:rPr>
        <w:t>—</w:t>
      </w:r>
      <w:r>
        <w:rPr>
          <w:rFonts w:ascii="inherit" w:hAnsi="inherit"/>
          <w:b/>
          <w:sz w:val="17"/>
        </w:rPr>
        <w:t>Related Party Transactions</w:t>
      </w:r>
    </w:p>
    <w:p>
      <w:pPr>
        <w:pStyle w:val="TextBody"/>
        <w:spacing w:lineRule="auto" w:line="288" w:before="0" w:after="0"/>
        <w:rPr/>
      </w:pPr>
      <w:r>
        <w:rPr/>
        <w:t> </w:t>
      </w:r>
    </w:p>
    <w:p>
      <w:pPr>
        <w:pStyle w:val="TextBody"/>
        <w:spacing w:lineRule="auto" w:line="288" w:before="0" w:after="0"/>
        <w:ind w:left="0" w:right="0" w:firstLine="720"/>
        <w:rPr>
          <w:sz w:val="17"/>
        </w:rPr>
      </w:pPr>
      <w:r>
        <w:rPr>
          <w:rFonts w:ascii="inherit" w:hAnsi="inherit"/>
          <w:sz w:val="17"/>
        </w:rPr>
        <w:t>See Note 16 to our Consolidated Financial Statements included in Part IV of our 2018</w:t>
      </w:r>
      <w:r>
        <w:rPr>
          <w:sz w:val="17"/>
        </w:rPr>
        <w:t xml:space="preserve"> </w:t>
      </w:r>
      <w:r>
        <w:rPr>
          <w:rFonts w:ascii="inherit" w:hAnsi="inherit"/>
          <w:sz w:val="17"/>
        </w:rPr>
        <w:t xml:space="preserve">Annual Report on Form 10-K for a complete discussion of our related party transactions. </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b/>
          <w:i/>
          <w:sz w:val="17"/>
        </w:rPr>
      </w:pPr>
      <w:r>
        <w:rPr>
          <w:rFonts w:ascii="inherit" w:hAnsi="inherit"/>
          <w:b/>
          <w:i/>
          <w:sz w:val="17"/>
        </w:rPr>
        <w:t>Ownership of PAGP Class C Shares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ind w:left="0" w:right="0" w:firstLine="720"/>
        <w:rPr>
          <w:sz w:val="17"/>
        </w:rPr>
      </w:pPr>
      <w:r>
        <w:rPr>
          <w:rFonts w:ascii="inherit" w:hAnsi="inherit"/>
          <w:sz w:val="17"/>
        </w:rPr>
        <w:t>As of June 30, 2019</w:t>
      </w:r>
      <w:r>
        <w:rPr>
          <w:sz w:val="17"/>
        </w:rPr>
        <w:t xml:space="preserve"> </w:t>
      </w:r>
      <w:r>
        <w:rPr>
          <w:rFonts w:ascii="inherit" w:hAnsi="inherit"/>
          <w:sz w:val="17"/>
        </w:rPr>
        <w:t>and December 31, 2018, we owned 530,053,993</w:t>
      </w:r>
      <w:r>
        <w:rPr>
          <w:sz w:val="17"/>
        </w:rPr>
        <w:t xml:space="preserve"> </w:t>
      </w:r>
      <w:r>
        <w:rPr>
          <w:rFonts w:ascii="inherit" w:hAnsi="inherit"/>
          <w:sz w:val="17"/>
        </w:rPr>
        <w:t>and 516,938,280, respectively, Class C shares of PAGP. The Class C shares represent a non-economic limited partner interest in PAGP that provides us, as the sole holder, a “pass-through” voting right through which our common unitholders and Series A preferred unitholders have the effective right to vote, pro rata with the holders of Class A and Class B shares of PAGP, for the election of eligible PAGP GP directors.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b/>
          <w:i/>
          <w:sz w:val="17"/>
        </w:rPr>
      </w:pPr>
      <w:r>
        <w:rPr>
          <w:rFonts w:ascii="inherit" w:hAnsi="inherit"/>
          <w:b/>
          <w:i/>
          <w:sz w:val="17"/>
        </w:rPr>
        <w:t>Transactions with Other Related Parties</w:t>
      </w:r>
    </w:p>
    <w:p>
      <w:pPr>
        <w:pStyle w:val="TextBody"/>
        <w:spacing w:lineRule="auto" w:line="288" w:before="0" w:after="0"/>
        <w:rPr/>
      </w:pPr>
      <w:r>
        <w:rPr/>
        <w:t> </w:t>
      </w:r>
    </w:p>
    <w:p>
      <w:pPr>
        <w:pStyle w:val="TextBody"/>
        <w:spacing w:lineRule="auto" w:line="288" w:before="0" w:after="0"/>
        <w:ind w:left="0" w:right="0" w:firstLine="720"/>
        <w:rPr>
          <w:sz w:val="17"/>
        </w:rPr>
      </w:pPr>
      <w:r>
        <w:rPr>
          <w:rFonts w:ascii="inherit" w:hAnsi="inherit"/>
          <w:sz w:val="17"/>
        </w:rPr>
        <w:t xml:space="preserve">Our other related parties include (i) principal owners and their affiliated entities and (ii) entities in which we hold investments and account for under the equity method of accounting (see </w:t>
      </w:r>
      <w:r>
        <w:rPr>
          <w:b w:val="false"/>
          <w:sz w:val="17"/>
        </w:rPr>
        <w:t>Note 7</w:t>
      </w:r>
      <w:r>
        <w:rPr>
          <w:sz w:val="17"/>
        </w:rPr>
        <w:t xml:space="preserve"> </w:t>
      </w:r>
      <w:r>
        <w:rPr>
          <w:rFonts w:ascii="inherit" w:hAnsi="inherit"/>
          <w:sz w:val="17"/>
        </w:rPr>
        <w:t>for additional information regarding such entities). We recognize as our principal owners entities that have a designated representative on the board of directors of PAGP GP and/or own greater than 10%</w:t>
      </w:r>
      <w:r>
        <w:rPr>
          <w:sz w:val="17"/>
        </w:rPr>
        <w:t xml:space="preserve"> </w:t>
      </w:r>
      <w:r>
        <w:rPr>
          <w:rFonts w:ascii="inherit" w:hAnsi="inherit"/>
          <w:sz w:val="17"/>
        </w:rPr>
        <w:t>of the limited partner interests in AAP. Such limited partner interests in AAP translates into a significantly smaller indirect ownership interest in PAA. As of June 30, 2019, our principal owners include Oxy and Kayne Anderson Capital Advisors, L.P. We also consider subsidiaries or funds identified as affiliated with such entities to be related parties. Through various transactions by an affiliate of The Energy &amp; Minerals Group (“EMG”) in May 2019, EMG’s limited partner interest in AAP was significantly reduced, which caused EMG to lose its right to designate a representative on the board of directors of PAGP GP. Following these transactions, we no longer recognize EMG as a principal owner.</w:t>
      </w:r>
    </w:p>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33</w:t>
      </w:r>
      <w:r>
        <w:br w:type="page"/>
      </w:r>
    </w:p>
    <w:p>
      <w:pPr>
        <w:pStyle w:val="TextBody"/>
        <w:spacing w:lineRule="auto" w:line="288" w:before="0" w:after="0"/>
        <w:rPr/>
      </w:pPr>
      <w:hyperlink w:anchor="s3336AD8A685850CC9B7F2572CB2C0BC3">
        <w:r>
          <w:rPr>
            <w:rStyle w:val="InternetLink"/>
            <w:rFonts w:ascii="inherit" w:hAnsi="inherit"/>
            <w:sz w:val="17"/>
          </w:rPr>
          <w:t>Table of Contents</w:t>
        </w:r>
      </w:hyperlink>
      <w:r>
        <w:rPr>
          <w:sz w:val="17"/>
        </w:rPr>
        <w:t xml:space="preserve"> </w:t>
      </w:r>
    </w:p>
    <w:p>
      <w:pPr>
        <w:pStyle w:val="TextBody"/>
        <w:spacing w:lineRule="auto" w:line="288" w:before="0" w:after="0"/>
        <w:jc w:val="center"/>
        <w:rPr>
          <w:rFonts w:ascii="inherit" w:hAnsi="inherit"/>
          <w:b/>
          <w:sz w:val="17"/>
        </w:rPr>
      </w:pPr>
      <w:r>
        <w:rPr>
          <w:rFonts w:ascii="inherit" w:hAnsi="inherit"/>
          <w:b/>
          <w:sz w:val="17"/>
        </w:rPr>
        <w:t>PLAINS ALL AMERICAN PIPELINE, L.P. AND SUBSIDIARIES</w:t>
      </w:r>
    </w:p>
    <w:p>
      <w:pPr>
        <w:pStyle w:val="TextBody"/>
        <w:spacing w:lineRule="auto" w:line="288" w:before="0" w:after="0"/>
        <w:jc w:val="center"/>
        <w:rPr>
          <w:rFonts w:ascii="inherit" w:hAnsi="inherit"/>
          <w:b/>
          <w:sz w:val="17"/>
        </w:rPr>
      </w:pPr>
      <w:r>
        <w:rPr>
          <w:rFonts w:ascii="inherit" w:hAnsi="inherit"/>
          <w:b/>
          <w:sz w:val="17"/>
        </w:rPr>
        <w:t>NOTES TO THE UNAUDITED CONDENSED CONSOLIDATED FINANCIAL STATEMENTS</w:t>
      </w:r>
    </w:p>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720"/>
        <w:rPr>
          <w:sz w:val="17"/>
        </w:rPr>
      </w:pPr>
      <w:r>
        <w:rPr>
          <w:rFonts w:ascii="inherit" w:hAnsi="inherit"/>
          <w:sz w:val="17"/>
        </w:rPr>
        <w:t>During the three and six</w:t>
      </w:r>
      <w:r>
        <w:rPr>
          <w:sz w:val="17"/>
        </w:rPr>
        <w:t xml:space="preserve"> </w:t>
      </w:r>
      <w:r>
        <w:rPr>
          <w:rFonts w:ascii="inherit" w:hAnsi="inherit"/>
          <w:sz w:val="17"/>
        </w:rPr>
        <w:t>months ended June 30, 2019</w:t>
      </w:r>
      <w:r>
        <w:rPr>
          <w:sz w:val="17"/>
        </w:rPr>
        <w:t xml:space="preserve"> </w:t>
      </w:r>
      <w:r>
        <w:rPr>
          <w:rFonts w:ascii="inherit" w:hAnsi="inherit"/>
          <w:sz w:val="17"/>
        </w:rPr>
        <w:t xml:space="preserve">and 2018, we recognized sales and transportation revenues, purchased petroleum products and utilized transportation services from our principal owners and their affiliated entities and our equity method investees. These transactions were conducted at posted tariff rates or prices that we believe approximate market. Included in these transactions was a crude oil buy/sell agreement that includes a multi-year minimum volume commitment. The impact to our Condensed Consolidated Statements of Operations from these transactions is included below (in millions): </w:t>
      </w:r>
    </w:p>
    <w:tbl>
      <w:tblPr>
        <w:tblW w:w="7356" w:type="dxa"/>
        <w:jc w:val="left"/>
        <w:tblInd w:w="0" w:type="dxa"/>
        <w:tblCellMar>
          <w:top w:w="0" w:type="dxa"/>
          <w:left w:w="0" w:type="dxa"/>
          <w:bottom w:w="0" w:type="dxa"/>
          <w:right w:w="0" w:type="dxa"/>
        </w:tblCellMar>
      </w:tblPr>
      <w:tblGrid>
        <w:gridCol w:w="4355"/>
        <w:gridCol w:w="168"/>
        <w:gridCol w:w="451"/>
        <w:gridCol w:w="148"/>
        <w:gridCol w:w="121"/>
        <w:gridCol w:w="168"/>
        <w:gridCol w:w="451"/>
        <w:gridCol w:w="40"/>
        <w:gridCol w:w="90"/>
        <w:gridCol w:w="157"/>
        <w:gridCol w:w="422"/>
        <w:gridCol w:w="37"/>
        <w:gridCol w:w="113"/>
        <w:gridCol w:w="157"/>
        <w:gridCol w:w="422"/>
        <w:gridCol w:w="56"/>
      </w:tblGrid>
      <w:tr>
        <w:trPr/>
        <w:tc>
          <w:tcPr>
            <w:tcW w:w="7356" w:type="dxa"/>
            <w:gridSpan w:val="16"/>
            <w:tcBorders/>
            <w:shd w:fill="auto" w:val="clear"/>
            <w:vAlign w:val="center"/>
          </w:tcPr>
          <w:p>
            <w:pPr>
              <w:pStyle w:val="TableContents"/>
              <w:spacing w:before="0" w:after="283"/>
              <w:rPr>
                <w:sz w:val="4"/>
                <w:szCs w:val="4"/>
              </w:rPr>
            </w:pPr>
            <w:r>
              <w:rPr>
                <w:sz w:val="4"/>
                <w:szCs w:val="4"/>
              </w:rPr>
            </w:r>
          </w:p>
        </w:tc>
      </w:tr>
      <w:tr>
        <w:trPr/>
        <w:tc>
          <w:tcPr>
            <w:tcW w:w="4355"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4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37"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5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355" w:type="dxa"/>
            <w:tcBorders/>
            <w:shd w:fill="auto" w:val="clear"/>
            <w:vAlign w:val="center"/>
          </w:tcPr>
          <w:p>
            <w:pPr>
              <w:pStyle w:val="TableContents"/>
              <w:spacing w:before="0" w:after="0"/>
              <w:ind w:left="0" w:right="0" w:firstLine="30"/>
              <w:rPr/>
            </w:pPr>
            <w:r>
              <w:rPr/>
              <w:t> </w:t>
            </w:r>
          </w:p>
        </w:tc>
        <w:tc>
          <w:tcPr>
            <w:tcW w:w="1547"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w:t>
              <w:br/>
              <w:t>June 30,</w:t>
            </w:r>
          </w:p>
        </w:tc>
        <w:tc>
          <w:tcPr>
            <w:tcW w:w="90" w:type="dxa"/>
            <w:tcBorders/>
            <w:shd w:fill="auto" w:val="clear"/>
            <w:vAlign w:val="center"/>
          </w:tcPr>
          <w:p>
            <w:pPr>
              <w:pStyle w:val="TableContents"/>
              <w:spacing w:before="0" w:after="0"/>
              <w:ind w:left="0" w:right="0" w:firstLine="30"/>
              <w:rPr/>
            </w:pPr>
            <w:r>
              <w:rPr/>
              <w:t> </w:t>
            </w:r>
          </w:p>
        </w:tc>
        <w:tc>
          <w:tcPr>
            <w:tcW w:w="1364"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w:t>
              <w:br/>
              <w:t>June 30,</w:t>
            </w:r>
          </w:p>
        </w:tc>
      </w:tr>
      <w:tr>
        <w:trPr/>
        <w:tc>
          <w:tcPr>
            <w:tcW w:w="4355" w:type="dxa"/>
            <w:tcBorders/>
            <w:shd w:fill="auto" w:val="clear"/>
            <w:vAlign w:val="center"/>
          </w:tcPr>
          <w:p>
            <w:pPr>
              <w:pStyle w:val="TableContents"/>
              <w:spacing w:before="0" w:after="0"/>
              <w:ind w:left="0" w:right="0" w:firstLine="30"/>
              <w:jc w:val="left"/>
              <w:rPr/>
            </w:pPr>
            <w:r>
              <w:rPr/>
              <w:t> </w:t>
            </w:r>
          </w:p>
        </w:tc>
        <w:tc>
          <w:tcPr>
            <w:tcW w:w="76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121" w:type="dxa"/>
            <w:tcBorders/>
            <w:shd w:fill="auto" w:val="clear"/>
            <w:vAlign w:val="center"/>
          </w:tcPr>
          <w:p>
            <w:pPr>
              <w:pStyle w:val="TableContents"/>
              <w:spacing w:before="0" w:after="0"/>
              <w:ind w:left="0" w:right="0" w:firstLine="30"/>
              <w:rPr/>
            </w:pPr>
            <w:r>
              <w:rPr/>
              <w:t> </w:t>
            </w:r>
          </w:p>
        </w:tc>
        <w:tc>
          <w:tcPr>
            <w:tcW w:w="65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0" w:type="dxa"/>
            <w:tcBorders/>
            <w:shd w:fill="auto" w:val="clear"/>
            <w:vAlign w:val="center"/>
          </w:tcPr>
          <w:p>
            <w:pPr>
              <w:pStyle w:val="TableContents"/>
              <w:spacing w:before="0" w:after="0"/>
              <w:ind w:left="0" w:right="0" w:firstLine="30"/>
              <w:rPr/>
            </w:pPr>
            <w:r>
              <w:rPr/>
              <w:t> </w:t>
            </w:r>
          </w:p>
        </w:tc>
        <w:tc>
          <w:tcPr>
            <w:tcW w:w="616"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113"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635"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r>
      <w:tr>
        <w:trPr/>
        <w:tc>
          <w:tcPr>
            <w:tcW w:w="4355" w:type="dxa"/>
            <w:tcBorders/>
            <w:shd w:fill="CCEEFF" w:val="clear"/>
            <w:vAlign w:val="center"/>
          </w:tcPr>
          <w:p>
            <w:pPr>
              <w:pStyle w:val="TableContents"/>
              <w:spacing w:lineRule="auto" w:line="288" w:before="0" w:after="0"/>
              <w:ind w:left="0" w:right="0" w:firstLine="30"/>
              <w:rPr>
                <w:sz w:val="17"/>
              </w:rPr>
            </w:pPr>
            <w:r>
              <w:rPr>
                <w:rFonts w:ascii="inherit" w:hAnsi="inherit"/>
                <w:sz w:val="17"/>
              </w:rPr>
              <w:t xml:space="preserve">Revenues from related parties </w:t>
            </w:r>
            <w:r>
              <w:rPr>
                <w:rFonts w:ascii="inherit" w:hAnsi="inherit"/>
                <w:sz w:val="12"/>
              </w:rPr>
              <w:t>(1) (2)</w:t>
            </w:r>
          </w:p>
        </w:tc>
        <w:tc>
          <w:tcPr>
            <w:tcW w:w="16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51" w:type="dxa"/>
            <w:tcBorders/>
            <w:shd w:fill="CCEEFF" w:val="clear"/>
            <w:vAlign w:val="center"/>
          </w:tcPr>
          <w:p>
            <w:pPr>
              <w:pStyle w:val="TableContents"/>
              <w:spacing w:before="0" w:after="0"/>
              <w:jc w:val="right"/>
              <w:rPr>
                <w:rFonts w:ascii="inherit" w:hAnsi="inherit"/>
                <w:sz w:val="17"/>
              </w:rPr>
            </w:pPr>
            <w:r>
              <w:rPr>
                <w:rFonts w:ascii="inherit" w:hAnsi="inherit"/>
                <w:sz w:val="17"/>
              </w:rPr>
              <w:t>231</w:t>
            </w:r>
          </w:p>
        </w:tc>
        <w:tc>
          <w:tcPr>
            <w:tcW w:w="1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6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51" w:type="dxa"/>
            <w:tcBorders/>
            <w:shd w:fill="CCEEFF" w:val="clear"/>
            <w:vAlign w:val="center"/>
          </w:tcPr>
          <w:p>
            <w:pPr>
              <w:pStyle w:val="TableContents"/>
              <w:spacing w:before="0" w:after="0"/>
              <w:jc w:val="right"/>
              <w:rPr>
                <w:rFonts w:ascii="inherit" w:hAnsi="inherit"/>
                <w:sz w:val="17"/>
              </w:rPr>
            </w:pPr>
            <w:r>
              <w:rPr>
                <w:rFonts w:ascii="inherit" w:hAnsi="inherit"/>
                <w:sz w:val="17"/>
              </w:rPr>
              <w:t>284</w:t>
            </w:r>
          </w:p>
        </w:tc>
        <w:tc>
          <w:tcPr>
            <w:tcW w:w="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22" w:type="dxa"/>
            <w:tcBorders/>
            <w:shd w:fill="CCEEFF" w:val="clear"/>
            <w:vAlign w:val="center"/>
          </w:tcPr>
          <w:p>
            <w:pPr>
              <w:pStyle w:val="TableContents"/>
              <w:spacing w:before="0" w:after="0"/>
              <w:jc w:val="right"/>
              <w:rPr>
                <w:rFonts w:ascii="inherit" w:hAnsi="inherit"/>
                <w:sz w:val="17"/>
              </w:rPr>
            </w:pPr>
            <w:r>
              <w:rPr>
                <w:rFonts w:ascii="inherit" w:hAnsi="inherit"/>
                <w:sz w:val="17"/>
              </w:rPr>
              <w:t>456</w:t>
            </w:r>
          </w:p>
        </w:tc>
        <w:tc>
          <w:tcPr>
            <w:tcW w:w="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5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22" w:type="dxa"/>
            <w:tcBorders/>
            <w:shd w:fill="CCEEFF" w:val="clear"/>
            <w:vAlign w:val="center"/>
          </w:tcPr>
          <w:p>
            <w:pPr>
              <w:pStyle w:val="TableContents"/>
              <w:spacing w:before="0" w:after="0"/>
              <w:jc w:val="right"/>
              <w:rPr>
                <w:rFonts w:ascii="inherit" w:hAnsi="inherit"/>
                <w:sz w:val="17"/>
              </w:rPr>
            </w:pPr>
            <w:r>
              <w:rPr>
                <w:rFonts w:ascii="inherit" w:hAnsi="inherit"/>
                <w:sz w:val="17"/>
              </w:rPr>
              <w:t>566</w:t>
            </w:r>
          </w:p>
        </w:tc>
        <w:tc>
          <w:tcPr>
            <w:tcW w:w="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55" w:type="dxa"/>
            <w:tcBorders/>
            <w:shd w:fill="auto" w:val="clear"/>
            <w:vAlign w:val="center"/>
          </w:tcPr>
          <w:p>
            <w:pPr>
              <w:pStyle w:val="TableContents"/>
              <w:spacing w:before="0" w:after="0"/>
              <w:ind w:left="0" w:right="0" w:firstLine="30"/>
              <w:rPr/>
            </w:pPr>
            <w:r>
              <w:rPr/>
              <w:t> </w:t>
            </w:r>
          </w:p>
        </w:tc>
        <w:tc>
          <w:tcPr>
            <w:tcW w:w="767" w:type="dxa"/>
            <w:gridSpan w:val="3"/>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ind w:left="0" w:right="0" w:firstLine="30"/>
              <w:rPr/>
            </w:pPr>
            <w:r>
              <w:rPr/>
              <w:t> </w:t>
            </w:r>
          </w:p>
        </w:tc>
        <w:tc>
          <w:tcPr>
            <w:tcW w:w="659"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16" w:type="dxa"/>
            <w:gridSpan w:val="3"/>
            <w:tcBorders/>
            <w:shd w:fill="auto" w:val="clear"/>
            <w:vAlign w:val="center"/>
          </w:tcPr>
          <w:p>
            <w:pPr>
              <w:pStyle w:val="TableContents"/>
              <w:spacing w:before="0" w:after="0"/>
              <w:ind w:left="0" w:right="0" w:firstLine="30"/>
              <w:rPr/>
            </w:pPr>
            <w:r>
              <w:rPr/>
              <w:t> </w:t>
            </w:r>
          </w:p>
        </w:tc>
        <w:tc>
          <w:tcPr>
            <w:tcW w:w="113" w:type="dxa"/>
            <w:tcBorders/>
            <w:shd w:fill="auto" w:val="clear"/>
            <w:vAlign w:val="center"/>
          </w:tcPr>
          <w:p>
            <w:pPr>
              <w:pStyle w:val="TableContents"/>
              <w:spacing w:before="0" w:after="0"/>
              <w:ind w:left="0" w:right="0" w:firstLine="30"/>
              <w:rPr/>
            </w:pPr>
            <w:r>
              <w:rPr/>
              <w:t> </w:t>
            </w:r>
          </w:p>
        </w:tc>
        <w:tc>
          <w:tcPr>
            <w:tcW w:w="635" w:type="dxa"/>
            <w:gridSpan w:val="3"/>
            <w:tcBorders/>
            <w:shd w:fill="auto" w:val="clear"/>
            <w:vAlign w:val="center"/>
          </w:tcPr>
          <w:p>
            <w:pPr>
              <w:pStyle w:val="TableContents"/>
              <w:spacing w:before="0" w:after="0"/>
              <w:ind w:left="0" w:right="0" w:firstLine="30"/>
              <w:rPr/>
            </w:pPr>
            <w:r>
              <w:rPr/>
              <w:t> </w:t>
            </w:r>
          </w:p>
        </w:tc>
      </w:tr>
      <w:tr>
        <w:trPr/>
        <w:tc>
          <w:tcPr>
            <w:tcW w:w="4355" w:type="dxa"/>
            <w:tcBorders/>
            <w:shd w:fill="CCEEFF" w:val="clear"/>
            <w:vAlign w:val="center"/>
          </w:tcPr>
          <w:p>
            <w:pPr>
              <w:pStyle w:val="TableContents"/>
              <w:spacing w:lineRule="auto" w:line="288" w:before="0" w:after="0"/>
              <w:ind w:left="0" w:right="0" w:firstLine="30"/>
              <w:rPr>
                <w:sz w:val="17"/>
              </w:rPr>
            </w:pPr>
            <w:r>
              <w:rPr>
                <w:rFonts w:ascii="inherit" w:hAnsi="inherit"/>
                <w:sz w:val="17"/>
              </w:rPr>
              <w:t xml:space="preserve">Purchases and related costs from related parties </w:t>
            </w:r>
            <w:r>
              <w:rPr>
                <w:rFonts w:ascii="inherit" w:hAnsi="inherit"/>
                <w:sz w:val="12"/>
              </w:rPr>
              <w:t>(2)</w:t>
            </w:r>
          </w:p>
        </w:tc>
        <w:tc>
          <w:tcPr>
            <w:tcW w:w="16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51" w:type="dxa"/>
            <w:tcBorders/>
            <w:shd w:fill="CCEEFF" w:val="clear"/>
            <w:vAlign w:val="center"/>
          </w:tcPr>
          <w:p>
            <w:pPr>
              <w:pStyle w:val="TableContents"/>
              <w:spacing w:before="0" w:after="0"/>
              <w:jc w:val="right"/>
              <w:rPr>
                <w:rFonts w:ascii="inherit" w:hAnsi="inherit"/>
                <w:sz w:val="17"/>
              </w:rPr>
            </w:pPr>
            <w:r>
              <w:rPr>
                <w:rFonts w:ascii="inherit" w:hAnsi="inherit"/>
                <w:sz w:val="17"/>
              </w:rPr>
              <w:t>(14</w:t>
            </w:r>
          </w:p>
        </w:tc>
        <w:tc>
          <w:tcPr>
            <w:tcW w:w="1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CCEEFF" w:val="clear"/>
            <w:vAlign w:val="center"/>
          </w:tcPr>
          <w:p>
            <w:pPr>
              <w:pStyle w:val="TableContents"/>
              <w:spacing w:before="0" w:after="0"/>
              <w:ind w:left="0" w:right="0" w:firstLine="30"/>
              <w:rPr/>
            </w:pPr>
            <w:r>
              <w:rPr/>
              <w:t> </w:t>
            </w:r>
          </w:p>
        </w:tc>
        <w:tc>
          <w:tcPr>
            <w:tcW w:w="16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51" w:type="dxa"/>
            <w:tcBorders/>
            <w:shd w:fill="CCEEFF" w:val="clear"/>
            <w:vAlign w:val="center"/>
          </w:tcPr>
          <w:p>
            <w:pPr>
              <w:pStyle w:val="TableContents"/>
              <w:spacing w:before="0" w:after="0"/>
              <w:jc w:val="right"/>
              <w:rPr>
                <w:rFonts w:ascii="inherit" w:hAnsi="inherit"/>
                <w:sz w:val="17"/>
              </w:rPr>
            </w:pPr>
            <w:r>
              <w:rPr>
                <w:rFonts w:ascii="inherit" w:hAnsi="inherit"/>
                <w:sz w:val="17"/>
              </w:rPr>
              <w:t>68</w:t>
            </w:r>
          </w:p>
        </w:tc>
        <w:tc>
          <w:tcPr>
            <w:tcW w:w="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22" w:type="dxa"/>
            <w:tcBorders/>
            <w:shd w:fill="CCEEFF" w:val="clear"/>
            <w:vAlign w:val="center"/>
          </w:tcPr>
          <w:p>
            <w:pPr>
              <w:pStyle w:val="TableContents"/>
              <w:spacing w:before="0" w:after="0"/>
              <w:jc w:val="right"/>
              <w:rPr>
                <w:rFonts w:ascii="inherit" w:hAnsi="inherit"/>
                <w:sz w:val="17"/>
              </w:rPr>
            </w:pPr>
            <w:r>
              <w:rPr>
                <w:rFonts w:ascii="inherit" w:hAnsi="inherit"/>
                <w:sz w:val="17"/>
              </w:rPr>
              <w:t>100</w:t>
            </w:r>
          </w:p>
        </w:tc>
        <w:tc>
          <w:tcPr>
            <w:tcW w:w="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5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22" w:type="dxa"/>
            <w:tcBorders/>
            <w:shd w:fill="CCEEFF" w:val="clear"/>
            <w:vAlign w:val="center"/>
          </w:tcPr>
          <w:p>
            <w:pPr>
              <w:pStyle w:val="TableContents"/>
              <w:spacing w:before="0" w:after="0"/>
              <w:jc w:val="right"/>
              <w:rPr>
                <w:rFonts w:ascii="inherit" w:hAnsi="inherit"/>
                <w:sz w:val="17"/>
              </w:rPr>
            </w:pPr>
            <w:r>
              <w:rPr>
                <w:rFonts w:ascii="inherit" w:hAnsi="inherit"/>
                <w:sz w:val="17"/>
              </w:rPr>
              <w:t>160</w:t>
            </w:r>
          </w:p>
        </w:tc>
        <w:tc>
          <w:tcPr>
            <w:tcW w:w="56"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sz w:val="4"/>
                <w:szCs w:val="4"/>
              </w:rPr>
            </w:pPr>
            <w:r>
              <w:rPr>
                <w:sz w:val="4"/>
                <w:szCs w:val="4"/>
              </w:rPr>
            </w:r>
          </w:p>
        </w:tc>
      </w:tr>
      <w:tr>
        <w:trPr/>
        <w:tc>
          <w:tcPr>
            <w:tcW w:w="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 w:type="dxa"/>
            <w:tcBorders>
              <w:bottom w:val="single" w:sz="2" w:space="0" w:color="000000"/>
            </w:tcBorders>
            <w:shd w:fill="auto" w:val="clear"/>
            <w:tcMar>
              <w:bottom w:w="30" w:type="dxa"/>
            </w:tcMar>
            <w:vAlign w:val="center"/>
          </w:tcPr>
          <w:p>
            <w:pPr>
              <w:pStyle w:val="TableContents"/>
              <w:spacing w:before="0" w:after="0"/>
              <w:rPr/>
            </w:pPr>
            <w:r>
              <w:rPr/>
              <w:t> </w:t>
            </w:r>
          </w:p>
        </w:tc>
      </w:tr>
    </w:tbl>
    <w:tbl>
      <w:tblPr>
        <w:tblW w:w="10205" w:type="dxa"/>
        <w:jc w:val="left"/>
        <w:tblInd w:w="0" w:type="dxa"/>
        <w:tblCellMar>
          <w:top w:w="0" w:type="dxa"/>
          <w:left w:w="0" w:type="dxa"/>
          <w:bottom w:w="0" w:type="dxa"/>
          <w:right w:w="0" w:type="dxa"/>
        </w:tblCellMar>
      </w:tblPr>
      <w:tblGrid>
        <w:gridCol w:w="226"/>
        <w:gridCol w:w="9979"/>
      </w:tblGrid>
      <w:tr>
        <w:trPr/>
        <w:tc>
          <w:tcPr>
            <w:tcW w:w="226" w:type="dxa"/>
            <w:tcBorders/>
            <w:shd w:fill="auto" w:val="clear"/>
            <w:vAlign w:val="center"/>
          </w:tcPr>
          <w:p>
            <w:pPr>
              <w:pStyle w:val="TableContents"/>
              <w:spacing w:before="0" w:after="283"/>
              <w:rPr>
                <w:sz w:val="4"/>
                <w:szCs w:val="4"/>
              </w:rPr>
            </w:pPr>
            <w:r>
              <w:rPr>
                <w:sz w:val="4"/>
                <w:szCs w:val="4"/>
              </w:rPr>
            </w:r>
          </w:p>
        </w:tc>
        <w:tc>
          <w:tcPr>
            <w:tcW w:w="9979" w:type="dxa"/>
            <w:tcBorders/>
            <w:shd w:fill="auto" w:val="clear"/>
            <w:vAlign w:val="center"/>
          </w:tcPr>
          <w:p>
            <w:pPr>
              <w:pStyle w:val="TableContents"/>
              <w:spacing w:before="0" w:after="283"/>
              <w:rPr>
                <w:sz w:val="4"/>
                <w:szCs w:val="4"/>
              </w:rPr>
            </w:pPr>
            <w:r>
              <w:rPr>
                <w:sz w:val="4"/>
                <w:szCs w:val="4"/>
              </w:rPr>
            </w:r>
          </w:p>
        </w:tc>
      </w:tr>
      <w:tr>
        <w:trPr/>
        <w:tc>
          <w:tcPr>
            <w:tcW w:w="226"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(1)</w:t>
            </w:r>
            <w:r>
              <w:rPr>
                <w:rFonts w:ascii="inherit" w:hAnsi="inherit"/>
                <w:sz w:val="17"/>
              </w:rPr>
              <w:t> </w:t>
            </w:r>
          </w:p>
        </w:tc>
        <w:tc>
          <w:tcPr>
            <w:tcW w:w="9979" w:type="dxa"/>
            <w:tcBorders/>
            <w:shd w:fill="auto" w:val="clear"/>
            <w:vAlign w:val="center"/>
          </w:tcPr>
          <w:p>
            <w:pPr>
              <w:pStyle w:val="TableContents"/>
              <w:spacing w:lineRule="auto" w:line="288" w:before="0" w:after="0"/>
              <w:rPr>
                <w:rFonts w:ascii="inherit" w:hAnsi="inherit"/>
                <w:sz w:val="17"/>
              </w:rPr>
            </w:pPr>
            <w:r>
              <w:rPr>
                <w:rFonts w:ascii="inherit" w:hAnsi="inherit"/>
                <w:sz w:val="17"/>
              </w:rPr>
              <w:t>A majority of these revenues are included in “Supply and Logistics segment revenues” on our Condensed Consolidated Statements of Operations.</w:t>
            </w:r>
          </w:p>
        </w:tc>
      </w:tr>
    </w:tbl>
    <w:tbl>
      <w:tblPr>
        <w:tblW w:w="10205" w:type="dxa"/>
        <w:jc w:val="left"/>
        <w:tblInd w:w="0" w:type="dxa"/>
        <w:tblCellMar>
          <w:top w:w="0" w:type="dxa"/>
          <w:left w:w="0" w:type="dxa"/>
          <w:bottom w:w="0" w:type="dxa"/>
          <w:right w:w="0" w:type="dxa"/>
        </w:tblCellMar>
      </w:tblPr>
      <w:tblGrid>
        <w:gridCol w:w="197"/>
        <w:gridCol w:w="10008"/>
      </w:tblGrid>
      <w:tr>
        <w:trPr/>
        <w:tc>
          <w:tcPr>
            <w:tcW w:w="197" w:type="dxa"/>
            <w:tcBorders/>
            <w:shd w:fill="auto" w:val="clear"/>
            <w:vAlign w:val="center"/>
          </w:tcPr>
          <w:p>
            <w:pPr>
              <w:pStyle w:val="TableContents"/>
              <w:spacing w:before="0" w:after="283"/>
              <w:rPr>
                <w:sz w:val="4"/>
                <w:szCs w:val="4"/>
              </w:rPr>
            </w:pPr>
            <w:r>
              <w:rPr>
                <w:sz w:val="4"/>
                <w:szCs w:val="4"/>
              </w:rPr>
            </w:r>
          </w:p>
        </w:tc>
        <w:tc>
          <w:tcPr>
            <w:tcW w:w="10008" w:type="dxa"/>
            <w:tcBorders/>
            <w:shd w:fill="auto" w:val="clear"/>
            <w:vAlign w:val="center"/>
          </w:tcPr>
          <w:p>
            <w:pPr>
              <w:pStyle w:val="TableContents"/>
              <w:spacing w:before="0" w:after="283"/>
              <w:rPr>
                <w:sz w:val="4"/>
                <w:szCs w:val="4"/>
              </w:rPr>
            </w:pPr>
            <w:r>
              <w:rPr>
                <w:sz w:val="4"/>
                <w:szCs w:val="4"/>
              </w:rPr>
            </w:r>
          </w:p>
        </w:tc>
      </w:tr>
      <w:tr>
        <w:trPr/>
        <w:tc>
          <w:tcPr>
            <w:tcW w:w="197"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(2)</w:t>
            </w:r>
            <w:r>
              <w:rPr>
                <w:rFonts w:ascii="inherit" w:hAnsi="inherit"/>
                <w:sz w:val="17"/>
              </w:rPr>
              <w:t> </w:t>
            </w:r>
          </w:p>
        </w:tc>
        <w:tc>
          <w:tcPr>
            <w:tcW w:w="10008" w:type="dxa"/>
            <w:tcBorders/>
            <w:shd w:fill="auto" w:val="clear"/>
            <w:vAlign w:val="center"/>
          </w:tcPr>
          <w:p>
            <w:pPr>
              <w:pStyle w:val="TableContents"/>
              <w:spacing w:lineRule="auto" w:line="288" w:before="0" w:after="0"/>
              <w:rPr>
                <w:rFonts w:ascii="inherit" w:hAnsi="inherit"/>
                <w:sz w:val="17"/>
              </w:rPr>
            </w:pPr>
            <w:r>
              <w:rPr>
                <w:rFonts w:ascii="inherit" w:hAnsi="inherit"/>
                <w:sz w:val="17"/>
              </w:rPr>
              <w:t>Crude oil purchases that are part of inventory exchanges under buy/sell transactions are netted with the related sales, with any margin presented in “Purchases and related costs” in our Condensed Consolidated Statements of Operations.</w:t>
            </w:r>
          </w:p>
        </w:tc>
      </w:tr>
    </w:tbl>
    <w:p>
      <w:pPr>
        <w:pStyle w:val="TextBody"/>
        <w:spacing w:lineRule="auto" w:line="288" w:before="0" w:after="0"/>
        <w:ind w:left="0" w:right="0" w:hanging="720"/>
        <w:rPr/>
      </w:pPr>
      <w:r>
        <w:rPr/>
        <w:t> </w:t>
      </w:r>
    </w:p>
    <w:p>
      <w:pPr>
        <w:pStyle w:val="TextBody"/>
        <w:spacing w:lineRule="auto" w:line="288" w:before="0" w:after="0"/>
        <w:ind w:left="0" w:right="0" w:firstLine="720"/>
        <w:rPr>
          <w:rFonts w:ascii="inherit" w:hAnsi="inherit"/>
          <w:sz w:val="17"/>
        </w:rPr>
      </w:pPr>
      <w:r>
        <w:rPr>
          <w:rFonts w:ascii="inherit" w:hAnsi="inherit"/>
          <w:sz w:val="17"/>
        </w:rPr>
        <w:t>Our receivable and payable amounts with these related parties as reflected on our Condensed Consolidated Balance Sheets were as follows (in millions):</w:t>
      </w:r>
    </w:p>
    <w:tbl>
      <w:tblPr>
        <w:tblW w:w="8501" w:type="dxa"/>
        <w:jc w:val="left"/>
        <w:tblInd w:w="0" w:type="dxa"/>
        <w:tblCellMar>
          <w:top w:w="0" w:type="dxa"/>
          <w:left w:w="0" w:type="dxa"/>
          <w:bottom w:w="0" w:type="dxa"/>
          <w:right w:w="0" w:type="dxa"/>
        </w:tblCellMar>
      </w:tblPr>
      <w:tblGrid>
        <w:gridCol w:w="6665"/>
        <w:gridCol w:w="172"/>
        <w:gridCol w:w="464"/>
        <w:gridCol w:w="42"/>
        <w:gridCol w:w="90"/>
        <w:gridCol w:w="264"/>
        <w:gridCol w:w="708"/>
        <w:gridCol w:w="96"/>
      </w:tblGrid>
      <w:tr>
        <w:trPr/>
        <w:tc>
          <w:tcPr>
            <w:tcW w:w="8501" w:type="dxa"/>
            <w:gridSpan w:val="8"/>
            <w:tcBorders/>
            <w:shd w:fill="auto" w:val="clear"/>
            <w:vAlign w:val="center"/>
          </w:tcPr>
          <w:p>
            <w:pPr>
              <w:pStyle w:val="TableContents"/>
              <w:spacing w:before="0" w:after="283"/>
              <w:rPr>
                <w:sz w:val="4"/>
                <w:szCs w:val="4"/>
              </w:rPr>
            </w:pPr>
            <w:r>
              <w:rPr>
                <w:sz w:val="4"/>
                <w:szCs w:val="4"/>
              </w:rPr>
            </w:r>
          </w:p>
        </w:tc>
      </w:tr>
      <w:tr>
        <w:trPr/>
        <w:tc>
          <w:tcPr>
            <w:tcW w:w="6665"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665" w:type="dxa"/>
            <w:tcBorders/>
            <w:shd w:fill="auto" w:val="clear"/>
            <w:vAlign w:val="center"/>
          </w:tcPr>
          <w:p>
            <w:pPr>
              <w:pStyle w:val="TableContents"/>
              <w:spacing w:before="0" w:after="0"/>
              <w:ind w:left="0" w:right="0" w:firstLine="30"/>
              <w:rPr/>
            </w:pPr>
            <w:r>
              <w:rPr/>
              <w:t> </w:t>
            </w:r>
          </w:p>
        </w:tc>
        <w:tc>
          <w:tcPr>
            <w:tcW w:w="67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June 30, </w:t>
              <w:br/>
              <w:t>2019</w:t>
            </w:r>
          </w:p>
        </w:tc>
        <w:tc>
          <w:tcPr>
            <w:tcW w:w="90" w:type="dxa"/>
            <w:tcBorders/>
            <w:shd w:fill="auto" w:val="clear"/>
            <w:vAlign w:val="center"/>
          </w:tcPr>
          <w:p>
            <w:pPr>
              <w:pStyle w:val="TableContents"/>
              <w:spacing w:before="0" w:after="0"/>
              <w:ind w:left="0" w:right="0" w:firstLine="30"/>
              <w:rPr/>
            </w:pPr>
            <w:r>
              <w:rPr/>
              <w:t> </w:t>
            </w:r>
          </w:p>
        </w:tc>
        <w:tc>
          <w:tcPr>
            <w:tcW w:w="106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December 31,</w:t>
              <w:br/>
              <w:t>2018</w:t>
            </w:r>
          </w:p>
        </w:tc>
      </w:tr>
      <w:tr>
        <w:trPr/>
        <w:tc>
          <w:tcPr>
            <w:tcW w:w="6665" w:type="dxa"/>
            <w:tcBorders/>
            <w:shd w:fill="CCEEFF" w:val="clear"/>
            <w:vAlign w:val="center"/>
          </w:tcPr>
          <w:p>
            <w:pPr>
              <w:pStyle w:val="TableContents"/>
              <w:spacing w:lineRule="auto" w:line="288" w:before="0" w:after="0"/>
              <w:ind w:left="0" w:right="0" w:firstLine="30"/>
              <w:rPr>
                <w:sz w:val="17"/>
              </w:rPr>
            </w:pPr>
            <w:r>
              <w:rPr>
                <w:rFonts w:ascii="inherit" w:hAnsi="inherit"/>
                <w:sz w:val="17"/>
              </w:rPr>
              <w:t xml:space="preserve">Trade accounts receivable and other receivables, net from related parties </w:t>
            </w:r>
            <w:r>
              <w:rPr>
                <w:rFonts w:ascii="inherit" w:hAnsi="inherit"/>
                <w:sz w:val="12"/>
              </w:rPr>
              <w:t>(1) (2)</w:t>
            </w:r>
          </w:p>
        </w:tc>
        <w:tc>
          <w:tcPr>
            <w:tcW w:w="17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64" w:type="dxa"/>
            <w:tcBorders/>
            <w:shd w:fill="CCEEFF" w:val="clear"/>
            <w:vAlign w:val="center"/>
          </w:tcPr>
          <w:p>
            <w:pPr>
              <w:pStyle w:val="TableContents"/>
              <w:spacing w:before="0" w:after="0"/>
              <w:jc w:val="right"/>
              <w:rPr>
                <w:rFonts w:ascii="inherit" w:hAnsi="inherit"/>
                <w:sz w:val="17"/>
              </w:rPr>
            </w:pPr>
            <w:r>
              <w:rPr>
                <w:rFonts w:ascii="inherit" w:hAnsi="inherit"/>
                <w:sz w:val="17"/>
              </w:rPr>
              <w:t>285</w:t>
            </w:r>
          </w:p>
        </w:tc>
        <w:tc>
          <w:tcPr>
            <w:tcW w:w="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6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08" w:type="dxa"/>
            <w:tcBorders/>
            <w:shd w:fill="CCEEFF" w:val="clear"/>
            <w:vAlign w:val="center"/>
          </w:tcPr>
          <w:p>
            <w:pPr>
              <w:pStyle w:val="TableContents"/>
              <w:spacing w:before="0" w:after="0"/>
              <w:jc w:val="right"/>
              <w:rPr>
                <w:rFonts w:ascii="inherit" w:hAnsi="inherit"/>
                <w:sz w:val="17"/>
              </w:rPr>
            </w:pPr>
            <w:r>
              <w:rPr>
                <w:rFonts w:ascii="inherit" w:hAnsi="inherit"/>
                <w:sz w:val="17"/>
              </w:rPr>
              <w:t>144</w:t>
            </w:r>
          </w:p>
        </w:tc>
        <w:tc>
          <w:tcPr>
            <w:tcW w:w="9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665" w:type="dxa"/>
            <w:tcBorders/>
            <w:shd w:fill="auto" w:val="clear"/>
            <w:vAlign w:val="center"/>
          </w:tcPr>
          <w:p>
            <w:pPr>
              <w:pStyle w:val="TableContents"/>
              <w:spacing w:before="0" w:after="0"/>
              <w:ind w:left="0" w:right="0" w:firstLine="30"/>
              <w:rPr/>
            </w:pPr>
            <w:r>
              <w:rPr/>
              <w:t> </w:t>
            </w:r>
          </w:p>
        </w:tc>
        <w:tc>
          <w:tcPr>
            <w:tcW w:w="678"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68" w:type="dxa"/>
            <w:gridSpan w:val="3"/>
            <w:tcBorders/>
            <w:shd w:fill="auto" w:val="clear"/>
            <w:vAlign w:val="center"/>
          </w:tcPr>
          <w:p>
            <w:pPr>
              <w:pStyle w:val="TableContents"/>
              <w:spacing w:before="0" w:after="0"/>
              <w:ind w:left="0" w:right="0" w:firstLine="30"/>
              <w:rPr/>
            </w:pPr>
            <w:r>
              <w:rPr/>
              <w:t> </w:t>
            </w:r>
          </w:p>
        </w:tc>
      </w:tr>
      <w:tr>
        <w:trPr/>
        <w:tc>
          <w:tcPr>
            <w:tcW w:w="6665" w:type="dxa"/>
            <w:tcBorders/>
            <w:shd w:fill="CCEEFF" w:val="clear"/>
            <w:vAlign w:val="center"/>
          </w:tcPr>
          <w:p>
            <w:pPr>
              <w:pStyle w:val="TableContents"/>
              <w:spacing w:lineRule="auto" w:line="288" w:before="0" w:after="0"/>
              <w:ind w:left="0" w:right="0" w:firstLine="30"/>
              <w:rPr>
                <w:sz w:val="17"/>
              </w:rPr>
            </w:pPr>
            <w:r>
              <w:rPr>
                <w:rFonts w:ascii="inherit" w:hAnsi="inherit"/>
                <w:sz w:val="17"/>
              </w:rPr>
              <w:t xml:space="preserve">Trade accounts payable to related parties </w:t>
            </w:r>
            <w:r>
              <w:rPr>
                <w:rFonts w:ascii="inherit" w:hAnsi="inherit"/>
                <w:sz w:val="12"/>
              </w:rPr>
              <w:t>(1) (2) (3)</w:t>
            </w:r>
          </w:p>
        </w:tc>
        <w:tc>
          <w:tcPr>
            <w:tcW w:w="17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64" w:type="dxa"/>
            <w:tcBorders/>
            <w:shd w:fill="CCEEFF" w:val="clear"/>
            <w:vAlign w:val="center"/>
          </w:tcPr>
          <w:p>
            <w:pPr>
              <w:pStyle w:val="TableContents"/>
              <w:spacing w:before="0" w:after="0"/>
              <w:jc w:val="right"/>
              <w:rPr>
                <w:rFonts w:ascii="inherit" w:hAnsi="inherit"/>
                <w:sz w:val="17"/>
              </w:rPr>
            </w:pPr>
            <w:r>
              <w:rPr>
                <w:rFonts w:ascii="inherit" w:hAnsi="inherit"/>
                <w:sz w:val="17"/>
              </w:rPr>
              <w:t>80</w:t>
            </w:r>
          </w:p>
        </w:tc>
        <w:tc>
          <w:tcPr>
            <w:tcW w:w="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6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08" w:type="dxa"/>
            <w:tcBorders/>
            <w:shd w:fill="CCEEFF" w:val="clear"/>
            <w:vAlign w:val="center"/>
          </w:tcPr>
          <w:p>
            <w:pPr>
              <w:pStyle w:val="TableContents"/>
              <w:spacing w:before="0" w:after="0"/>
              <w:jc w:val="right"/>
              <w:rPr>
                <w:rFonts w:ascii="inherit" w:hAnsi="inherit"/>
                <w:sz w:val="17"/>
              </w:rPr>
            </w:pPr>
            <w:r>
              <w:rPr>
                <w:rFonts w:ascii="inherit" w:hAnsi="inherit"/>
                <w:sz w:val="17"/>
              </w:rPr>
              <w:t>121</w:t>
            </w:r>
          </w:p>
        </w:tc>
        <w:tc>
          <w:tcPr>
            <w:tcW w:w="96"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sz w:val="4"/>
                <w:szCs w:val="4"/>
              </w:rPr>
            </w:pPr>
            <w:r>
              <w:rPr>
                <w:sz w:val="4"/>
                <w:szCs w:val="4"/>
              </w:rPr>
            </w:r>
          </w:p>
        </w:tc>
      </w:tr>
      <w:tr>
        <w:trPr/>
        <w:tc>
          <w:tcPr>
            <w:tcW w:w="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 w:type="dxa"/>
            <w:tcBorders>
              <w:bottom w:val="single" w:sz="2" w:space="0" w:color="000000"/>
            </w:tcBorders>
            <w:shd w:fill="auto" w:val="clear"/>
            <w:tcMar>
              <w:bottom w:w="30" w:type="dxa"/>
            </w:tcMar>
            <w:vAlign w:val="center"/>
          </w:tcPr>
          <w:p>
            <w:pPr>
              <w:pStyle w:val="TableContents"/>
              <w:spacing w:before="0" w:after="0"/>
              <w:rPr/>
            </w:pPr>
            <w:r>
              <w:rPr/>
              <w:t> </w:t>
            </w:r>
          </w:p>
        </w:tc>
      </w:tr>
    </w:tbl>
    <w:tbl>
      <w:tblPr>
        <w:tblW w:w="10205" w:type="dxa"/>
        <w:jc w:val="left"/>
        <w:tblInd w:w="0" w:type="dxa"/>
        <w:tblCellMar>
          <w:top w:w="0" w:type="dxa"/>
          <w:left w:w="0" w:type="dxa"/>
          <w:bottom w:w="0" w:type="dxa"/>
          <w:right w:w="0" w:type="dxa"/>
        </w:tblCellMar>
      </w:tblPr>
      <w:tblGrid>
        <w:gridCol w:w="241"/>
        <w:gridCol w:w="9964"/>
      </w:tblGrid>
      <w:tr>
        <w:trPr/>
        <w:tc>
          <w:tcPr>
            <w:tcW w:w="241" w:type="dxa"/>
            <w:tcBorders/>
            <w:shd w:fill="auto" w:val="clear"/>
            <w:vAlign w:val="center"/>
          </w:tcPr>
          <w:p>
            <w:pPr>
              <w:pStyle w:val="TableContents"/>
              <w:spacing w:before="0" w:after="283"/>
              <w:rPr>
                <w:sz w:val="4"/>
                <w:szCs w:val="4"/>
              </w:rPr>
            </w:pPr>
            <w:r>
              <w:rPr>
                <w:sz w:val="4"/>
                <w:szCs w:val="4"/>
              </w:rPr>
            </w:r>
          </w:p>
        </w:tc>
        <w:tc>
          <w:tcPr>
            <w:tcW w:w="9964" w:type="dxa"/>
            <w:tcBorders/>
            <w:shd w:fill="auto" w:val="clear"/>
            <w:vAlign w:val="center"/>
          </w:tcPr>
          <w:p>
            <w:pPr>
              <w:pStyle w:val="TableContents"/>
              <w:spacing w:before="0" w:after="283"/>
              <w:rPr>
                <w:sz w:val="4"/>
                <w:szCs w:val="4"/>
              </w:rPr>
            </w:pPr>
            <w:r>
              <w:rPr>
                <w:sz w:val="4"/>
                <w:szCs w:val="4"/>
              </w:rPr>
            </w:r>
          </w:p>
        </w:tc>
      </w:tr>
      <w:tr>
        <w:trPr/>
        <w:tc>
          <w:tcPr>
            <w:tcW w:w="241"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(1)</w:t>
            </w:r>
            <w:r>
              <w:rPr>
                <w:rFonts w:ascii="inherit" w:hAnsi="inherit"/>
                <w:sz w:val="17"/>
              </w:rPr>
              <w:t> </w:t>
            </w:r>
          </w:p>
        </w:tc>
        <w:tc>
          <w:tcPr>
            <w:tcW w:w="9964" w:type="dxa"/>
            <w:tcBorders/>
            <w:shd w:fill="auto" w:val="clear"/>
            <w:vAlign w:val="center"/>
          </w:tcPr>
          <w:p>
            <w:pPr>
              <w:pStyle w:val="TableContents"/>
              <w:spacing w:lineRule="auto" w:line="288" w:before="0" w:after="0"/>
              <w:rPr>
                <w:rFonts w:ascii="inherit" w:hAnsi="inherit"/>
                <w:sz w:val="17"/>
              </w:rPr>
            </w:pPr>
            <w:r>
              <w:rPr>
                <w:rFonts w:ascii="inherit" w:hAnsi="inherit"/>
                <w:sz w:val="17"/>
              </w:rPr>
              <w:t>We have a netting arrangement with certain related parties. Receivables and payables are presented net of such amounts.</w:t>
            </w:r>
          </w:p>
        </w:tc>
      </w:tr>
    </w:tbl>
    <w:tbl>
      <w:tblPr>
        <w:tblW w:w="10205" w:type="dxa"/>
        <w:jc w:val="left"/>
        <w:tblInd w:w="0" w:type="dxa"/>
        <w:tblCellMar>
          <w:top w:w="0" w:type="dxa"/>
          <w:left w:w="0" w:type="dxa"/>
          <w:bottom w:w="0" w:type="dxa"/>
          <w:right w:w="0" w:type="dxa"/>
        </w:tblCellMar>
      </w:tblPr>
      <w:tblGrid>
        <w:gridCol w:w="199"/>
        <w:gridCol w:w="10006"/>
      </w:tblGrid>
      <w:tr>
        <w:trPr/>
        <w:tc>
          <w:tcPr>
            <w:tcW w:w="199" w:type="dxa"/>
            <w:tcBorders/>
            <w:shd w:fill="auto" w:val="clear"/>
            <w:vAlign w:val="center"/>
          </w:tcPr>
          <w:p>
            <w:pPr>
              <w:pStyle w:val="TableContents"/>
              <w:spacing w:before="0" w:after="283"/>
              <w:rPr>
                <w:sz w:val="4"/>
                <w:szCs w:val="4"/>
              </w:rPr>
            </w:pPr>
            <w:r>
              <w:rPr>
                <w:sz w:val="4"/>
                <w:szCs w:val="4"/>
              </w:rPr>
            </w:r>
          </w:p>
        </w:tc>
        <w:tc>
          <w:tcPr>
            <w:tcW w:w="10006" w:type="dxa"/>
            <w:tcBorders/>
            <w:shd w:fill="auto" w:val="clear"/>
            <w:vAlign w:val="center"/>
          </w:tcPr>
          <w:p>
            <w:pPr>
              <w:pStyle w:val="TableContents"/>
              <w:spacing w:before="0" w:after="283"/>
              <w:rPr>
                <w:sz w:val="4"/>
                <w:szCs w:val="4"/>
              </w:rPr>
            </w:pPr>
            <w:r>
              <w:rPr>
                <w:sz w:val="4"/>
                <w:szCs w:val="4"/>
              </w:rPr>
            </w:r>
          </w:p>
        </w:tc>
      </w:tr>
      <w:tr>
        <w:trPr/>
        <w:tc>
          <w:tcPr>
            <w:tcW w:w="199"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(2)</w:t>
            </w:r>
            <w:r>
              <w:rPr>
                <w:rFonts w:ascii="inherit" w:hAnsi="inherit"/>
                <w:sz w:val="17"/>
              </w:rPr>
              <w:t> </w:t>
            </w:r>
          </w:p>
        </w:tc>
        <w:tc>
          <w:tcPr>
            <w:tcW w:w="10006" w:type="dxa"/>
            <w:tcBorders/>
            <w:shd w:fill="auto" w:val="clear"/>
            <w:vAlign w:val="center"/>
          </w:tcPr>
          <w:p>
            <w:pPr>
              <w:pStyle w:val="TableContents"/>
              <w:spacing w:lineRule="auto" w:line="288" w:before="0" w:after="0"/>
              <w:rPr>
                <w:rFonts w:ascii="inherit" w:hAnsi="inherit"/>
                <w:sz w:val="17"/>
              </w:rPr>
            </w:pPr>
            <w:r>
              <w:rPr>
                <w:rFonts w:ascii="inherit" w:hAnsi="inherit"/>
                <w:sz w:val="17"/>
              </w:rPr>
              <w:t xml:space="preserve">Includes amounts related to crude oil purchases and sales, transportation services and amounts owed to us or advanced to us related to expansion projects of equity method investees where we serve as construction manager. </w:t>
            </w:r>
          </w:p>
        </w:tc>
      </w:tr>
    </w:tbl>
    <w:tbl>
      <w:tblPr>
        <w:tblW w:w="10205" w:type="dxa"/>
        <w:jc w:val="left"/>
        <w:tblInd w:w="0" w:type="dxa"/>
        <w:tblCellMar>
          <w:top w:w="0" w:type="dxa"/>
          <w:left w:w="0" w:type="dxa"/>
          <w:bottom w:w="0" w:type="dxa"/>
          <w:right w:w="0" w:type="dxa"/>
        </w:tblCellMar>
      </w:tblPr>
      <w:tblGrid>
        <w:gridCol w:w="188"/>
        <w:gridCol w:w="10017"/>
      </w:tblGrid>
      <w:tr>
        <w:trPr/>
        <w:tc>
          <w:tcPr>
            <w:tcW w:w="188" w:type="dxa"/>
            <w:tcBorders/>
            <w:shd w:fill="auto" w:val="clear"/>
            <w:vAlign w:val="center"/>
          </w:tcPr>
          <w:p>
            <w:pPr>
              <w:pStyle w:val="TableContents"/>
              <w:spacing w:before="0" w:after="283"/>
              <w:rPr>
                <w:sz w:val="4"/>
                <w:szCs w:val="4"/>
              </w:rPr>
            </w:pPr>
            <w:r>
              <w:rPr>
                <w:sz w:val="4"/>
                <w:szCs w:val="4"/>
              </w:rPr>
            </w:r>
          </w:p>
        </w:tc>
        <w:tc>
          <w:tcPr>
            <w:tcW w:w="10017" w:type="dxa"/>
            <w:tcBorders/>
            <w:shd w:fill="auto" w:val="clear"/>
            <w:vAlign w:val="center"/>
          </w:tcPr>
          <w:p>
            <w:pPr>
              <w:pStyle w:val="TableContents"/>
              <w:spacing w:before="0" w:after="283"/>
              <w:rPr>
                <w:sz w:val="4"/>
                <w:szCs w:val="4"/>
              </w:rPr>
            </w:pPr>
            <w:r>
              <w:rPr>
                <w:sz w:val="4"/>
                <w:szCs w:val="4"/>
              </w:rPr>
            </w:r>
          </w:p>
        </w:tc>
      </w:tr>
      <w:tr>
        <w:trPr/>
        <w:tc>
          <w:tcPr>
            <w:tcW w:w="188"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(3)</w:t>
            </w:r>
            <w:r>
              <w:rPr>
                <w:rFonts w:ascii="inherit" w:hAnsi="inherit"/>
                <w:sz w:val="17"/>
              </w:rPr>
              <w:t> </w:t>
            </w:r>
          </w:p>
        </w:tc>
        <w:tc>
          <w:tcPr>
            <w:tcW w:w="10017" w:type="dxa"/>
            <w:tcBorders/>
            <w:shd w:fill="auto" w:val="clear"/>
            <w:vAlign w:val="center"/>
          </w:tcPr>
          <w:p>
            <w:pPr>
              <w:pStyle w:val="TableContents"/>
              <w:spacing w:lineRule="auto" w:line="288" w:before="0" w:after="0"/>
              <w:rPr>
                <w:sz w:val="17"/>
              </w:rPr>
            </w:pPr>
            <w:r>
              <w:rPr>
                <w:rFonts w:ascii="inherit" w:hAnsi="inherit"/>
                <w:sz w:val="17"/>
              </w:rPr>
              <w:t>We have an agreement to transport crude oil at posted tariff rates on a pipeline that is owned by an equity method investee, in which we own a 50%</w:t>
            </w:r>
            <w:r>
              <w:rPr>
                <w:sz w:val="17"/>
              </w:rPr>
              <w:t xml:space="preserve"> </w:t>
            </w:r>
            <w:r>
              <w:rPr>
                <w:rFonts w:ascii="inherit" w:hAnsi="inherit"/>
                <w:sz w:val="17"/>
              </w:rPr>
              <w:t>interest. Our commitment to transport is supported by crude oil buy/sell agreements with third parties (including Oxy) with commensurate quantities.</w:t>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sz w:val="17"/>
        </w:rPr>
      </w:pPr>
      <w:bookmarkStart w:id="26" w:name="s7ADFCB6756115C80BD1E432867A2AB84"/>
      <w:bookmarkEnd w:id="26"/>
      <w:r>
        <w:rPr>
          <w:b/>
          <w:sz w:val="17"/>
        </w:rPr>
        <w:t>Note 13</w:t>
      </w:r>
      <w:r>
        <w:rPr>
          <w:sz w:val="17"/>
        </w:rPr>
        <w:t>—</w:t>
      </w:r>
      <w:r>
        <w:rPr>
          <w:rFonts w:ascii="inherit" w:hAnsi="inherit"/>
          <w:b/>
          <w:sz w:val="17"/>
        </w:rPr>
        <w:t xml:space="preserve">Commitments and Contingencies </w:t>
      </w:r>
    </w:p>
    <w:p>
      <w:pPr>
        <w:pStyle w:val="TextBody"/>
        <w:spacing w:lineRule="auto" w:line="288" w:before="0" w:after="0"/>
        <w:rPr/>
      </w:pPr>
      <w:r>
        <w:rPr/>
        <w:t> </w:t>
      </w:r>
    </w:p>
    <w:p>
      <w:pPr>
        <w:pStyle w:val="TextBody"/>
        <w:spacing w:lineRule="auto" w:line="288" w:before="0" w:after="0"/>
        <w:rPr>
          <w:rFonts w:ascii="inherit" w:hAnsi="inherit"/>
          <w:b/>
          <w:i/>
          <w:sz w:val="17"/>
        </w:rPr>
      </w:pPr>
      <w:r>
        <w:rPr>
          <w:rFonts w:ascii="inherit" w:hAnsi="inherit"/>
          <w:b/>
          <w:i/>
          <w:sz w:val="17"/>
        </w:rPr>
        <w:t>Loss Contingencies — General</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34</w:t>
      </w:r>
      <w:r>
        <w:br w:type="page"/>
      </w:r>
    </w:p>
    <w:p>
      <w:pPr>
        <w:pStyle w:val="TextBody"/>
        <w:spacing w:lineRule="auto" w:line="288" w:before="0" w:after="0"/>
        <w:rPr/>
      </w:pPr>
      <w:hyperlink w:anchor="s3336AD8A685850CC9B7F2572CB2C0BC3">
        <w:r>
          <w:rPr>
            <w:rStyle w:val="InternetLink"/>
            <w:rFonts w:ascii="inherit" w:hAnsi="inherit"/>
            <w:sz w:val="17"/>
          </w:rPr>
          <w:t>Table of Contents</w:t>
        </w:r>
      </w:hyperlink>
      <w:r>
        <w:rPr>
          <w:sz w:val="17"/>
        </w:rPr>
        <w:t xml:space="preserve"> </w:t>
      </w:r>
    </w:p>
    <w:p>
      <w:pPr>
        <w:pStyle w:val="TextBody"/>
        <w:spacing w:lineRule="auto" w:line="288" w:before="0" w:after="0"/>
        <w:jc w:val="center"/>
        <w:rPr>
          <w:rFonts w:ascii="inherit" w:hAnsi="inherit"/>
          <w:b/>
          <w:sz w:val="17"/>
        </w:rPr>
      </w:pPr>
      <w:r>
        <w:rPr>
          <w:rFonts w:ascii="inherit" w:hAnsi="inherit"/>
          <w:b/>
          <w:sz w:val="17"/>
        </w:rPr>
        <w:t>PLAINS ALL AMERICAN PIPELINE, L.P. AND SUBSIDIARIES</w:t>
      </w:r>
    </w:p>
    <w:p>
      <w:pPr>
        <w:pStyle w:val="TextBody"/>
        <w:spacing w:lineRule="auto" w:line="288" w:before="0" w:after="0"/>
        <w:jc w:val="center"/>
        <w:rPr>
          <w:rFonts w:ascii="inherit" w:hAnsi="inherit"/>
          <w:b/>
          <w:sz w:val="17"/>
        </w:rPr>
      </w:pPr>
      <w:r>
        <w:rPr>
          <w:rFonts w:ascii="inherit" w:hAnsi="inherit"/>
          <w:b/>
          <w:sz w:val="17"/>
        </w:rPr>
        <w:t>NOTES TO THE UNAUDITED CONDENSED CONSOLIDATED FINANCIAL STATEMENTS</w:t>
      </w:r>
    </w:p>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sz w:val="17"/>
        </w:rPr>
      </w:pPr>
      <w:r>
        <w:rPr>
          <w:b/>
          <w:i/>
          <w:sz w:val="17"/>
        </w:rPr>
        <w:t>Legal Proceedings — General</w:t>
      </w:r>
      <w:r>
        <w:rPr>
          <w:sz w:val="17"/>
        </w:rPr>
        <w:t xml:space="preserve"> </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In the ordinary course of business, we are involved in various legal proceedings, including those arising from regulatory and environmental matters.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lineRule="auto" w:line="288" w:before="0" w:after="0"/>
        <w:ind w:left="0" w:right="0" w:firstLine="720"/>
        <w:rPr>
          <w:rFonts w:ascii="inherit" w:hAnsi="inherit"/>
          <w:sz w:val="17"/>
        </w:rPr>
      </w:pPr>
      <w:r>
        <w:rPr>
          <w:rFonts w:ascii="inherit" w:hAnsi="inherit"/>
          <w:sz w:val="17"/>
        </w:rPr>
        <w:t>Taking into account what we believe to be all relevant known facts and circumstances, and based on what we believe to be reasonable assumptions regarding the application of those facts and circumstances to existing laws and regulations, we do not believe that the outcome of the legal proceedings in which we are currently involved (including those described below) will, individually or in the aggregate, have a material adverse effect on our consolidated financial condition, results of operations or cash flows.</w:t>
      </w:r>
    </w:p>
    <w:p>
      <w:pPr>
        <w:pStyle w:val="TextBody"/>
        <w:spacing w:lineRule="auto" w:line="288" w:before="0" w:after="0"/>
        <w:rPr/>
      </w:pPr>
      <w:r>
        <w:rPr/>
        <w:t> </w:t>
      </w:r>
    </w:p>
    <w:p>
      <w:pPr>
        <w:pStyle w:val="TextBody"/>
        <w:spacing w:lineRule="auto" w:line="288" w:before="0" w:after="0"/>
        <w:rPr>
          <w:rFonts w:ascii="inherit" w:hAnsi="inherit"/>
          <w:b/>
          <w:i/>
          <w:sz w:val="17"/>
        </w:rPr>
      </w:pPr>
      <w:r>
        <w:rPr>
          <w:rFonts w:ascii="inherit" w:hAnsi="inherit"/>
          <w:b/>
          <w:i/>
          <w:sz w:val="17"/>
        </w:rPr>
        <w:t>Environmental — General</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Although over the course of the last several years we have made significant investments in our maintenance and integrity programs, and have hired additional personnel in those areas,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Damages and liabilities associated with any such releases from our existing or future assets could be significant and could have a material adverse effect on our consolidated financial condition, results of operations or cash flows.</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recoverable from insurance or from third parties under indemnification agreements in the period that we determine the costs are probable of recovery.</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pStyle w:val="TextBody"/>
        <w:spacing w:lineRule="auto" w:line="288" w:before="0" w:after="0"/>
        <w:rPr/>
      </w:pPr>
      <w:r>
        <w:rPr/>
        <w:t> </w:t>
      </w:r>
    </w:p>
    <w:p>
      <w:pPr>
        <w:pStyle w:val="TextBody"/>
        <w:spacing w:lineRule="auto" w:line="288" w:before="0" w:after="0"/>
        <w:ind w:left="0" w:right="0" w:firstLine="720"/>
        <w:rPr>
          <w:sz w:val="17"/>
        </w:rPr>
      </w:pPr>
      <w:r>
        <w:rPr>
          <w:rFonts w:ascii="inherit" w:hAnsi="inherit"/>
          <w:sz w:val="17"/>
        </w:rPr>
        <w:t>At June 30, 2019, our estimated undiscounted reserve for environmental liabilities (including liabilities related to the Line 901 incident, as discussed further below) totaled $143 million, of which $64 million</w:t>
      </w:r>
      <w:r>
        <w:rPr>
          <w:sz w:val="17"/>
        </w:rPr>
        <w:t xml:space="preserve"> </w:t>
      </w:r>
      <w:r>
        <w:rPr>
          <w:rFonts w:ascii="inherit" w:hAnsi="inherit"/>
          <w:sz w:val="17"/>
        </w:rPr>
        <w:t>was classified as short-term and $79 million</w:t>
      </w:r>
      <w:r>
        <w:rPr>
          <w:sz w:val="17"/>
        </w:rPr>
        <w:t xml:space="preserve"> </w:t>
      </w:r>
      <w:r>
        <w:rPr>
          <w:rFonts w:ascii="inherit" w:hAnsi="inherit"/>
          <w:sz w:val="17"/>
        </w:rPr>
        <w:t>was classified as long-term. At December 31, 2018, our estimated undiscounted reserve for environmental liabilities (including liabilities related to the Line 901 incident) totaled $135 million, of which $43 million</w:t>
      </w:r>
      <w:r>
        <w:rPr>
          <w:sz w:val="17"/>
        </w:rPr>
        <w:t xml:space="preserve"> </w:t>
      </w:r>
      <w:r>
        <w:rPr>
          <w:rFonts w:ascii="inherit" w:hAnsi="inherit"/>
          <w:sz w:val="17"/>
        </w:rPr>
        <w:t>was classified as short-term and $92 million</w:t>
      </w:r>
      <w:r>
        <w:rPr>
          <w:sz w:val="17"/>
        </w:rPr>
        <w:t xml:space="preserve"> </w:t>
      </w:r>
      <w:r>
        <w:rPr>
          <w:rFonts w:ascii="inherit" w:hAnsi="inherit"/>
          <w:sz w:val="17"/>
        </w:rPr>
        <w:t>was classified as long-term. Such short- and long-term environmental liabilities are reflected in “Other current liabilities” and “Other long-term liabilities and deferred credits,” respectively, on our Condensed Consolidated Balance Sheets. At June 30, 2019, we had recorded receivables totaling $74 million</w:t>
      </w:r>
      <w:r>
        <w:rPr>
          <w:sz w:val="17"/>
        </w:rPr>
        <w:t xml:space="preserve"> </w:t>
      </w:r>
      <w:r>
        <w:rPr>
          <w:rFonts w:ascii="inherit" w:hAnsi="inherit"/>
          <w:sz w:val="17"/>
        </w:rPr>
        <w:t>for amounts probable of recovery under insurance and from third parties under indemnification agreements, of which $43 million</w:t>
      </w:r>
      <w:r>
        <w:rPr>
          <w:sz w:val="17"/>
        </w:rPr>
        <w:t xml:space="preserve"> </w:t>
      </w:r>
      <w:r>
        <w:rPr>
          <w:rFonts w:ascii="inherit" w:hAnsi="inherit"/>
          <w:sz w:val="17"/>
        </w:rPr>
        <w:t>was classified as short-term and $31 million</w:t>
      </w:r>
      <w:r>
        <w:rPr>
          <w:sz w:val="17"/>
        </w:rPr>
        <w:t xml:space="preserve"> </w:t>
      </w:r>
      <w:r>
        <w:rPr>
          <w:rFonts w:ascii="inherit" w:hAnsi="inherit"/>
          <w:sz w:val="17"/>
        </w:rPr>
        <w:t>was classified as long-term. At December 31, 2018, we had recorded $61 million</w:t>
      </w:r>
      <w:r>
        <w:rPr>
          <w:sz w:val="17"/>
        </w:rPr>
        <w:t xml:space="preserve"> </w:t>
      </w:r>
      <w:r>
        <w:rPr>
          <w:rFonts w:ascii="inherit" w:hAnsi="inherit"/>
          <w:sz w:val="17"/>
        </w:rPr>
        <w:t>of such receivables, of which $28 million</w:t>
      </w:r>
      <w:r>
        <w:rPr>
          <w:sz w:val="17"/>
        </w:rPr>
        <w:t xml:space="preserve"> </w:t>
      </w:r>
      <w:r>
        <w:rPr>
          <w:rFonts w:ascii="inherit" w:hAnsi="inherit"/>
          <w:sz w:val="17"/>
        </w:rPr>
        <w:t>was classified as short-term and $33 million</w:t>
      </w:r>
      <w:r>
        <w:rPr>
          <w:sz w:val="17"/>
        </w:rPr>
        <w:t xml:space="preserve"> </w:t>
      </w:r>
      <w:r>
        <w:rPr>
          <w:rFonts w:ascii="inherit" w:hAnsi="inherit"/>
          <w:sz w:val="17"/>
        </w:rPr>
        <w:t>was classified as long-term. Such short- and long-term receivables are reflected in “Trade accounts receivable and other receivables, net” and “Other long-term assets, net,” respectively, on our Condensed Consolidated Balance Sheets. </w:t>
      </w:r>
    </w:p>
    <w:p>
      <w:pPr>
        <w:pStyle w:val="TextBody"/>
        <w:spacing w:lineRule="auto" w:line="288" w:before="0" w:after="0"/>
        <w:rPr/>
      </w:pPr>
      <w:r>
        <w:rPr/>
        <w:t>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35</w:t>
      </w:r>
      <w:r>
        <w:br w:type="page"/>
      </w:r>
    </w:p>
    <w:p>
      <w:pPr>
        <w:pStyle w:val="TextBody"/>
        <w:spacing w:lineRule="auto" w:line="288" w:before="0" w:after="0"/>
        <w:rPr/>
      </w:pPr>
      <w:hyperlink w:anchor="s3336AD8A685850CC9B7F2572CB2C0BC3">
        <w:r>
          <w:rPr>
            <w:rStyle w:val="InternetLink"/>
            <w:rFonts w:ascii="inherit" w:hAnsi="inherit"/>
            <w:sz w:val="17"/>
          </w:rPr>
          <w:t>Table of Contents</w:t>
        </w:r>
      </w:hyperlink>
      <w:r>
        <w:rPr>
          <w:sz w:val="17"/>
        </w:rPr>
        <w:t xml:space="preserve"> </w:t>
      </w:r>
    </w:p>
    <w:p>
      <w:pPr>
        <w:pStyle w:val="TextBody"/>
        <w:spacing w:lineRule="auto" w:line="288" w:before="0" w:after="0"/>
        <w:jc w:val="center"/>
        <w:rPr>
          <w:rFonts w:ascii="inherit" w:hAnsi="inherit"/>
          <w:b/>
          <w:sz w:val="17"/>
        </w:rPr>
      </w:pPr>
      <w:r>
        <w:rPr>
          <w:rFonts w:ascii="inherit" w:hAnsi="inherit"/>
          <w:b/>
          <w:sz w:val="17"/>
        </w:rPr>
        <w:t>PLAINS ALL AMERICAN PIPELINE, L.P. AND SUBSIDIARIES</w:t>
      </w:r>
    </w:p>
    <w:p>
      <w:pPr>
        <w:pStyle w:val="TextBody"/>
        <w:spacing w:lineRule="auto" w:line="288" w:before="0" w:after="0"/>
        <w:jc w:val="center"/>
        <w:rPr>
          <w:rFonts w:ascii="inherit" w:hAnsi="inherit"/>
          <w:b/>
          <w:sz w:val="17"/>
        </w:rPr>
      </w:pPr>
      <w:r>
        <w:rPr>
          <w:rFonts w:ascii="inherit" w:hAnsi="inherit"/>
          <w:b/>
          <w:sz w:val="17"/>
        </w:rPr>
        <w:t>NOTES TO THE UNAUDITED CONDENSED CONSOLIDATED FINANCIAL STATEMENTS</w:t>
      </w:r>
    </w:p>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720"/>
        <w:rPr>
          <w:rFonts w:ascii="inherit" w:hAnsi="inherit"/>
          <w:sz w:val="17"/>
        </w:rPr>
      </w:pPr>
      <w:r>
        <w:rPr>
          <w:rFonts w:ascii="inherit" w:hAnsi="inherit"/>
          <w:sz w:val="17"/>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pStyle w:val="TextBody"/>
        <w:spacing w:lineRule="auto" w:line="288" w:before="0" w:after="0"/>
        <w:rPr/>
      </w:pPr>
      <w:r>
        <w:rPr/>
        <w:t> </w:t>
      </w:r>
    </w:p>
    <w:p>
      <w:pPr>
        <w:pStyle w:val="TextBody"/>
        <w:spacing w:lineRule="auto" w:line="288" w:before="0" w:after="0"/>
        <w:rPr>
          <w:sz w:val="17"/>
        </w:rPr>
      </w:pPr>
      <w:r>
        <w:rPr>
          <w:rFonts w:ascii="inherit" w:hAnsi="inherit"/>
          <w:b/>
          <w:i/>
          <w:sz w:val="17"/>
        </w:rPr>
        <w:t>Specific Legal, Environmental or Regulatory Matters</w:t>
      </w:r>
      <w:r>
        <w:rPr>
          <w:color w:val="FF0000"/>
          <w:sz w:val="17"/>
        </w:rPr>
        <w:t xml:space="preserve"> </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ind w:left="0" w:right="0" w:firstLine="720"/>
        <w:rPr>
          <w:sz w:val="17"/>
        </w:rPr>
      </w:pPr>
      <w:r>
        <w:rPr>
          <w:rFonts w:ascii="inherit" w:hAnsi="inherit"/>
          <w:i/>
          <w:sz w:val="17"/>
        </w:rPr>
        <w:t>Line 901 Incident</w:t>
      </w:r>
      <w:r>
        <w:rPr>
          <w:rFonts w:ascii="inherit" w:hAnsi="inherit"/>
          <w:sz w:val="17"/>
        </w:rPr>
        <w:t>. In May 2015, we experienced a crude oil release from our Las Flores to Gaviota Pipeline (Line 901) in Santa Barbara County, California. A portion of the released crude oil reached the Pacific Ocean at Refugio State Beach through a drainage culvert. Following the release, we shut down the pipeline and initiated our emergency response plan. A Unified Command, which included the United States Coast Guard, the EPA,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and the Unified Command has been dissolved. Our estimate of the amount of oil spilled, based on relevant facts, data and information, is approximately 2,934</w:t>
      </w:r>
      <w:r>
        <w:rPr>
          <w:sz w:val="17"/>
        </w:rPr>
        <w:t xml:space="preserve"> </w:t>
      </w:r>
      <w:r>
        <w:rPr>
          <w:rFonts w:ascii="inherit" w:hAnsi="inherit"/>
          <w:sz w:val="17"/>
        </w:rPr>
        <w:t>barrels; of this amount, we estimate that 598</w:t>
      </w:r>
      <w:r>
        <w:rPr>
          <w:sz w:val="17"/>
        </w:rPr>
        <w:t xml:space="preserve"> </w:t>
      </w:r>
      <w:r>
        <w:rPr>
          <w:rFonts w:ascii="inherit" w:hAnsi="inherit"/>
          <w:sz w:val="17"/>
        </w:rPr>
        <w:t>barrels reached the Pacific Ocean.</w:t>
      </w:r>
    </w:p>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lineRule="auto" w:line="288" w:before="0" w:after="0"/>
        <w:ind w:left="0" w:right="0" w:firstLine="720"/>
        <w:rPr>
          <w:rFonts w:ascii="inherit" w:hAnsi="inherit"/>
          <w:sz w:val="17"/>
        </w:rPr>
      </w:pPr>
      <w:r>
        <w:rPr>
          <w:rFonts w:ascii="inherit" w:hAnsi="inherit"/>
          <w:sz w:val="17"/>
        </w:rPr>
        <w:t>As a result of the Line 901 incident, several governmental agencies and regulators initiated investigations into the Line 901 incident, various claims have been made against us and a number of lawsuits have been filed against us. We may be subject to additional claims, investigations and lawsuits, which could materially impact the liabilities and costs we currently expect to incur as a result of the Line 901 incident. Set forth below is a brief summary of actions and matters that are currently pending:</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 xml:space="preserve">On May 21, 2015, we received a corrective action order from the United States Department of Transportation’s Pipeline and Hazardous Materials Safety Administration (“PHMSA”), the governmental agency with jurisdiction over the operation of Line 901 as well as over a second stretch of pipeline extending from Gaviota Pump Station in Santa Barbara County to Emidio Pump Station in Kern County, California (Line 903), requiring us to shut down, purge, review, remediate and test Line 901. The corrective action order was subsequently amended on June 3, 2015; November 13, 2015; and June 16, 2016 to require us to take additional corrective actions with respect to both Lines 901 and 903 (as amended, the “CAO”). Among other requirements, the CAO obligated us to conduct a root cause failure analysis with respect to Line 901 and present remedial work plans and restart plans to PHMSA prior to returning Line 901 and 903 to service; the CAO also imposed a pressure restriction on the section of Line 903 between Pentland Pump Station and Emidio Pump Station and required us to take other specified actions with respect to both Lines 901 and 903. We intend to continue to comply with the CAO and to cooperate with any other governmental investigations relating to or arising out of the release. Excavation and removal of the affected section of the pipeline was completed on May 28, 2015. Line 901 and Line 903 have been purged and are not currently operational, with the exception of the Pentland to Emidio segment of Line 903, which remains in service under a pressure restriction. No timeline has been established for the restart of Line 901 or Line 903. </w:t>
      </w:r>
    </w:p>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lineRule="auto" w:line="288" w:before="0" w:after="0"/>
        <w:ind w:left="0" w:right="0" w:firstLine="720"/>
        <w:rPr>
          <w:rFonts w:ascii="inherit" w:hAnsi="inherit"/>
          <w:sz w:val="17"/>
        </w:rPr>
      </w:pPr>
      <w:r>
        <w:rPr>
          <w:rFonts w:ascii="inherit" w:hAnsi="inherit"/>
          <w:sz w:val="17"/>
        </w:rPr>
        <w:t>On February 17, 2016, PHMSA issued a Preliminary Factual Report of the Line 901 failure, which contains PHMSA’s preliminary findings regarding factual information about the events leading up to the accident and the technical analysis that has been conducted to date. On May 19, 2016, PHMSA issued its final Failure Investigation Report regarding the Line 901 incident. PHMSA’s findings indicate that the direct cause of the Line 901 incident was external corrosion that thinned the pipe wall to a level where it ruptured suddenly and released crude oil. PHMSA also concluded that there were numerous contributory causes of the Line 901 incident, including ineffective protection against external corrosion, failure to detect and mitigate the corrosion and a lack of timely detection and response to the rupture.  The report also included copies of various engineering and technical reports regarding the incident. By virtue of its statutory authority, PHMSA has the power and authority to impose fines and penalties on us and cause civil or criminal charges to be brought against us. While to date PHMSA has not imposed any such fines or penalties or brought any such civil or criminal charges with respect to the Line 901 release, their investigation is still open and we are likely to have fines or penalties imposed upon us, and we may have civil or criminal charges brought against us, in the future.</w:t>
      </w:r>
    </w:p>
    <w:p>
      <w:pPr>
        <w:pStyle w:val="TextBody"/>
        <w:spacing w:lineRule="auto" w:line="288" w:before="0" w:after="0"/>
        <w:rPr/>
      </w:pPr>
      <w:r>
        <w:rPr/>
        <w:t>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36</w:t>
      </w:r>
      <w:r>
        <w:br w:type="page"/>
      </w:r>
    </w:p>
    <w:p>
      <w:pPr>
        <w:pStyle w:val="TextBody"/>
        <w:spacing w:lineRule="auto" w:line="288" w:before="0" w:after="0"/>
        <w:rPr/>
      </w:pPr>
      <w:hyperlink w:anchor="s3336AD8A685850CC9B7F2572CB2C0BC3">
        <w:r>
          <w:rPr>
            <w:rStyle w:val="InternetLink"/>
            <w:rFonts w:ascii="inherit" w:hAnsi="inherit"/>
            <w:sz w:val="17"/>
          </w:rPr>
          <w:t>Table of Contents</w:t>
        </w:r>
      </w:hyperlink>
      <w:r>
        <w:rPr>
          <w:sz w:val="17"/>
        </w:rPr>
        <w:t xml:space="preserve"> </w:t>
      </w:r>
    </w:p>
    <w:p>
      <w:pPr>
        <w:pStyle w:val="TextBody"/>
        <w:spacing w:lineRule="auto" w:line="288" w:before="0" w:after="0"/>
        <w:jc w:val="center"/>
        <w:rPr>
          <w:rFonts w:ascii="inherit" w:hAnsi="inherit"/>
          <w:b/>
          <w:sz w:val="17"/>
        </w:rPr>
      </w:pPr>
      <w:r>
        <w:rPr>
          <w:rFonts w:ascii="inherit" w:hAnsi="inherit"/>
          <w:b/>
          <w:sz w:val="17"/>
        </w:rPr>
        <w:t>PLAINS ALL AMERICAN PIPELINE, L.P. AND SUBSIDIARIES</w:t>
      </w:r>
    </w:p>
    <w:p>
      <w:pPr>
        <w:pStyle w:val="TextBody"/>
        <w:spacing w:lineRule="auto" w:line="288" w:before="0" w:after="0"/>
        <w:jc w:val="center"/>
        <w:rPr>
          <w:rFonts w:ascii="inherit" w:hAnsi="inherit"/>
          <w:b/>
          <w:sz w:val="17"/>
        </w:rPr>
      </w:pPr>
      <w:r>
        <w:rPr>
          <w:rFonts w:ascii="inherit" w:hAnsi="inherit"/>
          <w:b/>
          <w:sz w:val="17"/>
        </w:rPr>
        <w:t>NOTES TO THE UNAUDITED CONDENSED CONSOLIDATED FINANCIAL STATEMENTS</w:t>
      </w:r>
    </w:p>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720"/>
        <w:rPr>
          <w:sz w:val="17"/>
        </w:rPr>
      </w:pPr>
      <w:r>
        <w:rPr>
          <w:rFonts w:ascii="inherit" w:hAnsi="inherit"/>
          <w:sz w:val="17"/>
        </w:rPr>
        <w:t>In late May of 2015, the California Attorney General’s Office and the District Attorney’s office for the County of Santa Barbara (collectively, the “Prosecutors”) began investigating the Line 901 incident to determine whether any applicable state or local laws had been violated. On May 16, 2016, PAA and one</w:t>
      </w:r>
      <w:r>
        <w:rPr>
          <w:sz w:val="17"/>
        </w:rPr>
        <w:t xml:space="preserve"> </w:t>
      </w:r>
      <w:r>
        <w:rPr>
          <w:rFonts w:ascii="inherit" w:hAnsi="inherit"/>
          <w:sz w:val="17"/>
        </w:rPr>
        <w:t>of its employees were charged by a California state grand jury, pursuant to an indictment filed in California Superior Court, Santa Barbara County (the “May 2016 Indictment”), with alleged violations of California law in connection with the Line 901 incident. The May 2016 Indictment included a total of 46</w:t>
      </w:r>
      <w:r>
        <w:rPr>
          <w:sz w:val="17"/>
        </w:rPr>
        <w:t xml:space="preserve"> </w:t>
      </w:r>
      <w:r>
        <w:rPr>
          <w:rFonts w:ascii="inherit" w:hAnsi="inherit"/>
          <w:sz w:val="17"/>
        </w:rPr>
        <w:t>counts against PAA. On July 28, 2016, at an arraignment hearing held in California Superior Court in Santa Barbara County, PAA pled not guilty to all counts. Between May of 2016 and May of 2018, 31</w:t>
      </w:r>
      <w:r>
        <w:rPr>
          <w:sz w:val="17"/>
        </w:rPr>
        <w:t xml:space="preserve"> </w:t>
      </w:r>
      <w:r>
        <w:rPr>
          <w:rFonts w:ascii="inherit" w:hAnsi="inherit"/>
          <w:sz w:val="17"/>
        </w:rPr>
        <w:t>of the criminal charges against PAA (including one</w:t>
      </w:r>
      <w:r>
        <w:rPr>
          <w:sz w:val="17"/>
        </w:rPr>
        <w:t xml:space="preserve"> </w:t>
      </w:r>
      <w:r>
        <w:rPr>
          <w:rFonts w:ascii="inherit" w:hAnsi="inherit"/>
          <w:sz w:val="17"/>
        </w:rPr>
        <w:t>felony charge) and all of the criminal charges against our employee, were dismissed. The remaining 15</w:t>
      </w:r>
      <w:r>
        <w:rPr>
          <w:sz w:val="17"/>
        </w:rPr>
        <w:t xml:space="preserve"> </w:t>
      </w:r>
      <w:r>
        <w:rPr>
          <w:rFonts w:ascii="inherit" w:hAnsi="inherit"/>
          <w:sz w:val="17"/>
        </w:rPr>
        <w:t>charges were the subject of a jury trial in California Superior Court in Santa Barbara County that began in May of 2018. The jury returned a verdict on September 7, 2018, pursuant to which we were (i) found guilty on one</w:t>
      </w:r>
      <w:r>
        <w:rPr>
          <w:sz w:val="17"/>
        </w:rPr>
        <w:t xml:space="preserve"> </w:t>
      </w:r>
      <w:r>
        <w:rPr>
          <w:rFonts w:ascii="inherit" w:hAnsi="inherit"/>
          <w:sz w:val="17"/>
        </w:rPr>
        <w:t>felony discharge count and eight</w:t>
      </w:r>
      <w:r>
        <w:rPr>
          <w:sz w:val="17"/>
        </w:rPr>
        <w:t xml:space="preserve"> </w:t>
      </w:r>
      <w:r>
        <w:rPr>
          <w:rFonts w:ascii="inherit" w:hAnsi="inherit"/>
          <w:sz w:val="17"/>
        </w:rPr>
        <w:t>misdemeanor counts (which included one</w:t>
      </w:r>
      <w:r>
        <w:rPr>
          <w:sz w:val="17"/>
        </w:rPr>
        <w:t xml:space="preserve"> </w:t>
      </w:r>
      <w:r>
        <w:rPr>
          <w:rFonts w:ascii="inherit" w:hAnsi="inherit"/>
          <w:sz w:val="17"/>
        </w:rPr>
        <w:t>reporting count, one</w:t>
      </w:r>
      <w:r>
        <w:rPr>
          <w:sz w:val="17"/>
        </w:rPr>
        <w:t xml:space="preserve"> </w:t>
      </w:r>
      <w:r>
        <w:rPr>
          <w:rFonts w:ascii="inherit" w:hAnsi="inherit"/>
          <w:sz w:val="17"/>
        </w:rPr>
        <w:t>strict liability discharge count and six</w:t>
      </w:r>
      <w:r>
        <w:rPr>
          <w:sz w:val="17"/>
        </w:rPr>
        <w:t xml:space="preserve"> </w:t>
      </w:r>
      <w:r>
        <w:rPr>
          <w:rFonts w:ascii="inherit" w:hAnsi="inherit"/>
          <w:sz w:val="17"/>
        </w:rPr>
        <w:t>strict liability animal takings counts) and (ii) found not guilty on one</w:t>
      </w:r>
      <w:r>
        <w:rPr>
          <w:sz w:val="17"/>
        </w:rPr>
        <w:t xml:space="preserve"> </w:t>
      </w:r>
      <w:r>
        <w:rPr>
          <w:rFonts w:ascii="inherit" w:hAnsi="inherit"/>
          <w:sz w:val="17"/>
        </w:rPr>
        <w:t>strict liability animal takings count. The jury deadlocked on three</w:t>
      </w:r>
      <w:r>
        <w:rPr>
          <w:sz w:val="17"/>
        </w:rPr>
        <w:t xml:space="preserve"> </w:t>
      </w:r>
      <w:r>
        <w:rPr>
          <w:rFonts w:ascii="inherit" w:hAnsi="inherit"/>
          <w:sz w:val="17"/>
        </w:rPr>
        <w:t>counts (including two</w:t>
      </w:r>
      <w:r>
        <w:rPr>
          <w:sz w:val="17"/>
        </w:rPr>
        <w:t xml:space="preserve"> </w:t>
      </w:r>
      <w:r>
        <w:rPr>
          <w:rFonts w:ascii="inherit" w:hAnsi="inherit"/>
          <w:sz w:val="17"/>
        </w:rPr>
        <w:t>felony discharge counts and one</w:t>
      </w:r>
      <w:r>
        <w:rPr>
          <w:sz w:val="17"/>
        </w:rPr>
        <w:t xml:space="preserve"> </w:t>
      </w:r>
      <w:r>
        <w:rPr>
          <w:rFonts w:ascii="inherit" w:hAnsi="inherit"/>
          <w:sz w:val="17"/>
        </w:rPr>
        <w:t>strict liability animal takings count), and two</w:t>
      </w:r>
      <w:r>
        <w:rPr>
          <w:sz w:val="17"/>
        </w:rPr>
        <w:t xml:space="preserve"> </w:t>
      </w:r>
      <w:r>
        <w:rPr>
          <w:rFonts w:ascii="inherit" w:hAnsi="inherit"/>
          <w:sz w:val="17"/>
        </w:rPr>
        <w:t>misdemeanor discharge counts were dropped. On April 25, 2019, PAA was sentenced to pay fines and penalties in the aggregate amount of just under $3.35 million</w:t>
      </w:r>
      <w:r>
        <w:rPr>
          <w:sz w:val="17"/>
        </w:rPr>
        <w:t xml:space="preserve"> </w:t>
      </w:r>
      <w:r>
        <w:rPr>
          <w:rFonts w:ascii="inherit" w:hAnsi="inherit"/>
          <w:sz w:val="17"/>
        </w:rPr>
        <w:t xml:space="preserve">for the convictions covered by the September 2018 jury verdict (the “2019 Sentence”). The fines and penalties imposed in connection with the 2019 Sentence have been paid. The Superior Court also indicated that it would conduct further hearings on the issue of whether there were any “direct victims” of the spill that are entitled to restitution under applicable law. We do not anticipate that the victim restitution, if any, imposed as a result of these proceedings will have a material adverse impact on the financial position or operations of the Partnership. In April of 2019, the Prosecutors announced their intent to re-try the two felony discharge counts for which no jury verdict was returned. The strict liability animal taking count for which no jury verdict was returned has been dismissed. We do not believe that a conviction on either or both counts can result in the imposition of any additional fines, penalties, or other punishment, under the California penal code. As such, we have filed a motion to vacate the trial. </w:t>
      </w:r>
    </w:p>
    <w:p>
      <w:pPr>
        <w:pStyle w:val="TextBody"/>
        <w:spacing w:lineRule="auto" w:line="288" w:before="0" w:after="0"/>
        <w:ind w:left="0" w:right="0" w:firstLine="720"/>
        <w:rPr/>
      </w:pPr>
      <w:r>
        <w:rPr/>
        <w:t>             </w:t>
      </w:r>
    </w:p>
    <w:p>
      <w:pPr>
        <w:pStyle w:val="TextBody"/>
        <w:spacing w:lineRule="auto" w:line="288" w:before="0" w:after="0"/>
        <w:ind w:left="0" w:right="0" w:firstLine="720"/>
        <w:rPr>
          <w:sz w:val="17"/>
        </w:rPr>
      </w:pPr>
      <w:r>
        <w:rPr>
          <w:rFonts w:ascii="inherit" w:hAnsi="inherit"/>
          <w:sz w:val="17"/>
        </w:rPr>
        <w:t>Also in late May of 2015, the United States Attorney for the Department of Justice, Central District of California, Environmental Crimes Section (“DOJ”) began an investigation into whether there were any violations of federal criminal statutes in connection with the Line 901 incident, including potential violations of the federal Clean Water Act. We have cooperated with the DOJ’s investigation by responding to their requests for documents and access to our employees. Consistent with the terms of our governing organizational documents, we are funding our employees’ defense costs, including the costs of separate counsel engaged to represent such individuals. On August 26, 2015, we received a Request for Information from the EPA relating to Line 901. We have provided various responsive materials to date and we will continue to do so in the future in cooperation with the EPA. Except in connection with the May 2016 Indictment and the 2019 Sentence, to date no civil enforcement actions or criminal charges with respect to the Line 901 release have been brought against PAA or any of its affiliates, officers or employees by PHMSA, the DOJ, the EPA, the California Attorney General or the California Department of Fish and Wildlife, and no</w:t>
      </w:r>
      <w:r>
        <w:rPr>
          <w:sz w:val="17"/>
        </w:rPr>
        <w:t xml:space="preserve"> </w:t>
      </w:r>
      <w:r>
        <w:rPr>
          <w:rFonts w:ascii="inherit" w:hAnsi="inherit"/>
          <w:sz w:val="17"/>
        </w:rPr>
        <w:t>fines or penalties have been imposed by such governmental agencies; however, the investigations being conducted by such agencies are still open and we may have fines or penalties imposed upon us, our officers or our employees in the future, or civil actions or criminal charges brought against us, our officers or our employees in the future, whether by those or other governmental agencies.</w:t>
      </w:r>
    </w:p>
    <w:p>
      <w:pPr>
        <w:pStyle w:val="TextBody"/>
        <w:spacing w:lineRule="auto" w:line="288" w:before="0" w:after="0"/>
        <w:ind w:left="0" w:right="0" w:firstLine="1440"/>
        <w:rPr/>
      </w:pPr>
      <w:r>
        <w:rPr/>
        <w:t> </w:t>
      </w:r>
    </w:p>
    <w:p>
      <w:pPr>
        <w:pStyle w:val="TextBody"/>
        <w:spacing w:lineRule="auto" w:line="288" w:before="0" w:after="0"/>
        <w:ind w:left="0" w:right="0" w:firstLine="720"/>
        <w:rPr>
          <w:sz w:val="17"/>
        </w:rPr>
      </w:pPr>
      <w:r>
        <w:rPr>
          <w:rFonts w:ascii="inherit" w:hAnsi="inherit"/>
          <w:sz w:val="17"/>
        </w:rPr>
        <w:t>Shortly following the Line 901 incident, we established a claims line and encouraged any parties that were damaged by the release to contact us to discuss their damage claims. We have received a number of claims through the claims line and we have been processing those claims and making payments as appropriate. In addition, we have also had nine</w:t>
      </w:r>
      <w:r>
        <w:rPr>
          <w:sz w:val="17"/>
        </w:rPr>
        <w:t xml:space="preserve"> </w:t>
      </w:r>
      <w:r>
        <w:rPr>
          <w:rFonts w:ascii="inherit" w:hAnsi="inherit"/>
          <w:sz w:val="17"/>
        </w:rPr>
        <w:t>class action lawsuits filed against us, six</w:t>
      </w:r>
      <w:r>
        <w:rPr>
          <w:sz w:val="17"/>
        </w:rPr>
        <w:t xml:space="preserve"> </w:t>
      </w:r>
      <w:r>
        <w:rPr>
          <w:rFonts w:ascii="inherit" w:hAnsi="inherit"/>
          <w:sz w:val="17"/>
        </w:rPr>
        <w:t>of which have been administratively consolidated into a single proceeding in the United States District Court for the Central District of California. In general, the plaintiffs are seeking to establish different classes of claimants that have allegedly been damaged by the release. To date, the court has certified three sub-classes of claimants and denied certification of the other proposed sub-class. On appeal, the Ninth Circuit Court of Appeals overturned the certification of the oil-industry sub-class, so the remaining sub-classes that have been certified include (i) commercial fishermen who landed fish in certain specified fishing blocks in the waters adjacent to Santa Barbara County or persons or businesses who resold commercial seafood landed in such areas; and (ii) beachfront property and easement owners whose properties were oiled. We are also defending a separate class action lawsuit proceeding in the United States District Court for the Central District of California brought on behalf of the Line 901 and Line 903 easement holders seeking injunctive relief as well as compensatory damages.</w:t>
      </w:r>
    </w:p>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lineRule="auto" w:line="288" w:before="0" w:after="0"/>
        <w:ind w:left="0" w:right="0" w:firstLine="720"/>
        <w:rPr>
          <w:sz w:val="17"/>
        </w:rPr>
      </w:pPr>
      <w:r>
        <w:rPr>
          <w:rFonts w:ascii="inherit" w:hAnsi="inherit"/>
          <w:sz w:val="17"/>
        </w:rPr>
        <w:t>There were also two</w:t>
      </w:r>
      <w:r>
        <w:rPr>
          <w:sz w:val="17"/>
        </w:rPr>
        <w:t xml:space="preserve"> </w:t>
      </w:r>
      <w:r>
        <w:rPr>
          <w:rFonts w:ascii="inherit" w:hAnsi="inherit"/>
          <w:sz w:val="17"/>
        </w:rPr>
        <w:t xml:space="preserve">securities law class action lawsuits filed on behalf of certain purported investors in the Partnership and/or PAGP against the Partnership, PAGP and/or certain of their respective officers, directors and underwriters. Both of these lawsuits were consolidated into a single proceeding in the United States District Court for the Southern District of Texas. In general, these lawsuits alleged that the various defendants violated securities laws by misleading investors regarding the integrity of the Partnership’s pipelines and related facilities through false and misleading statements, omission of material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37</w:t>
      </w:r>
      <w:r>
        <w:br w:type="page"/>
      </w:r>
    </w:p>
    <w:p>
      <w:pPr>
        <w:pStyle w:val="TextBody"/>
        <w:spacing w:lineRule="auto" w:line="288" w:before="0" w:after="0"/>
        <w:rPr/>
      </w:pPr>
      <w:hyperlink w:anchor="s3336AD8A685850CC9B7F2572CB2C0BC3">
        <w:r>
          <w:rPr>
            <w:rStyle w:val="InternetLink"/>
            <w:rFonts w:ascii="inherit" w:hAnsi="inherit"/>
            <w:sz w:val="17"/>
          </w:rPr>
          <w:t>Table of Contents</w:t>
        </w:r>
      </w:hyperlink>
      <w:r>
        <w:rPr>
          <w:sz w:val="17"/>
        </w:rPr>
        <w:t xml:space="preserve"> </w:t>
      </w:r>
    </w:p>
    <w:p>
      <w:pPr>
        <w:pStyle w:val="TextBody"/>
        <w:spacing w:lineRule="auto" w:line="288" w:before="0" w:after="0"/>
        <w:jc w:val="center"/>
        <w:rPr>
          <w:rFonts w:ascii="inherit" w:hAnsi="inherit"/>
          <w:b/>
          <w:sz w:val="17"/>
        </w:rPr>
      </w:pPr>
      <w:r>
        <w:rPr>
          <w:rFonts w:ascii="inherit" w:hAnsi="inherit"/>
          <w:b/>
          <w:sz w:val="17"/>
        </w:rPr>
        <w:t>PLAINS ALL AMERICAN PIPELINE, L.P. AND SUBSIDIARIES</w:t>
      </w:r>
    </w:p>
    <w:p>
      <w:pPr>
        <w:pStyle w:val="TextBody"/>
        <w:spacing w:lineRule="auto" w:line="288" w:before="0" w:after="0"/>
        <w:jc w:val="center"/>
        <w:rPr>
          <w:rFonts w:ascii="inherit" w:hAnsi="inherit"/>
          <w:b/>
          <w:sz w:val="17"/>
        </w:rPr>
      </w:pPr>
      <w:r>
        <w:rPr>
          <w:rFonts w:ascii="inherit" w:hAnsi="inherit"/>
          <w:b/>
          <w:sz w:val="17"/>
        </w:rPr>
        <w:t>NOTES TO THE UNAUDITED CONDENSED CONSOLIDATED FINANCIAL STATEMENTS</w:t>
      </w:r>
    </w:p>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t>facts and concealing of the true extent of the spill. The plaintiffs claimed unspecified damages as a result of the reduction in value of their investments in the Partnership and PAGP, which they attributed to the alleged wrongful acts of the defendants. The Partnership and PAGP, and the other defendants, denied the allegations in, and moved to dismiss these lawsuits. On March 29, 2017, the Court ruled in our favor dismissing all claims against all defendants. Plaintiffs refiled their complaint. On April 2, 2018, the Court dismissed all of the refiled claims against all defendants with prejudice. Plaintiffs appealed the dismissal, and on July 16, 2019 the Fifth Circuit Court of Appeals affirmed the dismissal. Consistent with and subject to the terms of our governing organizational documents (and to the extent applicable, insurance policies), we indemnified and funded the defense costs of our officers and directors in connection with this lawsuit; we also indemnified and funded the defense costs of our underwriters pursuant to the terms of the underwriting agreements we previously entered into with such underwriters.</w:t>
      </w:r>
    </w:p>
    <w:p>
      <w:pPr>
        <w:pStyle w:val="TextBody"/>
        <w:spacing w:lineRule="auto" w:line="288" w:before="0" w:after="0"/>
        <w:rPr/>
      </w:pPr>
      <w:r>
        <w:rPr/>
        <w:t> </w:t>
      </w:r>
    </w:p>
    <w:p>
      <w:pPr>
        <w:pStyle w:val="TextBody"/>
        <w:spacing w:lineRule="auto" w:line="288" w:before="0" w:after="0"/>
        <w:ind w:left="0" w:right="0" w:firstLine="720"/>
        <w:rPr>
          <w:sz w:val="17"/>
        </w:rPr>
      </w:pPr>
      <w:r>
        <w:rPr>
          <w:rFonts w:ascii="inherit" w:hAnsi="inherit"/>
          <w:sz w:val="17"/>
        </w:rPr>
        <w:t>In addition, four</w:t>
      </w:r>
      <w:r>
        <w:rPr>
          <w:sz w:val="17"/>
        </w:rPr>
        <w:t xml:space="preserve"> </w:t>
      </w:r>
      <w:r>
        <w:rPr>
          <w:rFonts w:ascii="inherit" w:hAnsi="inherit"/>
          <w:sz w:val="17"/>
        </w:rPr>
        <w:t>unitholder derivative lawsuits have been filed by certain purported investors in the Partnership against the Partnership, certain of its affiliates and certain officers and directors. One</w:t>
      </w:r>
      <w:r>
        <w:rPr>
          <w:sz w:val="17"/>
        </w:rPr>
        <w:t xml:space="preserve"> </w:t>
      </w:r>
      <w:r>
        <w:rPr>
          <w:rFonts w:ascii="inherit" w:hAnsi="inherit"/>
          <w:sz w:val="17"/>
        </w:rPr>
        <w:t>lawsuit was filed in State District Court in Harris County, Texas and subsequently dismissed by the Court. Two</w:t>
      </w:r>
      <w:r>
        <w:rPr>
          <w:sz w:val="17"/>
        </w:rPr>
        <w:t xml:space="preserve"> </w:t>
      </w:r>
      <w:r>
        <w:rPr>
          <w:rFonts w:ascii="inherit" w:hAnsi="inherit"/>
          <w:sz w:val="17"/>
        </w:rPr>
        <w:t>of these lawsuits were filed in the United States District Court for the Southern District of Texas and were administratively consolidated into one action and later dismissed on the basis that Plains Partnership agreements require that derivative suits be filed in Delaware Chancery Court. Following the order dismissing the Texas Federal Court suits, a new derivative suit brought by different plaintiffs was filed in Delaware Chancery Court and subsequently dismissed without prejudice. Plaintiffs amended and refiled their complaint on June 3, 2019. Consistent with and subject to the terms of our governing organizational documents (and to the extent applicable, insurance policies), we are indemnifying and funding the defense costs of our officers and directors in connection with these lawsuits.</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We have also received several other individual lawsuits and complaints from companies, governmental agencies and individuals alleging damages arising out of the Line 901 incident. These lawsuits and claims generally seek compensatory and punitive damages, and in some cases permanent injunctive relief.</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ind w:left="0" w:right="0" w:firstLine="720"/>
        <w:rPr>
          <w:rFonts w:ascii="inherit" w:hAnsi="inherit"/>
          <w:sz w:val="17"/>
        </w:rPr>
      </w:pPr>
      <w:r>
        <w:rPr>
          <w:rFonts w:ascii="inherit" w:hAnsi="inherit"/>
          <w:sz w:val="17"/>
        </w:rPr>
        <w:t>In addition to the foregoing, as the “responsible party” for the Line 901 incident we are liable for various costs and for certain natural resource damages under the Oil Pollution Act, and we also have exposure to the payment of additional fines, penalties and costs under other applicable federal, state and local laws, statutes and regulations. To the extent any such costs are reasonably estimable, we have included an estimate of such costs in the loss accrual described below.</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Taking the foregoing into account, as of June 30, 2019, we estimate that the aggregate total costs we have incurred or will incur with respect to the Line 901 incident will be approximately $380 million, which estimate includes actual and projected emergency response and clean-up costs, natural resource damage assessments and certain third party claims settlements, as well as estimates for fines, penalties and certain legal fees. We accrue such estimates of aggregate total costs to “Field operating costs” in our Condensed Consolidated Statements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duration of the natural resource damage assessment process and the ultimate amount of damages determined, (ii) the resolution of certain third party claims and lawsuits, but excluding claims and lawsuits with respect to which losses are not probable and reasonably estimable, and excluding future claims and lawsuits, (iii) the determination and calculation of fines and penalties, but excluding fines and penalties that are not probable or reasonably estimable and (iv)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the amount of time it takes for us to resolve all of the current and future lawsuits, claims and investigations that relate to the Line 901 incident could turn out to be significantly longer than we have assumed, and as a result the costs we incur for legal services could be significantly higher than we have estimated. In addition, with respect to fines and penalties, the ultimate amount of any fines and penalties assessed against us depends on a wide variety of factors, many of which are not estimable at this time. Where fines and penalties are probable and estimable, we have included them in our estimate, although such estimates could turn out to be wrong.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lineRule="auto" w:line="288" w:before="0" w:after="0"/>
        <w:ind w:left="0" w:right="0" w:firstLine="720"/>
        <w:rPr>
          <w:sz w:val="17"/>
        </w:rPr>
      </w:pPr>
      <w:r>
        <w:rPr>
          <w:rFonts w:ascii="inherit" w:hAnsi="inherit"/>
          <w:sz w:val="17"/>
        </w:rPr>
        <w:t>As of June 30, 2019, we had a remaining undiscounted gross liability of $88 million</w:t>
      </w:r>
      <w:r>
        <w:rPr>
          <w:sz w:val="17"/>
        </w:rPr>
        <w:t xml:space="preserve"> </w:t>
      </w:r>
      <w:r>
        <w:rPr>
          <w:rFonts w:ascii="inherit" w:hAnsi="inherit"/>
          <w:sz w:val="17"/>
        </w:rPr>
        <w:t>related to this event, of which approximately $55 million</w:t>
      </w:r>
      <w:r>
        <w:rPr>
          <w:sz w:val="17"/>
        </w:rPr>
        <w:t xml:space="preserve"> </w:t>
      </w:r>
      <w:r>
        <w:rPr>
          <w:rFonts w:ascii="inherit" w:hAnsi="inherit"/>
          <w:sz w:val="17"/>
        </w:rPr>
        <w:t xml:space="preserve">is presented in “Other current liabilities” on our Condensed Consolidated Balance Sheet, with the remainder presented in “Other long-term liabilities and deferred credits.” We maintain insurance coverage, which is subject to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38</w:t>
      </w:r>
      <w:r>
        <w:br w:type="page"/>
      </w:r>
    </w:p>
    <w:p>
      <w:pPr>
        <w:pStyle w:val="TextBody"/>
        <w:spacing w:lineRule="auto" w:line="288" w:before="0" w:after="0"/>
        <w:rPr/>
      </w:pPr>
      <w:hyperlink w:anchor="s3336AD8A685850CC9B7F2572CB2C0BC3">
        <w:r>
          <w:rPr>
            <w:rStyle w:val="InternetLink"/>
            <w:rFonts w:ascii="inherit" w:hAnsi="inherit"/>
            <w:sz w:val="17"/>
          </w:rPr>
          <w:t>Table of Contents</w:t>
        </w:r>
      </w:hyperlink>
      <w:r>
        <w:rPr>
          <w:sz w:val="17"/>
        </w:rPr>
        <w:t xml:space="preserve"> </w:t>
      </w:r>
    </w:p>
    <w:p>
      <w:pPr>
        <w:pStyle w:val="TextBody"/>
        <w:spacing w:lineRule="auto" w:line="288" w:before="0" w:after="0"/>
        <w:jc w:val="center"/>
        <w:rPr>
          <w:rFonts w:ascii="inherit" w:hAnsi="inherit"/>
          <w:b/>
          <w:sz w:val="17"/>
        </w:rPr>
      </w:pPr>
      <w:r>
        <w:rPr>
          <w:rFonts w:ascii="inherit" w:hAnsi="inherit"/>
          <w:b/>
          <w:sz w:val="17"/>
        </w:rPr>
        <w:t>PLAINS ALL AMERICAN PIPELINE, L.P. AND SUBSIDIARIES</w:t>
      </w:r>
    </w:p>
    <w:p>
      <w:pPr>
        <w:pStyle w:val="TextBody"/>
        <w:spacing w:lineRule="auto" w:line="288" w:before="0" w:after="0"/>
        <w:jc w:val="center"/>
        <w:rPr>
          <w:rFonts w:ascii="inherit" w:hAnsi="inherit"/>
          <w:b/>
          <w:sz w:val="17"/>
        </w:rPr>
      </w:pPr>
      <w:r>
        <w:rPr>
          <w:rFonts w:ascii="inherit" w:hAnsi="inherit"/>
          <w:b/>
          <w:sz w:val="17"/>
        </w:rPr>
        <w:t>NOTES TO THE UNAUDITED CONDENSED CONSOLIDATED FINANCIAL STATEMENTS</w:t>
      </w:r>
    </w:p>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rPr>
          <w:sz w:val="17"/>
        </w:rPr>
      </w:pPr>
      <w:r>
        <w:rPr>
          <w:rFonts w:ascii="inherit" w:hAnsi="inherit"/>
          <w:sz w:val="17"/>
        </w:rPr>
        <w:t>certain exclusions and deductibles, in the event of such environmental liabilities. Subject to such exclusions and deductibles, we believe that our coverage is adequate to cover the current estimated total emergency response and clean-up costs, claims settlement costs and remediation costs and we believe that this coverage is also adequate to cover any potential increase in the estimates for these costs that exceed the amounts currently identified. Through June 30, 2019, we had collected, subject to customary reservations, $188 million</w:t>
      </w:r>
      <w:r>
        <w:rPr>
          <w:sz w:val="17"/>
        </w:rPr>
        <w:t xml:space="preserve"> </w:t>
      </w:r>
      <w:r>
        <w:rPr>
          <w:rFonts w:ascii="inherit" w:hAnsi="inherit"/>
          <w:sz w:val="17"/>
        </w:rPr>
        <w:t>out of the approximate $255 million</w:t>
      </w:r>
      <w:r>
        <w:rPr>
          <w:sz w:val="17"/>
        </w:rPr>
        <w:t xml:space="preserve"> </w:t>
      </w:r>
      <w:r>
        <w:rPr>
          <w:rFonts w:ascii="inherit" w:hAnsi="inherit"/>
          <w:sz w:val="17"/>
        </w:rPr>
        <w:t>of release costs that we believe are probable of recovery from insurance carriers, net of deductibles. Therefore, as of June 30, 2019, we have recognized a receivable of approximately $67 million</w:t>
      </w:r>
      <w:r>
        <w:rPr>
          <w:sz w:val="17"/>
        </w:rPr>
        <w:t xml:space="preserve"> </w:t>
      </w:r>
      <w:r>
        <w:rPr>
          <w:rFonts w:ascii="inherit" w:hAnsi="inherit"/>
          <w:sz w:val="17"/>
        </w:rPr>
        <w:t>for the portion of the release costs that we believe is probable of recovery from insurance, net of deductibles and amounts already collected. Of this amount, approximately $38 million</w:t>
      </w:r>
      <w:r>
        <w:rPr>
          <w:sz w:val="17"/>
        </w:rPr>
        <w:t xml:space="preserve"> </w:t>
      </w:r>
      <w:r>
        <w:rPr>
          <w:rFonts w:ascii="inherit" w:hAnsi="inherit"/>
          <w:sz w:val="17"/>
        </w:rPr>
        <w:t>is recognized as a current asset in “Trade accounts receivable and other receivables, net” on our Condensed Consolidated Balance Sheet, with the remainder in “Other long-term assets, net.” We have completed the required clean-up and remediation work as determined by the Unified Command and the Unified Command has been dissolved; however, we expect to make payments for additional costs associated with restoration of the impacted areas, as well as natural resource damage assessment and compensation, legal, professional and regulatory costs, in addition to fines and penalties, during future periods.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sz w:val="17"/>
        </w:rPr>
      </w:pPr>
      <w:bookmarkStart w:id="27" w:name="s845AD86F59275670B03A79D965C36DED"/>
      <w:bookmarkEnd w:id="27"/>
      <w:r>
        <w:rPr>
          <w:b/>
          <w:sz w:val="17"/>
        </w:rPr>
        <w:t>Note 14</w:t>
      </w:r>
      <w:r>
        <w:rPr>
          <w:sz w:val="17"/>
        </w:rPr>
        <w:t>—</w:t>
      </w:r>
      <w:r>
        <w:rPr>
          <w:rFonts w:ascii="inherit" w:hAnsi="inherit"/>
          <w:b/>
          <w:sz w:val="17"/>
        </w:rPr>
        <w:t>Operating Segments</w:t>
      </w:r>
    </w:p>
    <w:p>
      <w:pPr>
        <w:pStyle w:val="TextBody"/>
        <w:spacing w:lineRule="auto" w:line="288" w:before="0" w:after="0"/>
        <w:rPr/>
      </w:pPr>
      <w:r>
        <w:rPr/>
        <w:t> </w:t>
      </w:r>
    </w:p>
    <w:p>
      <w:pPr>
        <w:pStyle w:val="TextBody"/>
        <w:spacing w:lineRule="auto" w:line="288" w:before="0" w:after="0"/>
        <w:ind w:left="0" w:right="0" w:firstLine="720"/>
        <w:rPr>
          <w:sz w:val="17"/>
        </w:rPr>
      </w:pPr>
      <w:r>
        <w:rPr>
          <w:rFonts w:ascii="inherit" w:hAnsi="inherit"/>
          <w:sz w:val="17"/>
        </w:rPr>
        <w:t>We manage our operations through three</w:t>
      </w:r>
      <w:r>
        <w:rPr>
          <w:sz w:val="17"/>
        </w:rPr>
        <w:t xml:space="preserve"> </w:t>
      </w:r>
      <w:r>
        <w:rPr>
          <w:rFonts w:ascii="inherit" w:hAnsi="inherit"/>
          <w:sz w:val="17"/>
        </w:rPr>
        <w:t xml:space="preserve">operating segments: Transportation, Facilities and Supply and Logistics. See </w:t>
      </w:r>
      <w:r>
        <w:rPr>
          <w:b w:val="false"/>
          <w:sz w:val="17"/>
        </w:rPr>
        <w:t>Note 3</w:t>
      </w:r>
      <w:r>
        <w:rPr>
          <w:sz w:val="17"/>
        </w:rPr>
        <w:t xml:space="preserve"> </w:t>
      </w:r>
      <w:r>
        <w:rPr>
          <w:rFonts w:ascii="inherit" w:hAnsi="inherit"/>
          <w:sz w:val="17"/>
        </w:rPr>
        <w:t xml:space="preserve">to our Consolidated Financial Statements included in Part IV of our 2018 Annual Report on Form 10-K for a summary of the types of products and services from which each segment derives its revenues. Our CODM (our Chief Executive Officer) evaluates segment performance based on measures including Segment Adjusted EBITDA (as defined below) and maintenance capital investment. </w:t>
      </w:r>
    </w:p>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lineRule="auto" w:line="288" w:before="0" w:after="0"/>
        <w:ind w:left="0" w:right="0" w:firstLine="720"/>
        <w:rPr>
          <w:rFonts w:ascii="inherit" w:hAnsi="inherit"/>
          <w:sz w:val="17"/>
        </w:rPr>
      </w:pPr>
      <w:r>
        <w:rPr>
          <w:rFonts w:ascii="inherit" w:hAnsi="inherit"/>
          <w:sz w:val="17"/>
        </w:rPr>
        <w:t xml:space="preserve">We define Segment Adjusted EBITDA as revenues and equity earnings in unconsolidated entities less (a) purchases and related costs, (b) field operating costs and (c) segment general and administrative expenses, plus our proportionate share of the depreciation and amortization expense of, and gains and losses on significant asset sales by, unconsolidated entities, and further adjusted for certain selected items including (i) gains and losses on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Segment Adjusted EBITDA excludes depreciation and amortization. </w:t>
      </w:r>
    </w:p>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lineRule="auto" w:line="288" w:before="0" w:after="0"/>
        <w:ind w:left="0" w:right="0" w:firstLine="720"/>
        <w:rPr>
          <w:rFonts w:ascii="inherit" w:hAnsi="inherit"/>
          <w:sz w:val="17"/>
        </w:rPr>
      </w:pPr>
      <w:r>
        <w:rPr>
          <w:rFonts w:ascii="inherit" w:hAnsi="inherit"/>
          <w:sz w:val="17"/>
        </w:rPr>
        <w:t>Maintenance capital consists of capital expenditures for the replacement and/or refurbishment of partially or fully depreciated assets in order to maintain the operating and/or earnings capacity of our existing assets.</w:t>
      </w:r>
    </w:p>
    <w:p>
      <w:pPr>
        <w:pStyle w:val="TextBody"/>
        <w:spacing w:lineRule="auto" w:line="288" w:before="0" w:after="0"/>
        <w:rPr/>
      </w:pPr>
      <w:r>
        <w:rPr/>
        <w:t>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39</w:t>
      </w:r>
      <w:r>
        <w:br w:type="page"/>
      </w:r>
    </w:p>
    <w:p>
      <w:pPr>
        <w:pStyle w:val="TextBody"/>
        <w:spacing w:lineRule="auto" w:line="288" w:before="0" w:after="0"/>
        <w:rPr/>
      </w:pPr>
      <w:hyperlink w:anchor="s3336AD8A685850CC9B7F2572CB2C0BC3">
        <w:r>
          <w:rPr>
            <w:rStyle w:val="InternetLink"/>
            <w:rFonts w:ascii="inherit" w:hAnsi="inherit"/>
            <w:sz w:val="17"/>
          </w:rPr>
          <w:t>Table of Contents</w:t>
        </w:r>
      </w:hyperlink>
      <w:r>
        <w:rPr>
          <w:sz w:val="17"/>
        </w:rPr>
        <w:t xml:space="preserve"> </w:t>
      </w:r>
    </w:p>
    <w:p>
      <w:pPr>
        <w:pStyle w:val="TextBody"/>
        <w:spacing w:lineRule="auto" w:line="288" w:before="0" w:after="0"/>
        <w:jc w:val="center"/>
        <w:rPr>
          <w:rFonts w:ascii="inherit" w:hAnsi="inherit"/>
          <w:b/>
          <w:sz w:val="17"/>
        </w:rPr>
      </w:pPr>
      <w:r>
        <w:rPr>
          <w:rFonts w:ascii="inherit" w:hAnsi="inherit"/>
          <w:b/>
          <w:sz w:val="17"/>
        </w:rPr>
        <w:t>PLAINS ALL AMERICAN PIPELINE, L.P. AND SUBSIDIARIES</w:t>
      </w:r>
    </w:p>
    <w:p>
      <w:pPr>
        <w:pStyle w:val="TextBody"/>
        <w:spacing w:lineRule="auto" w:line="288" w:before="0" w:after="0"/>
        <w:jc w:val="center"/>
        <w:rPr>
          <w:rFonts w:ascii="inherit" w:hAnsi="inherit"/>
          <w:b/>
          <w:sz w:val="17"/>
        </w:rPr>
      </w:pPr>
      <w:r>
        <w:rPr>
          <w:rFonts w:ascii="inherit" w:hAnsi="inherit"/>
          <w:b/>
          <w:sz w:val="17"/>
        </w:rPr>
        <w:t>NOTES TO THE UNAUDITED CONDENSED CONSOLIDATED FINANCIAL STATEMENTS</w:t>
      </w:r>
    </w:p>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720"/>
        <w:rPr>
          <w:rFonts w:ascii="inherit" w:hAnsi="inherit"/>
          <w:sz w:val="17"/>
        </w:rPr>
      </w:pPr>
      <w:r>
        <w:rPr>
          <w:rFonts w:ascii="inherit" w:hAnsi="inherit"/>
          <w:sz w:val="17"/>
        </w:rPr>
        <w:t>The following tables reflect certain financial data for each segment (in millions):</w:t>
      </w:r>
    </w:p>
    <w:tbl>
      <w:tblPr>
        <w:tblW w:w="9259" w:type="dxa"/>
        <w:jc w:val="left"/>
        <w:tblInd w:w="0" w:type="dxa"/>
        <w:tblCellMar>
          <w:top w:w="0" w:type="dxa"/>
          <w:left w:w="0" w:type="dxa"/>
          <w:bottom w:w="0" w:type="dxa"/>
          <w:right w:w="0" w:type="dxa"/>
        </w:tblCellMar>
      </w:tblPr>
      <w:tblGrid>
        <w:gridCol w:w="3545"/>
        <w:gridCol w:w="90"/>
        <w:gridCol w:w="288"/>
        <w:gridCol w:w="772"/>
        <w:gridCol w:w="70"/>
        <w:gridCol w:w="90"/>
        <w:gridCol w:w="181"/>
        <w:gridCol w:w="485"/>
        <w:gridCol w:w="44"/>
        <w:gridCol w:w="90"/>
        <w:gridCol w:w="167"/>
        <w:gridCol w:w="651"/>
        <w:gridCol w:w="42"/>
        <w:gridCol w:w="90"/>
        <w:gridCol w:w="378"/>
        <w:gridCol w:w="1196"/>
        <w:gridCol w:w="335"/>
        <w:gridCol w:w="90"/>
        <w:gridCol w:w="125"/>
        <w:gridCol w:w="485"/>
        <w:gridCol w:w="45"/>
      </w:tblGrid>
      <w:tr>
        <w:trPr/>
        <w:tc>
          <w:tcPr>
            <w:tcW w:w="9259" w:type="dxa"/>
            <w:gridSpan w:val="21"/>
            <w:tcBorders/>
            <w:shd w:fill="auto" w:val="clear"/>
            <w:vAlign w:val="center"/>
          </w:tcPr>
          <w:p>
            <w:pPr>
              <w:pStyle w:val="TableContents"/>
              <w:spacing w:before="0" w:after="283"/>
              <w:rPr>
                <w:sz w:val="4"/>
                <w:szCs w:val="4"/>
              </w:rPr>
            </w:pPr>
            <w:r>
              <w:rPr>
                <w:sz w:val="4"/>
                <w:szCs w:val="4"/>
              </w:rPr>
            </w:r>
          </w:p>
        </w:tc>
      </w:tr>
      <w:tr>
        <w:trPr/>
        <w:tc>
          <w:tcPr>
            <w:tcW w:w="354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4"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651" w:type="dxa"/>
            <w:tcBorders/>
            <w:shd w:fill="auto" w:val="clear"/>
            <w:vAlign w:val="center"/>
          </w:tcPr>
          <w:p>
            <w:pPr>
              <w:pStyle w:val="TableContents"/>
              <w:spacing w:before="0" w:after="283"/>
              <w:rPr>
                <w:sz w:val="4"/>
                <w:szCs w:val="4"/>
              </w:rPr>
            </w:pPr>
            <w:r>
              <w:rPr>
                <w:sz w:val="4"/>
                <w:szCs w:val="4"/>
              </w:rPr>
            </w:r>
          </w:p>
        </w:tc>
        <w:tc>
          <w:tcPr>
            <w:tcW w:w="4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1196"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54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3"/>
              </w:rPr>
            </w:pPr>
            <w:r>
              <w:rPr>
                <w:rFonts w:ascii="inherit" w:hAnsi="inherit"/>
                <w:b/>
                <w:sz w:val="13"/>
              </w:rPr>
              <w:t>Three Months Ended June 30, 2019</w:t>
            </w:r>
          </w:p>
        </w:tc>
        <w:tc>
          <w:tcPr>
            <w:tcW w:w="90" w:type="dxa"/>
            <w:tcBorders/>
            <w:shd w:fill="auto" w:val="clear"/>
            <w:vAlign w:val="center"/>
          </w:tcPr>
          <w:p>
            <w:pPr>
              <w:pStyle w:val="TableContents"/>
              <w:spacing w:before="0" w:after="0"/>
              <w:ind w:left="0" w:right="0" w:firstLine="30"/>
              <w:rPr/>
            </w:pPr>
            <w:r>
              <w:rPr/>
              <w:t> </w:t>
            </w:r>
          </w:p>
        </w:tc>
        <w:tc>
          <w:tcPr>
            <w:tcW w:w="113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Transportation</w:t>
            </w:r>
          </w:p>
        </w:tc>
        <w:tc>
          <w:tcPr>
            <w:tcW w:w="90" w:type="dxa"/>
            <w:tcBorders/>
            <w:shd w:fill="auto" w:val="clear"/>
            <w:vAlign w:val="center"/>
          </w:tcPr>
          <w:p>
            <w:pPr>
              <w:pStyle w:val="TableContents"/>
              <w:spacing w:before="0" w:after="0"/>
              <w:ind w:left="0" w:right="0" w:firstLine="30"/>
              <w:rPr/>
            </w:pPr>
            <w:r>
              <w:rPr/>
              <w:t> </w:t>
            </w:r>
          </w:p>
        </w:tc>
        <w:tc>
          <w:tcPr>
            <w:tcW w:w="71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Facilities</w:t>
            </w:r>
          </w:p>
        </w:tc>
        <w:tc>
          <w:tcPr>
            <w:tcW w:w="90" w:type="dxa"/>
            <w:tcBorders/>
            <w:shd w:fill="auto" w:val="clear"/>
            <w:vAlign w:val="center"/>
          </w:tcPr>
          <w:p>
            <w:pPr>
              <w:pStyle w:val="TableContents"/>
              <w:spacing w:before="0" w:after="0"/>
              <w:ind w:left="0" w:right="0" w:firstLine="30"/>
              <w:rPr/>
            </w:pPr>
            <w:r>
              <w:rPr/>
              <w:t> </w:t>
            </w:r>
          </w:p>
        </w:tc>
        <w:tc>
          <w:tcPr>
            <w:tcW w:w="86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Supply and</w:t>
              <w:br/>
              <w:t>Logistics</w:t>
            </w:r>
          </w:p>
        </w:tc>
        <w:tc>
          <w:tcPr>
            <w:tcW w:w="90" w:type="dxa"/>
            <w:tcBorders/>
            <w:shd w:fill="auto" w:val="clear"/>
            <w:vAlign w:val="center"/>
          </w:tcPr>
          <w:p>
            <w:pPr>
              <w:pStyle w:val="TableContents"/>
              <w:spacing w:before="0" w:after="0"/>
              <w:ind w:left="0" w:right="0" w:firstLine="30"/>
              <w:rPr/>
            </w:pPr>
            <w:r>
              <w:rPr/>
              <w:t> </w:t>
            </w:r>
          </w:p>
        </w:tc>
        <w:tc>
          <w:tcPr>
            <w:tcW w:w="190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Intersegment Adjustment</w:t>
            </w:r>
          </w:p>
        </w:tc>
        <w:tc>
          <w:tcPr>
            <w:tcW w:w="90" w:type="dxa"/>
            <w:tcBorders/>
            <w:shd w:fill="auto" w:val="clear"/>
            <w:vAlign w:val="center"/>
          </w:tcPr>
          <w:p>
            <w:pPr>
              <w:pStyle w:val="TableContents"/>
              <w:spacing w:before="0" w:after="0"/>
              <w:ind w:left="0" w:right="0" w:firstLine="30"/>
              <w:rPr/>
            </w:pPr>
            <w:r>
              <w:rPr/>
              <w:t> </w:t>
            </w:r>
          </w:p>
        </w:tc>
        <w:tc>
          <w:tcPr>
            <w:tcW w:w="65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Total</w:t>
            </w:r>
          </w:p>
        </w:tc>
      </w:tr>
      <w:tr>
        <w:trPr/>
        <w:tc>
          <w:tcPr>
            <w:tcW w:w="3545"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90" w:type="dxa"/>
            <w:tcBorders/>
            <w:shd w:fill="CCEEFF" w:val="clear"/>
            <w:vAlign w:val="center"/>
          </w:tcPr>
          <w:p>
            <w:pPr>
              <w:pStyle w:val="TableContents"/>
              <w:spacing w:before="0" w:after="0"/>
              <w:ind w:left="0" w:right="0" w:firstLine="30"/>
              <w:rPr/>
            </w:pPr>
            <w:r>
              <w:rPr/>
              <w:t> </w:t>
            </w:r>
          </w:p>
        </w:tc>
        <w:tc>
          <w:tcPr>
            <w:tcW w:w="1060" w:type="dxa"/>
            <w:gridSpan w:val="2"/>
            <w:tcBorders/>
            <w:shd w:fill="CCEEFF" w:val="clear"/>
            <w:vAlign w:val="center"/>
          </w:tcPr>
          <w:p>
            <w:pPr>
              <w:pStyle w:val="TableContents"/>
              <w:spacing w:before="0" w:after="0"/>
              <w:jc w:val="right"/>
              <w:rPr/>
            </w:pPr>
            <w:r>
              <w:rPr/>
              <w:t> </w:t>
            </w:r>
          </w:p>
        </w:tc>
        <w:tc>
          <w:tcPr>
            <w:tcW w:w="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66" w:type="dxa"/>
            <w:gridSpan w:val="2"/>
            <w:tcBorders/>
            <w:shd w:fill="CCEEFF" w:val="clear"/>
            <w:vAlign w:val="center"/>
          </w:tcPr>
          <w:p>
            <w:pPr>
              <w:pStyle w:val="TableContents"/>
              <w:spacing w:before="0" w:after="0"/>
              <w:jc w:val="right"/>
              <w:rPr/>
            </w:pPr>
            <w:r>
              <w:rPr/>
              <w:t> </w:t>
            </w:r>
          </w:p>
        </w:tc>
        <w:tc>
          <w:tcPr>
            <w:tcW w:w="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18" w:type="dxa"/>
            <w:gridSpan w:val="2"/>
            <w:tcBorders/>
            <w:shd w:fill="CCEEFF" w:val="clear"/>
            <w:vAlign w:val="center"/>
          </w:tcPr>
          <w:p>
            <w:pPr>
              <w:pStyle w:val="TableContents"/>
              <w:spacing w:before="0" w:after="0"/>
              <w:jc w:val="right"/>
              <w:rPr/>
            </w:pPr>
            <w:r>
              <w:rPr/>
              <w:t> </w:t>
            </w:r>
          </w:p>
        </w:tc>
        <w:tc>
          <w:tcPr>
            <w:tcW w:w="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909"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pPr>
            <w:r>
              <w:rPr/>
              <w:t> </w:t>
            </w:r>
          </w:p>
        </w:tc>
        <w:tc>
          <w:tcPr>
            <w:tcW w:w="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5" w:type="dxa"/>
            <w:tcBorders/>
            <w:shd w:fill="auto" w:val="clear"/>
            <w:vAlign w:val="center"/>
          </w:tcPr>
          <w:p>
            <w:pPr>
              <w:pStyle w:val="TableContents"/>
              <w:spacing w:lineRule="auto" w:line="288" w:before="0" w:after="0"/>
              <w:ind w:left="0" w:right="0" w:firstLine="30"/>
              <w:jc w:val="left"/>
              <w:rPr>
                <w:sz w:val="17"/>
              </w:rPr>
            </w:pPr>
            <w:r>
              <w:rPr>
                <w:rFonts w:ascii="inherit" w:hAnsi="inherit"/>
                <w:sz w:val="17"/>
              </w:rPr>
              <w:t xml:space="preserve">External customers </w:t>
            </w:r>
            <w:r>
              <w:rPr>
                <w:rFonts w:ascii="inherit" w:hAnsi="inherit"/>
                <w:sz w:val="12"/>
              </w:rPr>
              <w:t>(1)</w:t>
            </w:r>
          </w:p>
        </w:tc>
        <w:tc>
          <w:tcPr>
            <w:tcW w:w="90" w:type="dxa"/>
            <w:tcBorders/>
            <w:shd w:fill="auto" w:val="clear"/>
            <w:vAlign w:val="center"/>
          </w:tcPr>
          <w:p>
            <w:pPr>
              <w:pStyle w:val="TableContents"/>
              <w:spacing w:before="0" w:after="0"/>
              <w:ind w:left="0" w:right="0" w:firstLine="30"/>
              <w:rPr/>
            </w:pPr>
            <w:r>
              <w:rPr/>
              <w:t> </w:t>
            </w:r>
          </w:p>
        </w:tc>
        <w:tc>
          <w:tcPr>
            <w:tcW w:w="28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72" w:type="dxa"/>
            <w:tcBorders/>
            <w:shd w:fill="auto" w:val="clear"/>
            <w:vAlign w:val="center"/>
          </w:tcPr>
          <w:p>
            <w:pPr>
              <w:pStyle w:val="TableContents"/>
              <w:spacing w:before="0" w:after="0"/>
              <w:jc w:val="right"/>
              <w:rPr>
                <w:rFonts w:ascii="inherit" w:hAnsi="inherit"/>
                <w:sz w:val="17"/>
              </w:rPr>
            </w:pPr>
            <w:r>
              <w:rPr>
                <w:rFonts w:ascii="inherit" w:hAnsi="inherit"/>
                <w:sz w:val="17"/>
              </w:rPr>
              <w:t>316</w:t>
            </w:r>
          </w:p>
        </w:tc>
        <w:tc>
          <w:tcPr>
            <w:tcW w:w="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8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auto" w:val="clear"/>
            <w:vAlign w:val="center"/>
          </w:tcPr>
          <w:p>
            <w:pPr>
              <w:pStyle w:val="TableContents"/>
              <w:spacing w:before="0" w:after="0"/>
              <w:jc w:val="right"/>
              <w:rPr>
                <w:rFonts w:ascii="inherit" w:hAnsi="inherit"/>
                <w:sz w:val="17"/>
              </w:rPr>
            </w:pPr>
            <w:r>
              <w:rPr>
                <w:rFonts w:ascii="inherit" w:hAnsi="inherit"/>
                <w:sz w:val="17"/>
              </w:rPr>
              <w:t>151</w:t>
            </w:r>
          </w:p>
        </w:tc>
        <w:tc>
          <w:tcPr>
            <w:tcW w:w="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6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51" w:type="dxa"/>
            <w:tcBorders/>
            <w:shd w:fill="auto" w:val="clear"/>
            <w:vAlign w:val="center"/>
          </w:tcPr>
          <w:p>
            <w:pPr>
              <w:pStyle w:val="TableContents"/>
              <w:spacing w:before="0" w:after="0"/>
              <w:jc w:val="right"/>
              <w:rPr>
                <w:rFonts w:ascii="inherit" w:hAnsi="inherit"/>
                <w:sz w:val="17"/>
              </w:rPr>
            </w:pPr>
            <w:r>
              <w:rPr>
                <w:rFonts w:ascii="inherit" w:hAnsi="inherit"/>
                <w:sz w:val="17"/>
              </w:rPr>
              <w:t>7,914</w:t>
            </w:r>
          </w:p>
        </w:tc>
        <w:tc>
          <w:tcPr>
            <w:tcW w:w="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37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96" w:type="dxa"/>
            <w:tcBorders/>
            <w:shd w:fill="auto" w:val="clear"/>
            <w:vAlign w:val="center"/>
          </w:tcPr>
          <w:p>
            <w:pPr>
              <w:pStyle w:val="TableContents"/>
              <w:spacing w:before="0" w:after="0"/>
              <w:jc w:val="right"/>
              <w:rPr>
                <w:rFonts w:ascii="inherit" w:hAnsi="inherit"/>
                <w:sz w:val="17"/>
              </w:rPr>
            </w:pPr>
            <w:r>
              <w:rPr>
                <w:rFonts w:ascii="inherit" w:hAnsi="inherit"/>
                <w:sz w:val="17"/>
              </w:rPr>
              <w:t>(128</w:t>
            </w:r>
          </w:p>
        </w:tc>
        <w:tc>
          <w:tcPr>
            <w:tcW w:w="3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auto" w:val="clear"/>
            <w:vAlign w:val="center"/>
          </w:tcPr>
          <w:p>
            <w:pPr>
              <w:pStyle w:val="TableContents"/>
              <w:spacing w:before="0" w:after="0"/>
              <w:jc w:val="right"/>
              <w:rPr>
                <w:rFonts w:ascii="inherit" w:hAnsi="inherit"/>
                <w:sz w:val="17"/>
              </w:rPr>
            </w:pPr>
            <w:r>
              <w:rPr>
                <w:rFonts w:ascii="inherit" w:hAnsi="inherit"/>
                <w:sz w:val="17"/>
              </w:rPr>
              <w:t>8,253</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5" w:type="dxa"/>
            <w:tcBorders/>
            <w:shd w:fill="CCEEFF" w:val="clear"/>
            <w:vAlign w:val="center"/>
          </w:tcPr>
          <w:p>
            <w:pPr>
              <w:pStyle w:val="TableContents"/>
              <w:spacing w:lineRule="auto" w:line="288" w:before="0" w:after="0"/>
              <w:ind w:left="0" w:right="0" w:firstLine="30"/>
              <w:rPr>
                <w:sz w:val="17"/>
              </w:rPr>
            </w:pPr>
            <w:r>
              <w:rPr>
                <w:rFonts w:ascii="inherit" w:hAnsi="inherit"/>
                <w:sz w:val="17"/>
              </w:rPr>
              <w:t xml:space="preserve">Intersegment </w:t>
            </w:r>
            <w:r>
              <w:rPr>
                <w:rFonts w:ascii="inherit" w:hAnsi="inherit"/>
                <w:sz w:val="12"/>
              </w:rPr>
              <w:t>(2)</w:t>
            </w:r>
          </w:p>
        </w:tc>
        <w:tc>
          <w:tcPr>
            <w:tcW w:w="90" w:type="dxa"/>
            <w:tcBorders/>
            <w:shd w:fill="CCEEFF" w:val="clear"/>
            <w:vAlign w:val="center"/>
          </w:tcPr>
          <w:p>
            <w:pPr>
              <w:pStyle w:val="TableContents"/>
              <w:spacing w:before="0" w:after="0"/>
              <w:ind w:left="0" w:right="0" w:firstLine="30"/>
              <w:rPr/>
            </w:pPr>
            <w:r>
              <w:rPr/>
              <w:t> </w:t>
            </w:r>
          </w:p>
        </w:tc>
        <w:tc>
          <w:tcPr>
            <w:tcW w:w="106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243</w:t>
            </w:r>
          </w:p>
        </w:tc>
        <w:tc>
          <w:tcPr>
            <w:tcW w:w="7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6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140</w:t>
            </w:r>
          </w:p>
        </w:tc>
        <w:tc>
          <w:tcPr>
            <w:tcW w:w="4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1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w:t>
            </w:r>
          </w:p>
        </w:tc>
        <w:tc>
          <w:tcPr>
            <w:tcW w:w="4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7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128</w:t>
            </w:r>
          </w:p>
        </w:tc>
        <w:tc>
          <w:tcPr>
            <w:tcW w:w="33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512</w:t>
            </w:r>
          </w:p>
        </w:tc>
        <w:tc>
          <w:tcPr>
            <w:tcW w:w="4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 of reportable segments</w:t>
            </w:r>
          </w:p>
        </w:tc>
        <w:tc>
          <w:tcPr>
            <w:tcW w:w="90" w:type="dxa"/>
            <w:tcBorders/>
            <w:shd w:fill="auto" w:val="clear"/>
            <w:vAlign w:val="center"/>
          </w:tcPr>
          <w:p>
            <w:pPr>
              <w:pStyle w:val="TableContents"/>
              <w:spacing w:before="0" w:after="0"/>
              <w:ind w:left="0" w:right="0" w:firstLine="30"/>
              <w:rPr/>
            </w:pPr>
            <w:r>
              <w:rPr/>
              <w:t> </w:t>
            </w:r>
          </w:p>
        </w:tc>
        <w:tc>
          <w:tcPr>
            <w:tcW w:w="288"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72"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559</w:t>
            </w:r>
          </w:p>
        </w:tc>
        <w:tc>
          <w:tcPr>
            <w:tcW w:w="7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81"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291</w:t>
            </w:r>
          </w:p>
        </w:tc>
        <w:tc>
          <w:tcPr>
            <w:tcW w:w="44"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67"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5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7,915</w:t>
            </w:r>
          </w:p>
        </w:tc>
        <w:tc>
          <w:tcPr>
            <w:tcW w:w="42"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37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9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pPr>
            <w:r>
              <w:rPr/>
              <w:t>—</w:t>
            </w:r>
          </w:p>
        </w:tc>
        <w:tc>
          <w:tcPr>
            <w:tcW w:w="33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8,765</w:t>
            </w:r>
          </w:p>
        </w:tc>
        <w:tc>
          <w:tcPr>
            <w:tcW w:w="4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Equity earnings in unconsolidated entities</w:t>
            </w:r>
          </w:p>
        </w:tc>
        <w:tc>
          <w:tcPr>
            <w:tcW w:w="90" w:type="dxa"/>
            <w:tcBorders/>
            <w:shd w:fill="CCEEFF" w:val="clear"/>
            <w:vAlign w:val="center"/>
          </w:tcPr>
          <w:p>
            <w:pPr>
              <w:pStyle w:val="TableContents"/>
              <w:spacing w:before="0" w:after="0"/>
              <w:ind w:left="0" w:right="0" w:firstLine="30"/>
              <w:rPr/>
            </w:pPr>
            <w:r>
              <w:rPr/>
              <w:t> </w:t>
            </w:r>
          </w:p>
        </w:tc>
        <w:tc>
          <w:tcPr>
            <w:tcW w:w="28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7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83</w:t>
            </w:r>
          </w:p>
        </w:tc>
        <w:tc>
          <w:tcPr>
            <w:tcW w:w="7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81"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bottom w:val="double" w:sz="6" w:space="0" w:color="000000"/>
            </w:tcBorders>
            <w:shd w:fill="CCEEFF" w:val="clear"/>
            <w:tcMar>
              <w:bottom w:w="30" w:type="dxa"/>
            </w:tcMar>
            <w:vAlign w:val="center"/>
          </w:tcPr>
          <w:p>
            <w:pPr>
              <w:pStyle w:val="TableContents"/>
              <w:spacing w:before="0" w:after="0"/>
              <w:jc w:val="right"/>
              <w:rPr/>
            </w:pPr>
            <w:r>
              <w:rPr/>
              <w:t>—</w:t>
            </w:r>
          </w:p>
        </w:tc>
        <w:tc>
          <w:tcPr>
            <w:tcW w:w="44"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6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51" w:type="dxa"/>
            <w:tcBorders>
              <w:bottom w:val="double" w:sz="6" w:space="0" w:color="000000"/>
            </w:tcBorders>
            <w:shd w:fill="CCEEFF" w:val="clear"/>
            <w:tcMar>
              <w:bottom w:w="30" w:type="dxa"/>
            </w:tcMar>
            <w:vAlign w:val="center"/>
          </w:tcPr>
          <w:p>
            <w:pPr>
              <w:pStyle w:val="TableContents"/>
              <w:spacing w:before="0" w:after="0"/>
              <w:jc w:val="right"/>
              <w:rPr/>
            </w:pPr>
            <w:r>
              <w:rPr/>
              <w:t>—</w:t>
            </w:r>
          </w:p>
        </w:tc>
        <w:tc>
          <w:tcPr>
            <w:tcW w:w="42"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909"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83</w:t>
            </w:r>
          </w:p>
        </w:tc>
        <w:tc>
          <w:tcPr>
            <w:tcW w:w="45"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Adjusted EBITDA</w:t>
            </w:r>
          </w:p>
        </w:tc>
        <w:tc>
          <w:tcPr>
            <w:tcW w:w="90" w:type="dxa"/>
            <w:tcBorders/>
            <w:shd w:fill="auto" w:val="clear"/>
            <w:vAlign w:val="center"/>
          </w:tcPr>
          <w:p>
            <w:pPr>
              <w:pStyle w:val="TableContents"/>
              <w:spacing w:before="0" w:after="0"/>
              <w:ind w:left="0" w:right="0" w:firstLine="30"/>
              <w:rPr/>
            </w:pPr>
            <w:r>
              <w:rPr/>
              <w:t> </w:t>
            </w:r>
          </w:p>
        </w:tc>
        <w:tc>
          <w:tcPr>
            <w:tcW w:w="288"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72"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410</w:t>
            </w:r>
          </w:p>
        </w:tc>
        <w:tc>
          <w:tcPr>
            <w:tcW w:w="7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81"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172</w:t>
            </w:r>
          </w:p>
        </w:tc>
        <w:tc>
          <w:tcPr>
            <w:tcW w:w="44"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67"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5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200</w:t>
            </w:r>
          </w:p>
        </w:tc>
        <w:tc>
          <w:tcPr>
            <w:tcW w:w="42"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909"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2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782</w:t>
            </w:r>
          </w:p>
        </w:tc>
        <w:tc>
          <w:tcPr>
            <w:tcW w:w="4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Maintenance capital</w:t>
            </w:r>
          </w:p>
        </w:tc>
        <w:tc>
          <w:tcPr>
            <w:tcW w:w="90" w:type="dxa"/>
            <w:tcBorders/>
            <w:shd w:fill="CCEEFF" w:val="clear"/>
            <w:vAlign w:val="center"/>
          </w:tcPr>
          <w:p>
            <w:pPr>
              <w:pStyle w:val="TableContents"/>
              <w:spacing w:before="0" w:after="0"/>
              <w:ind w:left="0" w:right="0" w:firstLine="30"/>
              <w:rPr/>
            </w:pPr>
            <w:r>
              <w:rPr/>
              <w:t> </w:t>
            </w:r>
          </w:p>
        </w:tc>
        <w:tc>
          <w:tcPr>
            <w:tcW w:w="28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7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39</w:t>
            </w:r>
          </w:p>
        </w:tc>
        <w:tc>
          <w:tcPr>
            <w:tcW w:w="7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81"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30</w:t>
            </w:r>
          </w:p>
        </w:tc>
        <w:tc>
          <w:tcPr>
            <w:tcW w:w="44"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6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5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w:t>
            </w:r>
          </w:p>
        </w:tc>
        <w:tc>
          <w:tcPr>
            <w:tcW w:w="42"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909"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72</w:t>
            </w:r>
          </w:p>
        </w:tc>
        <w:tc>
          <w:tcPr>
            <w:tcW w:w="45"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left"/>
        <w:rPr>
          <w:rFonts w:ascii="inherit" w:hAnsi="inherit"/>
          <w:sz w:val="17"/>
        </w:rPr>
      </w:pPr>
      <w:r>
        <w:rPr>
          <w:rFonts w:ascii="inherit" w:hAnsi="inherit"/>
          <w:sz w:val="17"/>
        </w:rPr>
      </w:r>
    </w:p>
    <w:tbl>
      <w:tblPr>
        <w:tblW w:w="9259" w:type="dxa"/>
        <w:jc w:val="center"/>
        <w:tblInd w:w="0" w:type="dxa"/>
        <w:tblCellMar>
          <w:top w:w="0" w:type="dxa"/>
          <w:left w:w="0" w:type="dxa"/>
          <w:bottom w:w="0" w:type="dxa"/>
          <w:right w:w="0" w:type="dxa"/>
        </w:tblCellMar>
      </w:tblPr>
      <w:tblGrid>
        <w:gridCol w:w="3545"/>
        <w:gridCol w:w="90"/>
        <w:gridCol w:w="288"/>
        <w:gridCol w:w="772"/>
        <w:gridCol w:w="70"/>
        <w:gridCol w:w="90"/>
        <w:gridCol w:w="181"/>
        <w:gridCol w:w="485"/>
        <w:gridCol w:w="44"/>
        <w:gridCol w:w="90"/>
        <w:gridCol w:w="149"/>
        <w:gridCol w:w="579"/>
        <w:gridCol w:w="132"/>
        <w:gridCol w:w="90"/>
        <w:gridCol w:w="378"/>
        <w:gridCol w:w="1196"/>
        <w:gridCol w:w="335"/>
        <w:gridCol w:w="90"/>
        <w:gridCol w:w="125"/>
        <w:gridCol w:w="485"/>
        <w:gridCol w:w="45"/>
      </w:tblGrid>
      <w:tr>
        <w:trPr/>
        <w:tc>
          <w:tcPr>
            <w:tcW w:w="9259" w:type="dxa"/>
            <w:gridSpan w:val="21"/>
            <w:tcBorders/>
            <w:shd w:fill="auto" w:val="clear"/>
            <w:vAlign w:val="center"/>
          </w:tcPr>
          <w:p>
            <w:pPr>
              <w:pStyle w:val="TableContents"/>
              <w:spacing w:before="0" w:after="283"/>
              <w:rPr>
                <w:sz w:val="4"/>
                <w:szCs w:val="4"/>
              </w:rPr>
            </w:pPr>
            <w:r>
              <w:rPr>
                <w:sz w:val="4"/>
                <w:szCs w:val="4"/>
              </w:rPr>
            </w:r>
          </w:p>
        </w:tc>
      </w:tr>
      <w:tr>
        <w:trPr/>
        <w:tc>
          <w:tcPr>
            <w:tcW w:w="354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4"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1196"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54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3"/>
              </w:rPr>
            </w:pPr>
            <w:r>
              <w:rPr>
                <w:rFonts w:ascii="inherit" w:hAnsi="inherit"/>
                <w:b/>
                <w:sz w:val="13"/>
              </w:rPr>
              <w:t>Three Months Ended June 30, 2018</w:t>
            </w:r>
          </w:p>
        </w:tc>
        <w:tc>
          <w:tcPr>
            <w:tcW w:w="90" w:type="dxa"/>
            <w:tcBorders/>
            <w:shd w:fill="auto" w:val="clear"/>
            <w:vAlign w:val="center"/>
          </w:tcPr>
          <w:p>
            <w:pPr>
              <w:pStyle w:val="TableContents"/>
              <w:spacing w:before="0" w:after="0"/>
              <w:ind w:left="0" w:right="0" w:firstLine="30"/>
              <w:rPr/>
            </w:pPr>
            <w:r>
              <w:rPr/>
              <w:t> </w:t>
            </w:r>
          </w:p>
        </w:tc>
        <w:tc>
          <w:tcPr>
            <w:tcW w:w="113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Transportation</w:t>
            </w:r>
          </w:p>
        </w:tc>
        <w:tc>
          <w:tcPr>
            <w:tcW w:w="90" w:type="dxa"/>
            <w:tcBorders/>
            <w:shd w:fill="auto" w:val="clear"/>
            <w:vAlign w:val="center"/>
          </w:tcPr>
          <w:p>
            <w:pPr>
              <w:pStyle w:val="TableContents"/>
              <w:spacing w:before="0" w:after="0"/>
              <w:ind w:left="0" w:right="0" w:firstLine="30"/>
              <w:rPr/>
            </w:pPr>
            <w:r>
              <w:rPr/>
              <w:t> </w:t>
            </w:r>
          </w:p>
        </w:tc>
        <w:tc>
          <w:tcPr>
            <w:tcW w:w="71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Facilities</w:t>
            </w:r>
          </w:p>
        </w:tc>
        <w:tc>
          <w:tcPr>
            <w:tcW w:w="90" w:type="dxa"/>
            <w:tcBorders/>
            <w:shd w:fill="auto" w:val="clear"/>
            <w:vAlign w:val="center"/>
          </w:tcPr>
          <w:p>
            <w:pPr>
              <w:pStyle w:val="TableContents"/>
              <w:spacing w:before="0" w:after="0"/>
              <w:ind w:left="0" w:right="0" w:firstLine="30"/>
              <w:rPr/>
            </w:pPr>
            <w:r>
              <w:rPr/>
              <w:t> </w:t>
            </w:r>
          </w:p>
        </w:tc>
        <w:tc>
          <w:tcPr>
            <w:tcW w:w="86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Supply and</w:t>
              <w:br/>
              <w:t>Logistics</w:t>
            </w:r>
          </w:p>
        </w:tc>
        <w:tc>
          <w:tcPr>
            <w:tcW w:w="90" w:type="dxa"/>
            <w:tcBorders/>
            <w:shd w:fill="auto" w:val="clear"/>
            <w:vAlign w:val="center"/>
          </w:tcPr>
          <w:p>
            <w:pPr>
              <w:pStyle w:val="TableContents"/>
              <w:spacing w:before="0" w:after="0"/>
              <w:ind w:left="0" w:right="0" w:firstLine="30"/>
              <w:rPr/>
            </w:pPr>
            <w:r>
              <w:rPr/>
              <w:t> </w:t>
            </w:r>
          </w:p>
        </w:tc>
        <w:tc>
          <w:tcPr>
            <w:tcW w:w="190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Intersegment Adjustment</w:t>
            </w:r>
          </w:p>
        </w:tc>
        <w:tc>
          <w:tcPr>
            <w:tcW w:w="90" w:type="dxa"/>
            <w:tcBorders/>
            <w:shd w:fill="auto" w:val="clear"/>
            <w:vAlign w:val="center"/>
          </w:tcPr>
          <w:p>
            <w:pPr>
              <w:pStyle w:val="TableContents"/>
              <w:spacing w:before="0" w:after="0"/>
              <w:ind w:left="0" w:right="0" w:firstLine="30"/>
              <w:rPr/>
            </w:pPr>
            <w:r>
              <w:rPr/>
              <w:t> </w:t>
            </w:r>
          </w:p>
        </w:tc>
        <w:tc>
          <w:tcPr>
            <w:tcW w:w="65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Total</w:t>
            </w:r>
          </w:p>
        </w:tc>
      </w:tr>
      <w:tr>
        <w:trPr/>
        <w:tc>
          <w:tcPr>
            <w:tcW w:w="3545"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90" w:type="dxa"/>
            <w:tcBorders/>
            <w:shd w:fill="CCEEFF" w:val="clear"/>
            <w:vAlign w:val="center"/>
          </w:tcPr>
          <w:p>
            <w:pPr>
              <w:pStyle w:val="TableContents"/>
              <w:spacing w:before="0" w:after="0"/>
              <w:ind w:left="0" w:right="0" w:firstLine="30"/>
              <w:rPr/>
            </w:pPr>
            <w:r>
              <w:rPr/>
              <w:t> </w:t>
            </w:r>
          </w:p>
        </w:tc>
        <w:tc>
          <w:tcPr>
            <w:tcW w:w="1060" w:type="dxa"/>
            <w:gridSpan w:val="2"/>
            <w:tcBorders/>
            <w:shd w:fill="CCEEFF" w:val="clear"/>
            <w:vAlign w:val="center"/>
          </w:tcPr>
          <w:p>
            <w:pPr>
              <w:pStyle w:val="TableContents"/>
              <w:spacing w:before="0" w:after="0"/>
              <w:jc w:val="right"/>
              <w:rPr/>
            </w:pPr>
            <w:r>
              <w:rPr/>
              <w:t> </w:t>
            </w:r>
          </w:p>
        </w:tc>
        <w:tc>
          <w:tcPr>
            <w:tcW w:w="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66" w:type="dxa"/>
            <w:gridSpan w:val="2"/>
            <w:tcBorders/>
            <w:shd w:fill="CCEEFF" w:val="clear"/>
            <w:vAlign w:val="center"/>
          </w:tcPr>
          <w:p>
            <w:pPr>
              <w:pStyle w:val="TableContents"/>
              <w:spacing w:before="0" w:after="0"/>
              <w:jc w:val="right"/>
              <w:rPr/>
            </w:pPr>
            <w:r>
              <w:rPr/>
              <w:t> </w:t>
            </w:r>
          </w:p>
        </w:tc>
        <w:tc>
          <w:tcPr>
            <w:tcW w:w="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28" w:type="dxa"/>
            <w:gridSpan w:val="2"/>
            <w:tcBorders/>
            <w:shd w:fill="CCEEFF" w:val="clear"/>
            <w:vAlign w:val="center"/>
          </w:tcPr>
          <w:p>
            <w:pPr>
              <w:pStyle w:val="TableContents"/>
              <w:spacing w:before="0" w:after="0"/>
              <w:jc w:val="right"/>
              <w:rPr/>
            </w:pPr>
            <w:r>
              <w:rPr/>
              <w:t> </w:t>
            </w:r>
          </w:p>
        </w:tc>
        <w:tc>
          <w:tcPr>
            <w:tcW w:w="1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909"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pPr>
            <w:r>
              <w:rPr/>
              <w:t> </w:t>
            </w:r>
          </w:p>
        </w:tc>
        <w:tc>
          <w:tcPr>
            <w:tcW w:w="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5" w:type="dxa"/>
            <w:tcBorders/>
            <w:shd w:fill="auto" w:val="clear"/>
            <w:vAlign w:val="center"/>
          </w:tcPr>
          <w:p>
            <w:pPr>
              <w:pStyle w:val="TableContents"/>
              <w:spacing w:lineRule="auto" w:line="288" w:before="0" w:after="0"/>
              <w:ind w:left="0" w:right="0" w:firstLine="30"/>
              <w:jc w:val="left"/>
              <w:rPr>
                <w:sz w:val="17"/>
              </w:rPr>
            </w:pPr>
            <w:r>
              <w:rPr>
                <w:rFonts w:ascii="inherit" w:hAnsi="inherit"/>
                <w:sz w:val="17"/>
              </w:rPr>
              <w:t xml:space="preserve">External customers </w:t>
            </w:r>
            <w:r>
              <w:rPr>
                <w:rFonts w:ascii="inherit" w:hAnsi="inherit"/>
                <w:sz w:val="12"/>
              </w:rPr>
              <w:t>(1)</w:t>
            </w:r>
          </w:p>
        </w:tc>
        <w:tc>
          <w:tcPr>
            <w:tcW w:w="90" w:type="dxa"/>
            <w:tcBorders/>
            <w:shd w:fill="auto" w:val="clear"/>
            <w:vAlign w:val="center"/>
          </w:tcPr>
          <w:p>
            <w:pPr>
              <w:pStyle w:val="TableContents"/>
              <w:spacing w:before="0" w:after="0"/>
              <w:ind w:left="0" w:right="0" w:firstLine="30"/>
              <w:rPr/>
            </w:pPr>
            <w:r>
              <w:rPr/>
              <w:t> </w:t>
            </w:r>
          </w:p>
        </w:tc>
        <w:tc>
          <w:tcPr>
            <w:tcW w:w="28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72" w:type="dxa"/>
            <w:tcBorders/>
            <w:shd w:fill="auto" w:val="clear"/>
            <w:vAlign w:val="center"/>
          </w:tcPr>
          <w:p>
            <w:pPr>
              <w:pStyle w:val="TableContents"/>
              <w:spacing w:before="0" w:after="0"/>
              <w:jc w:val="right"/>
              <w:rPr>
                <w:rFonts w:ascii="inherit" w:hAnsi="inherit"/>
                <w:sz w:val="17"/>
              </w:rPr>
            </w:pPr>
            <w:r>
              <w:rPr>
                <w:rFonts w:ascii="inherit" w:hAnsi="inherit"/>
                <w:sz w:val="17"/>
              </w:rPr>
              <w:t>264</w:t>
            </w:r>
          </w:p>
        </w:tc>
        <w:tc>
          <w:tcPr>
            <w:tcW w:w="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8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auto" w:val="clear"/>
            <w:vAlign w:val="center"/>
          </w:tcPr>
          <w:p>
            <w:pPr>
              <w:pStyle w:val="TableContents"/>
              <w:spacing w:before="0" w:after="0"/>
              <w:jc w:val="right"/>
              <w:rPr>
                <w:rFonts w:ascii="inherit" w:hAnsi="inherit"/>
                <w:sz w:val="17"/>
              </w:rPr>
            </w:pPr>
            <w:r>
              <w:rPr>
                <w:rFonts w:ascii="inherit" w:hAnsi="inherit"/>
                <w:sz w:val="17"/>
              </w:rPr>
              <w:t>147</w:t>
            </w:r>
          </w:p>
        </w:tc>
        <w:tc>
          <w:tcPr>
            <w:tcW w:w="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79" w:type="dxa"/>
            <w:tcBorders/>
            <w:shd w:fill="auto" w:val="clear"/>
            <w:vAlign w:val="center"/>
          </w:tcPr>
          <w:p>
            <w:pPr>
              <w:pStyle w:val="TableContents"/>
              <w:spacing w:before="0" w:after="0"/>
              <w:jc w:val="right"/>
              <w:rPr>
                <w:rFonts w:ascii="inherit" w:hAnsi="inherit"/>
                <w:sz w:val="17"/>
              </w:rPr>
            </w:pPr>
            <w:r>
              <w:rPr>
                <w:rFonts w:ascii="inherit" w:hAnsi="inherit"/>
                <w:sz w:val="17"/>
              </w:rPr>
              <w:t>7,781</w:t>
            </w:r>
          </w:p>
        </w:tc>
        <w:tc>
          <w:tcPr>
            <w:tcW w:w="1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37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96" w:type="dxa"/>
            <w:tcBorders/>
            <w:shd w:fill="auto" w:val="clear"/>
            <w:vAlign w:val="center"/>
          </w:tcPr>
          <w:p>
            <w:pPr>
              <w:pStyle w:val="TableContents"/>
              <w:spacing w:before="0" w:after="0"/>
              <w:jc w:val="right"/>
              <w:rPr>
                <w:rFonts w:ascii="inherit" w:hAnsi="inherit"/>
                <w:sz w:val="17"/>
              </w:rPr>
            </w:pPr>
            <w:r>
              <w:rPr>
                <w:rFonts w:ascii="inherit" w:hAnsi="inherit"/>
                <w:sz w:val="17"/>
              </w:rPr>
              <w:t>(112</w:t>
            </w:r>
          </w:p>
        </w:tc>
        <w:tc>
          <w:tcPr>
            <w:tcW w:w="3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auto" w:val="clear"/>
            <w:vAlign w:val="center"/>
          </w:tcPr>
          <w:p>
            <w:pPr>
              <w:pStyle w:val="TableContents"/>
              <w:spacing w:before="0" w:after="0"/>
              <w:jc w:val="right"/>
              <w:rPr>
                <w:rFonts w:ascii="inherit" w:hAnsi="inherit"/>
                <w:sz w:val="17"/>
              </w:rPr>
            </w:pPr>
            <w:r>
              <w:rPr>
                <w:rFonts w:ascii="inherit" w:hAnsi="inherit"/>
                <w:sz w:val="17"/>
              </w:rPr>
              <w:t>8,080</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5" w:type="dxa"/>
            <w:tcBorders/>
            <w:shd w:fill="CCEEFF" w:val="clear"/>
            <w:vAlign w:val="center"/>
          </w:tcPr>
          <w:p>
            <w:pPr>
              <w:pStyle w:val="TableContents"/>
              <w:spacing w:lineRule="auto" w:line="288" w:before="0" w:after="0"/>
              <w:ind w:left="0" w:right="0" w:firstLine="30"/>
              <w:rPr>
                <w:sz w:val="17"/>
              </w:rPr>
            </w:pPr>
            <w:r>
              <w:rPr>
                <w:rFonts w:ascii="inherit" w:hAnsi="inherit"/>
                <w:sz w:val="17"/>
              </w:rPr>
              <w:t xml:space="preserve">Intersegment </w:t>
            </w:r>
            <w:r>
              <w:rPr>
                <w:rFonts w:ascii="inherit" w:hAnsi="inherit"/>
                <w:sz w:val="12"/>
              </w:rPr>
              <w:t>(2)</w:t>
            </w:r>
          </w:p>
        </w:tc>
        <w:tc>
          <w:tcPr>
            <w:tcW w:w="90" w:type="dxa"/>
            <w:tcBorders/>
            <w:shd w:fill="CCEEFF" w:val="clear"/>
            <w:vAlign w:val="center"/>
          </w:tcPr>
          <w:p>
            <w:pPr>
              <w:pStyle w:val="TableContents"/>
              <w:spacing w:before="0" w:after="0"/>
              <w:ind w:left="0" w:right="0" w:firstLine="30"/>
              <w:rPr/>
            </w:pPr>
            <w:r>
              <w:rPr/>
              <w:t> </w:t>
            </w:r>
          </w:p>
        </w:tc>
        <w:tc>
          <w:tcPr>
            <w:tcW w:w="106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211</w:t>
            </w:r>
          </w:p>
        </w:tc>
        <w:tc>
          <w:tcPr>
            <w:tcW w:w="7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6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137</w:t>
            </w:r>
          </w:p>
        </w:tc>
        <w:tc>
          <w:tcPr>
            <w:tcW w:w="4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28"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7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112</w:t>
            </w:r>
          </w:p>
        </w:tc>
        <w:tc>
          <w:tcPr>
            <w:tcW w:w="3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460</w:t>
            </w:r>
          </w:p>
        </w:tc>
        <w:tc>
          <w:tcPr>
            <w:tcW w:w="4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 of reportable segments</w:t>
            </w:r>
          </w:p>
        </w:tc>
        <w:tc>
          <w:tcPr>
            <w:tcW w:w="90" w:type="dxa"/>
            <w:tcBorders/>
            <w:shd w:fill="auto" w:val="clear"/>
            <w:vAlign w:val="center"/>
          </w:tcPr>
          <w:p>
            <w:pPr>
              <w:pStyle w:val="TableContents"/>
              <w:spacing w:before="0" w:after="0"/>
              <w:ind w:left="0" w:right="0" w:firstLine="30"/>
              <w:rPr/>
            </w:pPr>
            <w:r>
              <w:rPr/>
              <w:t> </w:t>
            </w:r>
          </w:p>
        </w:tc>
        <w:tc>
          <w:tcPr>
            <w:tcW w:w="288"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72"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475</w:t>
            </w:r>
          </w:p>
        </w:tc>
        <w:tc>
          <w:tcPr>
            <w:tcW w:w="7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81"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284</w:t>
            </w:r>
          </w:p>
        </w:tc>
        <w:tc>
          <w:tcPr>
            <w:tcW w:w="44"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9"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79"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7,781</w:t>
            </w:r>
          </w:p>
        </w:tc>
        <w:tc>
          <w:tcPr>
            <w:tcW w:w="132"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37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9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pPr>
            <w:r>
              <w:rPr/>
              <w:t>—</w:t>
            </w:r>
          </w:p>
        </w:tc>
        <w:tc>
          <w:tcPr>
            <w:tcW w:w="33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8,540</w:t>
            </w:r>
          </w:p>
        </w:tc>
        <w:tc>
          <w:tcPr>
            <w:tcW w:w="4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Equity earnings in unconsolidated entities</w:t>
            </w:r>
          </w:p>
        </w:tc>
        <w:tc>
          <w:tcPr>
            <w:tcW w:w="90" w:type="dxa"/>
            <w:tcBorders/>
            <w:shd w:fill="CCEEFF" w:val="clear"/>
            <w:vAlign w:val="center"/>
          </w:tcPr>
          <w:p>
            <w:pPr>
              <w:pStyle w:val="TableContents"/>
              <w:spacing w:before="0" w:after="0"/>
              <w:ind w:left="0" w:right="0" w:firstLine="30"/>
              <w:rPr/>
            </w:pPr>
            <w:r>
              <w:rPr/>
              <w:t> </w:t>
            </w:r>
          </w:p>
        </w:tc>
        <w:tc>
          <w:tcPr>
            <w:tcW w:w="28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7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96</w:t>
            </w:r>
          </w:p>
        </w:tc>
        <w:tc>
          <w:tcPr>
            <w:tcW w:w="7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81"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bottom w:val="double" w:sz="6" w:space="0" w:color="000000"/>
            </w:tcBorders>
            <w:shd w:fill="CCEEFF" w:val="clear"/>
            <w:tcMar>
              <w:bottom w:w="30" w:type="dxa"/>
            </w:tcMar>
            <w:vAlign w:val="center"/>
          </w:tcPr>
          <w:p>
            <w:pPr>
              <w:pStyle w:val="TableContents"/>
              <w:spacing w:before="0" w:after="0"/>
              <w:jc w:val="right"/>
              <w:rPr/>
            </w:pPr>
            <w:r>
              <w:rPr/>
              <w:t>—</w:t>
            </w:r>
          </w:p>
        </w:tc>
        <w:tc>
          <w:tcPr>
            <w:tcW w:w="44"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49"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79" w:type="dxa"/>
            <w:tcBorders>
              <w:bottom w:val="double" w:sz="6" w:space="0" w:color="000000"/>
            </w:tcBorders>
            <w:shd w:fill="CCEEFF" w:val="clear"/>
            <w:tcMar>
              <w:bottom w:w="30" w:type="dxa"/>
            </w:tcMar>
            <w:vAlign w:val="center"/>
          </w:tcPr>
          <w:p>
            <w:pPr>
              <w:pStyle w:val="TableContents"/>
              <w:spacing w:before="0" w:after="0"/>
              <w:jc w:val="right"/>
              <w:rPr/>
            </w:pPr>
            <w:r>
              <w:rPr/>
              <w:t>—</w:t>
            </w:r>
          </w:p>
        </w:tc>
        <w:tc>
          <w:tcPr>
            <w:tcW w:w="132"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909"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96</w:t>
            </w:r>
          </w:p>
        </w:tc>
        <w:tc>
          <w:tcPr>
            <w:tcW w:w="45"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Adjusted EBITDA</w:t>
            </w:r>
          </w:p>
        </w:tc>
        <w:tc>
          <w:tcPr>
            <w:tcW w:w="90" w:type="dxa"/>
            <w:tcBorders/>
            <w:shd w:fill="auto" w:val="clear"/>
            <w:vAlign w:val="center"/>
          </w:tcPr>
          <w:p>
            <w:pPr>
              <w:pStyle w:val="TableContents"/>
              <w:spacing w:before="0" w:after="0"/>
              <w:ind w:left="0" w:right="0" w:firstLine="30"/>
              <w:rPr/>
            </w:pPr>
            <w:r>
              <w:rPr/>
              <w:t> </w:t>
            </w:r>
          </w:p>
        </w:tc>
        <w:tc>
          <w:tcPr>
            <w:tcW w:w="288"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72"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360</w:t>
            </w:r>
          </w:p>
        </w:tc>
        <w:tc>
          <w:tcPr>
            <w:tcW w:w="7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81"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171</w:t>
            </w:r>
          </w:p>
        </w:tc>
        <w:tc>
          <w:tcPr>
            <w:tcW w:w="44"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9"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79"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(26</w:t>
            </w:r>
          </w:p>
        </w:tc>
        <w:tc>
          <w:tcPr>
            <w:tcW w:w="132"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909"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2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505</w:t>
            </w:r>
          </w:p>
        </w:tc>
        <w:tc>
          <w:tcPr>
            <w:tcW w:w="4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Maintenance capital</w:t>
            </w:r>
          </w:p>
        </w:tc>
        <w:tc>
          <w:tcPr>
            <w:tcW w:w="90" w:type="dxa"/>
            <w:tcBorders/>
            <w:shd w:fill="CCEEFF" w:val="clear"/>
            <w:vAlign w:val="center"/>
          </w:tcPr>
          <w:p>
            <w:pPr>
              <w:pStyle w:val="TableContents"/>
              <w:spacing w:before="0" w:after="0"/>
              <w:ind w:left="0" w:right="0" w:firstLine="30"/>
              <w:rPr/>
            </w:pPr>
            <w:r>
              <w:rPr/>
              <w:t> </w:t>
            </w:r>
          </w:p>
        </w:tc>
        <w:tc>
          <w:tcPr>
            <w:tcW w:w="28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7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32</w:t>
            </w:r>
          </w:p>
        </w:tc>
        <w:tc>
          <w:tcPr>
            <w:tcW w:w="7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81"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26</w:t>
            </w:r>
          </w:p>
        </w:tc>
        <w:tc>
          <w:tcPr>
            <w:tcW w:w="44"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49"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79"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w:t>
            </w:r>
          </w:p>
        </w:tc>
        <w:tc>
          <w:tcPr>
            <w:tcW w:w="132"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909"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63</w:t>
            </w:r>
          </w:p>
        </w:tc>
        <w:tc>
          <w:tcPr>
            <w:tcW w:w="45"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9364" w:type="dxa"/>
        <w:jc w:val="left"/>
        <w:tblInd w:w="0" w:type="dxa"/>
        <w:tblCellMar>
          <w:top w:w="0" w:type="dxa"/>
          <w:left w:w="0" w:type="dxa"/>
          <w:bottom w:w="0" w:type="dxa"/>
          <w:right w:w="0" w:type="dxa"/>
        </w:tblCellMar>
      </w:tblPr>
      <w:tblGrid>
        <w:gridCol w:w="3545"/>
        <w:gridCol w:w="90"/>
        <w:gridCol w:w="220"/>
        <w:gridCol w:w="856"/>
        <w:gridCol w:w="54"/>
        <w:gridCol w:w="90"/>
        <w:gridCol w:w="181"/>
        <w:gridCol w:w="485"/>
        <w:gridCol w:w="44"/>
        <w:gridCol w:w="90"/>
        <w:gridCol w:w="144"/>
        <w:gridCol w:w="681"/>
        <w:gridCol w:w="35"/>
        <w:gridCol w:w="90"/>
        <w:gridCol w:w="378"/>
        <w:gridCol w:w="1196"/>
        <w:gridCol w:w="335"/>
        <w:gridCol w:w="90"/>
        <w:gridCol w:w="125"/>
        <w:gridCol w:w="590"/>
        <w:gridCol w:w="45"/>
      </w:tblGrid>
      <w:tr>
        <w:trPr/>
        <w:tc>
          <w:tcPr>
            <w:tcW w:w="9364" w:type="dxa"/>
            <w:gridSpan w:val="21"/>
            <w:tcBorders/>
            <w:shd w:fill="auto" w:val="clear"/>
            <w:vAlign w:val="center"/>
          </w:tcPr>
          <w:p>
            <w:pPr>
              <w:pStyle w:val="TableContents"/>
              <w:spacing w:before="0" w:after="283"/>
              <w:rPr>
                <w:sz w:val="4"/>
                <w:szCs w:val="4"/>
              </w:rPr>
            </w:pPr>
            <w:r>
              <w:rPr>
                <w:sz w:val="4"/>
                <w:szCs w:val="4"/>
              </w:rPr>
            </w:r>
          </w:p>
        </w:tc>
      </w:tr>
      <w:tr>
        <w:trPr/>
        <w:tc>
          <w:tcPr>
            <w:tcW w:w="354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54"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4"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3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1196"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4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54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3"/>
              </w:rPr>
            </w:pPr>
            <w:r>
              <w:rPr>
                <w:rFonts w:ascii="inherit" w:hAnsi="inherit"/>
                <w:b/>
                <w:sz w:val="13"/>
              </w:rPr>
              <w:t>Six Months Ended June 30, 2019</w:t>
            </w:r>
          </w:p>
        </w:tc>
        <w:tc>
          <w:tcPr>
            <w:tcW w:w="90" w:type="dxa"/>
            <w:tcBorders/>
            <w:shd w:fill="auto" w:val="clear"/>
            <w:vAlign w:val="center"/>
          </w:tcPr>
          <w:p>
            <w:pPr>
              <w:pStyle w:val="TableContents"/>
              <w:spacing w:before="0" w:after="0"/>
              <w:ind w:left="0" w:right="0" w:firstLine="30"/>
              <w:rPr/>
            </w:pPr>
            <w:r>
              <w:rPr/>
              <w:t> </w:t>
            </w:r>
          </w:p>
        </w:tc>
        <w:tc>
          <w:tcPr>
            <w:tcW w:w="113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Transportation</w:t>
            </w:r>
          </w:p>
        </w:tc>
        <w:tc>
          <w:tcPr>
            <w:tcW w:w="90" w:type="dxa"/>
            <w:tcBorders/>
            <w:shd w:fill="auto" w:val="clear"/>
            <w:vAlign w:val="center"/>
          </w:tcPr>
          <w:p>
            <w:pPr>
              <w:pStyle w:val="TableContents"/>
              <w:spacing w:before="0" w:after="0"/>
              <w:ind w:left="0" w:right="0" w:firstLine="30"/>
              <w:rPr/>
            </w:pPr>
            <w:r>
              <w:rPr/>
              <w:t> </w:t>
            </w:r>
          </w:p>
        </w:tc>
        <w:tc>
          <w:tcPr>
            <w:tcW w:w="71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Facilities</w:t>
            </w:r>
          </w:p>
        </w:tc>
        <w:tc>
          <w:tcPr>
            <w:tcW w:w="90" w:type="dxa"/>
            <w:tcBorders/>
            <w:shd w:fill="auto" w:val="clear"/>
            <w:vAlign w:val="center"/>
          </w:tcPr>
          <w:p>
            <w:pPr>
              <w:pStyle w:val="TableContents"/>
              <w:spacing w:before="0" w:after="0"/>
              <w:ind w:left="0" w:right="0" w:firstLine="30"/>
              <w:rPr/>
            </w:pPr>
            <w:r>
              <w:rPr/>
              <w:t> </w:t>
            </w:r>
          </w:p>
        </w:tc>
        <w:tc>
          <w:tcPr>
            <w:tcW w:w="86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Supply and</w:t>
              <w:br/>
              <w:t>Logistics</w:t>
            </w:r>
          </w:p>
        </w:tc>
        <w:tc>
          <w:tcPr>
            <w:tcW w:w="90" w:type="dxa"/>
            <w:tcBorders/>
            <w:shd w:fill="auto" w:val="clear"/>
            <w:vAlign w:val="center"/>
          </w:tcPr>
          <w:p>
            <w:pPr>
              <w:pStyle w:val="TableContents"/>
              <w:spacing w:before="0" w:after="0"/>
              <w:ind w:left="0" w:right="0" w:firstLine="30"/>
              <w:rPr/>
            </w:pPr>
            <w:r>
              <w:rPr/>
              <w:t> </w:t>
            </w:r>
          </w:p>
        </w:tc>
        <w:tc>
          <w:tcPr>
            <w:tcW w:w="190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Intersegment Adjustment</w:t>
            </w:r>
          </w:p>
        </w:tc>
        <w:tc>
          <w:tcPr>
            <w:tcW w:w="90" w:type="dxa"/>
            <w:tcBorders/>
            <w:shd w:fill="auto" w:val="clear"/>
            <w:vAlign w:val="center"/>
          </w:tcPr>
          <w:p>
            <w:pPr>
              <w:pStyle w:val="TableContents"/>
              <w:spacing w:before="0" w:after="0"/>
              <w:ind w:left="0" w:right="0" w:firstLine="30"/>
              <w:rPr/>
            </w:pPr>
            <w:r>
              <w:rPr/>
              <w:t> </w:t>
            </w:r>
          </w:p>
        </w:tc>
        <w:tc>
          <w:tcPr>
            <w:tcW w:w="76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Total</w:t>
            </w:r>
          </w:p>
        </w:tc>
      </w:tr>
      <w:tr>
        <w:trPr/>
        <w:tc>
          <w:tcPr>
            <w:tcW w:w="3545"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90" w:type="dxa"/>
            <w:tcBorders/>
            <w:shd w:fill="CCEEFF" w:val="clear"/>
            <w:vAlign w:val="center"/>
          </w:tcPr>
          <w:p>
            <w:pPr>
              <w:pStyle w:val="TableContents"/>
              <w:spacing w:before="0" w:after="0"/>
              <w:ind w:left="0" w:right="0" w:firstLine="30"/>
              <w:rPr/>
            </w:pPr>
            <w:r>
              <w:rPr/>
              <w:t> </w:t>
            </w:r>
          </w:p>
        </w:tc>
        <w:tc>
          <w:tcPr>
            <w:tcW w:w="1076" w:type="dxa"/>
            <w:gridSpan w:val="2"/>
            <w:tcBorders/>
            <w:shd w:fill="CCEEFF" w:val="clear"/>
            <w:vAlign w:val="center"/>
          </w:tcPr>
          <w:p>
            <w:pPr>
              <w:pStyle w:val="TableContents"/>
              <w:spacing w:before="0" w:after="0"/>
              <w:jc w:val="right"/>
              <w:rPr/>
            </w:pPr>
            <w:r>
              <w:rPr/>
              <w:t> </w:t>
            </w:r>
          </w:p>
        </w:tc>
        <w:tc>
          <w:tcPr>
            <w:tcW w:w="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66" w:type="dxa"/>
            <w:gridSpan w:val="2"/>
            <w:tcBorders/>
            <w:shd w:fill="CCEEFF" w:val="clear"/>
            <w:vAlign w:val="center"/>
          </w:tcPr>
          <w:p>
            <w:pPr>
              <w:pStyle w:val="TableContents"/>
              <w:spacing w:before="0" w:after="0"/>
              <w:jc w:val="right"/>
              <w:rPr/>
            </w:pPr>
            <w:r>
              <w:rPr/>
              <w:t> </w:t>
            </w:r>
          </w:p>
        </w:tc>
        <w:tc>
          <w:tcPr>
            <w:tcW w:w="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5" w:type="dxa"/>
            <w:gridSpan w:val="2"/>
            <w:tcBorders/>
            <w:shd w:fill="CCEEFF" w:val="clear"/>
            <w:vAlign w:val="center"/>
          </w:tcPr>
          <w:p>
            <w:pPr>
              <w:pStyle w:val="TableContents"/>
              <w:spacing w:before="0" w:after="0"/>
              <w:jc w:val="right"/>
              <w:rPr/>
            </w:pPr>
            <w:r>
              <w:rPr/>
              <w:t> </w:t>
            </w:r>
          </w:p>
        </w:tc>
        <w:tc>
          <w:tcPr>
            <w:tcW w:w="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909"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pPr>
            <w:r>
              <w:rPr/>
              <w:t> </w:t>
            </w:r>
          </w:p>
        </w:tc>
        <w:tc>
          <w:tcPr>
            <w:tcW w:w="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5" w:type="dxa"/>
            <w:tcBorders/>
            <w:shd w:fill="auto" w:val="clear"/>
            <w:vAlign w:val="center"/>
          </w:tcPr>
          <w:p>
            <w:pPr>
              <w:pStyle w:val="TableContents"/>
              <w:spacing w:lineRule="auto" w:line="288" w:before="0" w:after="0"/>
              <w:ind w:left="0" w:right="0" w:firstLine="30"/>
              <w:jc w:val="left"/>
              <w:rPr>
                <w:sz w:val="17"/>
              </w:rPr>
            </w:pPr>
            <w:r>
              <w:rPr>
                <w:rFonts w:ascii="inherit" w:hAnsi="inherit"/>
                <w:sz w:val="17"/>
              </w:rPr>
              <w:t xml:space="preserve">External customers </w:t>
            </w:r>
            <w:r>
              <w:rPr>
                <w:rFonts w:ascii="inherit" w:hAnsi="inherit"/>
                <w:sz w:val="12"/>
              </w:rPr>
              <w:t>(1)</w:t>
            </w:r>
          </w:p>
        </w:tc>
        <w:tc>
          <w:tcPr>
            <w:tcW w:w="90" w:type="dxa"/>
            <w:tcBorders/>
            <w:shd w:fill="auto" w:val="clear"/>
            <w:vAlign w:val="center"/>
          </w:tcPr>
          <w:p>
            <w:pPr>
              <w:pStyle w:val="TableContents"/>
              <w:spacing w:before="0" w:after="0"/>
              <w:ind w:left="0" w:right="0" w:firstLine="30"/>
              <w:rPr/>
            </w:pPr>
            <w:r>
              <w:rPr/>
              <w:t> </w:t>
            </w:r>
          </w:p>
        </w:tc>
        <w:tc>
          <w:tcPr>
            <w:tcW w:w="22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56" w:type="dxa"/>
            <w:tcBorders/>
            <w:shd w:fill="auto" w:val="clear"/>
            <w:vAlign w:val="center"/>
          </w:tcPr>
          <w:p>
            <w:pPr>
              <w:pStyle w:val="TableContents"/>
              <w:spacing w:before="0" w:after="0"/>
              <w:jc w:val="right"/>
              <w:rPr>
                <w:rFonts w:ascii="inherit" w:hAnsi="inherit"/>
                <w:sz w:val="17"/>
              </w:rPr>
            </w:pPr>
            <w:r>
              <w:rPr>
                <w:rFonts w:ascii="inherit" w:hAnsi="inherit"/>
                <w:sz w:val="17"/>
              </w:rPr>
              <w:t>618</w:t>
            </w:r>
          </w:p>
        </w:tc>
        <w:tc>
          <w:tcPr>
            <w:tcW w:w="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8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auto" w:val="clear"/>
            <w:vAlign w:val="center"/>
          </w:tcPr>
          <w:p>
            <w:pPr>
              <w:pStyle w:val="TableContents"/>
              <w:spacing w:before="0" w:after="0"/>
              <w:jc w:val="right"/>
              <w:rPr>
                <w:rFonts w:ascii="inherit" w:hAnsi="inherit"/>
                <w:sz w:val="17"/>
              </w:rPr>
            </w:pPr>
            <w:r>
              <w:rPr>
                <w:rFonts w:ascii="inherit" w:hAnsi="inherit"/>
                <w:sz w:val="17"/>
              </w:rPr>
              <w:t>307</w:t>
            </w:r>
          </w:p>
        </w:tc>
        <w:tc>
          <w:tcPr>
            <w:tcW w:w="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81" w:type="dxa"/>
            <w:tcBorders/>
            <w:shd w:fill="auto" w:val="clear"/>
            <w:vAlign w:val="center"/>
          </w:tcPr>
          <w:p>
            <w:pPr>
              <w:pStyle w:val="TableContents"/>
              <w:spacing w:before="0" w:after="0"/>
              <w:jc w:val="right"/>
              <w:rPr>
                <w:rFonts w:ascii="inherit" w:hAnsi="inherit"/>
                <w:sz w:val="17"/>
              </w:rPr>
            </w:pPr>
            <w:r>
              <w:rPr>
                <w:rFonts w:ascii="inherit" w:hAnsi="inherit"/>
                <w:sz w:val="17"/>
              </w:rPr>
              <w:t>15,936</w:t>
            </w:r>
          </w:p>
        </w:tc>
        <w:tc>
          <w:tcPr>
            <w:tcW w:w="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37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96" w:type="dxa"/>
            <w:tcBorders/>
            <w:shd w:fill="auto" w:val="clear"/>
            <w:vAlign w:val="center"/>
          </w:tcPr>
          <w:p>
            <w:pPr>
              <w:pStyle w:val="TableContents"/>
              <w:spacing w:before="0" w:after="0"/>
              <w:jc w:val="right"/>
              <w:rPr>
                <w:rFonts w:ascii="inherit" w:hAnsi="inherit"/>
                <w:sz w:val="17"/>
              </w:rPr>
            </w:pPr>
            <w:r>
              <w:rPr>
                <w:rFonts w:ascii="inherit" w:hAnsi="inherit"/>
                <w:sz w:val="17"/>
              </w:rPr>
              <w:t>(233</w:t>
            </w:r>
          </w:p>
        </w:tc>
        <w:tc>
          <w:tcPr>
            <w:tcW w:w="3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16,628</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5" w:type="dxa"/>
            <w:tcBorders/>
            <w:shd w:fill="CCEEFF" w:val="clear"/>
            <w:vAlign w:val="center"/>
          </w:tcPr>
          <w:p>
            <w:pPr>
              <w:pStyle w:val="TableContents"/>
              <w:spacing w:lineRule="auto" w:line="288" w:before="0" w:after="0"/>
              <w:ind w:left="0" w:right="0" w:firstLine="30"/>
              <w:rPr>
                <w:sz w:val="17"/>
              </w:rPr>
            </w:pPr>
            <w:r>
              <w:rPr>
                <w:rFonts w:ascii="inherit" w:hAnsi="inherit"/>
                <w:sz w:val="17"/>
              </w:rPr>
              <w:t xml:space="preserve">Intersegment </w:t>
            </w:r>
            <w:r>
              <w:rPr>
                <w:rFonts w:ascii="inherit" w:hAnsi="inherit"/>
                <w:sz w:val="12"/>
              </w:rPr>
              <w:t>(2)</w:t>
            </w:r>
          </w:p>
        </w:tc>
        <w:tc>
          <w:tcPr>
            <w:tcW w:w="90" w:type="dxa"/>
            <w:tcBorders/>
            <w:shd w:fill="CCEEFF" w:val="clear"/>
            <w:vAlign w:val="center"/>
          </w:tcPr>
          <w:p>
            <w:pPr>
              <w:pStyle w:val="TableContents"/>
              <w:spacing w:before="0" w:after="0"/>
              <w:ind w:left="0" w:right="0" w:firstLine="30"/>
              <w:rPr/>
            </w:pPr>
            <w:r>
              <w:rPr/>
              <w:t> </w:t>
            </w:r>
          </w:p>
        </w:tc>
        <w:tc>
          <w:tcPr>
            <w:tcW w:w="107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497</w:t>
            </w:r>
          </w:p>
        </w:tc>
        <w:tc>
          <w:tcPr>
            <w:tcW w:w="5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6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282</w:t>
            </w:r>
          </w:p>
        </w:tc>
        <w:tc>
          <w:tcPr>
            <w:tcW w:w="4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w:t>
            </w:r>
          </w:p>
        </w:tc>
        <w:tc>
          <w:tcPr>
            <w:tcW w:w="3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7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233</w:t>
            </w:r>
          </w:p>
        </w:tc>
        <w:tc>
          <w:tcPr>
            <w:tcW w:w="3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1,014</w:t>
            </w:r>
          </w:p>
        </w:tc>
        <w:tc>
          <w:tcPr>
            <w:tcW w:w="4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 of reportable segments</w:t>
            </w:r>
          </w:p>
        </w:tc>
        <w:tc>
          <w:tcPr>
            <w:tcW w:w="90" w:type="dxa"/>
            <w:tcBorders/>
            <w:shd w:fill="auto" w:val="clear"/>
            <w:vAlign w:val="center"/>
          </w:tcPr>
          <w:p>
            <w:pPr>
              <w:pStyle w:val="TableContents"/>
              <w:spacing w:before="0" w:after="0"/>
              <w:ind w:left="0" w:right="0" w:firstLine="30"/>
              <w:rPr/>
            </w:pPr>
            <w:r>
              <w:rPr/>
              <w:t> </w:t>
            </w:r>
          </w:p>
        </w:tc>
        <w:tc>
          <w:tcPr>
            <w:tcW w:w="22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56"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1,115</w:t>
            </w:r>
          </w:p>
        </w:tc>
        <w:tc>
          <w:tcPr>
            <w:tcW w:w="54"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81"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589</w:t>
            </w:r>
          </w:p>
        </w:tc>
        <w:tc>
          <w:tcPr>
            <w:tcW w:w="44"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4"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8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15,938</w:t>
            </w:r>
          </w:p>
        </w:tc>
        <w:tc>
          <w:tcPr>
            <w:tcW w:w="3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37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9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pPr>
            <w:r>
              <w:rPr/>
              <w:t>—</w:t>
            </w:r>
          </w:p>
        </w:tc>
        <w:tc>
          <w:tcPr>
            <w:tcW w:w="33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17,642</w:t>
            </w:r>
          </w:p>
        </w:tc>
        <w:tc>
          <w:tcPr>
            <w:tcW w:w="4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Equity earnings in unconsolidated entities</w:t>
            </w:r>
          </w:p>
        </w:tc>
        <w:tc>
          <w:tcPr>
            <w:tcW w:w="90" w:type="dxa"/>
            <w:tcBorders/>
            <w:shd w:fill="CCEEFF" w:val="clear"/>
            <w:vAlign w:val="center"/>
          </w:tcPr>
          <w:p>
            <w:pPr>
              <w:pStyle w:val="TableContents"/>
              <w:spacing w:before="0" w:after="0"/>
              <w:ind w:left="0" w:right="0" w:firstLine="30"/>
              <w:rPr/>
            </w:pPr>
            <w:r>
              <w:rPr/>
              <w:t> </w:t>
            </w:r>
          </w:p>
        </w:tc>
        <w:tc>
          <w:tcPr>
            <w:tcW w:w="22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5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172</w:t>
            </w:r>
          </w:p>
        </w:tc>
        <w:tc>
          <w:tcPr>
            <w:tcW w:w="54"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81"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bottom w:val="double" w:sz="6" w:space="0" w:color="000000"/>
            </w:tcBorders>
            <w:shd w:fill="CCEEFF" w:val="clear"/>
            <w:tcMar>
              <w:bottom w:w="30" w:type="dxa"/>
            </w:tcMar>
            <w:vAlign w:val="center"/>
          </w:tcPr>
          <w:p>
            <w:pPr>
              <w:pStyle w:val="TableContents"/>
              <w:spacing w:before="0" w:after="0"/>
              <w:jc w:val="right"/>
              <w:rPr/>
            </w:pPr>
            <w:r>
              <w:rPr/>
              <w:t>—</w:t>
            </w:r>
          </w:p>
        </w:tc>
        <w:tc>
          <w:tcPr>
            <w:tcW w:w="44"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44"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81" w:type="dxa"/>
            <w:tcBorders>
              <w:bottom w:val="double" w:sz="6" w:space="0" w:color="000000"/>
            </w:tcBorders>
            <w:shd w:fill="CCEEFF" w:val="clear"/>
            <w:tcMar>
              <w:bottom w:w="30" w:type="dxa"/>
            </w:tcMar>
            <w:vAlign w:val="center"/>
          </w:tcPr>
          <w:p>
            <w:pPr>
              <w:pStyle w:val="TableContents"/>
              <w:spacing w:before="0" w:after="0"/>
              <w:jc w:val="right"/>
              <w:rPr/>
            </w:pPr>
            <w:r>
              <w:rPr/>
              <w:t>—</w:t>
            </w:r>
          </w:p>
        </w:tc>
        <w:tc>
          <w:tcPr>
            <w:tcW w:w="35"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909"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172</w:t>
            </w:r>
          </w:p>
        </w:tc>
        <w:tc>
          <w:tcPr>
            <w:tcW w:w="45"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Adjusted EBITDA</w:t>
            </w:r>
          </w:p>
        </w:tc>
        <w:tc>
          <w:tcPr>
            <w:tcW w:w="90" w:type="dxa"/>
            <w:tcBorders/>
            <w:shd w:fill="auto" w:val="clear"/>
            <w:vAlign w:val="center"/>
          </w:tcPr>
          <w:p>
            <w:pPr>
              <w:pStyle w:val="TableContents"/>
              <w:spacing w:before="0" w:after="0"/>
              <w:ind w:left="0" w:right="0" w:firstLine="30"/>
              <w:rPr/>
            </w:pPr>
            <w:r>
              <w:rPr/>
              <w:t> </w:t>
            </w:r>
          </w:p>
        </w:tc>
        <w:tc>
          <w:tcPr>
            <w:tcW w:w="22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56"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809</w:t>
            </w:r>
          </w:p>
        </w:tc>
        <w:tc>
          <w:tcPr>
            <w:tcW w:w="54"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81"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356</w:t>
            </w:r>
          </w:p>
        </w:tc>
        <w:tc>
          <w:tcPr>
            <w:tcW w:w="44"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4"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8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478</w:t>
            </w:r>
          </w:p>
        </w:tc>
        <w:tc>
          <w:tcPr>
            <w:tcW w:w="3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909"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2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1,643</w:t>
            </w:r>
          </w:p>
        </w:tc>
        <w:tc>
          <w:tcPr>
            <w:tcW w:w="4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Maintenance capital</w:t>
            </w:r>
          </w:p>
        </w:tc>
        <w:tc>
          <w:tcPr>
            <w:tcW w:w="90" w:type="dxa"/>
            <w:tcBorders/>
            <w:shd w:fill="CCEEFF" w:val="clear"/>
            <w:vAlign w:val="center"/>
          </w:tcPr>
          <w:p>
            <w:pPr>
              <w:pStyle w:val="TableContents"/>
              <w:spacing w:before="0" w:after="0"/>
              <w:ind w:left="0" w:right="0" w:firstLine="30"/>
              <w:rPr/>
            </w:pPr>
            <w:r>
              <w:rPr/>
              <w:t> </w:t>
            </w:r>
          </w:p>
        </w:tc>
        <w:tc>
          <w:tcPr>
            <w:tcW w:w="22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5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67</w:t>
            </w:r>
          </w:p>
        </w:tc>
        <w:tc>
          <w:tcPr>
            <w:tcW w:w="54"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81"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46</w:t>
            </w:r>
          </w:p>
        </w:tc>
        <w:tc>
          <w:tcPr>
            <w:tcW w:w="44"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44"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8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w:t>
            </w:r>
          </w:p>
        </w:tc>
        <w:tc>
          <w:tcPr>
            <w:tcW w:w="35"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909"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118</w:t>
            </w:r>
          </w:p>
        </w:tc>
        <w:tc>
          <w:tcPr>
            <w:tcW w:w="45"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tbl>
      <w:tblPr>
        <w:tblW w:w="9364" w:type="dxa"/>
        <w:jc w:val="left"/>
        <w:tblInd w:w="0" w:type="dxa"/>
        <w:tblCellMar>
          <w:top w:w="0" w:type="dxa"/>
          <w:left w:w="0" w:type="dxa"/>
          <w:bottom w:w="0" w:type="dxa"/>
          <w:right w:w="0" w:type="dxa"/>
        </w:tblCellMar>
      </w:tblPr>
      <w:tblGrid>
        <w:gridCol w:w="3545"/>
        <w:gridCol w:w="90"/>
        <w:gridCol w:w="288"/>
        <w:gridCol w:w="772"/>
        <w:gridCol w:w="70"/>
        <w:gridCol w:w="90"/>
        <w:gridCol w:w="181"/>
        <w:gridCol w:w="485"/>
        <w:gridCol w:w="44"/>
        <w:gridCol w:w="90"/>
        <w:gridCol w:w="144"/>
        <w:gridCol w:w="681"/>
        <w:gridCol w:w="35"/>
        <w:gridCol w:w="90"/>
        <w:gridCol w:w="378"/>
        <w:gridCol w:w="1196"/>
        <w:gridCol w:w="335"/>
        <w:gridCol w:w="90"/>
        <w:gridCol w:w="125"/>
        <w:gridCol w:w="590"/>
        <w:gridCol w:w="45"/>
      </w:tblGrid>
      <w:tr>
        <w:trPr/>
        <w:tc>
          <w:tcPr>
            <w:tcW w:w="9364" w:type="dxa"/>
            <w:gridSpan w:val="21"/>
            <w:tcBorders/>
            <w:shd w:fill="auto" w:val="clear"/>
            <w:vAlign w:val="center"/>
          </w:tcPr>
          <w:p>
            <w:pPr>
              <w:pStyle w:val="TableContents"/>
              <w:spacing w:before="0" w:after="283"/>
              <w:rPr>
                <w:sz w:val="4"/>
                <w:szCs w:val="4"/>
              </w:rPr>
            </w:pPr>
            <w:r>
              <w:rPr>
                <w:sz w:val="4"/>
                <w:szCs w:val="4"/>
              </w:rPr>
            </w:r>
          </w:p>
        </w:tc>
      </w:tr>
      <w:tr>
        <w:trPr/>
        <w:tc>
          <w:tcPr>
            <w:tcW w:w="354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4"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3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1196"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4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54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3"/>
              </w:rPr>
            </w:pPr>
            <w:r>
              <w:rPr>
                <w:rFonts w:ascii="inherit" w:hAnsi="inherit"/>
                <w:b/>
                <w:sz w:val="13"/>
              </w:rPr>
              <w:t>Six Months Ended June 30, 2018</w:t>
            </w:r>
          </w:p>
        </w:tc>
        <w:tc>
          <w:tcPr>
            <w:tcW w:w="90" w:type="dxa"/>
            <w:tcBorders/>
            <w:shd w:fill="auto" w:val="clear"/>
            <w:vAlign w:val="center"/>
          </w:tcPr>
          <w:p>
            <w:pPr>
              <w:pStyle w:val="TableContents"/>
              <w:spacing w:before="0" w:after="0"/>
              <w:ind w:left="0" w:right="0" w:firstLine="30"/>
              <w:rPr/>
            </w:pPr>
            <w:r>
              <w:rPr/>
              <w:t> </w:t>
            </w:r>
          </w:p>
        </w:tc>
        <w:tc>
          <w:tcPr>
            <w:tcW w:w="113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Transportation</w:t>
            </w:r>
          </w:p>
        </w:tc>
        <w:tc>
          <w:tcPr>
            <w:tcW w:w="90" w:type="dxa"/>
            <w:tcBorders/>
            <w:shd w:fill="auto" w:val="clear"/>
            <w:vAlign w:val="center"/>
          </w:tcPr>
          <w:p>
            <w:pPr>
              <w:pStyle w:val="TableContents"/>
              <w:spacing w:before="0" w:after="0"/>
              <w:ind w:left="0" w:right="0" w:firstLine="30"/>
              <w:rPr/>
            </w:pPr>
            <w:r>
              <w:rPr/>
              <w:t> </w:t>
            </w:r>
          </w:p>
        </w:tc>
        <w:tc>
          <w:tcPr>
            <w:tcW w:w="71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Facilities</w:t>
            </w:r>
          </w:p>
        </w:tc>
        <w:tc>
          <w:tcPr>
            <w:tcW w:w="90" w:type="dxa"/>
            <w:tcBorders/>
            <w:shd w:fill="auto" w:val="clear"/>
            <w:vAlign w:val="center"/>
          </w:tcPr>
          <w:p>
            <w:pPr>
              <w:pStyle w:val="TableContents"/>
              <w:spacing w:before="0" w:after="0"/>
              <w:ind w:left="0" w:right="0" w:firstLine="30"/>
              <w:rPr/>
            </w:pPr>
            <w:r>
              <w:rPr/>
              <w:t> </w:t>
            </w:r>
          </w:p>
        </w:tc>
        <w:tc>
          <w:tcPr>
            <w:tcW w:w="86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Supply and</w:t>
              <w:br/>
              <w:t>Logistics</w:t>
            </w:r>
          </w:p>
        </w:tc>
        <w:tc>
          <w:tcPr>
            <w:tcW w:w="90" w:type="dxa"/>
            <w:tcBorders/>
            <w:shd w:fill="auto" w:val="clear"/>
            <w:vAlign w:val="center"/>
          </w:tcPr>
          <w:p>
            <w:pPr>
              <w:pStyle w:val="TableContents"/>
              <w:spacing w:before="0" w:after="0"/>
              <w:ind w:left="0" w:right="0" w:firstLine="30"/>
              <w:rPr/>
            </w:pPr>
            <w:r>
              <w:rPr/>
              <w:t> </w:t>
            </w:r>
          </w:p>
        </w:tc>
        <w:tc>
          <w:tcPr>
            <w:tcW w:w="190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Intersegment Adjustment</w:t>
            </w:r>
          </w:p>
        </w:tc>
        <w:tc>
          <w:tcPr>
            <w:tcW w:w="90" w:type="dxa"/>
            <w:tcBorders/>
            <w:shd w:fill="auto" w:val="clear"/>
            <w:vAlign w:val="center"/>
          </w:tcPr>
          <w:p>
            <w:pPr>
              <w:pStyle w:val="TableContents"/>
              <w:spacing w:before="0" w:after="0"/>
              <w:ind w:left="0" w:right="0" w:firstLine="30"/>
              <w:rPr/>
            </w:pPr>
            <w:r>
              <w:rPr/>
              <w:t> </w:t>
            </w:r>
          </w:p>
        </w:tc>
        <w:tc>
          <w:tcPr>
            <w:tcW w:w="76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Total</w:t>
            </w:r>
          </w:p>
        </w:tc>
      </w:tr>
      <w:tr>
        <w:trPr/>
        <w:tc>
          <w:tcPr>
            <w:tcW w:w="3545"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90" w:type="dxa"/>
            <w:tcBorders/>
            <w:shd w:fill="CCEEFF" w:val="clear"/>
            <w:vAlign w:val="center"/>
          </w:tcPr>
          <w:p>
            <w:pPr>
              <w:pStyle w:val="TableContents"/>
              <w:spacing w:before="0" w:after="0"/>
              <w:ind w:left="0" w:right="0" w:firstLine="30"/>
              <w:rPr/>
            </w:pPr>
            <w:r>
              <w:rPr/>
              <w:t> </w:t>
            </w:r>
          </w:p>
        </w:tc>
        <w:tc>
          <w:tcPr>
            <w:tcW w:w="1060" w:type="dxa"/>
            <w:gridSpan w:val="2"/>
            <w:tcBorders/>
            <w:shd w:fill="CCEEFF" w:val="clear"/>
            <w:vAlign w:val="center"/>
          </w:tcPr>
          <w:p>
            <w:pPr>
              <w:pStyle w:val="TableContents"/>
              <w:spacing w:before="0" w:after="0"/>
              <w:jc w:val="right"/>
              <w:rPr/>
            </w:pPr>
            <w:r>
              <w:rPr/>
              <w:t> </w:t>
            </w:r>
          </w:p>
        </w:tc>
        <w:tc>
          <w:tcPr>
            <w:tcW w:w="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66" w:type="dxa"/>
            <w:gridSpan w:val="2"/>
            <w:tcBorders/>
            <w:shd w:fill="CCEEFF" w:val="clear"/>
            <w:vAlign w:val="center"/>
          </w:tcPr>
          <w:p>
            <w:pPr>
              <w:pStyle w:val="TableContents"/>
              <w:spacing w:before="0" w:after="0"/>
              <w:jc w:val="right"/>
              <w:rPr/>
            </w:pPr>
            <w:r>
              <w:rPr/>
              <w:t> </w:t>
            </w:r>
          </w:p>
        </w:tc>
        <w:tc>
          <w:tcPr>
            <w:tcW w:w="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5" w:type="dxa"/>
            <w:gridSpan w:val="2"/>
            <w:tcBorders/>
            <w:shd w:fill="CCEEFF" w:val="clear"/>
            <w:vAlign w:val="center"/>
          </w:tcPr>
          <w:p>
            <w:pPr>
              <w:pStyle w:val="TableContents"/>
              <w:spacing w:before="0" w:after="0"/>
              <w:jc w:val="right"/>
              <w:rPr/>
            </w:pPr>
            <w:r>
              <w:rPr/>
              <w:t> </w:t>
            </w:r>
          </w:p>
        </w:tc>
        <w:tc>
          <w:tcPr>
            <w:tcW w:w="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909"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pPr>
            <w:r>
              <w:rPr/>
              <w:t> </w:t>
            </w:r>
          </w:p>
        </w:tc>
        <w:tc>
          <w:tcPr>
            <w:tcW w:w="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5" w:type="dxa"/>
            <w:tcBorders/>
            <w:shd w:fill="auto" w:val="clear"/>
            <w:vAlign w:val="center"/>
          </w:tcPr>
          <w:p>
            <w:pPr>
              <w:pStyle w:val="TableContents"/>
              <w:spacing w:lineRule="auto" w:line="288" w:before="0" w:after="0"/>
              <w:ind w:left="0" w:right="0" w:firstLine="30"/>
              <w:jc w:val="left"/>
              <w:rPr>
                <w:sz w:val="17"/>
              </w:rPr>
            </w:pPr>
            <w:r>
              <w:rPr>
                <w:rFonts w:ascii="inherit" w:hAnsi="inherit"/>
                <w:sz w:val="17"/>
              </w:rPr>
              <w:t xml:space="preserve">External customers </w:t>
            </w:r>
            <w:r>
              <w:rPr>
                <w:rFonts w:ascii="inherit" w:hAnsi="inherit"/>
                <w:sz w:val="12"/>
              </w:rPr>
              <w:t>(1)</w:t>
            </w:r>
          </w:p>
        </w:tc>
        <w:tc>
          <w:tcPr>
            <w:tcW w:w="90" w:type="dxa"/>
            <w:tcBorders/>
            <w:shd w:fill="auto" w:val="clear"/>
            <w:vAlign w:val="center"/>
          </w:tcPr>
          <w:p>
            <w:pPr>
              <w:pStyle w:val="TableContents"/>
              <w:spacing w:before="0" w:after="0"/>
              <w:ind w:left="0" w:right="0" w:firstLine="30"/>
              <w:rPr/>
            </w:pPr>
            <w:r>
              <w:rPr/>
              <w:t> </w:t>
            </w:r>
          </w:p>
        </w:tc>
        <w:tc>
          <w:tcPr>
            <w:tcW w:w="28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72" w:type="dxa"/>
            <w:tcBorders/>
            <w:shd w:fill="auto" w:val="clear"/>
            <w:vAlign w:val="center"/>
          </w:tcPr>
          <w:p>
            <w:pPr>
              <w:pStyle w:val="TableContents"/>
              <w:spacing w:before="0" w:after="0"/>
              <w:jc w:val="right"/>
              <w:rPr>
                <w:rFonts w:ascii="inherit" w:hAnsi="inherit"/>
                <w:sz w:val="17"/>
              </w:rPr>
            </w:pPr>
            <w:r>
              <w:rPr>
                <w:rFonts w:ascii="inherit" w:hAnsi="inherit"/>
                <w:sz w:val="17"/>
              </w:rPr>
              <w:t>517</w:t>
            </w:r>
          </w:p>
        </w:tc>
        <w:tc>
          <w:tcPr>
            <w:tcW w:w="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8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auto" w:val="clear"/>
            <w:vAlign w:val="center"/>
          </w:tcPr>
          <w:p>
            <w:pPr>
              <w:pStyle w:val="TableContents"/>
              <w:spacing w:before="0" w:after="0"/>
              <w:jc w:val="right"/>
              <w:rPr>
                <w:rFonts w:ascii="inherit" w:hAnsi="inherit"/>
                <w:sz w:val="17"/>
              </w:rPr>
            </w:pPr>
            <w:r>
              <w:rPr>
                <w:rFonts w:ascii="inherit" w:hAnsi="inherit"/>
                <w:sz w:val="17"/>
              </w:rPr>
              <w:t>288</w:t>
            </w:r>
          </w:p>
        </w:tc>
        <w:tc>
          <w:tcPr>
            <w:tcW w:w="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81" w:type="dxa"/>
            <w:tcBorders/>
            <w:shd w:fill="auto" w:val="clear"/>
            <w:vAlign w:val="center"/>
          </w:tcPr>
          <w:p>
            <w:pPr>
              <w:pStyle w:val="TableContents"/>
              <w:spacing w:before="0" w:after="0"/>
              <w:jc w:val="right"/>
              <w:rPr>
                <w:rFonts w:ascii="inherit" w:hAnsi="inherit"/>
                <w:sz w:val="17"/>
              </w:rPr>
            </w:pPr>
            <w:r>
              <w:rPr>
                <w:rFonts w:ascii="inherit" w:hAnsi="inherit"/>
                <w:sz w:val="17"/>
              </w:rPr>
              <w:t>15,892</w:t>
            </w:r>
          </w:p>
        </w:tc>
        <w:tc>
          <w:tcPr>
            <w:tcW w:w="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37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96" w:type="dxa"/>
            <w:tcBorders/>
            <w:shd w:fill="auto" w:val="clear"/>
            <w:vAlign w:val="center"/>
          </w:tcPr>
          <w:p>
            <w:pPr>
              <w:pStyle w:val="TableContents"/>
              <w:spacing w:before="0" w:after="0"/>
              <w:jc w:val="right"/>
              <w:rPr>
                <w:rFonts w:ascii="inherit" w:hAnsi="inherit"/>
                <w:sz w:val="17"/>
              </w:rPr>
            </w:pPr>
            <w:r>
              <w:rPr>
                <w:rFonts w:ascii="inherit" w:hAnsi="inherit"/>
                <w:sz w:val="17"/>
              </w:rPr>
              <w:t>(219</w:t>
            </w:r>
          </w:p>
        </w:tc>
        <w:tc>
          <w:tcPr>
            <w:tcW w:w="3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16,478</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5" w:type="dxa"/>
            <w:tcBorders/>
            <w:shd w:fill="CCEEFF" w:val="clear"/>
            <w:vAlign w:val="center"/>
          </w:tcPr>
          <w:p>
            <w:pPr>
              <w:pStyle w:val="TableContents"/>
              <w:spacing w:lineRule="auto" w:line="288" w:before="0" w:after="0"/>
              <w:ind w:left="0" w:right="0" w:firstLine="30"/>
              <w:rPr>
                <w:sz w:val="17"/>
              </w:rPr>
            </w:pPr>
            <w:r>
              <w:rPr>
                <w:rFonts w:ascii="inherit" w:hAnsi="inherit"/>
                <w:sz w:val="17"/>
              </w:rPr>
              <w:t xml:space="preserve">Intersegment </w:t>
            </w:r>
            <w:r>
              <w:rPr>
                <w:rFonts w:ascii="inherit" w:hAnsi="inherit"/>
                <w:sz w:val="12"/>
              </w:rPr>
              <w:t>(2)</w:t>
            </w:r>
          </w:p>
        </w:tc>
        <w:tc>
          <w:tcPr>
            <w:tcW w:w="90" w:type="dxa"/>
            <w:tcBorders/>
            <w:shd w:fill="CCEEFF" w:val="clear"/>
            <w:vAlign w:val="center"/>
          </w:tcPr>
          <w:p>
            <w:pPr>
              <w:pStyle w:val="TableContents"/>
              <w:spacing w:before="0" w:after="0"/>
              <w:ind w:left="0" w:right="0" w:firstLine="30"/>
              <w:rPr/>
            </w:pPr>
            <w:r>
              <w:rPr/>
              <w:t> </w:t>
            </w:r>
          </w:p>
        </w:tc>
        <w:tc>
          <w:tcPr>
            <w:tcW w:w="106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412</w:t>
            </w:r>
          </w:p>
        </w:tc>
        <w:tc>
          <w:tcPr>
            <w:tcW w:w="7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6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288</w:t>
            </w:r>
          </w:p>
        </w:tc>
        <w:tc>
          <w:tcPr>
            <w:tcW w:w="4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w:t>
            </w:r>
          </w:p>
        </w:tc>
        <w:tc>
          <w:tcPr>
            <w:tcW w:w="3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7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219</w:t>
            </w:r>
          </w:p>
        </w:tc>
        <w:tc>
          <w:tcPr>
            <w:tcW w:w="3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920</w:t>
            </w:r>
          </w:p>
        </w:tc>
        <w:tc>
          <w:tcPr>
            <w:tcW w:w="4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 of reportable segments</w:t>
            </w:r>
          </w:p>
        </w:tc>
        <w:tc>
          <w:tcPr>
            <w:tcW w:w="90" w:type="dxa"/>
            <w:tcBorders/>
            <w:shd w:fill="auto" w:val="clear"/>
            <w:vAlign w:val="center"/>
          </w:tcPr>
          <w:p>
            <w:pPr>
              <w:pStyle w:val="TableContents"/>
              <w:spacing w:before="0" w:after="0"/>
              <w:ind w:left="0" w:right="0" w:firstLine="30"/>
              <w:rPr/>
            </w:pPr>
            <w:r>
              <w:rPr/>
              <w:t> </w:t>
            </w:r>
          </w:p>
        </w:tc>
        <w:tc>
          <w:tcPr>
            <w:tcW w:w="288"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72"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929</w:t>
            </w:r>
          </w:p>
        </w:tc>
        <w:tc>
          <w:tcPr>
            <w:tcW w:w="7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81"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576</w:t>
            </w:r>
          </w:p>
        </w:tc>
        <w:tc>
          <w:tcPr>
            <w:tcW w:w="44"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4"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8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15,893</w:t>
            </w:r>
          </w:p>
        </w:tc>
        <w:tc>
          <w:tcPr>
            <w:tcW w:w="3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37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96"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pPr>
            <w:r>
              <w:rPr/>
              <w:t>—</w:t>
            </w:r>
          </w:p>
        </w:tc>
        <w:tc>
          <w:tcPr>
            <w:tcW w:w="33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17,398</w:t>
            </w:r>
          </w:p>
        </w:tc>
        <w:tc>
          <w:tcPr>
            <w:tcW w:w="4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Equity earnings in unconsolidated entities</w:t>
            </w:r>
          </w:p>
        </w:tc>
        <w:tc>
          <w:tcPr>
            <w:tcW w:w="90" w:type="dxa"/>
            <w:tcBorders/>
            <w:shd w:fill="CCEEFF" w:val="clear"/>
            <w:vAlign w:val="center"/>
          </w:tcPr>
          <w:p>
            <w:pPr>
              <w:pStyle w:val="TableContents"/>
              <w:spacing w:before="0" w:after="0"/>
              <w:ind w:left="0" w:right="0" w:firstLine="30"/>
              <w:rPr/>
            </w:pPr>
            <w:r>
              <w:rPr/>
              <w:t> </w:t>
            </w:r>
          </w:p>
        </w:tc>
        <w:tc>
          <w:tcPr>
            <w:tcW w:w="28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7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171</w:t>
            </w:r>
          </w:p>
        </w:tc>
        <w:tc>
          <w:tcPr>
            <w:tcW w:w="7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81"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bottom w:val="double" w:sz="6" w:space="0" w:color="000000"/>
            </w:tcBorders>
            <w:shd w:fill="CCEEFF" w:val="clear"/>
            <w:tcMar>
              <w:bottom w:w="30" w:type="dxa"/>
            </w:tcMar>
            <w:vAlign w:val="center"/>
          </w:tcPr>
          <w:p>
            <w:pPr>
              <w:pStyle w:val="TableContents"/>
              <w:spacing w:before="0" w:after="0"/>
              <w:jc w:val="right"/>
              <w:rPr/>
            </w:pPr>
            <w:r>
              <w:rPr/>
              <w:t>—</w:t>
            </w:r>
          </w:p>
        </w:tc>
        <w:tc>
          <w:tcPr>
            <w:tcW w:w="44"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44"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81" w:type="dxa"/>
            <w:tcBorders>
              <w:bottom w:val="double" w:sz="6" w:space="0" w:color="000000"/>
            </w:tcBorders>
            <w:shd w:fill="CCEEFF" w:val="clear"/>
            <w:tcMar>
              <w:bottom w:w="30" w:type="dxa"/>
            </w:tcMar>
            <w:vAlign w:val="center"/>
          </w:tcPr>
          <w:p>
            <w:pPr>
              <w:pStyle w:val="TableContents"/>
              <w:spacing w:before="0" w:after="0"/>
              <w:jc w:val="right"/>
              <w:rPr/>
            </w:pPr>
            <w:r>
              <w:rPr/>
              <w:t>—</w:t>
            </w:r>
          </w:p>
        </w:tc>
        <w:tc>
          <w:tcPr>
            <w:tcW w:w="35"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909"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171</w:t>
            </w:r>
          </w:p>
        </w:tc>
        <w:tc>
          <w:tcPr>
            <w:tcW w:w="45"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Adjusted EBITDA</w:t>
            </w:r>
          </w:p>
        </w:tc>
        <w:tc>
          <w:tcPr>
            <w:tcW w:w="90" w:type="dxa"/>
            <w:tcBorders/>
            <w:shd w:fill="auto" w:val="clear"/>
            <w:vAlign w:val="center"/>
          </w:tcPr>
          <w:p>
            <w:pPr>
              <w:pStyle w:val="TableContents"/>
              <w:spacing w:before="0" w:after="0"/>
              <w:ind w:left="0" w:right="0" w:firstLine="30"/>
              <w:rPr/>
            </w:pPr>
            <w:r>
              <w:rPr/>
              <w:t> </w:t>
            </w:r>
          </w:p>
        </w:tc>
        <w:tc>
          <w:tcPr>
            <w:tcW w:w="288"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72"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695</w:t>
            </w:r>
          </w:p>
        </w:tc>
        <w:tc>
          <w:tcPr>
            <w:tcW w:w="7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81"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357</w:t>
            </w:r>
          </w:p>
        </w:tc>
        <w:tc>
          <w:tcPr>
            <w:tcW w:w="44"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4"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8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45</w:t>
            </w:r>
          </w:p>
        </w:tc>
        <w:tc>
          <w:tcPr>
            <w:tcW w:w="3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909"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2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1,097</w:t>
            </w:r>
          </w:p>
        </w:tc>
        <w:tc>
          <w:tcPr>
            <w:tcW w:w="4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Maintenance capital</w:t>
            </w:r>
          </w:p>
        </w:tc>
        <w:tc>
          <w:tcPr>
            <w:tcW w:w="90" w:type="dxa"/>
            <w:tcBorders/>
            <w:shd w:fill="CCEEFF" w:val="clear"/>
            <w:vAlign w:val="center"/>
          </w:tcPr>
          <w:p>
            <w:pPr>
              <w:pStyle w:val="TableContents"/>
              <w:spacing w:before="0" w:after="0"/>
              <w:ind w:left="0" w:right="0" w:firstLine="30"/>
              <w:rPr/>
            </w:pPr>
            <w:r>
              <w:rPr/>
              <w:t> </w:t>
            </w:r>
          </w:p>
        </w:tc>
        <w:tc>
          <w:tcPr>
            <w:tcW w:w="28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7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61</w:t>
            </w:r>
          </w:p>
        </w:tc>
        <w:tc>
          <w:tcPr>
            <w:tcW w:w="7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81"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41</w:t>
            </w:r>
          </w:p>
        </w:tc>
        <w:tc>
          <w:tcPr>
            <w:tcW w:w="44"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44"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8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w:t>
            </w:r>
          </w:p>
        </w:tc>
        <w:tc>
          <w:tcPr>
            <w:tcW w:w="35"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909"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108</w:t>
            </w:r>
          </w:p>
        </w:tc>
        <w:tc>
          <w:tcPr>
            <w:tcW w:w="45"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sz w:val="4"/>
                <w:szCs w:val="4"/>
              </w:rPr>
            </w:pPr>
            <w:r>
              <w:rPr>
                <w:sz w:val="4"/>
                <w:szCs w:val="4"/>
              </w:rPr>
            </w:r>
          </w:p>
        </w:tc>
      </w:tr>
      <w:tr>
        <w:trPr/>
        <w:tc>
          <w:tcPr>
            <w:tcW w:w="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 w:type="dxa"/>
            <w:tcBorders>
              <w:bottom w:val="single" w:sz="2" w:space="0" w:color="000000"/>
            </w:tcBorders>
            <w:shd w:fill="auto" w:val="clear"/>
            <w:tcMar>
              <w:bottom w:w="30" w:type="dxa"/>
            </w:tcMar>
            <w:vAlign w:val="center"/>
          </w:tcPr>
          <w:p>
            <w:pPr>
              <w:pStyle w:val="TableContents"/>
              <w:spacing w:before="0" w:after="0"/>
              <w:rPr/>
            </w:pPr>
            <w:r>
              <w:rPr/>
              <w:t> </w:t>
            </w:r>
          </w:p>
        </w:tc>
      </w:tr>
    </w:tbl>
    <w:tbl>
      <w:tblPr>
        <w:tblW w:w="10205" w:type="dxa"/>
        <w:jc w:val="left"/>
        <w:tblInd w:w="0" w:type="dxa"/>
        <w:tblCellMar>
          <w:top w:w="0" w:type="dxa"/>
          <w:left w:w="0" w:type="dxa"/>
          <w:bottom w:w="0" w:type="dxa"/>
          <w:right w:w="0" w:type="dxa"/>
        </w:tblCellMar>
      </w:tblPr>
      <w:tblGrid>
        <w:gridCol w:w="167"/>
        <w:gridCol w:w="10038"/>
      </w:tblGrid>
      <w:tr>
        <w:trPr/>
        <w:tc>
          <w:tcPr>
            <w:tcW w:w="167" w:type="dxa"/>
            <w:tcBorders/>
            <w:shd w:fill="auto" w:val="clear"/>
            <w:vAlign w:val="center"/>
          </w:tcPr>
          <w:p>
            <w:pPr>
              <w:pStyle w:val="TableContents"/>
              <w:spacing w:before="0" w:after="283"/>
              <w:rPr>
                <w:sz w:val="4"/>
                <w:szCs w:val="4"/>
              </w:rPr>
            </w:pPr>
            <w:r>
              <w:rPr>
                <w:sz w:val="4"/>
                <w:szCs w:val="4"/>
              </w:rPr>
            </w:r>
          </w:p>
        </w:tc>
        <w:tc>
          <w:tcPr>
            <w:tcW w:w="10038" w:type="dxa"/>
            <w:tcBorders/>
            <w:shd w:fill="auto" w:val="clear"/>
            <w:vAlign w:val="center"/>
          </w:tcPr>
          <w:p>
            <w:pPr>
              <w:pStyle w:val="TableContents"/>
              <w:spacing w:before="0" w:after="283"/>
              <w:rPr>
                <w:sz w:val="4"/>
                <w:szCs w:val="4"/>
              </w:rPr>
            </w:pPr>
            <w:r>
              <w:rPr>
                <w:sz w:val="4"/>
                <w:szCs w:val="4"/>
              </w:rPr>
            </w:r>
          </w:p>
        </w:tc>
      </w:tr>
      <w:tr>
        <w:trPr/>
        <w:tc>
          <w:tcPr>
            <w:tcW w:w="167"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(1)</w:t>
            </w:r>
            <w:r>
              <w:rPr>
                <w:rFonts w:ascii="inherit" w:hAnsi="inherit"/>
                <w:sz w:val="17"/>
              </w:rPr>
              <w:t> </w:t>
            </w:r>
          </w:p>
        </w:tc>
        <w:tc>
          <w:tcPr>
            <w:tcW w:w="10038" w:type="dxa"/>
            <w:tcBorders/>
            <w:shd w:fill="auto" w:val="clear"/>
            <w:vAlign w:val="center"/>
          </w:tcPr>
          <w:p>
            <w:pPr>
              <w:pStyle w:val="TableContents"/>
              <w:spacing w:lineRule="auto" w:line="288" w:before="0" w:after="0"/>
              <w:rPr>
                <w:sz w:val="17"/>
              </w:rPr>
            </w:pPr>
            <w:r>
              <w:rPr>
                <w:rFonts w:ascii="inherit" w:hAnsi="inherit"/>
                <w:sz w:val="17"/>
              </w:rPr>
              <w:t xml:space="preserve">Transportation revenues from External customers include certain inventory exchanges with our customers where our Supply and Logistics segment has transacted the inventory exchange and serves as the shipper on our pipeline systems. See </w:t>
            </w:r>
            <w:r>
              <w:rPr>
                <w:b w:val="false"/>
                <w:sz w:val="17"/>
              </w:rPr>
              <w:t>Note 3</w:t>
            </w:r>
            <w:r>
              <w:rPr>
                <w:sz w:val="17"/>
              </w:rPr>
              <w:t xml:space="preserve"> </w:t>
            </w:r>
            <w:r>
              <w:rPr>
                <w:rFonts w:ascii="inherit" w:hAnsi="inherit"/>
                <w:sz w:val="17"/>
              </w:rPr>
              <w:t>to our Consolidated Financial Statements included in Part IV of our 2018 Annual Report on Form 10-K for a discussion of our related accounting policy. We have included an estimate of the revenues from these inventory exchanges in our Transportation segment revenues from External customers presented above and adjusted those revenues out such that Total revenues from External customers reconciles to our Condensed Consolidated Statements of Operations. This presentation is consistent with the information provided to our CODM.</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40</w:t>
      </w:r>
      <w:r>
        <w:br w:type="page"/>
      </w:r>
    </w:p>
    <w:p>
      <w:pPr>
        <w:pStyle w:val="TextBody"/>
        <w:spacing w:lineRule="auto" w:line="288" w:before="0" w:after="0"/>
        <w:rPr/>
      </w:pPr>
      <w:hyperlink w:anchor="s3336AD8A685850CC9B7F2572CB2C0BC3">
        <w:r>
          <w:rPr>
            <w:rStyle w:val="InternetLink"/>
            <w:rFonts w:ascii="inherit" w:hAnsi="inherit"/>
            <w:sz w:val="17"/>
          </w:rPr>
          <w:t>Table of Contents</w:t>
        </w:r>
      </w:hyperlink>
      <w:r>
        <w:rPr>
          <w:sz w:val="17"/>
        </w:rPr>
        <w:t xml:space="preserve"> </w:t>
      </w:r>
    </w:p>
    <w:p>
      <w:pPr>
        <w:pStyle w:val="TextBody"/>
        <w:spacing w:lineRule="auto" w:line="288" w:before="0" w:after="0"/>
        <w:jc w:val="center"/>
        <w:rPr>
          <w:rFonts w:ascii="inherit" w:hAnsi="inherit"/>
          <w:b/>
          <w:sz w:val="17"/>
        </w:rPr>
      </w:pPr>
      <w:r>
        <w:rPr>
          <w:rFonts w:ascii="inherit" w:hAnsi="inherit"/>
          <w:b/>
          <w:sz w:val="17"/>
        </w:rPr>
        <w:t>PLAINS ALL AMERICAN PIPELINE, L.P. AND SUBSIDIARIES</w:t>
      </w:r>
    </w:p>
    <w:p>
      <w:pPr>
        <w:pStyle w:val="TextBody"/>
        <w:spacing w:lineRule="auto" w:line="288" w:before="0" w:after="0"/>
        <w:jc w:val="center"/>
        <w:rPr>
          <w:rFonts w:ascii="inherit" w:hAnsi="inherit"/>
          <w:b/>
          <w:sz w:val="17"/>
        </w:rPr>
      </w:pPr>
      <w:r>
        <w:rPr>
          <w:rFonts w:ascii="inherit" w:hAnsi="inherit"/>
          <w:b/>
          <w:sz w:val="17"/>
        </w:rPr>
        <w:t>NOTES TO THE UNAUDITED CONDENSED CONSOLIDATED FINANCIAL STATEMENTS</w:t>
      </w:r>
    </w:p>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178"/>
        <w:gridCol w:w="10027"/>
      </w:tblGrid>
      <w:tr>
        <w:trPr/>
        <w:tc>
          <w:tcPr>
            <w:tcW w:w="178" w:type="dxa"/>
            <w:tcBorders/>
            <w:shd w:fill="auto" w:val="clear"/>
            <w:vAlign w:val="center"/>
          </w:tcPr>
          <w:p>
            <w:pPr>
              <w:pStyle w:val="TableContents"/>
              <w:spacing w:before="0" w:after="283"/>
              <w:rPr>
                <w:sz w:val="4"/>
                <w:szCs w:val="4"/>
              </w:rPr>
            </w:pPr>
            <w:r>
              <w:rPr>
                <w:sz w:val="4"/>
                <w:szCs w:val="4"/>
              </w:rPr>
            </w:r>
          </w:p>
        </w:tc>
        <w:tc>
          <w:tcPr>
            <w:tcW w:w="10027" w:type="dxa"/>
            <w:tcBorders/>
            <w:shd w:fill="auto" w:val="clear"/>
            <w:vAlign w:val="center"/>
          </w:tcPr>
          <w:p>
            <w:pPr>
              <w:pStyle w:val="TableContents"/>
              <w:spacing w:before="0" w:after="283"/>
              <w:rPr>
                <w:sz w:val="4"/>
                <w:szCs w:val="4"/>
              </w:rPr>
            </w:pPr>
            <w:r>
              <w:rPr>
                <w:sz w:val="4"/>
                <w:szCs w:val="4"/>
              </w:rPr>
            </w:r>
          </w:p>
        </w:tc>
      </w:tr>
      <w:tr>
        <w:trPr/>
        <w:tc>
          <w:tcPr>
            <w:tcW w:w="178"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(2)</w:t>
            </w:r>
            <w:r>
              <w:rPr>
                <w:rFonts w:ascii="inherit" w:hAnsi="inherit"/>
                <w:sz w:val="17"/>
              </w:rPr>
              <w:t> </w:t>
            </w:r>
          </w:p>
        </w:tc>
        <w:tc>
          <w:tcPr>
            <w:tcW w:w="10027" w:type="dxa"/>
            <w:tcBorders/>
            <w:shd w:fill="auto" w:val="clear"/>
            <w:vAlign w:val="center"/>
          </w:tcPr>
          <w:p>
            <w:pPr>
              <w:pStyle w:val="TableContents"/>
              <w:spacing w:lineRule="auto" w:line="288" w:before="0" w:after="0"/>
              <w:rPr>
                <w:rFonts w:ascii="inherit" w:hAnsi="inherit"/>
                <w:sz w:val="17"/>
              </w:rPr>
            </w:pPr>
            <w:r>
              <w:rPr>
                <w:rFonts w:ascii="inherit" w:hAnsi="inherit"/>
                <w:sz w:val="17"/>
              </w:rPr>
              <w:t>Segment revenues include intersegment amounts that are eliminated in Purchases and related costs and Field operating costs in our Condensed Consolidated Statements of Operations. Intersegment activities are conducted at posted tariff rates where applicable, or otherwise at rates similar to those charged to third parties or rates that we believe approximate market at the time the agreement is executed or renegotiated.</w:t>
            </w:r>
          </w:p>
        </w:tc>
      </w:tr>
    </w:tbl>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lineRule="auto" w:line="288" w:before="0" w:after="0"/>
        <w:rPr>
          <w:rFonts w:ascii="inherit" w:hAnsi="inherit"/>
          <w:b/>
          <w:i/>
          <w:sz w:val="17"/>
        </w:rPr>
      </w:pPr>
      <w:r>
        <w:rPr>
          <w:rFonts w:ascii="inherit" w:hAnsi="inherit"/>
          <w:b/>
          <w:i/>
          <w:sz w:val="17"/>
        </w:rPr>
        <w:t>Segment Adjusted EBITDA Reconciliation</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ind w:left="0" w:right="0" w:firstLine="720"/>
        <w:rPr>
          <w:rFonts w:ascii="inherit" w:hAnsi="inherit"/>
          <w:sz w:val="17"/>
        </w:rPr>
      </w:pPr>
      <w:r>
        <w:rPr>
          <w:rFonts w:ascii="inherit" w:hAnsi="inherit"/>
          <w:sz w:val="17"/>
        </w:rPr>
        <w:t>The following table reconciles Segment Adjusted EBITDA to Net income attributable to PAA (in millions):</w:t>
      </w:r>
    </w:p>
    <w:tbl>
      <w:tblPr>
        <w:tblW w:w="10117" w:type="dxa"/>
        <w:jc w:val="left"/>
        <w:tblInd w:w="0" w:type="dxa"/>
        <w:tblCellMar>
          <w:top w:w="0" w:type="dxa"/>
          <w:left w:w="0" w:type="dxa"/>
          <w:bottom w:w="0" w:type="dxa"/>
          <w:right w:w="0" w:type="dxa"/>
        </w:tblCellMar>
      </w:tblPr>
      <w:tblGrid>
        <w:gridCol w:w="6935"/>
        <w:gridCol w:w="157"/>
        <w:gridCol w:w="422"/>
        <w:gridCol w:w="138"/>
        <w:gridCol w:w="113"/>
        <w:gridCol w:w="157"/>
        <w:gridCol w:w="422"/>
        <w:gridCol w:w="138"/>
        <w:gridCol w:w="90"/>
        <w:gridCol w:w="125"/>
        <w:gridCol w:w="485"/>
        <w:gridCol w:w="110"/>
        <w:gridCol w:w="90"/>
        <w:gridCol w:w="125"/>
        <w:gridCol w:w="485"/>
        <w:gridCol w:w="125"/>
      </w:tblGrid>
      <w:tr>
        <w:trPr/>
        <w:tc>
          <w:tcPr>
            <w:tcW w:w="10117" w:type="dxa"/>
            <w:gridSpan w:val="16"/>
            <w:tcBorders/>
            <w:shd w:fill="auto" w:val="clear"/>
            <w:vAlign w:val="center"/>
          </w:tcPr>
          <w:p>
            <w:pPr>
              <w:pStyle w:val="TableContents"/>
              <w:spacing w:before="0" w:after="283"/>
              <w:rPr>
                <w:sz w:val="4"/>
                <w:szCs w:val="4"/>
              </w:rPr>
            </w:pPr>
            <w:r>
              <w:rPr>
                <w:sz w:val="4"/>
                <w:szCs w:val="4"/>
              </w:rPr>
            </w:r>
          </w:p>
        </w:tc>
      </w:tr>
      <w:tr>
        <w:trPr/>
        <w:tc>
          <w:tcPr>
            <w:tcW w:w="6935"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935" w:type="dxa"/>
            <w:tcBorders/>
            <w:shd w:fill="auto" w:val="clear"/>
            <w:vAlign w:val="center"/>
          </w:tcPr>
          <w:p>
            <w:pPr>
              <w:pStyle w:val="TableContents"/>
              <w:spacing w:before="0" w:after="0"/>
              <w:ind w:left="0" w:right="0" w:firstLine="30"/>
              <w:rPr/>
            </w:pPr>
            <w:r>
              <w:rPr/>
              <w:t> </w:t>
            </w:r>
          </w:p>
        </w:tc>
        <w:tc>
          <w:tcPr>
            <w:tcW w:w="1547"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w:t>
              <w:br/>
              <w:t>June 30,</w:t>
            </w:r>
          </w:p>
        </w:tc>
        <w:tc>
          <w:tcPr>
            <w:tcW w:w="90" w:type="dxa"/>
            <w:tcBorders/>
            <w:shd w:fill="auto" w:val="clear"/>
            <w:vAlign w:val="center"/>
          </w:tcPr>
          <w:p>
            <w:pPr>
              <w:pStyle w:val="TableContents"/>
              <w:spacing w:before="0" w:after="0"/>
              <w:ind w:left="0" w:right="0" w:firstLine="30"/>
              <w:rPr/>
            </w:pPr>
            <w:r>
              <w:rPr/>
              <w:t> </w:t>
            </w:r>
          </w:p>
        </w:tc>
        <w:tc>
          <w:tcPr>
            <w:tcW w:w="1545"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w:t>
              <w:br/>
              <w:t>June 30,</w:t>
            </w:r>
          </w:p>
        </w:tc>
      </w:tr>
      <w:tr>
        <w:trPr/>
        <w:tc>
          <w:tcPr>
            <w:tcW w:w="6935" w:type="dxa"/>
            <w:tcBorders/>
            <w:shd w:fill="auto" w:val="clear"/>
            <w:vAlign w:val="center"/>
          </w:tcPr>
          <w:p>
            <w:pPr>
              <w:pStyle w:val="TableContents"/>
              <w:spacing w:before="0" w:after="0"/>
              <w:ind w:left="0" w:right="0" w:firstLine="30"/>
              <w:jc w:val="left"/>
              <w:rPr/>
            </w:pPr>
            <w:r>
              <w:rPr/>
              <w:t> </w:t>
            </w:r>
          </w:p>
        </w:tc>
        <w:tc>
          <w:tcPr>
            <w:tcW w:w="71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113" w:type="dxa"/>
            <w:tcBorders/>
            <w:shd w:fill="auto" w:val="clear"/>
            <w:vAlign w:val="center"/>
          </w:tcPr>
          <w:p>
            <w:pPr>
              <w:pStyle w:val="TableContents"/>
              <w:spacing w:before="0" w:after="0"/>
              <w:ind w:left="0" w:right="0" w:firstLine="30"/>
              <w:rPr/>
            </w:pPr>
            <w:r>
              <w:rPr/>
              <w:t> </w:t>
            </w:r>
          </w:p>
        </w:tc>
        <w:tc>
          <w:tcPr>
            <w:tcW w:w="71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0" w:type="dxa"/>
            <w:tcBorders/>
            <w:shd w:fill="auto" w:val="clear"/>
            <w:vAlign w:val="center"/>
          </w:tcPr>
          <w:p>
            <w:pPr>
              <w:pStyle w:val="TableContents"/>
              <w:spacing w:before="0" w:after="0"/>
              <w:ind w:left="0" w:right="0" w:firstLine="30"/>
              <w:rPr/>
            </w:pPr>
            <w:r>
              <w:rPr/>
              <w:t> </w:t>
            </w:r>
          </w:p>
        </w:tc>
        <w:tc>
          <w:tcPr>
            <w:tcW w:w="72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90" w:type="dxa"/>
            <w:tcBorders/>
            <w:shd w:fill="auto" w:val="clear"/>
            <w:vAlign w:val="center"/>
          </w:tcPr>
          <w:p>
            <w:pPr>
              <w:pStyle w:val="TableContents"/>
              <w:spacing w:before="0" w:after="0"/>
              <w:ind w:left="0" w:right="0" w:firstLine="30"/>
              <w:rPr/>
            </w:pPr>
            <w:r>
              <w:rPr/>
              <w:t> </w:t>
            </w:r>
          </w:p>
        </w:tc>
        <w:tc>
          <w:tcPr>
            <w:tcW w:w="73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r>
      <w:tr>
        <w:trPr/>
        <w:tc>
          <w:tcPr>
            <w:tcW w:w="69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Adjusted EBITDA</w:t>
            </w:r>
          </w:p>
        </w:tc>
        <w:tc>
          <w:tcPr>
            <w:tcW w:w="157"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422"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782</w:t>
            </w:r>
          </w:p>
        </w:tc>
        <w:tc>
          <w:tcPr>
            <w:tcW w:w="138"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5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22" w:type="dxa"/>
            <w:tcBorders/>
            <w:shd w:fill="CCEEFF" w:val="clear"/>
            <w:vAlign w:val="center"/>
          </w:tcPr>
          <w:p>
            <w:pPr>
              <w:pStyle w:val="TableContents"/>
              <w:spacing w:before="0" w:after="0"/>
              <w:jc w:val="right"/>
              <w:rPr>
                <w:rFonts w:ascii="inherit" w:hAnsi="inherit"/>
                <w:sz w:val="17"/>
              </w:rPr>
            </w:pPr>
            <w:r>
              <w:rPr>
                <w:rFonts w:ascii="inherit" w:hAnsi="inherit"/>
                <w:sz w:val="17"/>
              </w:rPr>
              <w:t>505</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1,643</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1,097</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935" w:type="dxa"/>
            <w:tcBorders/>
            <w:shd w:fill="auto" w:val="clear"/>
            <w:vAlign w:val="center"/>
          </w:tcPr>
          <w:p>
            <w:pPr>
              <w:pStyle w:val="TableContents"/>
              <w:spacing w:lineRule="auto" w:line="288" w:before="0" w:after="0"/>
              <w:ind w:left="0" w:right="0" w:firstLine="30"/>
              <w:jc w:val="left"/>
              <w:rPr>
                <w:sz w:val="17"/>
              </w:rPr>
            </w:pPr>
            <w:r>
              <w:rPr>
                <w:rFonts w:ascii="inherit" w:hAnsi="inherit"/>
                <w:sz w:val="17"/>
              </w:rPr>
              <w:t xml:space="preserve">Adjustments </w:t>
            </w:r>
            <w:r>
              <w:rPr>
                <w:rFonts w:ascii="inherit" w:hAnsi="inherit"/>
                <w:sz w:val="12"/>
              </w:rPr>
              <w:t>(1)</w:t>
            </w:r>
            <w:r>
              <w:rPr>
                <w:rFonts w:ascii="inherit" w:hAnsi="inherit"/>
                <w:sz w:val="17"/>
              </w:rPr>
              <w:t>:</w:t>
            </w:r>
          </w:p>
        </w:tc>
        <w:tc>
          <w:tcPr>
            <w:tcW w:w="717" w:type="dxa"/>
            <w:gridSpan w:val="3"/>
            <w:tcBorders/>
            <w:shd w:fill="auto" w:val="clear"/>
            <w:vAlign w:val="center"/>
          </w:tcPr>
          <w:p>
            <w:pPr>
              <w:pStyle w:val="TableContents"/>
              <w:spacing w:before="0" w:after="0"/>
              <w:ind w:left="0" w:right="0" w:firstLine="30"/>
              <w:rPr/>
            </w:pPr>
            <w:r>
              <w:rPr/>
              <w:t> </w:t>
            </w:r>
          </w:p>
        </w:tc>
        <w:tc>
          <w:tcPr>
            <w:tcW w:w="113" w:type="dxa"/>
            <w:tcBorders/>
            <w:shd w:fill="auto" w:val="clear"/>
            <w:vAlign w:val="center"/>
          </w:tcPr>
          <w:p>
            <w:pPr>
              <w:pStyle w:val="TableContents"/>
              <w:spacing w:before="0" w:after="0"/>
              <w:ind w:left="0" w:right="0" w:firstLine="30"/>
              <w:rPr/>
            </w:pPr>
            <w:r>
              <w:rPr/>
              <w:t> </w:t>
            </w:r>
          </w:p>
        </w:tc>
        <w:tc>
          <w:tcPr>
            <w:tcW w:w="717"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2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35" w:type="dxa"/>
            <w:gridSpan w:val="3"/>
            <w:tcBorders/>
            <w:shd w:fill="auto" w:val="clear"/>
            <w:vAlign w:val="center"/>
          </w:tcPr>
          <w:p>
            <w:pPr>
              <w:pStyle w:val="TableContents"/>
              <w:spacing w:before="0" w:after="0"/>
              <w:ind w:left="0" w:right="0" w:firstLine="30"/>
              <w:rPr/>
            </w:pPr>
            <w:r>
              <w:rPr/>
              <w:t> </w:t>
            </w:r>
          </w:p>
        </w:tc>
      </w:tr>
      <w:tr>
        <w:trPr/>
        <w:tc>
          <w:tcPr>
            <w:tcW w:w="6935" w:type="dxa"/>
            <w:tcBorders/>
            <w:shd w:fill="CCEEFF" w:val="clear"/>
            <w:vAlign w:val="center"/>
          </w:tcPr>
          <w:p>
            <w:pPr>
              <w:pStyle w:val="TableContents"/>
              <w:spacing w:lineRule="auto" w:line="288" w:before="0" w:after="0"/>
              <w:ind w:left="0" w:right="0" w:firstLine="30"/>
              <w:jc w:val="left"/>
              <w:rPr>
                <w:sz w:val="17"/>
              </w:rPr>
            </w:pPr>
            <w:r>
              <w:rPr>
                <w:rFonts w:ascii="inherit" w:hAnsi="inherit"/>
                <w:sz w:val="17"/>
              </w:rPr>
              <w:t xml:space="preserve">Depreciation and amortization of unconsolidated entities </w:t>
            </w:r>
            <w:r>
              <w:rPr>
                <w:rFonts w:ascii="inherit" w:hAnsi="inherit"/>
                <w:sz w:val="12"/>
              </w:rPr>
              <w:t>(2)</w:t>
            </w:r>
          </w:p>
        </w:tc>
        <w:tc>
          <w:tcPr>
            <w:tcW w:w="57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3" w:type="dxa"/>
            <w:tcBorders/>
            <w:shd w:fill="CCEEFF" w:val="clear"/>
            <w:vAlign w:val="center"/>
          </w:tcPr>
          <w:p>
            <w:pPr>
              <w:pStyle w:val="TableContents"/>
              <w:spacing w:before="0" w:after="0"/>
              <w:ind w:left="0" w:right="0" w:firstLine="30"/>
              <w:rPr/>
            </w:pPr>
            <w:r>
              <w:rPr/>
              <w:t> </w:t>
            </w:r>
          </w:p>
        </w:tc>
        <w:tc>
          <w:tcPr>
            <w:tcW w:w="57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(29</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935" w:type="dxa"/>
            <w:tcBorders/>
            <w:shd w:fill="auto" w:val="clear"/>
            <w:vAlign w:val="center"/>
          </w:tcPr>
          <w:p>
            <w:pPr>
              <w:pStyle w:val="TableContents"/>
              <w:spacing w:lineRule="auto" w:line="288" w:before="0" w:after="0"/>
              <w:ind w:left="0" w:right="0" w:firstLine="30"/>
              <w:jc w:val="left"/>
              <w:rPr>
                <w:sz w:val="17"/>
              </w:rPr>
            </w:pPr>
            <w:r>
              <w:rPr>
                <w:rFonts w:ascii="inherit" w:hAnsi="inherit"/>
                <w:sz w:val="17"/>
              </w:rPr>
              <w:t xml:space="preserve">Gains/(losses) from derivative activities, net of inventory valuation adjustments </w:t>
            </w:r>
            <w:r>
              <w:rPr>
                <w:rFonts w:ascii="inherit" w:hAnsi="inherit"/>
                <w:sz w:val="12"/>
              </w:rPr>
              <w:t>(3)</w:t>
            </w:r>
          </w:p>
        </w:tc>
        <w:tc>
          <w:tcPr>
            <w:tcW w:w="57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(44</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3" w:type="dxa"/>
            <w:tcBorders/>
            <w:shd w:fill="auto" w:val="clear"/>
            <w:vAlign w:val="center"/>
          </w:tcPr>
          <w:p>
            <w:pPr>
              <w:pStyle w:val="TableContents"/>
              <w:spacing w:before="0" w:after="0"/>
              <w:ind w:left="0" w:right="0" w:firstLine="30"/>
              <w:rPr/>
            </w:pPr>
            <w:r>
              <w:rPr/>
              <w:t> </w:t>
            </w:r>
          </w:p>
        </w:tc>
        <w:tc>
          <w:tcPr>
            <w:tcW w:w="57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(240</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(216</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935" w:type="dxa"/>
            <w:tcBorders/>
            <w:shd w:fill="CCEEFF" w:val="clear"/>
            <w:vAlign w:val="center"/>
          </w:tcPr>
          <w:p>
            <w:pPr>
              <w:pStyle w:val="TableContents"/>
              <w:spacing w:lineRule="auto" w:line="288" w:before="0" w:after="0"/>
              <w:ind w:left="0" w:right="0" w:firstLine="30"/>
              <w:jc w:val="left"/>
              <w:rPr>
                <w:sz w:val="17"/>
              </w:rPr>
            </w:pPr>
            <w:r>
              <w:rPr>
                <w:rFonts w:ascii="inherit" w:hAnsi="inherit"/>
                <w:sz w:val="17"/>
              </w:rPr>
              <w:t xml:space="preserve">Long-term inventory costing adjustments </w:t>
            </w:r>
            <w:r>
              <w:rPr>
                <w:rFonts w:ascii="inherit" w:hAnsi="inherit"/>
                <w:sz w:val="12"/>
              </w:rPr>
              <w:t>(4)</w:t>
            </w:r>
          </w:p>
        </w:tc>
        <w:tc>
          <w:tcPr>
            <w:tcW w:w="57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(25</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3" w:type="dxa"/>
            <w:tcBorders/>
            <w:shd w:fill="CCEEFF" w:val="clear"/>
            <w:vAlign w:val="center"/>
          </w:tcPr>
          <w:p>
            <w:pPr>
              <w:pStyle w:val="TableContents"/>
              <w:spacing w:before="0" w:after="0"/>
              <w:ind w:left="0" w:right="0" w:firstLine="30"/>
              <w:rPr/>
            </w:pPr>
            <w:r>
              <w:rPr/>
              <w:t> </w:t>
            </w:r>
          </w:p>
        </w:tc>
        <w:tc>
          <w:tcPr>
            <w:tcW w:w="57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935" w:type="dxa"/>
            <w:tcBorders/>
            <w:shd w:fill="auto" w:val="clear"/>
            <w:vAlign w:val="center"/>
          </w:tcPr>
          <w:p>
            <w:pPr>
              <w:pStyle w:val="TableContents"/>
              <w:spacing w:lineRule="auto" w:line="288" w:before="0" w:after="0"/>
              <w:ind w:left="0" w:right="0" w:firstLine="30"/>
              <w:jc w:val="left"/>
              <w:rPr>
                <w:sz w:val="17"/>
              </w:rPr>
            </w:pPr>
            <w:r>
              <w:rPr>
                <w:rFonts w:ascii="inherit" w:hAnsi="inherit"/>
                <w:sz w:val="17"/>
              </w:rPr>
              <w:t xml:space="preserve">Deficiencies under minimum volume commitments, net </w:t>
            </w:r>
            <w:r>
              <w:rPr>
                <w:rFonts w:ascii="inherit" w:hAnsi="inherit"/>
                <w:sz w:val="12"/>
              </w:rPr>
              <w:t>(5)</w:t>
            </w:r>
          </w:p>
        </w:tc>
        <w:tc>
          <w:tcPr>
            <w:tcW w:w="57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3" w:type="dxa"/>
            <w:tcBorders/>
            <w:shd w:fill="auto" w:val="clear"/>
            <w:vAlign w:val="center"/>
          </w:tcPr>
          <w:p>
            <w:pPr>
              <w:pStyle w:val="TableContents"/>
              <w:spacing w:before="0" w:after="0"/>
              <w:ind w:left="0" w:right="0" w:firstLine="30"/>
              <w:rPr/>
            </w:pPr>
            <w:r>
              <w:rPr/>
              <w:t> </w:t>
            </w:r>
          </w:p>
        </w:tc>
        <w:tc>
          <w:tcPr>
            <w:tcW w:w="57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935" w:type="dxa"/>
            <w:tcBorders/>
            <w:shd w:fill="CCEEFF" w:val="clear"/>
            <w:vAlign w:val="center"/>
          </w:tcPr>
          <w:p>
            <w:pPr>
              <w:pStyle w:val="TableContents"/>
              <w:spacing w:lineRule="auto" w:line="288" w:before="0" w:after="0"/>
              <w:ind w:left="0" w:right="0" w:firstLine="30"/>
              <w:jc w:val="left"/>
              <w:rPr>
                <w:sz w:val="17"/>
              </w:rPr>
            </w:pPr>
            <w:r>
              <w:rPr>
                <w:rFonts w:ascii="inherit" w:hAnsi="inherit"/>
                <w:sz w:val="17"/>
              </w:rPr>
              <w:t xml:space="preserve">Equity-indexed compensation expense </w:t>
            </w:r>
            <w:r>
              <w:rPr>
                <w:rFonts w:ascii="inherit" w:hAnsi="inherit"/>
                <w:sz w:val="12"/>
              </w:rPr>
              <w:t>(6)</w:t>
            </w:r>
          </w:p>
        </w:tc>
        <w:tc>
          <w:tcPr>
            <w:tcW w:w="57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3" w:type="dxa"/>
            <w:tcBorders/>
            <w:shd w:fill="CCEEFF" w:val="clear"/>
            <w:vAlign w:val="center"/>
          </w:tcPr>
          <w:p>
            <w:pPr>
              <w:pStyle w:val="TableContents"/>
              <w:spacing w:before="0" w:after="0"/>
              <w:ind w:left="0" w:right="0" w:firstLine="30"/>
              <w:rPr/>
            </w:pPr>
            <w:r>
              <w:rPr/>
              <w:t> </w:t>
            </w:r>
          </w:p>
        </w:tc>
        <w:tc>
          <w:tcPr>
            <w:tcW w:w="57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935" w:type="dxa"/>
            <w:tcBorders/>
            <w:shd w:fill="auto" w:val="clear"/>
            <w:vAlign w:val="center"/>
          </w:tcPr>
          <w:p>
            <w:pPr>
              <w:pStyle w:val="TableContents"/>
              <w:spacing w:lineRule="auto" w:line="288" w:before="0" w:after="0"/>
              <w:ind w:left="0" w:right="0" w:firstLine="30"/>
              <w:jc w:val="left"/>
              <w:rPr>
                <w:sz w:val="17"/>
              </w:rPr>
            </w:pPr>
            <w:r>
              <w:rPr>
                <w:rFonts w:ascii="inherit" w:hAnsi="inherit"/>
                <w:sz w:val="17"/>
              </w:rPr>
              <w:t xml:space="preserve">Net gain/(loss) on foreign currency revaluation </w:t>
            </w:r>
            <w:r>
              <w:rPr>
                <w:rFonts w:ascii="inherit" w:hAnsi="inherit"/>
                <w:sz w:val="12"/>
              </w:rPr>
              <w:t>(7)</w:t>
            </w:r>
          </w:p>
        </w:tc>
        <w:tc>
          <w:tcPr>
            <w:tcW w:w="57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3" w:type="dxa"/>
            <w:tcBorders/>
            <w:shd w:fill="auto" w:val="clear"/>
            <w:vAlign w:val="center"/>
          </w:tcPr>
          <w:p>
            <w:pPr>
              <w:pStyle w:val="TableContents"/>
              <w:spacing w:before="0" w:after="0"/>
              <w:ind w:left="0" w:right="0" w:firstLine="30"/>
              <w:rPr/>
            </w:pPr>
            <w:r>
              <w:rPr/>
              <w:t> </w:t>
            </w:r>
          </w:p>
        </w:tc>
        <w:tc>
          <w:tcPr>
            <w:tcW w:w="57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935" w:type="dxa"/>
            <w:tcBorders/>
            <w:shd w:fill="CCEEFF" w:val="clear"/>
            <w:vAlign w:val="center"/>
          </w:tcPr>
          <w:p>
            <w:pPr>
              <w:pStyle w:val="TableContents"/>
              <w:spacing w:lineRule="auto" w:line="288" w:before="0" w:after="0"/>
              <w:ind w:left="0" w:right="0" w:firstLine="30"/>
              <w:jc w:val="left"/>
              <w:rPr>
                <w:sz w:val="17"/>
              </w:rPr>
            </w:pPr>
            <w:r>
              <w:rPr>
                <w:rFonts w:ascii="inherit" w:hAnsi="inherit"/>
                <w:sz w:val="17"/>
              </w:rPr>
              <w:t xml:space="preserve">Line 901 incident </w:t>
            </w:r>
            <w:r>
              <w:rPr>
                <w:rFonts w:ascii="inherit" w:hAnsi="inherit"/>
                <w:sz w:val="12"/>
              </w:rPr>
              <w:t>(8)</w:t>
            </w:r>
          </w:p>
        </w:tc>
        <w:tc>
          <w:tcPr>
            <w:tcW w:w="57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3" w:type="dxa"/>
            <w:tcBorders/>
            <w:shd w:fill="CCEEFF" w:val="clear"/>
            <w:vAlign w:val="center"/>
          </w:tcPr>
          <w:p>
            <w:pPr>
              <w:pStyle w:val="TableContents"/>
              <w:spacing w:before="0" w:after="0"/>
              <w:ind w:left="0" w:right="0" w:firstLine="30"/>
              <w:rPr/>
            </w:pPr>
            <w:r>
              <w:rPr/>
              <w:t> </w:t>
            </w:r>
          </w:p>
        </w:tc>
        <w:tc>
          <w:tcPr>
            <w:tcW w:w="579" w:type="dxa"/>
            <w:gridSpan w:val="2"/>
            <w:tcBorders/>
            <w:shd w:fill="CCEEFF" w:val="clear"/>
            <w:vAlign w:val="center"/>
          </w:tcPr>
          <w:p>
            <w:pPr>
              <w:pStyle w:val="TableContents"/>
              <w:spacing w:before="0" w:after="0"/>
              <w:jc w:val="right"/>
              <w:rPr/>
            </w:pPr>
            <w:r>
              <w:rPr/>
              <w:t>—</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pPr>
            <w:r>
              <w:rPr/>
              <w:t>—</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9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57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(147</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3" w:type="dxa"/>
            <w:tcBorders/>
            <w:shd w:fill="auto" w:val="clear"/>
            <w:vAlign w:val="center"/>
          </w:tcPr>
          <w:p>
            <w:pPr>
              <w:pStyle w:val="TableContents"/>
              <w:spacing w:before="0" w:after="0"/>
              <w:ind w:left="0" w:right="0" w:firstLine="30"/>
              <w:rPr/>
            </w:pPr>
            <w:r>
              <w:rPr/>
              <w:t> </w:t>
            </w:r>
          </w:p>
        </w:tc>
        <w:tc>
          <w:tcPr>
            <w:tcW w:w="57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(130</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(283</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(256</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9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Gains/(losses) on asset sales and asset impairments, net</w:t>
            </w:r>
          </w:p>
        </w:tc>
        <w:tc>
          <w:tcPr>
            <w:tcW w:w="57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57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81</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81</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9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Gain on investment in unconsolidated entities</w:t>
            </w:r>
          </w:p>
        </w:tc>
        <w:tc>
          <w:tcPr>
            <w:tcW w:w="579"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579"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267</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pPr>
            <w:r>
              <w:rPr/>
              <w:t>—</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9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 net</w:t>
            </w:r>
          </w:p>
        </w:tc>
        <w:tc>
          <w:tcPr>
            <w:tcW w:w="57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(103</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3" w:type="dxa"/>
            <w:tcBorders/>
            <w:shd w:fill="CCEEFF" w:val="clear"/>
            <w:vAlign w:val="center"/>
          </w:tcPr>
          <w:p>
            <w:pPr>
              <w:pStyle w:val="TableContents"/>
              <w:spacing w:before="0" w:after="0"/>
              <w:ind w:left="0" w:right="0" w:firstLine="30"/>
              <w:rPr/>
            </w:pPr>
            <w:r>
              <w:rPr/>
              <w:t> </w:t>
            </w:r>
          </w:p>
        </w:tc>
        <w:tc>
          <w:tcPr>
            <w:tcW w:w="57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(111</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(203</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(217</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9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income/(expense), net</w:t>
            </w:r>
          </w:p>
        </w:tc>
        <w:tc>
          <w:tcPr>
            <w:tcW w:w="57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w:t>
            </w:r>
          </w:p>
        </w:tc>
        <w:tc>
          <w:tcPr>
            <w:tcW w:w="138"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3" w:type="dxa"/>
            <w:tcBorders/>
            <w:shd w:fill="auto" w:val="clear"/>
            <w:vAlign w:val="center"/>
          </w:tcPr>
          <w:p>
            <w:pPr>
              <w:pStyle w:val="TableContents"/>
              <w:spacing w:before="0" w:after="0"/>
              <w:ind w:left="0" w:right="0" w:firstLine="30"/>
              <w:rPr/>
            </w:pPr>
            <w:r>
              <w:rPr/>
              <w:t> </w:t>
            </w:r>
          </w:p>
        </w:tc>
        <w:tc>
          <w:tcPr>
            <w:tcW w:w="57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w:t>
            </w:r>
          </w:p>
        </w:tc>
        <w:tc>
          <w:tcPr>
            <w:tcW w:w="13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18</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w:t>
            </w:r>
          </w:p>
        </w:tc>
        <w:tc>
          <w:tcPr>
            <w:tcW w:w="12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9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before tax</w:t>
            </w:r>
          </w:p>
        </w:tc>
        <w:tc>
          <w:tcPr>
            <w:tcW w:w="57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425</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57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84</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1,419</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433</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9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tax (expense)/benefit</w:t>
            </w:r>
          </w:p>
        </w:tc>
        <w:tc>
          <w:tcPr>
            <w:tcW w:w="57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57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(45</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9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579"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448</w:t>
            </w:r>
          </w:p>
        </w:tc>
        <w:tc>
          <w:tcPr>
            <w:tcW w:w="138"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579"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100</w:t>
            </w:r>
          </w:p>
        </w:tc>
        <w:tc>
          <w:tcPr>
            <w:tcW w:w="138"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1,418</w:t>
            </w:r>
          </w:p>
        </w:tc>
        <w:tc>
          <w:tcPr>
            <w:tcW w:w="11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388</w:t>
            </w:r>
          </w:p>
        </w:tc>
        <w:tc>
          <w:tcPr>
            <w:tcW w:w="12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9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noncontrolling interests</w:t>
            </w:r>
          </w:p>
        </w:tc>
        <w:tc>
          <w:tcPr>
            <w:tcW w:w="57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3" w:type="dxa"/>
            <w:tcBorders/>
            <w:shd w:fill="auto" w:val="clear"/>
            <w:vAlign w:val="center"/>
          </w:tcPr>
          <w:p>
            <w:pPr>
              <w:pStyle w:val="TableContents"/>
              <w:spacing w:before="0" w:after="0"/>
              <w:ind w:left="0" w:right="0" w:firstLine="30"/>
              <w:rPr/>
            </w:pPr>
            <w:r>
              <w:rPr/>
              <w:t> </w:t>
            </w:r>
          </w:p>
        </w:tc>
        <w:tc>
          <w:tcPr>
            <w:tcW w:w="579"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pPr>
            <w:r>
              <w:rPr/>
              <w:t>—</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9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PAA</w:t>
            </w:r>
          </w:p>
        </w:tc>
        <w:tc>
          <w:tcPr>
            <w:tcW w:w="15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2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446</w:t>
            </w:r>
          </w:p>
        </w:tc>
        <w:tc>
          <w:tcPr>
            <w:tcW w:w="138"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5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2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100</w:t>
            </w:r>
          </w:p>
        </w:tc>
        <w:tc>
          <w:tcPr>
            <w:tcW w:w="138"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1,416</w:t>
            </w:r>
          </w:p>
        </w:tc>
        <w:tc>
          <w:tcPr>
            <w:tcW w:w="11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388</w:t>
            </w:r>
          </w:p>
        </w:tc>
        <w:tc>
          <w:tcPr>
            <w:tcW w:w="125"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sz w:val="4"/>
                <w:szCs w:val="4"/>
              </w:rPr>
            </w:pPr>
            <w:r>
              <w:rPr>
                <w:sz w:val="4"/>
                <w:szCs w:val="4"/>
              </w:rPr>
            </w:r>
          </w:p>
        </w:tc>
      </w:tr>
      <w:tr>
        <w:trPr/>
        <w:tc>
          <w:tcPr>
            <w:tcW w:w="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 w:type="dxa"/>
            <w:tcBorders>
              <w:bottom w:val="single" w:sz="2" w:space="0" w:color="000000"/>
            </w:tcBorders>
            <w:shd w:fill="auto" w:val="clear"/>
            <w:tcMar>
              <w:bottom w:w="30" w:type="dxa"/>
            </w:tcMar>
            <w:vAlign w:val="center"/>
          </w:tcPr>
          <w:p>
            <w:pPr>
              <w:pStyle w:val="TableContents"/>
              <w:spacing w:before="0" w:after="0"/>
              <w:rPr/>
            </w:pPr>
            <w:r>
              <w:rPr/>
              <w:t> </w:t>
            </w:r>
          </w:p>
        </w:tc>
      </w:tr>
    </w:tbl>
    <w:tbl>
      <w:tblPr>
        <w:tblW w:w="7195" w:type="dxa"/>
        <w:jc w:val="left"/>
        <w:tblInd w:w="0" w:type="dxa"/>
        <w:tblCellMar>
          <w:top w:w="0" w:type="dxa"/>
          <w:left w:w="0" w:type="dxa"/>
          <w:bottom w:w="0" w:type="dxa"/>
          <w:right w:w="0" w:type="dxa"/>
        </w:tblCellMar>
      </w:tblPr>
      <w:tblGrid>
        <w:gridCol w:w="245"/>
        <w:gridCol w:w="6950"/>
      </w:tblGrid>
      <w:tr>
        <w:trPr/>
        <w:tc>
          <w:tcPr>
            <w:tcW w:w="245" w:type="dxa"/>
            <w:tcBorders/>
            <w:shd w:fill="auto" w:val="clear"/>
            <w:vAlign w:val="center"/>
          </w:tcPr>
          <w:p>
            <w:pPr>
              <w:pStyle w:val="TableContents"/>
              <w:spacing w:before="0" w:after="283"/>
              <w:rPr>
                <w:sz w:val="4"/>
                <w:szCs w:val="4"/>
              </w:rPr>
            </w:pPr>
            <w:r>
              <w:rPr>
                <w:sz w:val="4"/>
                <w:szCs w:val="4"/>
              </w:rPr>
            </w:r>
          </w:p>
        </w:tc>
        <w:tc>
          <w:tcPr>
            <w:tcW w:w="6950"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(1)</w:t>
            </w:r>
            <w:r>
              <w:rPr>
                <w:rFonts w:ascii="inherit" w:hAnsi="inherit"/>
                <w:sz w:val="17"/>
              </w:rPr>
              <w:t> </w:t>
            </w:r>
          </w:p>
        </w:tc>
        <w:tc>
          <w:tcPr>
            <w:tcW w:w="6950" w:type="dxa"/>
            <w:tcBorders/>
            <w:shd w:fill="auto" w:val="clear"/>
            <w:vAlign w:val="center"/>
          </w:tcPr>
          <w:p>
            <w:pPr>
              <w:pStyle w:val="TableContents"/>
              <w:spacing w:lineRule="auto" w:line="288" w:before="0" w:after="0"/>
              <w:rPr>
                <w:rFonts w:ascii="inherit" w:hAnsi="inherit"/>
                <w:sz w:val="17"/>
              </w:rPr>
            </w:pPr>
            <w:r>
              <w:rPr>
                <w:rFonts w:ascii="inherit" w:hAnsi="inherit"/>
                <w:sz w:val="17"/>
              </w:rPr>
              <w:t>Represents adjustments utilized by our CODM in the evaluation of segment results.</w:t>
            </w:r>
          </w:p>
        </w:tc>
      </w:tr>
    </w:tbl>
    <w:tbl>
      <w:tblPr>
        <w:tblW w:w="10205" w:type="dxa"/>
        <w:jc w:val="left"/>
        <w:tblInd w:w="0" w:type="dxa"/>
        <w:tblCellMar>
          <w:top w:w="0" w:type="dxa"/>
          <w:left w:w="0" w:type="dxa"/>
          <w:bottom w:w="0" w:type="dxa"/>
          <w:right w:w="0" w:type="dxa"/>
        </w:tblCellMar>
      </w:tblPr>
      <w:tblGrid>
        <w:gridCol w:w="225"/>
        <w:gridCol w:w="9980"/>
      </w:tblGrid>
      <w:tr>
        <w:trPr/>
        <w:tc>
          <w:tcPr>
            <w:tcW w:w="225" w:type="dxa"/>
            <w:tcBorders/>
            <w:shd w:fill="auto" w:val="clear"/>
            <w:vAlign w:val="center"/>
          </w:tcPr>
          <w:p>
            <w:pPr>
              <w:pStyle w:val="TableContents"/>
              <w:spacing w:before="0" w:after="283"/>
              <w:rPr>
                <w:sz w:val="4"/>
                <w:szCs w:val="4"/>
              </w:rPr>
            </w:pPr>
            <w:r>
              <w:rPr>
                <w:sz w:val="4"/>
                <w:szCs w:val="4"/>
              </w:rPr>
            </w:r>
          </w:p>
        </w:tc>
        <w:tc>
          <w:tcPr>
            <w:tcW w:w="9980" w:type="dxa"/>
            <w:tcBorders/>
            <w:shd w:fill="auto" w:val="clear"/>
            <w:vAlign w:val="center"/>
          </w:tcPr>
          <w:p>
            <w:pPr>
              <w:pStyle w:val="TableContents"/>
              <w:spacing w:before="0" w:after="283"/>
              <w:rPr>
                <w:sz w:val="4"/>
                <w:szCs w:val="4"/>
              </w:rPr>
            </w:pPr>
            <w:r>
              <w:rPr>
                <w:sz w:val="4"/>
                <w:szCs w:val="4"/>
              </w:rPr>
            </w:r>
          </w:p>
        </w:tc>
      </w:tr>
      <w:tr>
        <w:trPr/>
        <w:tc>
          <w:tcPr>
            <w:tcW w:w="225"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(2)</w:t>
            </w:r>
            <w:r>
              <w:rPr>
                <w:rFonts w:ascii="inherit" w:hAnsi="inherit"/>
                <w:sz w:val="17"/>
              </w:rPr>
              <w:t> </w:t>
            </w:r>
          </w:p>
        </w:tc>
        <w:tc>
          <w:tcPr>
            <w:tcW w:w="9980" w:type="dxa"/>
            <w:tcBorders/>
            <w:shd w:fill="auto" w:val="clear"/>
            <w:vAlign w:val="center"/>
          </w:tcPr>
          <w:p>
            <w:pPr>
              <w:pStyle w:val="TableContents"/>
              <w:spacing w:lineRule="auto" w:line="288" w:before="0" w:after="0"/>
              <w:rPr>
                <w:rFonts w:ascii="inherit" w:hAnsi="inherit"/>
                <w:sz w:val="17"/>
              </w:rPr>
            </w:pPr>
            <w:r>
              <w:rPr>
                <w:rFonts w:ascii="inherit" w:hAnsi="inherit"/>
                <w:sz w:val="17"/>
              </w:rPr>
              <w:t>Includes our proportionate share of the depreciation and amortization of, and gains and losses on significant asset sales by, unconsolidated entities.</w:t>
            </w:r>
          </w:p>
        </w:tc>
      </w:tr>
    </w:tbl>
    <w:tbl>
      <w:tblPr>
        <w:tblW w:w="10205" w:type="dxa"/>
        <w:jc w:val="left"/>
        <w:tblInd w:w="0" w:type="dxa"/>
        <w:tblCellMar>
          <w:top w:w="0" w:type="dxa"/>
          <w:left w:w="0" w:type="dxa"/>
          <w:bottom w:w="0" w:type="dxa"/>
          <w:right w:w="0" w:type="dxa"/>
        </w:tblCellMar>
      </w:tblPr>
      <w:tblGrid>
        <w:gridCol w:w="165"/>
        <w:gridCol w:w="10040"/>
      </w:tblGrid>
      <w:tr>
        <w:trPr/>
        <w:tc>
          <w:tcPr>
            <w:tcW w:w="165" w:type="dxa"/>
            <w:tcBorders/>
            <w:shd w:fill="auto" w:val="clear"/>
            <w:vAlign w:val="center"/>
          </w:tcPr>
          <w:p>
            <w:pPr>
              <w:pStyle w:val="TableContents"/>
              <w:spacing w:before="0" w:after="283"/>
              <w:rPr>
                <w:sz w:val="4"/>
                <w:szCs w:val="4"/>
              </w:rPr>
            </w:pPr>
            <w:r>
              <w:rPr>
                <w:sz w:val="4"/>
                <w:szCs w:val="4"/>
              </w:rPr>
            </w:r>
          </w:p>
        </w:tc>
        <w:tc>
          <w:tcPr>
            <w:tcW w:w="10040" w:type="dxa"/>
            <w:tcBorders/>
            <w:shd w:fill="auto" w:val="clear"/>
            <w:vAlign w:val="center"/>
          </w:tcPr>
          <w:p>
            <w:pPr>
              <w:pStyle w:val="TableContents"/>
              <w:spacing w:before="0" w:after="283"/>
              <w:rPr>
                <w:sz w:val="4"/>
                <w:szCs w:val="4"/>
              </w:rPr>
            </w:pPr>
            <w:r>
              <w:rPr>
                <w:sz w:val="4"/>
                <w:szCs w:val="4"/>
              </w:rPr>
            </w:r>
          </w:p>
        </w:tc>
      </w:tr>
      <w:tr>
        <w:trPr/>
        <w:tc>
          <w:tcPr>
            <w:tcW w:w="165"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(3)</w:t>
            </w:r>
            <w:r>
              <w:rPr>
                <w:rFonts w:ascii="inherit" w:hAnsi="inherit"/>
                <w:sz w:val="17"/>
              </w:rPr>
              <w:t> </w:t>
            </w:r>
          </w:p>
        </w:tc>
        <w:tc>
          <w:tcPr>
            <w:tcW w:w="10040" w:type="dxa"/>
            <w:tcBorders/>
            <w:shd w:fill="auto" w:val="clear"/>
            <w:vAlign w:val="center"/>
          </w:tcPr>
          <w:p>
            <w:pPr>
              <w:pStyle w:val="TableContents"/>
              <w:spacing w:lineRule="auto" w:line="288" w:before="0" w:after="0"/>
              <w:rPr>
                <w:rFonts w:ascii="inherit" w:hAnsi="inherit"/>
                <w:sz w:val="17"/>
              </w:rPr>
            </w:pPr>
            <w:r>
              <w:rPr>
                <w:rFonts w:ascii="inherit" w:hAnsi="inherit"/>
                <w:sz w:val="17"/>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the earnings that were recognized during the period related to derivative instruments for which the identified underlying transaction does not occur in the current period and exclude the related gains and losses in determining Segment Adjusted EBITDA. In addition, we exclude gains and losses on derivatives that are related to investing activities, such as the purchase of linefill. We also exclude the impact of corresponding inventory valuation adjustments, as applicable.</w:t>
            </w:r>
          </w:p>
        </w:tc>
      </w:tr>
    </w:tbl>
    <w:tbl>
      <w:tblPr>
        <w:tblW w:w="10205" w:type="dxa"/>
        <w:jc w:val="left"/>
        <w:tblInd w:w="0" w:type="dxa"/>
        <w:tblCellMar>
          <w:top w:w="0" w:type="dxa"/>
          <w:left w:w="0" w:type="dxa"/>
          <w:bottom w:w="0" w:type="dxa"/>
          <w:right w:w="0" w:type="dxa"/>
        </w:tblCellMar>
      </w:tblPr>
      <w:tblGrid>
        <w:gridCol w:w="168"/>
        <w:gridCol w:w="10037"/>
      </w:tblGrid>
      <w:tr>
        <w:trPr/>
        <w:tc>
          <w:tcPr>
            <w:tcW w:w="168" w:type="dxa"/>
            <w:tcBorders/>
            <w:shd w:fill="auto" w:val="clear"/>
            <w:vAlign w:val="center"/>
          </w:tcPr>
          <w:p>
            <w:pPr>
              <w:pStyle w:val="TableContents"/>
              <w:spacing w:before="0" w:after="283"/>
              <w:rPr>
                <w:sz w:val="4"/>
                <w:szCs w:val="4"/>
              </w:rPr>
            </w:pPr>
            <w:r>
              <w:rPr>
                <w:sz w:val="4"/>
                <w:szCs w:val="4"/>
              </w:rPr>
            </w:r>
          </w:p>
        </w:tc>
        <w:tc>
          <w:tcPr>
            <w:tcW w:w="10037" w:type="dxa"/>
            <w:tcBorders/>
            <w:shd w:fill="auto" w:val="clear"/>
            <w:vAlign w:val="center"/>
          </w:tcPr>
          <w:p>
            <w:pPr>
              <w:pStyle w:val="TableContents"/>
              <w:spacing w:before="0" w:after="283"/>
              <w:rPr>
                <w:sz w:val="4"/>
                <w:szCs w:val="4"/>
              </w:rPr>
            </w:pPr>
            <w:r>
              <w:rPr>
                <w:sz w:val="4"/>
                <w:szCs w:val="4"/>
              </w:rPr>
            </w:r>
          </w:p>
        </w:tc>
      </w:tr>
      <w:tr>
        <w:trPr/>
        <w:tc>
          <w:tcPr>
            <w:tcW w:w="168"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(4)</w:t>
            </w:r>
            <w:r>
              <w:rPr>
                <w:rFonts w:ascii="inherit" w:hAnsi="inherit"/>
                <w:sz w:val="17"/>
              </w:rPr>
              <w:t> </w:t>
            </w:r>
          </w:p>
        </w:tc>
        <w:tc>
          <w:tcPr>
            <w:tcW w:w="10037" w:type="dxa"/>
            <w:tcBorders/>
            <w:shd w:fill="auto" w:val="clear"/>
            <w:vAlign w:val="center"/>
          </w:tcPr>
          <w:p>
            <w:pPr>
              <w:pStyle w:val="TableContents"/>
              <w:spacing w:lineRule="auto" w:line="288" w:before="0" w:after="0"/>
              <w:rPr>
                <w:rFonts w:ascii="inherit" w:hAnsi="inherit"/>
                <w:sz w:val="17"/>
              </w:rPr>
            </w:pPr>
            <w:r>
              <w:rPr>
                <w:rFonts w:ascii="inherit" w:hAnsi="inherit"/>
                <w:sz w:val="17"/>
              </w:rPr>
              <w:t xml:space="preserve">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 </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41</w:t>
      </w:r>
      <w:r>
        <w:br w:type="page"/>
      </w:r>
    </w:p>
    <w:p>
      <w:pPr>
        <w:pStyle w:val="TextBody"/>
        <w:spacing w:lineRule="auto" w:line="288" w:before="0" w:after="0"/>
        <w:rPr/>
      </w:pPr>
      <w:hyperlink w:anchor="s3336AD8A685850CC9B7F2572CB2C0BC3">
        <w:r>
          <w:rPr>
            <w:rStyle w:val="InternetLink"/>
            <w:rFonts w:ascii="inherit" w:hAnsi="inherit"/>
            <w:sz w:val="17"/>
          </w:rPr>
          <w:t>Table of Contents</w:t>
        </w:r>
      </w:hyperlink>
      <w:r>
        <w:rPr>
          <w:sz w:val="17"/>
        </w:rPr>
        <w:t xml:space="preserve"> </w:t>
      </w:r>
    </w:p>
    <w:p>
      <w:pPr>
        <w:pStyle w:val="TextBody"/>
        <w:spacing w:lineRule="auto" w:line="288" w:before="0" w:after="0"/>
        <w:jc w:val="center"/>
        <w:rPr>
          <w:rFonts w:ascii="inherit" w:hAnsi="inherit"/>
          <w:b/>
          <w:sz w:val="17"/>
        </w:rPr>
      </w:pPr>
      <w:r>
        <w:rPr>
          <w:rFonts w:ascii="inherit" w:hAnsi="inherit"/>
          <w:b/>
          <w:sz w:val="17"/>
        </w:rPr>
        <w:t>PLAINS ALL AMERICAN PIPELINE, L.P. AND SUBSIDIARIES</w:t>
      </w:r>
    </w:p>
    <w:p>
      <w:pPr>
        <w:pStyle w:val="TextBody"/>
        <w:spacing w:lineRule="auto" w:line="288" w:before="0" w:after="0"/>
        <w:jc w:val="center"/>
        <w:rPr>
          <w:rFonts w:ascii="inherit" w:hAnsi="inherit"/>
          <w:b/>
          <w:sz w:val="17"/>
        </w:rPr>
      </w:pPr>
      <w:r>
        <w:rPr>
          <w:rFonts w:ascii="inherit" w:hAnsi="inherit"/>
          <w:b/>
          <w:sz w:val="17"/>
        </w:rPr>
        <w:t>NOTES TO THE UNAUDITED CONDENSED CONSOLIDATED FINANCIAL STATEMENTS</w:t>
      </w:r>
    </w:p>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161"/>
        <w:gridCol w:w="10044"/>
      </w:tblGrid>
      <w:tr>
        <w:trPr/>
        <w:tc>
          <w:tcPr>
            <w:tcW w:w="161" w:type="dxa"/>
            <w:tcBorders/>
            <w:shd w:fill="auto" w:val="clear"/>
            <w:vAlign w:val="center"/>
          </w:tcPr>
          <w:p>
            <w:pPr>
              <w:pStyle w:val="TableContents"/>
              <w:spacing w:before="0" w:after="283"/>
              <w:rPr>
                <w:sz w:val="4"/>
                <w:szCs w:val="4"/>
              </w:rPr>
            </w:pPr>
            <w:r>
              <w:rPr>
                <w:sz w:val="4"/>
                <w:szCs w:val="4"/>
              </w:rPr>
            </w:r>
          </w:p>
        </w:tc>
        <w:tc>
          <w:tcPr>
            <w:tcW w:w="10044"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(5)</w:t>
            </w:r>
            <w:r>
              <w:rPr>
                <w:rFonts w:ascii="inherit" w:hAnsi="inherit"/>
                <w:sz w:val="17"/>
              </w:rPr>
              <w:t> </w:t>
            </w:r>
          </w:p>
        </w:tc>
        <w:tc>
          <w:tcPr>
            <w:tcW w:w="10044" w:type="dxa"/>
            <w:tcBorders/>
            <w:shd w:fill="auto" w:val="clear"/>
            <w:vAlign w:val="center"/>
          </w:tcPr>
          <w:p>
            <w:pPr>
              <w:pStyle w:val="TableContents"/>
              <w:spacing w:lineRule="auto" w:line="288" w:before="0" w:after="0"/>
              <w:rPr>
                <w:rFonts w:ascii="inherit" w:hAnsi="inherit"/>
                <w:sz w:val="17"/>
              </w:rPr>
            </w:pPr>
            <w:r>
              <w:rPr>
                <w:rFonts w:ascii="inherit" w:hAnsi="inherit"/>
                <w:sz w:val="17"/>
              </w:rPr>
              <w:t xml:space="preserve">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 </w:t>
            </w:r>
          </w:p>
        </w:tc>
      </w:tr>
    </w:tbl>
    <w:tbl>
      <w:tblPr>
        <w:tblW w:w="9160" w:type="dxa"/>
        <w:jc w:val="left"/>
        <w:tblInd w:w="0" w:type="dxa"/>
        <w:tblCellMar>
          <w:top w:w="0" w:type="dxa"/>
          <w:left w:w="0" w:type="dxa"/>
          <w:bottom w:w="0" w:type="dxa"/>
          <w:right w:w="0" w:type="dxa"/>
        </w:tblCellMar>
      </w:tblPr>
      <w:tblGrid>
        <w:gridCol w:w="245"/>
        <w:gridCol w:w="8915"/>
      </w:tblGrid>
      <w:tr>
        <w:trPr/>
        <w:tc>
          <w:tcPr>
            <w:tcW w:w="245" w:type="dxa"/>
            <w:tcBorders/>
            <w:shd w:fill="auto" w:val="clear"/>
            <w:vAlign w:val="center"/>
          </w:tcPr>
          <w:p>
            <w:pPr>
              <w:pStyle w:val="TableContents"/>
              <w:spacing w:before="0" w:after="283"/>
              <w:rPr>
                <w:sz w:val="4"/>
                <w:szCs w:val="4"/>
              </w:rPr>
            </w:pPr>
            <w:r>
              <w:rPr>
                <w:sz w:val="4"/>
                <w:szCs w:val="4"/>
              </w:rPr>
            </w:r>
          </w:p>
        </w:tc>
        <w:tc>
          <w:tcPr>
            <w:tcW w:w="8915"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(6)</w:t>
            </w:r>
            <w:r>
              <w:rPr>
                <w:rFonts w:ascii="inherit" w:hAnsi="inherit"/>
                <w:sz w:val="17"/>
              </w:rPr>
              <w:t> </w:t>
            </w:r>
          </w:p>
        </w:tc>
        <w:tc>
          <w:tcPr>
            <w:tcW w:w="8915" w:type="dxa"/>
            <w:tcBorders/>
            <w:shd w:fill="auto" w:val="clear"/>
            <w:vAlign w:val="center"/>
          </w:tcPr>
          <w:p>
            <w:pPr>
              <w:pStyle w:val="TableContents"/>
              <w:spacing w:lineRule="auto" w:line="288" w:before="0" w:after="0"/>
              <w:rPr>
                <w:rFonts w:ascii="inherit" w:hAnsi="inherit"/>
                <w:sz w:val="17"/>
              </w:rPr>
            </w:pPr>
            <w:r>
              <w:rPr>
                <w:rFonts w:ascii="inherit" w:hAnsi="inherit"/>
                <w:sz w:val="17"/>
              </w:rPr>
              <w:t>Includes equity-indexed compensation expense associated with awards that will or may be settled in units.</w:t>
            </w:r>
          </w:p>
        </w:tc>
      </w:tr>
    </w:tbl>
    <w:tbl>
      <w:tblPr>
        <w:tblW w:w="10205" w:type="dxa"/>
        <w:jc w:val="left"/>
        <w:tblInd w:w="0" w:type="dxa"/>
        <w:tblCellMar>
          <w:top w:w="0" w:type="dxa"/>
          <w:left w:w="0" w:type="dxa"/>
          <w:bottom w:w="0" w:type="dxa"/>
          <w:right w:w="0" w:type="dxa"/>
        </w:tblCellMar>
      </w:tblPr>
      <w:tblGrid>
        <w:gridCol w:w="212"/>
        <w:gridCol w:w="9993"/>
      </w:tblGrid>
      <w:tr>
        <w:trPr/>
        <w:tc>
          <w:tcPr>
            <w:tcW w:w="212" w:type="dxa"/>
            <w:tcBorders/>
            <w:shd w:fill="auto" w:val="clear"/>
            <w:vAlign w:val="center"/>
          </w:tcPr>
          <w:p>
            <w:pPr>
              <w:pStyle w:val="TableContents"/>
              <w:spacing w:before="0" w:after="283"/>
              <w:rPr>
                <w:sz w:val="4"/>
                <w:szCs w:val="4"/>
              </w:rPr>
            </w:pPr>
            <w:r>
              <w:rPr>
                <w:sz w:val="4"/>
                <w:szCs w:val="4"/>
              </w:rPr>
            </w:r>
          </w:p>
        </w:tc>
        <w:tc>
          <w:tcPr>
            <w:tcW w:w="9993" w:type="dxa"/>
            <w:tcBorders/>
            <w:shd w:fill="auto" w:val="clear"/>
            <w:vAlign w:val="center"/>
          </w:tcPr>
          <w:p>
            <w:pPr>
              <w:pStyle w:val="TableContents"/>
              <w:spacing w:before="0" w:after="283"/>
              <w:rPr>
                <w:sz w:val="4"/>
                <w:szCs w:val="4"/>
              </w:rPr>
            </w:pPr>
            <w:r>
              <w:rPr>
                <w:sz w:val="4"/>
                <w:szCs w:val="4"/>
              </w:rPr>
            </w:r>
          </w:p>
        </w:tc>
      </w:tr>
      <w:tr>
        <w:trPr/>
        <w:tc>
          <w:tcPr>
            <w:tcW w:w="212"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(7)</w:t>
            </w:r>
            <w:r>
              <w:rPr>
                <w:rFonts w:ascii="inherit" w:hAnsi="inherit"/>
                <w:sz w:val="17"/>
              </w:rPr>
              <w:t> </w:t>
            </w:r>
          </w:p>
        </w:tc>
        <w:tc>
          <w:tcPr>
            <w:tcW w:w="9993" w:type="dxa"/>
            <w:tcBorders/>
            <w:shd w:fill="auto" w:val="clear"/>
            <w:vAlign w:val="center"/>
          </w:tcPr>
          <w:p>
            <w:pPr>
              <w:pStyle w:val="TableContents"/>
              <w:spacing w:lineRule="auto" w:line="288" w:before="0" w:after="0"/>
              <w:rPr>
                <w:rFonts w:ascii="inherit" w:hAnsi="inherit"/>
                <w:sz w:val="17"/>
              </w:rPr>
            </w:pPr>
            <w:r>
              <w:rPr>
                <w:rFonts w:ascii="inherit" w:hAnsi="inherit"/>
                <w:sz w:val="17"/>
              </w:rPr>
              <w:t>Includes gains and losses realized on the settlement of foreign currency transactions as well as the revaluation of monetary assets and liabilities denominated in a foreign currency.</w:t>
            </w:r>
          </w:p>
        </w:tc>
      </w:tr>
    </w:tbl>
    <w:tbl>
      <w:tblPr>
        <w:tblW w:w="10205" w:type="dxa"/>
        <w:jc w:val="left"/>
        <w:tblInd w:w="0" w:type="dxa"/>
        <w:tblCellMar>
          <w:top w:w="0" w:type="dxa"/>
          <w:left w:w="0" w:type="dxa"/>
          <w:bottom w:w="0" w:type="dxa"/>
          <w:right w:w="0" w:type="dxa"/>
        </w:tblCellMar>
      </w:tblPr>
      <w:tblGrid>
        <w:gridCol w:w="197"/>
        <w:gridCol w:w="10008"/>
      </w:tblGrid>
      <w:tr>
        <w:trPr/>
        <w:tc>
          <w:tcPr>
            <w:tcW w:w="197" w:type="dxa"/>
            <w:tcBorders/>
            <w:shd w:fill="auto" w:val="clear"/>
            <w:vAlign w:val="center"/>
          </w:tcPr>
          <w:p>
            <w:pPr>
              <w:pStyle w:val="TableContents"/>
              <w:spacing w:before="0" w:after="283"/>
              <w:rPr>
                <w:sz w:val="4"/>
                <w:szCs w:val="4"/>
              </w:rPr>
            </w:pPr>
            <w:r>
              <w:rPr>
                <w:sz w:val="4"/>
                <w:szCs w:val="4"/>
              </w:rPr>
            </w:r>
          </w:p>
        </w:tc>
        <w:tc>
          <w:tcPr>
            <w:tcW w:w="10008" w:type="dxa"/>
            <w:tcBorders/>
            <w:shd w:fill="auto" w:val="clear"/>
            <w:vAlign w:val="center"/>
          </w:tcPr>
          <w:p>
            <w:pPr>
              <w:pStyle w:val="TableContents"/>
              <w:spacing w:before="0" w:after="283"/>
              <w:rPr>
                <w:sz w:val="4"/>
                <w:szCs w:val="4"/>
              </w:rPr>
            </w:pPr>
            <w:r>
              <w:rPr>
                <w:sz w:val="4"/>
                <w:szCs w:val="4"/>
              </w:rPr>
            </w:r>
          </w:p>
        </w:tc>
      </w:tr>
      <w:tr>
        <w:trPr/>
        <w:tc>
          <w:tcPr>
            <w:tcW w:w="197"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(8)</w:t>
            </w:r>
            <w:r>
              <w:rPr>
                <w:rFonts w:ascii="inherit" w:hAnsi="inherit"/>
                <w:sz w:val="17"/>
              </w:rPr>
              <w:t> </w:t>
            </w:r>
          </w:p>
        </w:tc>
        <w:tc>
          <w:tcPr>
            <w:tcW w:w="10008" w:type="dxa"/>
            <w:tcBorders/>
            <w:shd w:fill="auto" w:val="clear"/>
            <w:vAlign w:val="center"/>
          </w:tcPr>
          <w:p>
            <w:pPr>
              <w:pStyle w:val="TableContents"/>
              <w:spacing w:lineRule="auto" w:line="288" w:before="0" w:after="0"/>
              <w:rPr>
                <w:sz w:val="17"/>
              </w:rPr>
            </w:pPr>
            <w:r>
              <w:rPr>
                <w:rFonts w:ascii="inherit" w:hAnsi="inherit"/>
                <w:sz w:val="17"/>
              </w:rPr>
              <w:t xml:space="preserve">Includes costs recognized during the period related to the Line 901 incident that occurred in May 2015, net of amounts we believe are probable of recovery from insurance. See </w:t>
            </w:r>
            <w:r>
              <w:rPr>
                <w:b w:val="false"/>
                <w:sz w:val="17"/>
              </w:rPr>
              <w:t>Note 13</w:t>
            </w:r>
            <w:r>
              <w:rPr>
                <w:sz w:val="17"/>
              </w:rPr>
              <w:t xml:space="preserve"> </w:t>
            </w:r>
            <w:r>
              <w:rPr>
                <w:rFonts w:ascii="inherit" w:hAnsi="inherit"/>
                <w:sz w:val="17"/>
              </w:rPr>
              <w:t>for additional information regarding the Line 901 incident.</w:t>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b/>
          <w:sz w:val="17"/>
        </w:rPr>
      </w:pPr>
      <w:bookmarkStart w:id="28" w:name="s8ff41bfb2da848bcb332b33960f27006"/>
      <w:bookmarkEnd w:id="28"/>
      <w:r>
        <w:rPr>
          <w:rFonts w:ascii="inherit" w:hAnsi="inherit"/>
          <w:b/>
          <w:sz w:val="17"/>
        </w:rPr>
        <w:t>Note 15—Income Taxes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ind w:left="0" w:right="0" w:firstLine="720"/>
        <w:rPr>
          <w:sz w:val="17"/>
        </w:rPr>
      </w:pPr>
      <w:r>
        <w:rPr>
          <w:rFonts w:ascii="inherit" w:hAnsi="inherit"/>
          <w:sz w:val="17"/>
        </w:rPr>
        <w:t>All of our Canadian operations are conducted by entities that are treated as corporations for Canadian tax purposes (flow through for U.S. income tax purposes) and that are subject to Canadian federal and provincial taxes. During the second quarter of 2019, the Alberta government enacted legislation that reduces the Alberta provincial corporate income tax rate from 12%</w:t>
      </w:r>
      <w:r>
        <w:rPr>
          <w:sz w:val="17"/>
        </w:rPr>
        <w:t xml:space="preserve"> </w:t>
      </w:r>
      <w:r>
        <w:rPr>
          <w:rFonts w:ascii="inherit" w:hAnsi="inherit"/>
          <w:sz w:val="17"/>
        </w:rPr>
        <w:t>to 8%</w:t>
      </w:r>
      <w:r>
        <w:rPr>
          <w:sz w:val="17"/>
        </w:rPr>
        <w:t xml:space="preserve"> </w:t>
      </w:r>
      <w:r>
        <w:rPr>
          <w:rFonts w:ascii="inherit" w:hAnsi="inherit"/>
          <w:sz w:val="17"/>
        </w:rPr>
        <w:t>over the period from July 1, 2019 through January 1, 2022. As a result, at June 30, 2019, we recognized a reduction of our deferred income tax liability of approximately $60 million</w:t>
      </w:r>
      <w:r>
        <w:rPr>
          <w:sz w:val="17"/>
        </w:rPr>
        <w:t xml:space="preserve"> </w:t>
      </w:r>
      <w:r>
        <w:rPr>
          <w:rFonts w:ascii="inherit" w:hAnsi="inherit"/>
          <w:sz w:val="17"/>
        </w:rPr>
        <w:t>and a corresponding deferred tax benefit.</w:t>
      </w:r>
      <w:r>
        <w:rPr>
          <w:sz w:val="17"/>
        </w:rPr>
        <w:t xml:space="preserve"> </w:t>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42</w:t>
      </w:r>
      <w:r>
        <w:br w:type="page"/>
      </w:r>
    </w:p>
    <w:p>
      <w:pPr>
        <w:pStyle w:val="TextBody"/>
        <w:spacing w:lineRule="auto" w:line="288" w:before="0" w:after="0"/>
        <w:rPr/>
      </w:pPr>
      <w:hyperlink w:anchor="s3336AD8A685850CC9B7F2572CB2C0BC3">
        <w:bookmarkStart w:id="29" w:name="s559BAF531A755B99A510A395314EE737"/>
        <w:bookmarkEnd w:id="29"/>
        <w:r>
          <w:rPr>
            <w:rStyle w:val="InternetLink"/>
            <w:rFonts w:ascii="inherit" w:hAnsi="inherit"/>
            <w:sz w:val="17"/>
          </w:rPr>
          <w:t>Table of Contents</w:t>
        </w:r>
      </w:hyperlink>
      <w:r>
        <w:rPr>
          <w:sz w:val="17"/>
        </w:rPr>
        <w:t xml:space="preserve"> </w:t>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679"/>
        <w:gridCol w:w="9526"/>
      </w:tblGrid>
      <w:tr>
        <w:trPr/>
        <w:tc>
          <w:tcPr>
            <w:tcW w:w="679" w:type="dxa"/>
            <w:tcBorders/>
            <w:shd w:fill="auto" w:val="clear"/>
            <w:vAlign w:val="center"/>
          </w:tcPr>
          <w:p>
            <w:pPr>
              <w:pStyle w:val="TableContents"/>
              <w:spacing w:before="0" w:after="283"/>
              <w:rPr>
                <w:sz w:val="4"/>
                <w:szCs w:val="4"/>
              </w:rPr>
            </w:pPr>
            <w:r>
              <w:rPr>
                <w:sz w:val="4"/>
                <w:szCs w:val="4"/>
              </w:rPr>
            </w:r>
          </w:p>
        </w:tc>
        <w:tc>
          <w:tcPr>
            <w:tcW w:w="9526" w:type="dxa"/>
            <w:tcBorders/>
            <w:shd w:fill="auto" w:val="clear"/>
            <w:vAlign w:val="center"/>
          </w:tcPr>
          <w:p>
            <w:pPr>
              <w:pStyle w:val="TableContents"/>
              <w:spacing w:before="0" w:after="283"/>
              <w:rPr>
                <w:sz w:val="4"/>
                <w:szCs w:val="4"/>
              </w:rPr>
            </w:pPr>
            <w:r>
              <w:rPr>
                <w:sz w:val="4"/>
                <w:szCs w:val="4"/>
              </w:rPr>
            </w:r>
          </w:p>
        </w:tc>
      </w:tr>
      <w:tr>
        <w:trPr/>
        <w:tc>
          <w:tcPr>
            <w:tcW w:w="679" w:type="dxa"/>
            <w:tcBorders/>
            <w:shd w:fill="auto" w:val="clear"/>
            <w:vAlign w:val="center"/>
          </w:tcPr>
          <w:p>
            <w:pPr>
              <w:pStyle w:val="TableContents"/>
              <w:spacing w:lineRule="auto" w:line="288" w:before="0" w:after="0"/>
              <w:ind w:left="0" w:right="0" w:hanging="0"/>
              <w:rPr>
                <w:rFonts w:ascii="inherit" w:hAnsi="inherit"/>
                <w:b/>
                <w:sz w:val="17"/>
              </w:rPr>
            </w:pPr>
            <w:r>
              <w:rPr>
                <w:rFonts w:ascii="inherit" w:hAnsi="inherit"/>
                <w:b/>
                <w:sz w:val="17"/>
              </w:rPr>
              <w:t>Item 2.</w:t>
            </w:r>
          </w:p>
        </w:tc>
        <w:tc>
          <w:tcPr>
            <w:tcW w:w="9526" w:type="dxa"/>
            <w:tcBorders/>
            <w:shd w:fill="auto" w:val="clear"/>
            <w:vAlign w:val="center"/>
          </w:tcPr>
          <w:p>
            <w:pPr>
              <w:pStyle w:val="TableContents"/>
              <w:spacing w:lineRule="auto" w:line="288" w:before="0" w:after="0"/>
              <w:rPr>
                <w:rFonts w:ascii="inherit" w:hAnsi="inherit"/>
                <w:b/>
                <w:sz w:val="17"/>
              </w:rPr>
            </w:pPr>
            <w:r>
              <w:rPr>
                <w:rFonts w:ascii="inherit" w:hAnsi="inherit"/>
                <w:b/>
                <w:sz w:val="17"/>
              </w:rPr>
              <w:t>MANAGEMENT’S DISCUSSION AND ANALYSIS OF FINANCIAL CONDITION AND RESULTS OF OPERATIONS</w:t>
            </w:r>
          </w:p>
        </w:tc>
      </w:tr>
    </w:tbl>
    <w:p>
      <w:pPr>
        <w:pStyle w:val="TextBody"/>
        <w:spacing w:lineRule="auto" w:line="288" w:before="0" w:after="0"/>
        <w:rPr/>
      </w:pPr>
      <w:r>
        <w:rPr/>
        <w:t> </w:t>
      </w:r>
    </w:p>
    <w:p>
      <w:pPr>
        <w:pStyle w:val="TextBody"/>
        <w:spacing w:lineRule="auto" w:line="288" w:before="0" w:after="0"/>
        <w:rPr>
          <w:rFonts w:ascii="inherit" w:hAnsi="inherit"/>
          <w:b/>
          <w:sz w:val="17"/>
        </w:rPr>
      </w:pPr>
      <w:bookmarkStart w:id="30" w:name="s05B8B37D4F1455F18AD3B1092445DF9B"/>
      <w:bookmarkEnd w:id="30"/>
      <w:r>
        <w:rPr>
          <w:rFonts w:ascii="inherit" w:hAnsi="inherit"/>
          <w:b/>
          <w:sz w:val="17"/>
        </w:rPr>
        <w:t>Introduction</w:t>
      </w:r>
    </w:p>
    <w:p>
      <w:pPr>
        <w:pStyle w:val="TextBody"/>
        <w:spacing w:lineRule="auto" w:line="288" w:before="0" w:after="0"/>
        <w:rPr/>
      </w:pPr>
      <w:r>
        <w:rPr/>
        <w:t> </w:t>
      </w:r>
    </w:p>
    <w:p>
      <w:pPr>
        <w:pStyle w:val="TextBody"/>
        <w:spacing w:lineRule="auto" w:line="288" w:before="0" w:after="0"/>
        <w:ind w:left="0" w:right="0" w:firstLine="720"/>
        <w:rPr>
          <w:sz w:val="17"/>
        </w:rPr>
      </w:pPr>
      <w:r>
        <w:rPr>
          <w:rFonts w:ascii="inherit" w:hAnsi="inherit"/>
          <w:sz w:val="17"/>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2018</w:t>
      </w:r>
      <w:r>
        <w:rPr>
          <w:sz w:val="17"/>
        </w:rPr>
        <w:t xml:space="preserve"> </w:t>
      </w:r>
      <w:r>
        <w:rPr>
          <w:rFonts w:ascii="inherit" w:hAnsi="inherit"/>
          <w:sz w:val="17"/>
        </w:rPr>
        <w:t>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Our discussion and analysis includes the following:</w:t>
      </w:r>
    </w:p>
    <w:p>
      <w:pPr>
        <w:pStyle w:val="TextBody"/>
        <w:spacing w:lineRule="auto" w:line="288" w:before="0" w:after="0"/>
        <w:rPr/>
      </w:pPr>
      <w:r>
        <w:rPr/>
        <w:t> </w:t>
      </w:r>
    </w:p>
    <w:tbl>
      <w:tblPr>
        <w:tblW w:w="2620" w:type="dxa"/>
        <w:jc w:val="left"/>
        <w:tblInd w:w="0" w:type="dxa"/>
        <w:tblCellMar>
          <w:top w:w="0" w:type="dxa"/>
          <w:left w:w="0" w:type="dxa"/>
          <w:bottom w:w="0" w:type="dxa"/>
          <w:right w:w="0" w:type="dxa"/>
        </w:tblCellMar>
      </w:tblPr>
      <w:tblGrid>
        <w:gridCol w:w="845"/>
        <w:gridCol w:w="1775"/>
      </w:tblGrid>
      <w:tr>
        <w:trPr/>
        <w:tc>
          <w:tcPr>
            <w:tcW w:w="845" w:type="dxa"/>
            <w:tcBorders/>
            <w:shd w:fill="auto" w:val="clear"/>
            <w:vAlign w:val="center"/>
          </w:tcPr>
          <w:p>
            <w:pPr>
              <w:pStyle w:val="TableContents"/>
              <w:spacing w:before="0" w:after="283"/>
              <w:rPr>
                <w:sz w:val="4"/>
                <w:szCs w:val="4"/>
              </w:rPr>
            </w:pPr>
            <w:r>
              <w:rPr>
                <w:sz w:val="4"/>
                <w:szCs w:val="4"/>
              </w:rPr>
            </w:r>
          </w:p>
        </w:tc>
        <w:tc>
          <w:tcPr>
            <w:tcW w:w="1775"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1775" w:type="dxa"/>
            <w:tcBorders/>
            <w:shd w:fill="auto" w:val="clear"/>
            <w:vAlign w:val="center"/>
          </w:tcPr>
          <w:p>
            <w:pPr>
              <w:pStyle w:val="TableContents"/>
              <w:spacing w:lineRule="auto" w:line="288" w:before="0" w:after="0"/>
              <w:rPr>
                <w:rFonts w:ascii="inherit" w:hAnsi="inherit"/>
                <w:sz w:val="17"/>
              </w:rPr>
            </w:pPr>
            <w:r>
              <w:rPr>
                <w:rFonts w:ascii="inherit" w:hAnsi="inherit"/>
                <w:sz w:val="17"/>
              </w:rPr>
              <w:t>Executive Summary </w:t>
            </w:r>
          </w:p>
        </w:tc>
      </w:tr>
    </w:tbl>
    <w:tbl>
      <w:tblPr>
        <w:tblW w:w="3640" w:type="dxa"/>
        <w:jc w:val="left"/>
        <w:tblInd w:w="0" w:type="dxa"/>
        <w:tblCellMar>
          <w:top w:w="0" w:type="dxa"/>
          <w:left w:w="0" w:type="dxa"/>
          <w:bottom w:w="0" w:type="dxa"/>
          <w:right w:w="0" w:type="dxa"/>
        </w:tblCellMar>
      </w:tblPr>
      <w:tblGrid>
        <w:gridCol w:w="845"/>
        <w:gridCol w:w="2795"/>
      </w:tblGrid>
      <w:tr>
        <w:trPr/>
        <w:tc>
          <w:tcPr>
            <w:tcW w:w="845" w:type="dxa"/>
            <w:tcBorders/>
            <w:shd w:fill="auto" w:val="clear"/>
            <w:vAlign w:val="center"/>
          </w:tcPr>
          <w:p>
            <w:pPr>
              <w:pStyle w:val="TableContents"/>
              <w:spacing w:before="0" w:after="283"/>
              <w:rPr>
                <w:sz w:val="4"/>
                <w:szCs w:val="4"/>
              </w:rPr>
            </w:pPr>
            <w:r>
              <w:rPr>
                <w:sz w:val="4"/>
                <w:szCs w:val="4"/>
              </w:rPr>
            </w:r>
          </w:p>
        </w:tc>
        <w:tc>
          <w:tcPr>
            <w:tcW w:w="2795"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2795" w:type="dxa"/>
            <w:tcBorders/>
            <w:shd w:fill="auto" w:val="clear"/>
            <w:vAlign w:val="center"/>
          </w:tcPr>
          <w:p>
            <w:pPr>
              <w:pStyle w:val="TableContents"/>
              <w:spacing w:lineRule="auto" w:line="288" w:before="0" w:after="0"/>
              <w:rPr>
                <w:rFonts w:ascii="inherit" w:hAnsi="inherit"/>
                <w:sz w:val="17"/>
              </w:rPr>
            </w:pPr>
            <w:r>
              <w:rPr>
                <w:rFonts w:ascii="inherit" w:hAnsi="inherit"/>
                <w:sz w:val="17"/>
              </w:rPr>
              <w:t>Acquisitions and Capital Projects </w:t>
            </w:r>
          </w:p>
        </w:tc>
      </w:tr>
    </w:tbl>
    <w:tbl>
      <w:tblPr>
        <w:tblW w:w="2725" w:type="dxa"/>
        <w:jc w:val="left"/>
        <w:tblInd w:w="0" w:type="dxa"/>
        <w:tblCellMar>
          <w:top w:w="0" w:type="dxa"/>
          <w:left w:w="0" w:type="dxa"/>
          <w:bottom w:w="0" w:type="dxa"/>
          <w:right w:w="0" w:type="dxa"/>
        </w:tblCellMar>
      </w:tblPr>
      <w:tblGrid>
        <w:gridCol w:w="845"/>
        <w:gridCol w:w="1880"/>
      </w:tblGrid>
      <w:tr>
        <w:trPr/>
        <w:tc>
          <w:tcPr>
            <w:tcW w:w="845" w:type="dxa"/>
            <w:tcBorders/>
            <w:shd w:fill="auto" w:val="clear"/>
            <w:vAlign w:val="center"/>
          </w:tcPr>
          <w:p>
            <w:pPr>
              <w:pStyle w:val="TableContents"/>
              <w:spacing w:before="0" w:after="283"/>
              <w:rPr>
                <w:sz w:val="4"/>
                <w:szCs w:val="4"/>
              </w:rPr>
            </w:pPr>
            <w:r>
              <w:rPr>
                <w:sz w:val="4"/>
                <w:szCs w:val="4"/>
              </w:rPr>
            </w:r>
          </w:p>
        </w:tc>
        <w:tc>
          <w:tcPr>
            <w:tcW w:w="188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1880" w:type="dxa"/>
            <w:tcBorders/>
            <w:shd w:fill="auto" w:val="clear"/>
            <w:vAlign w:val="center"/>
          </w:tcPr>
          <w:p>
            <w:pPr>
              <w:pStyle w:val="TableContents"/>
              <w:spacing w:lineRule="auto" w:line="288" w:before="0" w:after="0"/>
              <w:rPr>
                <w:rFonts w:ascii="inherit" w:hAnsi="inherit"/>
                <w:sz w:val="17"/>
              </w:rPr>
            </w:pPr>
            <w:r>
              <w:rPr>
                <w:rFonts w:ascii="inherit" w:hAnsi="inherit"/>
                <w:sz w:val="17"/>
              </w:rPr>
              <w:t>Results of Operations </w:t>
            </w:r>
          </w:p>
        </w:tc>
      </w:tr>
    </w:tbl>
    <w:tbl>
      <w:tblPr>
        <w:tblW w:w="3550" w:type="dxa"/>
        <w:jc w:val="left"/>
        <w:tblInd w:w="0" w:type="dxa"/>
        <w:tblCellMar>
          <w:top w:w="0" w:type="dxa"/>
          <w:left w:w="0" w:type="dxa"/>
          <w:bottom w:w="0" w:type="dxa"/>
          <w:right w:w="0" w:type="dxa"/>
        </w:tblCellMar>
      </w:tblPr>
      <w:tblGrid>
        <w:gridCol w:w="845"/>
        <w:gridCol w:w="2705"/>
      </w:tblGrid>
      <w:tr>
        <w:trPr/>
        <w:tc>
          <w:tcPr>
            <w:tcW w:w="845" w:type="dxa"/>
            <w:tcBorders/>
            <w:shd w:fill="auto" w:val="clear"/>
            <w:vAlign w:val="center"/>
          </w:tcPr>
          <w:p>
            <w:pPr>
              <w:pStyle w:val="TableContents"/>
              <w:spacing w:before="0" w:after="283"/>
              <w:rPr>
                <w:sz w:val="4"/>
                <w:szCs w:val="4"/>
              </w:rPr>
            </w:pPr>
            <w:r>
              <w:rPr>
                <w:sz w:val="4"/>
                <w:szCs w:val="4"/>
              </w:rPr>
            </w:r>
          </w:p>
        </w:tc>
        <w:tc>
          <w:tcPr>
            <w:tcW w:w="2705"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2705" w:type="dxa"/>
            <w:tcBorders/>
            <w:shd w:fill="auto" w:val="clear"/>
            <w:vAlign w:val="center"/>
          </w:tcPr>
          <w:p>
            <w:pPr>
              <w:pStyle w:val="TableContents"/>
              <w:spacing w:lineRule="auto" w:line="288" w:before="0" w:after="0"/>
              <w:rPr>
                <w:rFonts w:ascii="inherit" w:hAnsi="inherit"/>
                <w:sz w:val="17"/>
              </w:rPr>
            </w:pPr>
            <w:r>
              <w:rPr>
                <w:rFonts w:ascii="inherit" w:hAnsi="inherit"/>
                <w:sz w:val="17"/>
              </w:rPr>
              <w:t>Liquidity and Capital Resources </w:t>
            </w:r>
          </w:p>
        </w:tc>
      </w:tr>
    </w:tbl>
    <w:tbl>
      <w:tblPr>
        <w:tblW w:w="3655" w:type="dxa"/>
        <w:jc w:val="left"/>
        <w:tblInd w:w="0" w:type="dxa"/>
        <w:tblCellMar>
          <w:top w:w="0" w:type="dxa"/>
          <w:left w:w="0" w:type="dxa"/>
          <w:bottom w:w="0" w:type="dxa"/>
          <w:right w:w="0" w:type="dxa"/>
        </w:tblCellMar>
      </w:tblPr>
      <w:tblGrid>
        <w:gridCol w:w="845"/>
        <w:gridCol w:w="2810"/>
      </w:tblGrid>
      <w:tr>
        <w:trPr/>
        <w:tc>
          <w:tcPr>
            <w:tcW w:w="845" w:type="dxa"/>
            <w:tcBorders/>
            <w:shd w:fill="auto" w:val="clear"/>
            <w:vAlign w:val="center"/>
          </w:tcPr>
          <w:p>
            <w:pPr>
              <w:pStyle w:val="TableContents"/>
              <w:spacing w:before="0" w:after="283"/>
              <w:rPr>
                <w:sz w:val="4"/>
                <w:szCs w:val="4"/>
              </w:rPr>
            </w:pPr>
            <w:r>
              <w:rPr>
                <w:sz w:val="4"/>
                <w:szCs w:val="4"/>
              </w:rPr>
            </w:r>
          </w:p>
        </w:tc>
        <w:tc>
          <w:tcPr>
            <w:tcW w:w="281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2810" w:type="dxa"/>
            <w:tcBorders/>
            <w:shd w:fill="auto" w:val="clear"/>
            <w:vAlign w:val="center"/>
          </w:tcPr>
          <w:p>
            <w:pPr>
              <w:pStyle w:val="TableContents"/>
              <w:spacing w:lineRule="auto" w:line="288" w:before="0" w:after="0"/>
              <w:rPr>
                <w:rFonts w:ascii="inherit" w:hAnsi="inherit"/>
                <w:sz w:val="17"/>
              </w:rPr>
            </w:pPr>
            <w:r>
              <w:rPr>
                <w:rFonts w:ascii="inherit" w:hAnsi="inherit"/>
                <w:sz w:val="17"/>
              </w:rPr>
              <w:t>Off-Balance Sheet Arrangements</w:t>
            </w:r>
          </w:p>
        </w:tc>
      </w:tr>
    </w:tbl>
    <w:tbl>
      <w:tblPr>
        <w:tblW w:w="3910" w:type="dxa"/>
        <w:jc w:val="left"/>
        <w:tblInd w:w="0" w:type="dxa"/>
        <w:tblCellMar>
          <w:top w:w="0" w:type="dxa"/>
          <w:left w:w="0" w:type="dxa"/>
          <w:bottom w:w="0" w:type="dxa"/>
          <w:right w:w="0" w:type="dxa"/>
        </w:tblCellMar>
      </w:tblPr>
      <w:tblGrid>
        <w:gridCol w:w="845"/>
        <w:gridCol w:w="3065"/>
      </w:tblGrid>
      <w:tr>
        <w:trPr/>
        <w:tc>
          <w:tcPr>
            <w:tcW w:w="845" w:type="dxa"/>
            <w:tcBorders/>
            <w:shd w:fill="auto" w:val="clear"/>
            <w:vAlign w:val="center"/>
          </w:tcPr>
          <w:p>
            <w:pPr>
              <w:pStyle w:val="TableContents"/>
              <w:spacing w:before="0" w:after="283"/>
              <w:rPr>
                <w:sz w:val="4"/>
                <w:szCs w:val="4"/>
              </w:rPr>
            </w:pPr>
            <w:r>
              <w:rPr>
                <w:sz w:val="4"/>
                <w:szCs w:val="4"/>
              </w:rPr>
            </w:r>
          </w:p>
        </w:tc>
        <w:tc>
          <w:tcPr>
            <w:tcW w:w="3065"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3065" w:type="dxa"/>
            <w:tcBorders/>
            <w:shd w:fill="auto" w:val="clear"/>
            <w:vAlign w:val="center"/>
          </w:tcPr>
          <w:p>
            <w:pPr>
              <w:pStyle w:val="TableContents"/>
              <w:spacing w:lineRule="auto" w:line="288" w:before="0" w:after="0"/>
              <w:rPr>
                <w:rFonts w:ascii="inherit" w:hAnsi="inherit"/>
                <w:sz w:val="17"/>
              </w:rPr>
            </w:pPr>
            <w:r>
              <w:rPr>
                <w:rFonts w:ascii="inherit" w:hAnsi="inherit"/>
                <w:sz w:val="17"/>
              </w:rPr>
              <w:t>Recent Accounting Pronouncements</w:t>
            </w:r>
          </w:p>
        </w:tc>
      </w:tr>
    </w:tbl>
    <w:tbl>
      <w:tblPr>
        <w:tblW w:w="4345" w:type="dxa"/>
        <w:jc w:val="left"/>
        <w:tblInd w:w="0" w:type="dxa"/>
        <w:tblCellMar>
          <w:top w:w="0" w:type="dxa"/>
          <w:left w:w="0" w:type="dxa"/>
          <w:bottom w:w="0" w:type="dxa"/>
          <w:right w:w="0" w:type="dxa"/>
        </w:tblCellMar>
      </w:tblPr>
      <w:tblGrid>
        <w:gridCol w:w="845"/>
        <w:gridCol w:w="3500"/>
      </w:tblGrid>
      <w:tr>
        <w:trPr/>
        <w:tc>
          <w:tcPr>
            <w:tcW w:w="845" w:type="dxa"/>
            <w:tcBorders/>
            <w:shd w:fill="auto" w:val="clear"/>
            <w:vAlign w:val="center"/>
          </w:tcPr>
          <w:p>
            <w:pPr>
              <w:pStyle w:val="TableContents"/>
              <w:spacing w:before="0" w:after="283"/>
              <w:rPr>
                <w:sz w:val="4"/>
                <w:szCs w:val="4"/>
              </w:rPr>
            </w:pPr>
            <w:r>
              <w:rPr>
                <w:sz w:val="4"/>
                <w:szCs w:val="4"/>
              </w:rPr>
            </w:r>
          </w:p>
        </w:tc>
        <w:tc>
          <w:tcPr>
            <w:tcW w:w="350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3500" w:type="dxa"/>
            <w:tcBorders/>
            <w:shd w:fill="auto" w:val="clear"/>
            <w:vAlign w:val="center"/>
          </w:tcPr>
          <w:p>
            <w:pPr>
              <w:pStyle w:val="TableContents"/>
              <w:spacing w:lineRule="auto" w:line="288" w:before="0" w:after="0"/>
              <w:rPr>
                <w:rFonts w:ascii="inherit" w:hAnsi="inherit"/>
                <w:sz w:val="17"/>
              </w:rPr>
            </w:pPr>
            <w:r>
              <w:rPr>
                <w:rFonts w:ascii="inherit" w:hAnsi="inherit"/>
                <w:sz w:val="17"/>
              </w:rPr>
              <w:t>Critical Accounting Policies and Estimates</w:t>
            </w:r>
          </w:p>
        </w:tc>
      </w:tr>
    </w:tbl>
    <w:tbl>
      <w:tblPr>
        <w:tblW w:w="1915" w:type="dxa"/>
        <w:jc w:val="left"/>
        <w:tblInd w:w="0" w:type="dxa"/>
        <w:tblCellMar>
          <w:top w:w="0" w:type="dxa"/>
          <w:left w:w="0" w:type="dxa"/>
          <w:bottom w:w="0" w:type="dxa"/>
          <w:right w:w="0" w:type="dxa"/>
        </w:tblCellMar>
      </w:tblPr>
      <w:tblGrid>
        <w:gridCol w:w="845"/>
        <w:gridCol w:w="1070"/>
      </w:tblGrid>
      <w:tr>
        <w:trPr/>
        <w:tc>
          <w:tcPr>
            <w:tcW w:w="845"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1070" w:type="dxa"/>
            <w:tcBorders/>
            <w:shd w:fill="auto" w:val="clear"/>
            <w:vAlign w:val="center"/>
          </w:tcPr>
          <w:p>
            <w:pPr>
              <w:pStyle w:val="TableContents"/>
              <w:spacing w:lineRule="auto" w:line="288" w:before="0" w:after="0"/>
              <w:rPr>
                <w:rFonts w:ascii="inherit" w:hAnsi="inherit"/>
                <w:sz w:val="17"/>
              </w:rPr>
            </w:pPr>
            <w:r>
              <w:rPr>
                <w:rFonts w:ascii="inherit" w:hAnsi="inherit"/>
                <w:sz w:val="17"/>
              </w:rPr>
              <w:t>Other Items </w:t>
            </w:r>
          </w:p>
        </w:tc>
      </w:tr>
    </w:tbl>
    <w:tbl>
      <w:tblPr>
        <w:tblW w:w="3280" w:type="dxa"/>
        <w:jc w:val="left"/>
        <w:tblInd w:w="0" w:type="dxa"/>
        <w:tblCellMar>
          <w:top w:w="0" w:type="dxa"/>
          <w:left w:w="0" w:type="dxa"/>
          <w:bottom w:w="0" w:type="dxa"/>
          <w:right w:w="0" w:type="dxa"/>
        </w:tblCellMar>
      </w:tblPr>
      <w:tblGrid>
        <w:gridCol w:w="845"/>
        <w:gridCol w:w="2435"/>
      </w:tblGrid>
      <w:tr>
        <w:trPr/>
        <w:tc>
          <w:tcPr>
            <w:tcW w:w="845" w:type="dxa"/>
            <w:tcBorders/>
            <w:shd w:fill="auto" w:val="clear"/>
            <w:vAlign w:val="center"/>
          </w:tcPr>
          <w:p>
            <w:pPr>
              <w:pStyle w:val="TableContents"/>
              <w:spacing w:before="0" w:after="283"/>
              <w:rPr>
                <w:sz w:val="4"/>
                <w:szCs w:val="4"/>
              </w:rPr>
            </w:pPr>
            <w:r>
              <w:rPr>
                <w:sz w:val="4"/>
                <w:szCs w:val="4"/>
              </w:rPr>
            </w:r>
          </w:p>
        </w:tc>
        <w:tc>
          <w:tcPr>
            <w:tcW w:w="2435"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2435" w:type="dxa"/>
            <w:tcBorders/>
            <w:shd w:fill="auto" w:val="clear"/>
            <w:vAlign w:val="center"/>
          </w:tcPr>
          <w:p>
            <w:pPr>
              <w:pStyle w:val="TableContents"/>
              <w:spacing w:lineRule="auto" w:line="288" w:before="0" w:after="0"/>
              <w:rPr>
                <w:rFonts w:ascii="inherit" w:hAnsi="inherit"/>
                <w:sz w:val="17"/>
              </w:rPr>
            </w:pPr>
            <w:r>
              <w:rPr>
                <w:rFonts w:ascii="inherit" w:hAnsi="inherit"/>
                <w:sz w:val="17"/>
              </w:rPr>
              <w:t>Forward-Looking Statements</w:t>
            </w:r>
          </w:p>
        </w:tc>
      </w:tr>
    </w:tbl>
    <w:p>
      <w:pPr>
        <w:pStyle w:val="TextBody"/>
        <w:spacing w:lineRule="auto" w:line="288" w:before="0" w:after="0"/>
        <w:rPr/>
      </w:pPr>
      <w:r>
        <w:rPr/>
        <w:t> </w:t>
      </w:r>
    </w:p>
    <w:p>
      <w:pPr>
        <w:pStyle w:val="TextBody"/>
        <w:spacing w:lineRule="auto" w:line="288" w:before="0" w:after="0"/>
        <w:rPr>
          <w:sz w:val="17"/>
        </w:rPr>
      </w:pPr>
      <w:bookmarkStart w:id="31" w:name="s29EDA1FB656F55EBB3E450EE436688A8"/>
      <w:bookmarkEnd w:id="31"/>
      <w:r>
        <w:rPr>
          <w:b/>
          <w:sz w:val="17"/>
        </w:rPr>
        <w:t>Executive Summary</w:t>
      </w:r>
      <w:r>
        <w:rPr>
          <w:sz w:val="17"/>
        </w:rPr>
        <w:t xml:space="preserve"> </w:t>
      </w:r>
    </w:p>
    <w:p>
      <w:pPr>
        <w:pStyle w:val="TextBody"/>
        <w:spacing w:lineRule="auto" w:line="288" w:before="0" w:after="0"/>
        <w:rPr/>
      </w:pPr>
      <w:r>
        <w:rPr/>
        <w:t> </w:t>
      </w:r>
    </w:p>
    <w:p>
      <w:pPr>
        <w:pStyle w:val="TextBody"/>
        <w:spacing w:lineRule="auto" w:line="288" w:before="0" w:after="0"/>
        <w:rPr>
          <w:rFonts w:ascii="inherit" w:hAnsi="inherit"/>
          <w:b/>
          <w:i/>
          <w:sz w:val="17"/>
        </w:rPr>
      </w:pPr>
      <w:r>
        <w:rPr>
          <w:rFonts w:ascii="inherit" w:hAnsi="inherit"/>
          <w:b/>
          <w:i/>
          <w:sz w:val="17"/>
        </w:rPr>
        <w:t>Company Overview</w:t>
      </w:r>
    </w:p>
    <w:p>
      <w:pPr>
        <w:pStyle w:val="TextBody"/>
        <w:spacing w:lineRule="auto" w:line="288" w:before="0" w:after="0"/>
        <w:rPr/>
      </w:pPr>
      <w:r>
        <w:rPr/>
        <w:t> </w:t>
      </w:r>
    </w:p>
    <w:p>
      <w:pPr>
        <w:pStyle w:val="TextBody"/>
        <w:spacing w:lineRule="auto" w:line="288" w:before="0" w:after="0"/>
        <w:ind w:left="0" w:right="0" w:firstLine="720"/>
        <w:rPr>
          <w:sz w:val="17"/>
        </w:rPr>
      </w:pPr>
      <w:r>
        <w:rPr>
          <w:rFonts w:ascii="inherit" w:hAnsi="inherit"/>
          <w:sz w:val="17"/>
        </w:rPr>
        <w:t>We own and operate midstream energy infrastructure and provide logistics services primarily for crude oil, NGL and natural gas. We own an extensive network of pipeline transportation, terminalling, storage and gathering assets in key crude oil and NGL producing basins and transportation corridors and at major market hubs in the United States and Canada. We were formed in 1998, and our operations are conducted directly and indirectly through our operating subsidiaries and are managed through three operating segments: Transportation, Facilities and Supply and Logistics. See “—</w:t>
      </w:r>
      <w:r>
        <w:rPr>
          <w:b w:val="false"/>
          <w:sz w:val="17"/>
        </w:rPr>
        <w:t>Results of Operations</w:t>
      </w:r>
      <w:r>
        <w:rPr>
          <w:sz w:val="17"/>
        </w:rPr>
        <w:t>—</w:t>
      </w:r>
      <w:r>
        <w:rPr>
          <w:b w:val="false"/>
          <w:i w:val="false"/>
          <w:caps w:val="false"/>
          <w:smallCaps w:val="false"/>
          <w:sz w:val="17"/>
        </w:rPr>
        <w:t>Analysis of Operating Segments</w:t>
      </w:r>
      <w:r>
        <w:rPr>
          <w:sz w:val="17"/>
        </w:rPr>
        <w:t xml:space="preserve">” </w:t>
      </w:r>
      <w:r>
        <w:rPr>
          <w:rFonts w:ascii="inherit" w:hAnsi="inherit"/>
          <w:sz w:val="17"/>
        </w:rPr>
        <w:t>for further discussion.</w:t>
      </w:r>
    </w:p>
    <w:p>
      <w:pPr>
        <w:pStyle w:val="TextBody"/>
        <w:spacing w:lineRule="auto" w:line="288" w:before="0" w:after="0"/>
        <w:rPr/>
      </w:pPr>
      <w:r>
        <w:rPr/>
        <w:t> </w:t>
      </w:r>
    </w:p>
    <w:p>
      <w:pPr>
        <w:pStyle w:val="TextBody"/>
        <w:spacing w:lineRule="auto" w:line="288" w:before="0" w:after="0"/>
        <w:rPr>
          <w:sz w:val="17"/>
        </w:rPr>
      </w:pPr>
      <w:r>
        <w:rPr>
          <w:b/>
          <w:i/>
          <w:sz w:val="17"/>
        </w:rPr>
        <w:t>Overview of Operating Results, Capital Investments and Other Significant Activities</w:t>
      </w:r>
      <w:r>
        <w:rPr>
          <w:sz w:val="17"/>
        </w:rPr>
        <w:t xml:space="preserve"> </w:t>
      </w:r>
    </w:p>
    <w:p>
      <w:pPr>
        <w:pStyle w:val="TextBody"/>
        <w:spacing w:lineRule="auto" w:line="288" w:before="0" w:after="0"/>
        <w:rPr/>
      </w:pPr>
      <w:r>
        <w:rPr/>
        <w:t> </w:t>
      </w:r>
    </w:p>
    <w:p>
      <w:pPr>
        <w:pStyle w:val="TextBody"/>
        <w:spacing w:lineRule="auto" w:line="288" w:before="0" w:after="0"/>
        <w:ind w:left="0" w:right="0" w:firstLine="720"/>
        <w:rPr>
          <w:sz w:val="17"/>
        </w:rPr>
      </w:pPr>
      <w:r>
        <w:rPr>
          <w:rFonts w:ascii="inherit" w:hAnsi="inherit"/>
          <w:sz w:val="17"/>
        </w:rPr>
        <w:t>During the first six</w:t>
      </w:r>
      <w:r>
        <w:rPr>
          <w:sz w:val="17"/>
        </w:rPr>
        <w:t xml:space="preserve"> </w:t>
      </w:r>
      <w:r>
        <w:rPr>
          <w:rFonts w:ascii="inherit" w:hAnsi="inherit"/>
          <w:sz w:val="17"/>
        </w:rPr>
        <w:t>months of 2019, we recognized net income of $1.418 billion</w:t>
      </w:r>
      <w:r>
        <w:rPr>
          <w:sz w:val="17"/>
        </w:rPr>
        <w:t xml:space="preserve"> </w:t>
      </w:r>
      <w:r>
        <w:rPr>
          <w:rFonts w:ascii="inherit" w:hAnsi="inherit"/>
          <w:sz w:val="17"/>
        </w:rPr>
        <w:t>as compared to net income of $388 million</w:t>
      </w:r>
      <w:r>
        <w:rPr>
          <w:sz w:val="17"/>
        </w:rPr>
        <w:t xml:space="preserve"> </w:t>
      </w:r>
      <w:r>
        <w:rPr>
          <w:rFonts w:ascii="inherit" w:hAnsi="inherit"/>
          <w:sz w:val="17"/>
        </w:rPr>
        <w:t>recognized during the first six</w:t>
      </w:r>
      <w:r>
        <w:rPr>
          <w:sz w:val="17"/>
        </w:rPr>
        <w:t xml:space="preserve"> </w:t>
      </w:r>
      <w:r>
        <w:rPr>
          <w:rFonts w:ascii="inherit" w:hAnsi="inherit"/>
          <w:sz w:val="17"/>
        </w:rPr>
        <w:t>months of 2018. The increase in net income over the comparative periods was driven by:   </w:t>
      </w:r>
    </w:p>
    <w:p>
      <w:pPr>
        <w:pStyle w:val="TextBody"/>
        <w:spacing w:lineRule="auto" w:line="288" w:before="0" w:after="0"/>
        <w:ind w:left="0" w:right="0" w:firstLine="144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rPr>
                <w:rFonts w:ascii="inherit" w:hAnsi="inherit"/>
                <w:sz w:val="17"/>
              </w:rPr>
            </w:pPr>
            <w:r>
              <w:rPr>
                <w:rFonts w:ascii="inherit" w:hAnsi="inherit"/>
                <w:sz w:val="17"/>
              </w:rPr>
              <w:t>Favorable results from our Supply and Logistics segment due to favorable crude oil differentials, primarily in the Permian Basin and Canada, higher NGL margins and more favorable impacts in the 2019 period from the mark-to-market of certain derivative instruments;</w:t>
            </w:r>
          </w:p>
        </w:tc>
      </w:tr>
    </w:tbl>
    <w:p>
      <w:pPr>
        <w:pStyle w:val="TextBody"/>
        <w:spacing w:lineRule="auto" w:line="288" w:before="0" w:after="0"/>
        <w:ind w:left="0" w:right="0" w:firstLine="144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rPr>
                <w:rFonts w:ascii="inherit" w:hAnsi="inherit"/>
                <w:sz w:val="17"/>
              </w:rPr>
            </w:pPr>
            <w:r>
              <w:rPr>
                <w:rFonts w:ascii="inherit" w:hAnsi="inherit"/>
                <w:sz w:val="17"/>
              </w:rPr>
              <w:t xml:space="preserve">Favorable results from our Transportation segment, primarily from our pipelines in the Permian Basin region, driven by higher volumes from increased production and our recently completed capital expansion projects; </w:t>
            </w:r>
          </w:p>
        </w:tc>
      </w:tr>
    </w:tbl>
    <w:p>
      <w:pPr>
        <w:pStyle w:val="TextBody"/>
        <w:spacing w:lineRule="auto" w:line="288" w:before="0" w:after="0"/>
        <w:ind w:left="0" w:right="0" w:firstLine="144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rPr>
                <w:rFonts w:ascii="inherit" w:hAnsi="inherit"/>
                <w:sz w:val="17"/>
              </w:rPr>
            </w:pPr>
            <w:r>
              <w:rPr>
                <w:rFonts w:ascii="inherit" w:hAnsi="inherit"/>
                <w:sz w:val="17"/>
              </w:rPr>
              <w:t>A non-cash gain of $267 million recognized in the current period related to a fair value adjustment resulting from the accounting for the contribution of our undivided joint interest in the Capline pipeline system for an equity interest in Capline Pipeline Company LLC; and</w:t>
            </w:r>
          </w:p>
        </w:tc>
      </w:tr>
    </w:tbl>
    <w:p>
      <w:pPr>
        <w:pStyle w:val="TextBody"/>
        <w:spacing w:lineRule="auto" w:line="288" w:before="0" w:after="0"/>
        <w:ind w:left="0" w:right="0" w:firstLine="1440"/>
        <w:rPr>
          <w:rFonts w:ascii="inherit" w:hAnsi="inherit"/>
          <w:sz w:val="17"/>
        </w:rPr>
      </w:pPr>
      <w:r>
        <w:rPr>
          <w:rFonts w:ascii="inherit" w:hAnsi="inherit"/>
          <w:sz w:val="17"/>
        </w:rPr>
      </w:r>
    </w:p>
    <w:p>
      <w:pPr>
        <w:pStyle w:val="TextBody"/>
        <w:spacing w:lineRule="auto" w:line="288" w:before="0" w:after="0"/>
        <w:ind w:left="0" w:right="0" w:firstLine="144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43</w:t>
      </w:r>
      <w:r>
        <w:br w:type="page"/>
      </w:r>
    </w:p>
    <w:p>
      <w:pPr>
        <w:pStyle w:val="TextBody"/>
        <w:spacing w:lineRule="auto" w:line="288" w:before="0" w:after="0"/>
        <w:rPr/>
      </w:pPr>
      <w:hyperlink w:anchor="s3336AD8A685850CC9B7F2572CB2C0BC3">
        <w:r>
          <w:rPr>
            <w:rStyle w:val="InternetLink"/>
            <w:rFonts w:ascii="inherit" w:hAnsi="inherit"/>
            <w:sz w:val="17"/>
          </w:rPr>
          <w:t>Table of Contents</w:t>
        </w:r>
      </w:hyperlink>
      <w:r>
        <w:rPr>
          <w:sz w:val="17"/>
        </w:rPr>
        <w:t xml:space="preserve"> </w:t>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rPr>
                <w:rFonts w:ascii="inherit" w:hAnsi="inherit"/>
                <w:sz w:val="17"/>
              </w:rPr>
            </w:pPr>
            <w:r>
              <w:rPr>
                <w:rFonts w:ascii="inherit" w:hAnsi="inherit"/>
                <w:sz w:val="17"/>
              </w:rPr>
              <w:t>Lower income tax expense primarily due to the impact of the reduction of the provincial income tax rate in Alberta, Canada enacted during the second quarter of 2019 and lower year-over-year income as impacted by fluctuations in the derivative mark-to-market valuations in our Canadian operations, partially offset by higher income tax expense as a result of higher taxable earnings from our Canadian operations; partially offset by</w:t>
            </w:r>
          </w:p>
        </w:tc>
      </w:tr>
    </w:tbl>
    <w:p>
      <w:pPr>
        <w:pStyle w:val="TextBody"/>
        <w:spacing w:lineRule="auto" w:line="288" w:before="0" w:after="0"/>
        <w:ind w:left="0" w:right="0" w:firstLine="144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rPr>
                <w:rFonts w:ascii="inherit" w:hAnsi="inherit"/>
                <w:sz w:val="17"/>
              </w:rPr>
            </w:pPr>
            <w:r>
              <w:rPr>
                <w:rFonts w:ascii="inherit" w:hAnsi="inherit"/>
                <w:sz w:val="17"/>
              </w:rPr>
              <w:t>Higher depreciation and amortization expense primarily due to additional depreciation expense associated with the completion of various capital expansion projects; and</w:t>
            </w:r>
          </w:p>
        </w:tc>
      </w:tr>
    </w:tbl>
    <w:p>
      <w:pPr>
        <w:pStyle w:val="TextBody"/>
        <w:spacing w:lineRule="auto" w:line="288" w:before="0" w:after="0"/>
        <w:ind w:left="0" w:right="0" w:firstLine="144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1205"/>
        <w:gridCol w:w="9000"/>
      </w:tblGrid>
      <w:tr>
        <w:trPr/>
        <w:tc>
          <w:tcPr>
            <w:tcW w:w="1205" w:type="dxa"/>
            <w:tcBorders/>
            <w:shd w:fill="auto" w:val="clear"/>
            <w:vAlign w:val="center"/>
          </w:tcPr>
          <w:p>
            <w:pPr>
              <w:pStyle w:val="TableContents"/>
              <w:spacing w:before="0" w:after="283"/>
              <w:rPr>
                <w:sz w:val="4"/>
                <w:szCs w:val="4"/>
              </w:rPr>
            </w:pPr>
            <w:r>
              <w:rPr>
                <w:sz w:val="4"/>
                <w:szCs w:val="4"/>
              </w:rPr>
            </w:r>
          </w:p>
        </w:tc>
        <w:tc>
          <w:tcPr>
            <w:tcW w:w="9000" w:type="dxa"/>
            <w:tcBorders/>
            <w:shd w:fill="auto" w:val="clear"/>
            <w:vAlign w:val="center"/>
          </w:tcPr>
          <w:p>
            <w:pPr>
              <w:pStyle w:val="TableContents"/>
              <w:spacing w:before="0" w:after="283"/>
              <w:rPr>
                <w:sz w:val="4"/>
                <w:szCs w:val="4"/>
              </w:rPr>
            </w:pPr>
            <w:r>
              <w:rPr>
                <w:sz w:val="4"/>
                <w:szCs w:val="4"/>
              </w:rPr>
            </w:r>
          </w:p>
        </w:tc>
      </w:tr>
      <w:tr>
        <w:trPr/>
        <w:tc>
          <w:tcPr>
            <w:tcW w:w="1205" w:type="dxa"/>
            <w:tcBorders/>
            <w:shd w:fill="auto" w:val="clear"/>
            <w:vAlign w:val="center"/>
          </w:tcPr>
          <w:p>
            <w:pPr>
              <w:pStyle w:val="TableContents"/>
              <w:spacing w:lineRule="auto" w:line="288" w:before="0" w:after="0"/>
              <w:ind w:left="0" w:right="0" w:firstLine="1080"/>
              <w:rPr/>
            </w:pPr>
            <w:r>
              <w:rPr/>
              <w:t>•</w:t>
            </w:r>
          </w:p>
        </w:tc>
        <w:tc>
          <w:tcPr>
            <w:tcW w:w="9000" w:type="dxa"/>
            <w:tcBorders/>
            <w:shd w:fill="auto" w:val="clear"/>
            <w:vAlign w:val="center"/>
          </w:tcPr>
          <w:p>
            <w:pPr>
              <w:pStyle w:val="TableContents"/>
              <w:spacing w:lineRule="auto" w:line="288" w:before="0" w:after="0"/>
              <w:rPr>
                <w:rFonts w:ascii="inherit" w:hAnsi="inherit"/>
                <w:sz w:val="17"/>
              </w:rPr>
            </w:pPr>
            <w:r>
              <w:rPr>
                <w:rFonts w:ascii="inherit" w:hAnsi="inherit"/>
                <w:sz w:val="17"/>
              </w:rPr>
              <w:t>The unfavorable impact to the 2019 comparative period of a net gain on asset sales and asset impairments of $81 million for six months ended June 30, 2018.</w:t>
            </w:r>
          </w:p>
        </w:tc>
      </w:tr>
    </w:tbl>
    <w:p>
      <w:pPr>
        <w:pStyle w:val="TextBody"/>
        <w:spacing w:lineRule="auto" w:line="288" w:before="0" w:after="0"/>
        <w:ind w:left="0" w:right="0" w:firstLine="1440"/>
        <w:rPr>
          <w:rFonts w:ascii="inherit" w:hAnsi="inherit"/>
          <w:sz w:val="17"/>
        </w:rPr>
      </w:pPr>
      <w:r>
        <w:rPr>
          <w:rFonts w:ascii="inherit" w:hAnsi="inherit"/>
          <w:sz w:val="17"/>
        </w:rPr>
      </w:r>
    </w:p>
    <w:p>
      <w:pPr>
        <w:pStyle w:val="TextBody"/>
        <w:spacing w:lineRule="auto" w:line="288" w:before="0" w:after="0"/>
        <w:ind w:left="0" w:right="0" w:firstLine="720"/>
        <w:rPr>
          <w:sz w:val="17"/>
        </w:rPr>
      </w:pPr>
      <w:r>
        <w:rPr>
          <w:rFonts w:ascii="inherit" w:hAnsi="inherit"/>
          <w:sz w:val="17"/>
        </w:rPr>
        <w:t>See further discussion of our operating results in the “—</w:t>
      </w:r>
      <w:r>
        <w:rPr>
          <w:b w:val="false"/>
          <w:sz w:val="17"/>
        </w:rPr>
        <w:t>Results of Operations</w:t>
      </w:r>
      <w:r>
        <w:rPr>
          <w:sz w:val="17"/>
        </w:rPr>
        <w:t>—</w:t>
      </w:r>
      <w:r>
        <w:rPr>
          <w:b w:val="false"/>
          <w:i w:val="false"/>
          <w:caps w:val="false"/>
          <w:smallCaps w:val="false"/>
          <w:sz w:val="17"/>
        </w:rPr>
        <w:t>Analysis of Operating Segments</w:t>
      </w:r>
      <w:r>
        <w:rPr>
          <w:sz w:val="17"/>
        </w:rPr>
        <w:t xml:space="preserve">” </w:t>
      </w:r>
      <w:r>
        <w:rPr>
          <w:rFonts w:ascii="inherit" w:hAnsi="inherit"/>
          <w:sz w:val="17"/>
        </w:rPr>
        <w:t>and “—</w:t>
      </w:r>
      <w:r>
        <w:rPr>
          <w:b w:val="false"/>
          <w:i w:val="false"/>
          <w:caps w:val="false"/>
          <w:smallCaps w:val="false"/>
          <w:sz w:val="17"/>
        </w:rPr>
        <w:t>Other Income and Expenses</w:t>
      </w:r>
      <w:r>
        <w:rPr>
          <w:sz w:val="17"/>
        </w:rPr>
        <w:t xml:space="preserve">” </w:t>
      </w:r>
      <w:r>
        <w:rPr>
          <w:rFonts w:ascii="inherit" w:hAnsi="inherit"/>
          <w:sz w:val="17"/>
        </w:rPr>
        <w:t>sections below. </w:t>
      </w:r>
    </w:p>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lineRule="auto" w:line="288" w:before="0" w:after="0"/>
        <w:ind w:left="0" w:right="0" w:firstLine="720"/>
        <w:rPr>
          <w:sz w:val="17"/>
        </w:rPr>
      </w:pPr>
      <w:r>
        <w:rPr>
          <w:rFonts w:ascii="inherit" w:hAnsi="inherit"/>
          <w:sz w:val="17"/>
        </w:rPr>
        <w:t>We invested $695 million</w:t>
      </w:r>
      <w:r>
        <w:rPr>
          <w:sz w:val="17"/>
        </w:rPr>
        <w:t xml:space="preserve"> </w:t>
      </w:r>
      <w:r>
        <w:rPr>
          <w:rFonts w:ascii="inherit" w:hAnsi="inherit"/>
          <w:sz w:val="17"/>
        </w:rPr>
        <w:t>in midstream infrastructure projects during the six months ended June 30, 2019, and we expect expansion capital for the full year of 2019</w:t>
      </w:r>
      <w:r>
        <w:rPr>
          <w:sz w:val="17"/>
        </w:rPr>
        <w:t xml:space="preserve"> </w:t>
      </w:r>
      <w:r>
        <w:rPr>
          <w:rFonts w:ascii="inherit" w:hAnsi="inherit"/>
          <w:sz w:val="17"/>
        </w:rPr>
        <w:t>to be approximately $1.5 billion, primarily related to projects under development in the Permian Basin. See the “—</w:t>
      </w:r>
      <w:r>
        <w:rPr>
          <w:b w:val="false"/>
          <w:sz w:val="17"/>
        </w:rPr>
        <w:t>Acquisitions and Capital Projects</w:t>
      </w:r>
      <w:r>
        <w:rPr>
          <w:sz w:val="17"/>
        </w:rPr>
        <w:t xml:space="preserve">” </w:t>
      </w:r>
      <w:r>
        <w:rPr>
          <w:rFonts w:ascii="inherit" w:hAnsi="inherit"/>
          <w:sz w:val="17"/>
        </w:rPr>
        <w:t xml:space="preserve">section below for additional information. </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ind w:left="0" w:right="0" w:firstLine="720"/>
        <w:rPr>
          <w:sz w:val="17"/>
        </w:rPr>
      </w:pPr>
      <w:r>
        <w:rPr>
          <w:rFonts w:ascii="inherit" w:hAnsi="inherit"/>
          <w:sz w:val="17"/>
        </w:rPr>
        <w:t xml:space="preserve">During 2019, we also announced the formation of several strategic joint ventures, including Wink to Webster Pipeline LLC, Red Oak Pipeline LLC and Red River Pipeline Company LLC. See </w:t>
      </w:r>
      <w:r>
        <w:rPr>
          <w:b w:val="false"/>
          <w:sz w:val="17"/>
        </w:rPr>
        <w:t>Note 7</w:t>
      </w:r>
      <w:r>
        <w:rPr>
          <w:sz w:val="17"/>
        </w:rPr>
        <w:t xml:space="preserve"> </w:t>
      </w:r>
      <w:r>
        <w:rPr>
          <w:rFonts w:ascii="inherit" w:hAnsi="inherit"/>
          <w:sz w:val="17"/>
        </w:rPr>
        <w:t xml:space="preserve">and </w:t>
      </w:r>
      <w:r>
        <w:rPr>
          <w:b w:val="false"/>
          <w:sz w:val="17"/>
        </w:rPr>
        <w:t>Note 9</w:t>
      </w:r>
      <w:r>
        <w:rPr>
          <w:sz w:val="17"/>
        </w:rPr>
        <w:t xml:space="preserve"> </w:t>
      </w:r>
      <w:r>
        <w:rPr>
          <w:rFonts w:ascii="inherit" w:hAnsi="inherit"/>
          <w:sz w:val="17"/>
        </w:rPr>
        <w:t>to our Condensed Consolidated Financial Statements for additional information.</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ind w:left="0" w:right="0" w:firstLine="720"/>
        <w:rPr>
          <w:sz w:val="17"/>
        </w:rPr>
      </w:pPr>
      <w:r>
        <w:rPr>
          <w:rFonts w:ascii="inherit" w:hAnsi="inherit"/>
          <w:sz w:val="17"/>
        </w:rPr>
        <w:t>We paid approximately $480 million</w:t>
      </w:r>
      <w:r>
        <w:rPr>
          <w:sz w:val="17"/>
        </w:rPr>
        <w:t xml:space="preserve"> </w:t>
      </w:r>
      <w:r>
        <w:rPr>
          <w:rFonts w:ascii="inherit" w:hAnsi="inherit"/>
          <w:sz w:val="17"/>
        </w:rPr>
        <w:t>of cash distributions to our common unitholders during the six months ended June 30, 2019. We also paid cash distributions of approximately $74 million to our Series A preferred unitholders, and we paid a semi-annual cash distribution of $24.5 million to our Series B preferred unitholders. In July 2019, we declared quarterly cash distributions of $0.36</w:t>
      </w:r>
      <w:r>
        <w:rPr>
          <w:sz w:val="17"/>
        </w:rPr>
        <w:t xml:space="preserve"> </w:t>
      </w:r>
      <w:r>
        <w:rPr>
          <w:rFonts w:ascii="inherit" w:hAnsi="inherit"/>
          <w:sz w:val="17"/>
        </w:rPr>
        <w:t>per common unit (a total distribution of $262 million) and $0.525 per Series A preferred unit (a total distribution of $37 million) to be paid on August 14, 2019.</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ind w:left="0" w:right="0" w:firstLine="720"/>
        <w:rPr>
          <w:rFonts w:ascii="inherit" w:hAnsi="inherit"/>
          <w:b/>
          <w:sz w:val="17"/>
        </w:rPr>
      </w:pPr>
      <w:r>
        <w:rPr>
          <w:rFonts w:ascii="inherit" w:hAnsi="inherit"/>
          <w:b/>
          <w:sz w:val="17"/>
        </w:rPr>
        <w:t>Leverage Reduction Plan Completion and Financial Policy Update</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ind w:left="0" w:right="0" w:firstLine="720"/>
        <w:jc w:val="left"/>
        <w:rPr>
          <w:rFonts w:ascii="inherit" w:hAnsi="inherit"/>
          <w:sz w:val="17"/>
        </w:rPr>
      </w:pPr>
      <w:r>
        <w:rPr>
          <w:rFonts w:ascii="inherit" w:hAnsi="inherit"/>
          <w:sz w:val="17"/>
        </w:rPr>
        <w:t>In August 2017, we announced that we were implementing an action plan to strengthen our balance sheet, reduce leverage, enhance our distribution coverage, minimize new issuances of common equity and position the Partnership for future distribution growth. The action plan (“Leverage Reduction Plan”), which was endorsed by the PAGP GP Board, included our intent to achieve certain objectives. During 2017 and 2018, we made meaningful progress in executing our Leverage Reduction Plan and in April 2019, we announced our achievement of the remaining objectives. Concurrent with the completion of the Leverage Reduction Plan, we completed a review of our approach to our capital allocation process, targeted leverage metrics and distribution management policies. As part of the April 2019 announcement, we provided several updates regarding our financial policy, including the following actions:</w:t>
      </w:r>
    </w:p>
    <w:p>
      <w:pPr>
        <w:pStyle w:val="TextBody"/>
        <w:spacing w:lineRule="auto" w:line="288" w:before="0" w:after="0"/>
        <w:ind w:left="0" w:right="0" w:firstLine="720"/>
        <w:jc w:val="left"/>
        <w:rPr>
          <w:rFonts w:ascii="inherit" w:hAnsi="inherit"/>
          <w:sz w:val="17"/>
        </w:rPr>
      </w:pPr>
      <w:r>
        <w:rPr>
          <w:rFonts w:ascii="inherit" w:hAnsi="inherit"/>
          <w:sz w:val="17"/>
        </w:rPr>
      </w:r>
    </w:p>
    <w:tbl>
      <w:tblPr>
        <w:tblW w:w="9400" w:type="dxa"/>
        <w:jc w:val="left"/>
        <w:tblInd w:w="0" w:type="dxa"/>
        <w:tblCellMar>
          <w:top w:w="0" w:type="dxa"/>
          <w:left w:w="0" w:type="dxa"/>
          <w:bottom w:w="0" w:type="dxa"/>
          <w:right w:w="0" w:type="dxa"/>
        </w:tblCellMar>
      </w:tblPr>
      <w:tblGrid>
        <w:gridCol w:w="485"/>
        <w:gridCol w:w="8915"/>
      </w:tblGrid>
      <w:tr>
        <w:trPr/>
        <w:tc>
          <w:tcPr>
            <w:tcW w:w="485" w:type="dxa"/>
            <w:tcBorders/>
            <w:shd w:fill="auto" w:val="clear"/>
            <w:vAlign w:val="center"/>
          </w:tcPr>
          <w:p>
            <w:pPr>
              <w:pStyle w:val="TableContents"/>
              <w:spacing w:before="0" w:after="283"/>
              <w:rPr>
                <w:sz w:val="4"/>
                <w:szCs w:val="4"/>
              </w:rPr>
            </w:pPr>
            <w:r>
              <w:rPr>
                <w:sz w:val="4"/>
                <w:szCs w:val="4"/>
              </w:rPr>
            </w:r>
          </w:p>
        </w:tc>
        <w:tc>
          <w:tcPr>
            <w:tcW w:w="891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891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Lowering our targeted long-term debt to Adjusted EBITDA leverage ratio by 0.5x to a range of 3.0x to 3.5x;</w:t>
            </w:r>
          </w:p>
        </w:tc>
      </w:tr>
    </w:tbl>
    <w:p>
      <w:pPr>
        <w:pStyle w:val="TextBody"/>
        <w:spacing w:lineRule="auto" w:line="288" w:before="0" w:after="0"/>
        <w:ind w:left="0" w:right="0" w:firstLine="720"/>
        <w:jc w:val="left"/>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Establishing a long-term sustainable minimum annual distribution coverage level of 130% underpinned by predominantly fee-based cash flows; and</w:t>
            </w:r>
          </w:p>
        </w:tc>
      </w:tr>
    </w:tbl>
    <w:p>
      <w:pPr>
        <w:pStyle w:val="TextBody"/>
        <w:spacing w:lineRule="auto" w:line="288" w:before="0" w:after="0"/>
        <w:ind w:left="0" w:right="0" w:firstLine="720"/>
        <w:jc w:val="left"/>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Our adoption of an annual cycle for setting the common unit distribution level and intention to increase common unit distributions in the future contingent on achieving and maintaining targeted leverage and coverage ratios and subject to an annual review process.</w:t>
            </w:r>
          </w:p>
        </w:tc>
      </w:tr>
    </w:tbl>
    <w:p>
      <w:pPr>
        <w:pStyle w:val="TextBody"/>
        <w:spacing w:lineRule="auto" w:line="288" w:before="0" w:after="0"/>
        <w:ind w:left="0" w:right="0" w:firstLine="360"/>
        <w:jc w:val="left"/>
        <w:rPr>
          <w:rFonts w:ascii="inherit" w:hAnsi="inherit"/>
          <w:sz w:val="17"/>
        </w:rPr>
      </w:pPr>
      <w:r>
        <w:rPr>
          <w:rFonts w:ascii="inherit" w:hAnsi="inherit"/>
          <w:sz w:val="17"/>
        </w:rPr>
      </w:r>
    </w:p>
    <w:p>
      <w:pPr>
        <w:pStyle w:val="TextBody"/>
        <w:spacing w:lineRule="auto" w:line="288" w:before="0" w:after="0"/>
        <w:ind w:left="0" w:right="0" w:firstLine="360"/>
        <w:jc w:val="left"/>
        <w:rPr>
          <w:rFonts w:ascii="inherit" w:hAnsi="inherit"/>
          <w:sz w:val="17"/>
        </w:rPr>
      </w:pPr>
      <w:r>
        <w:rPr>
          <w:rFonts w:ascii="inherit" w:hAnsi="inherit"/>
          <w:sz w:val="17"/>
        </w:rPr>
        <w:t>These actions reflect our dedication to optimizing sustainable unitholder value while also preserving and enhancing our financial flexibility, further reducing leverage and improving our credit profile, with an objective of achieving mid-BBB equivalent credit ratings over time. Consistent with those objectives, we announced that we intend to continue to focus on activities to enhance investment returns and reinforce capital discipline through asset optimization, joint ventures, potential divestitures and similar arrangements.</w:t>
      </w:r>
    </w:p>
    <w:p>
      <w:pPr>
        <w:pStyle w:val="TextBody"/>
        <w:spacing w:lineRule="auto" w:line="288" w:before="0" w:after="0"/>
        <w:ind w:left="0" w:right="0" w:firstLine="36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44</w:t>
      </w:r>
      <w:r>
        <w:br w:type="page"/>
      </w:r>
    </w:p>
    <w:p>
      <w:pPr>
        <w:pStyle w:val="TextBody"/>
        <w:spacing w:lineRule="auto" w:line="288" w:before="0" w:after="0"/>
        <w:rPr/>
      </w:pPr>
      <w:hyperlink w:anchor="s3336AD8A685850CC9B7F2572CB2C0BC3">
        <w:bookmarkStart w:id="32" w:name="s218C33DDFCDB5F82A8F809A9CF6A5C62"/>
        <w:bookmarkEnd w:id="32"/>
        <w:r>
          <w:rPr>
            <w:rStyle w:val="InternetLink"/>
            <w:rFonts w:ascii="inherit" w:hAnsi="inherit"/>
            <w:sz w:val="17"/>
          </w:rPr>
          <w:t>Table of Contents</w:t>
        </w:r>
      </w:hyperlink>
      <w:r>
        <w:rPr>
          <w:sz w:val="17"/>
        </w:rPr>
        <w:t xml:space="preserve"> </w:t>
      </w:r>
    </w:p>
    <w:p>
      <w:pPr>
        <w:pStyle w:val="TextBody"/>
        <w:spacing w:before="0" w:after="0"/>
        <w:rPr/>
      </w:pPr>
      <w:r>
        <w:rPr/>
      </w:r>
    </w:p>
    <w:p>
      <w:pPr>
        <w:pStyle w:val="TextBody"/>
        <w:spacing w:lineRule="auto" w:line="288" w:before="0" w:after="0"/>
        <w:rPr>
          <w:sz w:val="17"/>
        </w:rPr>
      </w:pPr>
      <w:r>
        <w:rPr>
          <w:b/>
          <w:sz w:val="17"/>
        </w:rPr>
        <w:t>Acquisitions and Capital Projects</w:t>
      </w:r>
      <w:r>
        <w:rPr>
          <w:sz w:val="17"/>
        </w:rPr>
        <w:t xml:space="preserve"> </w:t>
      </w:r>
    </w:p>
    <w:p>
      <w:pPr>
        <w:pStyle w:val="TextBody"/>
        <w:spacing w:lineRule="auto" w:line="288" w:before="0" w:after="0"/>
        <w:rPr/>
      </w:pPr>
      <w:r>
        <w:rPr/>
        <w:t> </w:t>
      </w:r>
    </w:p>
    <w:p>
      <w:pPr>
        <w:pStyle w:val="TextBody"/>
        <w:spacing w:lineRule="auto" w:line="288" w:before="0" w:after="0"/>
        <w:ind w:left="0" w:right="0" w:firstLine="720"/>
        <w:jc w:val="left"/>
        <w:rPr>
          <w:rFonts w:ascii="inherit" w:hAnsi="inherit"/>
          <w:sz w:val="17"/>
        </w:rPr>
      </w:pPr>
      <w:r>
        <w:rPr>
          <w:rFonts w:ascii="inherit" w:hAnsi="inherit"/>
          <w:sz w:val="17"/>
        </w:rPr>
        <w:t xml:space="preserve">The following table summarizes our expenditures for acquisition capital, expansion capital and maintenance capital (in millions): </w:t>
      </w:r>
    </w:p>
    <w:tbl>
      <w:tblPr>
        <w:tblW w:w="3319" w:type="dxa"/>
        <w:jc w:val="left"/>
        <w:tblInd w:w="0" w:type="dxa"/>
        <w:tblCellMar>
          <w:top w:w="0" w:type="dxa"/>
          <w:left w:w="0" w:type="dxa"/>
          <w:bottom w:w="0" w:type="dxa"/>
          <w:right w:w="0" w:type="dxa"/>
        </w:tblCellMar>
      </w:tblPr>
      <w:tblGrid>
        <w:gridCol w:w="1955"/>
        <w:gridCol w:w="157"/>
        <w:gridCol w:w="422"/>
        <w:gridCol w:w="37"/>
        <w:gridCol w:w="113"/>
        <w:gridCol w:w="157"/>
        <w:gridCol w:w="422"/>
        <w:gridCol w:w="56"/>
      </w:tblGrid>
      <w:tr>
        <w:trPr/>
        <w:tc>
          <w:tcPr>
            <w:tcW w:w="3319" w:type="dxa"/>
            <w:gridSpan w:val="8"/>
            <w:tcBorders/>
            <w:shd w:fill="auto" w:val="clear"/>
            <w:vAlign w:val="center"/>
          </w:tcPr>
          <w:p>
            <w:pPr>
              <w:pStyle w:val="TableContents"/>
              <w:spacing w:before="0" w:after="283"/>
              <w:rPr>
                <w:sz w:val="4"/>
                <w:szCs w:val="4"/>
              </w:rPr>
            </w:pPr>
            <w:r>
              <w:rPr>
                <w:sz w:val="4"/>
                <w:szCs w:val="4"/>
              </w:rPr>
            </w:r>
          </w:p>
        </w:tc>
      </w:tr>
      <w:tr>
        <w:trPr/>
        <w:tc>
          <w:tcPr>
            <w:tcW w:w="1955"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37"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5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955" w:type="dxa"/>
            <w:tcBorders/>
            <w:shd w:fill="auto" w:val="clear"/>
            <w:vAlign w:val="center"/>
          </w:tcPr>
          <w:p>
            <w:pPr>
              <w:pStyle w:val="TableContents"/>
              <w:spacing w:before="0" w:after="0"/>
              <w:ind w:left="0" w:right="0" w:firstLine="30"/>
              <w:rPr/>
            </w:pPr>
            <w:r>
              <w:rPr/>
              <w:t> </w:t>
            </w:r>
          </w:p>
        </w:tc>
        <w:tc>
          <w:tcPr>
            <w:tcW w:w="1364"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w:t>
              <w:br/>
              <w:t>June 30,</w:t>
            </w:r>
          </w:p>
        </w:tc>
      </w:tr>
      <w:tr>
        <w:trPr/>
        <w:tc>
          <w:tcPr>
            <w:tcW w:w="1955" w:type="dxa"/>
            <w:tcBorders/>
            <w:shd w:fill="auto" w:val="clear"/>
            <w:vAlign w:val="center"/>
          </w:tcPr>
          <w:p>
            <w:pPr>
              <w:pStyle w:val="TableContents"/>
              <w:spacing w:before="0" w:after="0"/>
              <w:ind w:left="0" w:right="0" w:firstLine="30"/>
              <w:jc w:val="left"/>
              <w:rPr/>
            </w:pPr>
            <w:r>
              <w:rPr/>
              <w:t> </w:t>
            </w:r>
          </w:p>
        </w:tc>
        <w:tc>
          <w:tcPr>
            <w:tcW w:w="616"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113" w:type="dxa"/>
            <w:tcBorders/>
            <w:shd w:fill="auto" w:val="clear"/>
            <w:vAlign w:val="center"/>
          </w:tcPr>
          <w:p>
            <w:pPr>
              <w:pStyle w:val="TableContents"/>
              <w:spacing w:before="0" w:after="0"/>
              <w:ind w:left="0" w:right="0" w:firstLine="30"/>
              <w:rPr/>
            </w:pPr>
            <w:r>
              <w:rPr/>
              <w:t> </w:t>
            </w:r>
          </w:p>
        </w:tc>
        <w:tc>
          <w:tcPr>
            <w:tcW w:w="63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r>
      <w:tr>
        <w:trPr/>
        <w:tc>
          <w:tcPr>
            <w:tcW w:w="19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Acquisition capital </w:t>
            </w:r>
          </w:p>
        </w:tc>
        <w:tc>
          <w:tcPr>
            <w:tcW w:w="15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22" w:type="dxa"/>
            <w:tcBorders/>
            <w:shd w:fill="CCEEFF" w:val="clear"/>
            <w:vAlign w:val="center"/>
          </w:tcPr>
          <w:p>
            <w:pPr>
              <w:pStyle w:val="TableContents"/>
              <w:spacing w:before="0" w:after="0"/>
              <w:jc w:val="right"/>
              <w:rPr>
                <w:rFonts w:ascii="inherit" w:hAnsi="inherit"/>
                <w:sz w:val="17"/>
              </w:rPr>
            </w:pPr>
            <w:r>
              <w:rPr>
                <w:rFonts w:ascii="inherit" w:hAnsi="inherit"/>
                <w:sz w:val="17"/>
              </w:rPr>
              <w:t>47</w:t>
            </w:r>
          </w:p>
        </w:tc>
        <w:tc>
          <w:tcPr>
            <w:tcW w:w="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15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22" w:type="dxa"/>
            <w:tcBorders/>
            <w:shd w:fill="CCEEFF" w:val="clear"/>
            <w:vAlign w:val="center"/>
          </w:tcPr>
          <w:p>
            <w:pPr>
              <w:pStyle w:val="TableContents"/>
              <w:spacing w:before="0" w:after="0"/>
              <w:jc w:val="right"/>
              <w:rPr/>
            </w:pPr>
            <w:r>
              <w:rPr/>
              <w:t>—</w:t>
            </w:r>
          </w:p>
        </w:tc>
        <w:tc>
          <w:tcPr>
            <w:tcW w:w="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955" w:type="dxa"/>
            <w:tcBorders/>
            <w:shd w:fill="auto" w:val="clear"/>
            <w:vAlign w:val="center"/>
          </w:tcPr>
          <w:p>
            <w:pPr>
              <w:pStyle w:val="TableContents"/>
              <w:spacing w:lineRule="auto" w:line="288" w:before="0" w:after="0"/>
              <w:ind w:left="0" w:right="0" w:firstLine="30"/>
              <w:rPr>
                <w:sz w:val="17"/>
              </w:rPr>
            </w:pPr>
            <w:r>
              <w:rPr>
                <w:rFonts w:ascii="inherit" w:hAnsi="inherit"/>
                <w:sz w:val="17"/>
              </w:rPr>
              <w:t xml:space="preserve">Expansion capital </w:t>
            </w:r>
            <w:r>
              <w:rPr>
                <w:rFonts w:ascii="inherit" w:hAnsi="inherit"/>
                <w:sz w:val="12"/>
              </w:rPr>
              <w:t>(1) (2)</w:t>
            </w:r>
          </w:p>
        </w:tc>
        <w:tc>
          <w:tcPr>
            <w:tcW w:w="57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695</w:t>
            </w:r>
          </w:p>
        </w:tc>
        <w:tc>
          <w:tcPr>
            <w:tcW w:w="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57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832</w:t>
            </w:r>
          </w:p>
        </w:tc>
        <w:tc>
          <w:tcPr>
            <w:tcW w:w="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955" w:type="dxa"/>
            <w:tcBorders/>
            <w:shd w:fill="CCEEFF" w:val="clear"/>
            <w:vAlign w:val="center"/>
          </w:tcPr>
          <w:p>
            <w:pPr>
              <w:pStyle w:val="TableContents"/>
              <w:spacing w:lineRule="auto" w:line="288" w:before="0" w:after="0"/>
              <w:ind w:left="0" w:right="0" w:firstLine="30"/>
              <w:rPr>
                <w:sz w:val="17"/>
              </w:rPr>
            </w:pPr>
            <w:r>
              <w:rPr>
                <w:rFonts w:ascii="inherit" w:hAnsi="inherit"/>
                <w:sz w:val="17"/>
              </w:rPr>
              <w:t xml:space="preserve">Maintenance capital </w:t>
            </w:r>
            <w:r>
              <w:rPr>
                <w:rFonts w:ascii="inherit" w:hAnsi="inherit"/>
                <w:sz w:val="12"/>
              </w:rPr>
              <w:t>(2)</w:t>
            </w:r>
          </w:p>
        </w:tc>
        <w:tc>
          <w:tcPr>
            <w:tcW w:w="57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118</w:t>
            </w:r>
          </w:p>
        </w:tc>
        <w:tc>
          <w:tcPr>
            <w:tcW w:w="3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CCEEFF" w:val="clear"/>
            <w:vAlign w:val="center"/>
          </w:tcPr>
          <w:p>
            <w:pPr>
              <w:pStyle w:val="TableContents"/>
              <w:spacing w:before="0" w:after="0"/>
              <w:ind w:left="0" w:right="0" w:firstLine="30"/>
              <w:rPr/>
            </w:pPr>
            <w:r>
              <w:rPr/>
              <w:t> </w:t>
            </w:r>
          </w:p>
        </w:tc>
        <w:tc>
          <w:tcPr>
            <w:tcW w:w="57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108</w:t>
            </w:r>
          </w:p>
        </w:tc>
        <w:tc>
          <w:tcPr>
            <w:tcW w:w="5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955" w:type="dxa"/>
            <w:tcBorders/>
            <w:shd w:fill="auto" w:val="clear"/>
            <w:vAlign w:val="center"/>
          </w:tcPr>
          <w:p>
            <w:pPr>
              <w:pStyle w:val="TableContents"/>
              <w:spacing w:before="0" w:after="0"/>
              <w:ind w:left="0" w:right="0" w:firstLine="30"/>
              <w:jc w:val="left"/>
              <w:rPr/>
            </w:pPr>
            <w:r>
              <w:rPr/>
              <w:t> </w:t>
            </w:r>
          </w:p>
        </w:tc>
        <w:tc>
          <w:tcPr>
            <w:tcW w:w="157"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22"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860</w:t>
            </w:r>
          </w:p>
        </w:tc>
        <w:tc>
          <w:tcPr>
            <w:tcW w:w="37"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3" w:type="dxa"/>
            <w:tcBorders/>
            <w:shd w:fill="auto" w:val="clear"/>
            <w:vAlign w:val="center"/>
          </w:tcPr>
          <w:p>
            <w:pPr>
              <w:pStyle w:val="TableContents"/>
              <w:spacing w:before="0" w:after="0"/>
              <w:ind w:left="0" w:right="0" w:firstLine="30"/>
              <w:rPr/>
            </w:pPr>
            <w:r>
              <w:rPr/>
              <w:t> </w:t>
            </w:r>
          </w:p>
        </w:tc>
        <w:tc>
          <w:tcPr>
            <w:tcW w:w="15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2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940</w:t>
            </w:r>
          </w:p>
        </w:tc>
        <w:tc>
          <w:tcPr>
            <w:tcW w:w="5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sz w:val="4"/>
                <w:szCs w:val="4"/>
              </w:rPr>
            </w:pPr>
            <w:r>
              <w:rPr>
                <w:sz w:val="4"/>
                <w:szCs w:val="4"/>
              </w:rPr>
            </w:r>
          </w:p>
        </w:tc>
      </w:tr>
      <w:tr>
        <w:trPr/>
        <w:tc>
          <w:tcPr>
            <w:tcW w:w="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 w:type="dxa"/>
            <w:tcBorders>
              <w:bottom w:val="single" w:sz="2" w:space="0" w:color="000000"/>
            </w:tcBorders>
            <w:shd w:fill="auto" w:val="clear"/>
            <w:tcMar>
              <w:bottom w:w="30" w:type="dxa"/>
            </w:tcMar>
            <w:vAlign w:val="center"/>
          </w:tcPr>
          <w:p>
            <w:pPr>
              <w:pStyle w:val="TableContents"/>
              <w:spacing w:before="0" w:after="0"/>
              <w:rPr/>
            </w:pPr>
            <w:r>
              <w:rPr/>
              <w:t> </w:t>
            </w:r>
          </w:p>
        </w:tc>
      </w:tr>
    </w:tbl>
    <w:tbl>
      <w:tblPr>
        <w:tblW w:w="10205" w:type="dxa"/>
        <w:jc w:val="left"/>
        <w:tblInd w:w="0" w:type="dxa"/>
        <w:tblCellMar>
          <w:top w:w="0" w:type="dxa"/>
          <w:left w:w="0" w:type="dxa"/>
          <w:bottom w:w="0" w:type="dxa"/>
          <w:right w:w="0" w:type="dxa"/>
        </w:tblCellMar>
      </w:tblPr>
      <w:tblGrid>
        <w:gridCol w:w="202"/>
        <w:gridCol w:w="10003"/>
      </w:tblGrid>
      <w:tr>
        <w:trPr/>
        <w:tc>
          <w:tcPr>
            <w:tcW w:w="202" w:type="dxa"/>
            <w:tcBorders/>
            <w:shd w:fill="auto" w:val="clear"/>
            <w:vAlign w:val="center"/>
          </w:tcPr>
          <w:p>
            <w:pPr>
              <w:pStyle w:val="TableContents"/>
              <w:spacing w:before="0" w:after="283"/>
              <w:rPr>
                <w:sz w:val="4"/>
                <w:szCs w:val="4"/>
              </w:rPr>
            </w:pPr>
            <w:r>
              <w:rPr>
                <w:sz w:val="4"/>
                <w:szCs w:val="4"/>
              </w:rPr>
            </w:r>
          </w:p>
        </w:tc>
        <w:tc>
          <w:tcPr>
            <w:tcW w:w="10003" w:type="dxa"/>
            <w:tcBorders/>
            <w:shd w:fill="auto" w:val="clear"/>
            <w:vAlign w:val="center"/>
          </w:tcPr>
          <w:p>
            <w:pPr>
              <w:pStyle w:val="TableContents"/>
              <w:spacing w:before="0" w:after="283"/>
              <w:rPr>
                <w:sz w:val="4"/>
                <w:szCs w:val="4"/>
              </w:rPr>
            </w:pPr>
            <w:r>
              <w:rPr>
                <w:sz w:val="4"/>
                <w:szCs w:val="4"/>
              </w:rPr>
            </w:r>
          </w:p>
        </w:tc>
      </w:tr>
      <w:tr>
        <w:trPr/>
        <w:tc>
          <w:tcPr>
            <w:tcW w:w="202"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(1)</w:t>
            </w:r>
            <w:r>
              <w:rPr>
                <w:rFonts w:ascii="inherit" w:hAnsi="inherit"/>
                <w:sz w:val="17"/>
              </w:rPr>
              <w:t> </w:t>
            </w:r>
          </w:p>
        </w:tc>
        <w:tc>
          <w:tcPr>
            <w:tcW w:w="10003" w:type="dxa"/>
            <w:tcBorders/>
            <w:shd w:fill="auto" w:val="clear"/>
            <w:vAlign w:val="center"/>
          </w:tcPr>
          <w:p>
            <w:pPr>
              <w:pStyle w:val="TableContents"/>
              <w:spacing w:lineRule="auto" w:line="288" w:before="0" w:after="0"/>
              <w:rPr>
                <w:rFonts w:ascii="inherit" w:hAnsi="inherit"/>
                <w:sz w:val="17"/>
              </w:rPr>
            </w:pPr>
            <w:r>
              <w:rPr>
                <w:rFonts w:ascii="inherit" w:hAnsi="inherit"/>
                <w:sz w:val="17"/>
              </w:rPr>
              <w:t>Contributions to unconsolidated entities related to expansion projects of such entities are recognized in “Expansion capital.” We account for our investments in such entities under the equity method of accounting.</w:t>
            </w:r>
          </w:p>
        </w:tc>
      </w:tr>
    </w:tbl>
    <w:tbl>
      <w:tblPr>
        <w:tblW w:w="10205" w:type="dxa"/>
        <w:jc w:val="left"/>
        <w:tblInd w:w="0" w:type="dxa"/>
        <w:tblCellMar>
          <w:top w:w="0" w:type="dxa"/>
          <w:left w:w="0" w:type="dxa"/>
          <w:bottom w:w="0" w:type="dxa"/>
          <w:right w:w="0" w:type="dxa"/>
        </w:tblCellMar>
      </w:tblPr>
      <w:tblGrid>
        <w:gridCol w:w="182"/>
        <w:gridCol w:w="10023"/>
      </w:tblGrid>
      <w:tr>
        <w:trPr/>
        <w:tc>
          <w:tcPr>
            <w:tcW w:w="182" w:type="dxa"/>
            <w:tcBorders/>
            <w:shd w:fill="auto" w:val="clear"/>
            <w:vAlign w:val="center"/>
          </w:tcPr>
          <w:p>
            <w:pPr>
              <w:pStyle w:val="TableContents"/>
              <w:spacing w:before="0" w:after="283"/>
              <w:rPr>
                <w:sz w:val="4"/>
                <w:szCs w:val="4"/>
              </w:rPr>
            </w:pPr>
            <w:r>
              <w:rPr>
                <w:sz w:val="4"/>
                <w:szCs w:val="4"/>
              </w:rPr>
            </w:r>
          </w:p>
        </w:tc>
        <w:tc>
          <w:tcPr>
            <w:tcW w:w="10023" w:type="dxa"/>
            <w:tcBorders/>
            <w:shd w:fill="auto" w:val="clear"/>
            <w:vAlign w:val="center"/>
          </w:tcPr>
          <w:p>
            <w:pPr>
              <w:pStyle w:val="TableContents"/>
              <w:spacing w:before="0" w:after="283"/>
              <w:rPr>
                <w:sz w:val="4"/>
                <w:szCs w:val="4"/>
              </w:rPr>
            </w:pPr>
            <w:r>
              <w:rPr>
                <w:sz w:val="4"/>
                <w:szCs w:val="4"/>
              </w:rPr>
            </w:r>
          </w:p>
        </w:tc>
      </w:tr>
      <w:tr>
        <w:trPr/>
        <w:tc>
          <w:tcPr>
            <w:tcW w:w="182"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(2)</w:t>
            </w:r>
            <w:r>
              <w:rPr>
                <w:rFonts w:ascii="inherit" w:hAnsi="inherit"/>
                <w:sz w:val="17"/>
              </w:rPr>
              <w:t> </w:t>
            </w:r>
          </w:p>
        </w:tc>
        <w:tc>
          <w:tcPr>
            <w:tcW w:w="10023" w:type="dxa"/>
            <w:tcBorders/>
            <w:shd w:fill="auto" w:val="clear"/>
            <w:vAlign w:val="center"/>
          </w:tcPr>
          <w:p>
            <w:pPr>
              <w:pStyle w:val="TableContents"/>
              <w:spacing w:lineRule="auto" w:line="288" w:before="0" w:after="0"/>
              <w:rPr>
                <w:rFonts w:ascii="inherit" w:hAnsi="inherit"/>
                <w:sz w:val="17"/>
              </w:rPr>
            </w:pPr>
            <w:r>
              <w:rPr>
                <w:rFonts w:ascii="inherit" w:hAnsi="inherit"/>
                <w:sz w:val="17"/>
              </w:rPr>
              <w:t>Capital expenditures made to expand the existing operating and/or earnings capacity of our assets are classified as expansion capital. Capital expenditures for the replacement and/or refurbishment of partially or fully depreciated assets in order to maintain the operating and/or earnings capacity of our existing assets are classified as maintenance capital.</w:t>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sz w:val="17"/>
        </w:rPr>
      </w:pPr>
      <w:r>
        <w:rPr>
          <w:rFonts w:ascii="inherit" w:hAnsi="inherit"/>
          <w:b/>
          <w:i/>
          <w:sz w:val="17"/>
        </w:rPr>
        <w:t>Expansion</w:t>
      </w:r>
      <w:r>
        <w:rPr>
          <w:sz w:val="17"/>
        </w:rPr>
        <w:t xml:space="preserve"> </w:t>
      </w:r>
      <w:r>
        <w:rPr>
          <w:rFonts w:ascii="inherit" w:hAnsi="inherit"/>
          <w:b/>
          <w:i/>
          <w:sz w:val="17"/>
        </w:rPr>
        <w:t>Capital Projects</w:t>
      </w:r>
    </w:p>
    <w:p>
      <w:pPr>
        <w:pStyle w:val="TextBody"/>
        <w:spacing w:lineRule="auto" w:line="288" w:before="0" w:after="0"/>
        <w:rPr/>
      </w:pPr>
      <w:r>
        <w:rPr/>
        <w:t> </w:t>
      </w:r>
    </w:p>
    <w:p>
      <w:pPr>
        <w:pStyle w:val="TextBody"/>
        <w:spacing w:lineRule="auto" w:line="288" w:before="0" w:after="0"/>
        <w:ind w:left="0" w:right="0" w:firstLine="720"/>
        <w:rPr>
          <w:sz w:val="17"/>
        </w:rPr>
      </w:pPr>
      <w:r>
        <w:rPr>
          <w:rFonts w:ascii="inherit" w:hAnsi="inherit"/>
          <w:sz w:val="17"/>
        </w:rPr>
        <w:t>The following table summarizes our notable projects in progress during 2019</w:t>
      </w:r>
      <w:r>
        <w:rPr>
          <w:sz w:val="17"/>
        </w:rPr>
        <w:t xml:space="preserve"> </w:t>
      </w:r>
      <w:r>
        <w:rPr>
          <w:rFonts w:ascii="inherit" w:hAnsi="inherit"/>
          <w:sz w:val="17"/>
        </w:rPr>
        <w:t>and the estimated cost for the year ending December 31, 2019</w:t>
      </w:r>
      <w:r>
        <w:rPr>
          <w:sz w:val="17"/>
        </w:rPr>
        <w:t xml:space="preserve"> </w:t>
      </w:r>
      <w:r>
        <w:rPr>
          <w:rFonts w:ascii="inherit" w:hAnsi="inherit"/>
          <w:sz w:val="17"/>
        </w:rPr>
        <w:t xml:space="preserve">(in millions): </w:t>
      </w:r>
    </w:p>
    <w:p>
      <w:pPr>
        <w:pStyle w:val="TextBody"/>
        <w:spacing w:lineRule="auto" w:line="288" w:before="0" w:after="0"/>
        <w:ind w:left="0" w:right="0" w:firstLine="720"/>
        <w:rPr>
          <w:rFonts w:ascii="inherit" w:hAnsi="inherit"/>
          <w:sz w:val="17"/>
        </w:rPr>
      </w:pPr>
      <w:r>
        <w:rPr>
          <w:rFonts w:ascii="inherit" w:hAnsi="inherit"/>
          <w:sz w:val="17"/>
        </w:rPr>
      </w:r>
    </w:p>
    <w:tbl>
      <w:tblPr>
        <w:tblW w:w="5595" w:type="dxa"/>
        <w:jc w:val="center"/>
        <w:tblInd w:w="0" w:type="dxa"/>
        <w:tblCellMar>
          <w:top w:w="0" w:type="dxa"/>
          <w:left w:w="0" w:type="dxa"/>
          <w:bottom w:w="0" w:type="dxa"/>
          <w:right w:w="0" w:type="dxa"/>
        </w:tblCellMar>
      </w:tblPr>
      <w:tblGrid>
        <w:gridCol w:w="4700"/>
        <w:gridCol w:w="90"/>
        <w:gridCol w:w="125"/>
        <w:gridCol w:w="485"/>
        <w:gridCol w:w="195"/>
      </w:tblGrid>
      <w:tr>
        <w:trPr/>
        <w:tc>
          <w:tcPr>
            <w:tcW w:w="5595" w:type="dxa"/>
            <w:gridSpan w:val="5"/>
            <w:tcBorders/>
            <w:shd w:fill="auto" w:val="clear"/>
            <w:vAlign w:val="center"/>
          </w:tcPr>
          <w:p>
            <w:pPr>
              <w:pStyle w:val="TableContents"/>
              <w:spacing w:before="0" w:after="283"/>
              <w:rPr>
                <w:sz w:val="4"/>
                <w:szCs w:val="4"/>
              </w:rPr>
            </w:pPr>
            <w:r>
              <w:rPr>
                <w:sz w:val="4"/>
                <w:szCs w:val="4"/>
              </w:rPr>
            </w:r>
          </w:p>
        </w:tc>
      </w:tr>
      <w:tr>
        <w:trPr/>
        <w:tc>
          <w:tcPr>
            <w:tcW w:w="470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700" w:type="dxa"/>
            <w:tcBorders>
              <w:bottom w:val="single" w:sz="2" w:space="0" w:color="000000"/>
            </w:tcBorders>
            <w:shd w:fill="auto" w:val="clear"/>
            <w:tcMar>
              <w:bottom w:w="30" w:type="dxa"/>
            </w:tcMar>
            <w:vAlign w:val="center"/>
          </w:tcPr>
          <w:p>
            <w:pPr>
              <w:pStyle w:val="TableContents"/>
              <w:spacing w:before="0" w:after="0"/>
              <w:ind w:left="0" w:right="0" w:firstLine="30"/>
              <w:rPr>
                <w:rFonts w:ascii="inherit" w:hAnsi="inherit"/>
                <w:b/>
                <w:sz w:val="13"/>
              </w:rPr>
            </w:pPr>
            <w:r>
              <w:rPr>
                <w:rFonts w:ascii="inherit" w:hAnsi="inherit"/>
                <w:b/>
                <w:sz w:val="13"/>
              </w:rPr>
              <w:t>Projects</w:t>
            </w:r>
          </w:p>
        </w:tc>
        <w:tc>
          <w:tcPr>
            <w:tcW w:w="90" w:type="dxa"/>
            <w:tcBorders/>
            <w:shd w:fill="auto" w:val="clear"/>
            <w:vAlign w:val="center"/>
          </w:tcPr>
          <w:p>
            <w:pPr>
              <w:pStyle w:val="TableContents"/>
              <w:spacing w:before="0" w:after="0"/>
              <w:ind w:left="0" w:right="0" w:firstLine="30"/>
              <w:rPr/>
            </w:pPr>
            <w:r>
              <w:rPr/>
              <w:t> </w:t>
            </w:r>
          </w:p>
        </w:tc>
        <w:tc>
          <w:tcPr>
            <w:tcW w:w="80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r>
      <w:tr>
        <w:trPr/>
        <w:tc>
          <w:tcPr>
            <w:tcW w:w="47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Permian Basin Takeaway Pipeline Projects</w:t>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570</w:t>
            </w:r>
          </w:p>
        </w:tc>
        <w:tc>
          <w:tcPr>
            <w:tcW w:w="1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7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Complementary Permian Basin Projects</w:t>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485</w:t>
            </w:r>
          </w:p>
        </w:tc>
        <w:tc>
          <w:tcPr>
            <w:tcW w:w="1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7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Selected Facilities</w:t>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105</w:t>
            </w:r>
          </w:p>
        </w:tc>
        <w:tc>
          <w:tcPr>
            <w:tcW w:w="1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7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Long-Haul Pipeline Projects</w:t>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100</w:t>
            </w:r>
          </w:p>
        </w:tc>
        <w:tc>
          <w:tcPr>
            <w:tcW w:w="1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7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Projects</w:t>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240</w:t>
            </w:r>
          </w:p>
        </w:tc>
        <w:tc>
          <w:tcPr>
            <w:tcW w:w="19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700" w:type="dxa"/>
            <w:tcBorders/>
            <w:shd w:fill="auto" w:val="clear"/>
            <w:vAlign w:val="center"/>
          </w:tcPr>
          <w:p>
            <w:pPr>
              <w:pStyle w:val="TableContents"/>
              <w:spacing w:lineRule="auto" w:line="288" w:before="0" w:after="0"/>
              <w:ind w:left="0" w:right="0" w:firstLine="30"/>
              <w:jc w:val="left"/>
              <w:rPr>
                <w:sz w:val="17"/>
              </w:rPr>
            </w:pPr>
            <w:r>
              <w:rPr>
                <w:rFonts w:ascii="inherit" w:hAnsi="inherit"/>
                <w:sz w:val="17"/>
              </w:rPr>
              <w:t xml:space="preserve">Total Projected 2019 Expansion Capital Expenditures </w:t>
            </w:r>
            <w:r>
              <w:rPr>
                <w:rFonts w:ascii="inherit" w:hAnsi="inherit"/>
                <w:sz w:val="12"/>
              </w:rPr>
              <w:t>(1)</w:t>
            </w:r>
          </w:p>
        </w:tc>
        <w:tc>
          <w:tcPr>
            <w:tcW w:w="90" w:type="dxa"/>
            <w:tcBorders/>
            <w:shd w:fill="auto"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1,500</w:t>
            </w:r>
          </w:p>
        </w:tc>
        <w:tc>
          <w:tcPr>
            <w:tcW w:w="19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sz w:val="4"/>
                <w:szCs w:val="4"/>
              </w:rPr>
            </w:pPr>
            <w:r>
              <w:rPr>
                <w:sz w:val="4"/>
                <w:szCs w:val="4"/>
              </w:rPr>
            </w:r>
          </w:p>
        </w:tc>
      </w:tr>
      <w:tr>
        <w:trPr/>
        <w:tc>
          <w:tcPr>
            <w:tcW w:w="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 w:type="dxa"/>
            <w:tcBorders>
              <w:bottom w:val="single" w:sz="2" w:space="0" w:color="000000"/>
            </w:tcBorders>
            <w:shd w:fill="auto" w:val="clear"/>
            <w:tcMar>
              <w:bottom w:w="30" w:type="dxa"/>
            </w:tcMar>
            <w:vAlign w:val="center"/>
          </w:tcPr>
          <w:p>
            <w:pPr>
              <w:pStyle w:val="TableContents"/>
              <w:spacing w:before="0" w:after="0"/>
              <w:rPr/>
            </w:pPr>
            <w:r>
              <w:rPr/>
              <w:t> </w:t>
            </w:r>
          </w:p>
        </w:tc>
      </w:tr>
    </w:tbl>
    <w:tbl>
      <w:tblPr>
        <w:tblW w:w="10205" w:type="dxa"/>
        <w:jc w:val="left"/>
        <w:tblInd w:w="0" w:type="dxa"/>
        <w:tblCellMar>
          <w:top w:w="0" w:type="dxa"/>
          <w:left w:w="0" w:type="dxa"/>
          <w:bottom w:w="0" w:type="dxa"/>
          <w:right w:w="0" w:type="dxa"/>
        </w:tblCellMar>
      </w:tblPr>
      <w:tblGrid>
        <w:gridCol w:w="215"/>
        <w:gridCol w:w="9990"/>
      </w:tblGrid>
      <w:tr>
        <w:trPr/>
        <w:tc>
          <w:tcPr>
            <w:tcW w:w="215" w:type="dxa"/>
            <w:tcBorders/>
            <w:shd w:fill="auto" w:val="clear"/>
            <w:vAlign w:val="center"/>
          </w:tcPr>
          <w:p>
            <w:pPr>
              <w:pStyle w:val="TableContents"/>
              <w:spacing w:before="0" w:after="283"/>
              <w:rPr>
                <w:sz w:val="4"/>
                <w:szCs w:val="4"/>
              </w:rPr>
            </w:pPr>
            <w:r>
              <w:rPr>
                <w:sz w:val="4"/>
                <w:szCs w:val="4"/>
              </w:rPr>
            </w:r>
          </w:p>
        </w:tc>
        <w:tc>
          <w:tcPr>
            <w:tcW w:w="9990" w:type="dxa"/>
            <w:tcBorders/>
            <w:shd w:fill="auto" w:val="clear"/>
            <w:vAlign w:val="center"/>
          </w:tcPr>
          <w:p>
            <w:pPr>
              <w:pStyle w:val="TableContents"/>
              <w:spacing w:before="0" w:after="283"/>
              <w:rPr>
                <w:sz w:val="4"/>
                <w:szCs w:val="4"/>
              </w:rPr>
            </w:pPr>
            <w:r>
              <w:rPr>
                <w:sz w:val="4"/>
                <w:szCs w:val="4"/>
              </w:rPr>
            </w:r>
          </w:p>
        </w:tc>
      </w:tr>
      <w:tr>
        <w:trPr/>
        <w:tc>
          <w:tcPr>
            <w:tcW w:w="215"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(1)</w:t>
            </w:r>
            <w:r>
              <w:rPr>
                <w:rFonts w:ascii="inherit" w:hAnsi="inherit"/>
                <w:sz w:val="17"/>
              </w:rPr>
              <w:t> </w:t>
            </w:r>
          </w:p>
        </w:tc>
        <w:tc>
          <w:tcPr>
            <w:tcW w:w="9990" w:type="dxa"/>
            <w:tcBorders/>
            <w:shd w:fill="auto" w:val="clear"/>
            <w:vAlign w:val="center"/>
          </w:tcPr>
          <w:p>
            <w:pPr>
              <w:pStyle w:val="TableContents"/>
              <w:spacing w:lineRule="auto" w:line="288" w:before="0" w:after="0"/>
              <w:rPr>
                <w:rFonts w:ascii="inherit" w:hAnsi="inherit"/>
                <w:sz w:val="17"/>
              </w:rPr>
            </w:pPr>
            <w:r>
              <w:rPr>
                <w:rFonts w:ascii="inherit" w:hAnsi="inherit"/>
                <w:sz w:val="17"/>
              </w:rPr>
              <w:t>Amounts reflect our expectation that certain projects will be owned in a joint venture structure with a proportionate share of the project cost dispersed among the partners.</w:t>
            </w:r>
          </w:p>
        </w:tc>
      </w:tr>
    </w:tbl>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45</w:t>
      </w:r>
      <w:r>
        <w:br w:type="page"/>
      </w:r>
    </w:p>
    <w:p>
      <w:pPr>
        <w:pStyle w:val="TextBody"/>
        <w:spacing w:lineRule="auto" w:line="288" w:before="0" w:after="0"/>
        <w:rPr/>
      </w:pPr>
      <w:hyperlink w:anchor="s3336AD8A685850CC9B7F2572CB2C0BC3">
        <w:bookmarkStart w:id="33" w:name="sA78184E9333F58CF8D5771B201BF97C3"/>
        <w:bookmarkEnd w:id="33"/>
        <w:r>
          <w:rPr>
            <w:rStyle w:val="InternetLink"/>
            <w:rFonts w:ascii="inherit" w:hAnsi="inherit"/>
            <w:sz w:val="17"/>
          </w:rPr>
          <w:t>Table of Contents</w:t>
        </w:r>
      </w:hyperlink>
      <w:r>
        <w:rPr>
          <w:sz w:val="17"/>
        </w:rPr>
        <w:t xml:space="preserve"> </w:t>
      </w:r>
    </w:p>
    <w:p>
      <w:pPr>
        <w:pStyle w:val="TextBody"/>
        <w:spacing w:before="0" w:after="0"/>
        <w:rPr/>
      </w:pPr>
      <w:r>
        <w:rPr/>
      </w:r>
    </w:p>
    <w:p>
      <w:pPr>
        <w:pStyle w:val="TextBody"/>
        <w:spacing w:lineRule="auto" w:line="288" w:before="0" w:after="0"/>
        <w:rPr>
          <w:sz w:val="17"/>
        </w:rPr>
      </w:pPr>
      <w:r>
        <w:rPr>
          <w:b/>
          <w:sz w:val="17"/>
        </w:rPr>
        <w:t>Results of Operations</w:t>
      </w:r>
      <w:r>
        <w:rPr>
          <w:sz w:val="17"/>
        </w:rPr>
        <w:t xml:space="preserve"> </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The following table sets forth an overview of our consolidated financial results calculated in accordance with GAAP (in millions, except per unit data): </w:t>
      </w:r>
    </w:p>
    <w:tbl>
      <w:tblPr>
        <w:tblW w:w="10205" w:type="dxa"/>
        <w:jc w:val="left"/>
        <w:tblInd w:w="0" w:type="dxa"/>
        <w:tblCellMar>
          <w:top w:w="0" w:type="dxa"/>
          <w:left w:w="0" w:type="dxa"/>
          <w:bottom w:w="0" w:type="dxa"/>
          <w:right w:w="0" w:type="dxa"/>
        </w:tblCellMar>
      </w:tblPr>
      <w:tblGrid>
        <w:gridCol w:w="4172"/>
        <w:gridCol w:w="138"/>
        <w:gridCol w:w="422"/>
        <w:gridCol w:w="122"/>
        <w:gridCol w:w="99"/>
        <w:gridCol w:w="138"/>
        <w:gridCol w:w="422"/>
        <w:gridCol w:w="122"/>
        <w:gridCol w:w="90"/>
        <w:gridCol w:w="125"/>
        <w:gridCol w:w="380"/>
        <w:gridCol w:w="110"/>
        <w:gridCol w:w="90"/>
        <w:gridCol w:w="335"/>
        <w:gridCol w:w="260"/>
        <w:gridCol w:w="90"/>
        <w:gridCol w:w="90"/>
        <w:gridCol w:w="125"/>
        <w:gridCol w:w="485"/>
        <w:gridCol w:w="110"/>
        <w:gridCol w:w="90"/>
        <w:gridCol w:w="125"/>
        <w:gridCol w:w="380"/>
        <w:gridCol w:w="110"/>
        <w:gridCol w:w="90"/>
        <w:gridCol w:w="125"/>
        <w:gridCol w:w="485"/>
        <w:gridCol w:w="110"/>
        <w:gridCol w:w="90"/>
        <w:gridCol w:w="395"/>
        <w:gridCol w:w="280"/>
      </w:tblGrid>
      <w:tr>
        <w:trPr/>
        <w:tc>
          <w:tcPr>
            <w:tcW w:w="10205" w:type="dxa"/>
            <w:gridSpan w:val="31"/>
            <w:tcBorders/>
            <w:shd w:fill="auto" w:val="clear"/>
            <w:vAlign w:val="center"/>
          </w:tcPr>
          <w:p>
            <w:pPr>
              <w:pStyle w:val="TableContents"/>
              <w:spacing w:before="0" w:after="283"/>
              <w:rPr>
                <w:sz w:val="4"/>
                <w:szCs w:val="4"/>
              </w:rPr>
            </w:pPr>
            <w:r>
              <w:rPr>
                <w:sz w:val="4"/>
                <w:szCs w:val="4"/>
              </w:rPr>
            </w:r>
          </w:p>
        </w:tc>
      </w:tr>
      <w:tr>
        <w:trPr/>
        <w:tc>
          <w:tcPr>
            <w:tcW w:w="4172"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172" w:type="dxa"/>
            <w:tcBorders/>
            <w:shd w:fill="auto" w:val="clear"/>
            <w:vAlign w:val="center"/>
          </w:tcPr>
          <w:p>
            <w:pPr>
              <w:pStyle w:val="TableContents"/>
              <w:spacing w:before="0" w:after="0"/>
              <w:ind w:left="0" w:right="0" w:firstLine="30"/>
              <w:rPr/>
            </w:pPr>
            <w:r>
              <w:rPr/>
              <w:t> </w:t>
            </w:r>
          </w:p>
        </w:tc>
        <w:tc>
          <w:tcPr>
            <w:tcW w:w="1463"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w:t>
              <w:br/>
              <w:t>June 30,</w:t>
            </w:r>
          </w:p>
        </w:tc>
        <w:tc>
          <w:tcPr>
            <w:tcW w:w="90" w:type="dxa"/>
            <w:tcBorders/>
            <w:shd w:fill="auto" w:val="clear"/>
            <w:vAlign w:val="center"/>
          </w:tcPr>
          <w:p>
            <w:pPr>
              <w:pStyle w:val="TableContents"/>
              <w:spacing w:before="0" w:after="0"/>
              <w:ind w:left="0" w:right="0" w:firstLine="30"/>
              <w:rPr/>
            </w:pPr>
            <w:r>
              <w:rPr/>
              <w:t> </w:t>
            </w:r>
          </w:p>
        </w:tc>
        <w:tc>
          <w:tcPr>
            <w:tcW w:w="1300" w:type="dxa"/>
            <w:gridSpan w:val="6"/>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Variance</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425"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w:t>
              <w:br/>
              <w:t>June 30,</w:t>
            </w:r>
          </w:p>
        </w:tc>
        <w:tc>
          <w:tcPr>
            <w:tcW w:w="90" w:type="dxa"/>
            <w:tcBorders/>
            <w:shd w:fill="auto" w:val="clear"/>
            <w:vAlign w:val="center"/>
          </w:tcPr>
          <w:p>
            <w:pPr>
              <w:pStyle w:val="TableContents"/>
              <w:spacing w:before="0" w:after="0"/>
              <w:ind w:left="0" w:right="0" w:firstLine="30"/>
              <w:rPr/>
            </w:pPr>
            <w:r>
              <w:rPr/>
              <w:t> </w:t>
            </w:r>
          </w:p>
        </w:tc>
        <w:tc>
          <w:tcPr>
            <w:tcW w:w="1485" w:type="dxa"/>
            <w:gridSpan w:val="6"/>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Variance</w:t>
            </w:r>
          </w:p>
        </w:tc>
      </w:tr>
      <w:tr>
        <w:trPr/>
        <w:tc>
          <w:tcPr>
            <w:tcW w:w="4172" w:type="dxa"/>
            <w:tcBorders/>
            <w:shd w:fill="auto" w:val="clear"/>
            <w:vAlign w:val="center"/>
          </w:tcPr>
          <w:p>
            <w:pPr>
              <w:pStyle w:val="TableContents"/>
              <w:spacing w:before="0" w:after="0"/>
              <w:ind w:left="0" w:right="0" w:firstLine="30"/>
              <w:jc w:val="left"/>
              <w:rPr/>
            </w:pPr>
            <w:r>
              <w:rPr/>
              <w:t> </w:t>
            </w:r>
          </w:p>
        </w:tc>
        <w:tc>
          <w:tcPr>
            <w:tcW w:w="682"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99" w:type="dxa"/>
            <w:tcBorders/>
            <w:shd w:fill="auto" w:val="clear"/>
            <w:vAlign w:val="center"/>
          </w:tcPr>
          <w:p>
            <w:pPr>
              <w:pStyle w:val="TableContents"/>
              <w:spacing w:before="0" w:after="0"/>
              <w:ind w:left="0" w:right="0" w:firstLine="30"/>
              <w:rPr/>
            </w:pPr>
            <w:r>
              <w:rPr/>
              <w:t> </w:t>
            </w:r>
          </w:p>
        </w:tc>
        <w:tc>
          <w:tcPr>
            <w:tcW w:w="682"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0" w:type="dxa"/>
            <w:tcBorders/>
            <w:shd w:fill="auto" w:val="clear"/>
            <w:vAlign w:val="center"/>
          </w:tcPr>
          <w:p>
            <w:pPr>
              <w:pStyle w:val="TableContents"/>
              <w:spacing w:before="0" w:after="0"/>
              <w:ind w:left="0" w:right="0" w:firstLine="30"/>
              <w:rPr/>
            </w:pPr>
            <w:r>
              <w:rPr/>
              <w:t> </w:t>
            </w:r>
          </w:p>
        </w:tc>
        <w:tc>
          <w:tcPr>
            <w:tcW w:w="61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w:t>
            </w:r>
          </w:p>
        </w:tc>
        <w:tc>
          <w:tcPr>
            <w:tcW w:w="90" w:type="dxa"/>
            <w:tcBorders/>
            <w:shd w:fill="auto" w:val="clear"/>
            <w:vAlign w:val="center"/>
          </w:tcPr>
          <w:p>
            <w:pPr>
              <w:pStyle w:val="TableContents"/>
              <w:spacing w:before="0" w:after="0"/>
              <w:ind w:left="0" w:right="0" w:firstLine="30"/>
              <w:rPr/>
            </w:pPr>
            <w:r>
              <w:rPr/>
              <w:t> </w:t>
            </w:r>
          </w:p>
        </w:tc>
        <w:tc>
          <w:tcPr>
            <w:tcW w:w="595"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20"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90" w:type="dxa"/>
            <w:tcBorders/>
            <w:shd w:fill="auto" w:val="clear"/>
            <w:vAlign w:val="center"/>
          </w:tcPr>
          <w:p>
            <w:pPr>
              <w:pStyle w:val="TableContents"/>
              <w:spacing w:before="0" w:after="0"/>
              <w:ind w:left="0" w:right="0" w:firstLine="30"/>
              <w:rPr/>
            </w:pPr>
            <w:r>
              <w:rPr/>
              <w:t> </w:t>
            </w:r>
          </w:p>
        </w:tc>
        <w:tc>
          <w:tcPr>
            <w:tcW w:w="61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0" w:type="dxa"/>
            <w:tcBorders/>
            <w:shd w:fill="auto" w:val="clear"/>
            <w:vAlign w:val="center"/>
          </w:tcPr>
          <w:p>
            <w:pPr>
              <w:pStyle w:val="TableContents"/>
              <w:spacing w:before="0" w:after="0"/>
              <w:ind w:left="0" w:right="0" w:firstLine="30"/>
              <w:rPr/>
            </w:pPr>
            <w:r>
              <w:rPr/>
              <w:t> </w:t>
            </w:r>
          </w:p>
        </w:tc>
        <w:tc>
          <w:tcPr>
            <w:tcW w:w="72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w:t>
            </w:r>
          </w:p>
        </w:tc>
        <w:tc>
          <w:tcPr>
            <w:tcW w:w="90" w:type="dxa"/>
            <w:tcBorders/>
            <w:shd w:fill="auto" w:val="clear"/>
            <w:vAlign w:val="center"/>
          </w:tcPr>
          <w:p>
            <w:pPr>
              <w:pStyle w:val="TableContents"/>
              <w:spacing w:before="0" w:after="0"/>
              <w:ind w:left="0" w:right="0" w:firstLine="30"/>
              <w:rPr/>
            </w:pPr>
            <w:r>
              <w:rPr/>
              <w:t> </w:t>
            </w:r>
          </w:p>
        </w:tc>
        <w:tc>
          <w:tcPr>
            <w:tcW w:w="675"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w:t>
            </w:r>
          </w:p>
        </w:tc>
      </w:tr>
      <w:tr>
        <w:trPr/>
        <w:tc>
          <w:tcPr>
            <w:tcW w:w="4172" w:type="dxa"/>
            <w:tcBorders/>
            <w:shd w:fill="CCEEFF" w:val="clear"/>
            <w:vAlign w:val="center"/>
          </w:tcPr>
          <w:p>
            <w:pPr>
              <w:pStyle w:val="TableContents"/>
              <w:spacing w:lineRule="auto" w:line="288" w:before="0" w:after="0"/>
              <w:ind w:left="0" w:right="0" w:firstLine="30"/>
              <w:rPr>
                <w:sz w:val="17"/>
              </w:rPr>
            </w:pPr>
            <w:r>
              <w:rPr>
                <w:rFonts w:ascii="inherit" w:hAnsi="inherit"/>
                <w:sz w:val="17"/>
              </w:rPr>
              <w:t xml:space="preserve">Transportation Segment Adjusted EBITDA </w:t>
            </w:r>
            <w:r>
              <w:rPr>
                <w:rFonts w:ascii="inherit" w:hAnsi="inherit"/>
                <w:sz w:val="12"/>
              </w:rPr>
              <w:t>(1)</w:t>
            </w:r>
          </w:p>
        </w:tc>
        <w:tc>
          <w:tcPr>
            <w:tcW w:w="138"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422"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410</w:t>
            </w:r>
          </w:p>
        </w:tc>
        <w:tc>
          <w:tcPr>
            <w:tcW w:w="122"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9" w:type="dxa"/>
            <w:tcBorders/>
            <w:shd w:fill="CCEEFF" w:val="clear"/>
            <w:vAlign w:val="center"/>
          </w:tcPr>
          <w:p>
            <w:pPr>
              <w:pStyle w:val="TableContents"/>
              <w:spacing w:before="0" w:after="0"/>
              <w:ind w:left="0" w:right="0" w:firstLine="30"/>
              <w:rPr/>
            </w:pPr>
            <w:r>
              <w:rPr/>
              <w:t> </w:t>
            </w:r>
          </w:p>
        </w:tc>
        <w:tc>
          <w:tcPr>
            <w:tcW w:w="138"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422"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360</w:t>
            </w:r>
          </w:p>
        </w:tc>
        <w:tc>
          <w:tcPr>
            <w:tcW w:w="122"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380"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50</w:t>
            </w:r>
          </w:p>
        </w:tc>
        <w:tc>
          <w:tcPr>
            <w:tcW w:w="11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35"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14</w:t>
            </w:r>
          </w:p>
        </w:tc>
        <w:tc>
          <w:tcPr>
            <w:tcW w:w="260" w:type="dxa"/>
            <w:tcBorders>
              <w:top w:val="single" w:sz="2" w:space="0" w:color="000000"/>
            </w:tcBorders>
            <w:shd w:fill="CCEEFF" w:val="clear"/>
            <w:tcMar>
              <w:top w:w="30" w:type="dxa"/>
            </w:tcMar>
            <w:vAlign w:val="center"/>
          </w:tcPr>
          <w:p>
            <w:pPr>
              <w:pStyle w:val="TableContents"/>
              <w:spacing w:before="0" w:after="0"/>
              <w:ind w:left="0" w:right="0" w:firstLine="30"/>
              <w:jc w:val="left"/>
              <w:rPr/>
            </w:pPr>
            <w:r>
              <w:rPr/>
              <w:t> </w:t>
            </w: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125"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809</w:t>
            </w:r>
          </w:p>
        </w:tc>
        <w:tc>
          <w:tcPr>
            <w:tcW w:w="11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380"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695</w:t>
            </w:r>
          </w:p>
        </w:tc>
        <w:tc>
          <w:tcPr>
            <w:tcW w:w="11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114</w:t>
            </w:r>
          </w:p>
        </w:tc>
        <w:tc>
          <w:tcPr>
            <w:tcW w:w="11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95"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16</w:t>
            </w:r>
          </w:p>
        </w:tc>
        <w:tc>
          <w:tcPr>
            <w:tcW w:w="280" w:type="dxa"/>
            <w:tcBorders>
              <w:top w:val="single" w:sz="2" w:space="0" w:color="000000"/>
            </w:tcBorders>
            <w:shd w:fill="CCEEFF" w:val="clear"/>
            <w:tcMar>
              <w:top w:w="30" w:type="dxa"/>
            </w:tcMar>
            <w:vAlign w:val="center"/>
          </w:tcPr>
          <w:p>
            <w:pPr>
              <w:pStyle w:val="TableContents"/>
              <w:spacing w:before="0" w:after="0"/>
              <w:ind w:left="0" w:right="0" w:firstLine="30"/>
              <w:jc w:val="left"/>
              <w:rPr/>
            </w:pPr>
            <w:r>
              <w:rPr/>
              <w:t> </w:t>
            </w:r>
            <w:r>
              <w:rPr>
                <w:rFonts w:ascii="inherit" w:hAnsi="inherit"/>
                <w:sz w:val="17"/>
              </w:rPr>
              <w:t>%</w:t>
            </w:r>
          </w:p>
        </w:tc>
      </w:tr>
      <w:tr>
        <w:trPr/>
        <w:tc>
          <w:tcPr>
            <w:tcW w:w="4172" w:type="dxa"/>
            <w:tcBorders/>
            <w:shd w:fill="auto" w:val="clear"/>
            <w:vAlign w:val="center"/>
          </w:tcPr>
          <w:p>
            <w:pPr>
              <w:pStyle w:val="TableContents"/>
              <w:spacing w:lineRule="auto" w:line="288" w:before="0" w:after="0"/>
              <w:ind w:left="0" w:right="0" w:firstLine="30"/>
              <w:rPr>
                <w:sz w:val="17"/>
              </w:rPr>
            </w:pPr>
            <w:r>
              <w:rPr>
                <w:rFonts w:ascii="inherit" w:hAnsi="inherit"/>
                <w:sz w:val="17"/>
              </w:rPr>
              <w:t xml:space="preserve">Facilities Segment Adjusted EBITDA </w:t>
            </w:r>
            <w:r>
              <w:rPr>
                <w:rFonts w:ascii="inherit" w:hAnsi="inherit"/>
                <w:sz w:val="12"/>
              </w:rPr>
              <w:t>(1)</w:t>
            </w:r>
          </w:p>
        </w:tc>
        <w:tc>
          <w:tcPr>
            <w:tcW w:w="56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172</w:t>
            </w:r>
          </w:p>
        </w:tc>
        <w:tc>
          <w:tcPr>
            <w:tcW w:w="1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9" w:type="dxa"/>
            <w:tcBorders/>
            <w:shd w:fill="auto" w:val="clear"/>
            <w:vAlign w:val="center"/>
          </w:tcPr>
          <w:p>
            <w:pPr>
              <w:pStyle w:val="TableContents"/>
              <w:spacing w:before="0" w:after="0"/>
              <w:ind w:left="0" w:right="0" w:firstLine="30"/>
              <w:rPr/>
            </w:pPr>
            <w:r>
              <w:rPr/>
              <w:t> </w:t>
            </w:r>
          </w:p>
        </w:tc>
        <w:tc>
          <w:tcPr>
            <w:tcW w:w="56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171</w:t>
            </w:r>
          </w:p>
        </w:tc>
        <w:tc>
          <w:tcPr>
            <w:tcW w:w="1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0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335" w:type="dxa"/>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260" w:type="dxa"/>
            <w:tcBorders/>
            <w:shd w:fill="auto" w:val="clear"/>
            <w:vAlign w:val="center"/>
          </w:tcPr>
          <w:p>
            <w:pPr>
              <w:pStyle w:val="TableContents"/>
              <w:spacing w:before="0" w:after="0"/>
              <w:ind w:left="0" w:right="0" w:firstLine="30"/>
              <w:jc w:val="left"/>
              <w:rPr/>
            </w:pPr>
            <w:r>
              <w:rPr/>
              <w:t> </w:t>
            </w: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356</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0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357</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395" w:type="dxa"/>
            <w:tcBorders/>
            <w:shd w:fill="auto" w:val="clear"/>
            <w:vAlign w:val="center"/>
          </w:tcPr>
          <w:p>
            <w:pPr>
              <w:pStyle w:val="TableContents"/>
              <w:spacing w:before="0" w:after="0"/>
              <w:jc w:val="right"/>
              <w:rPr/>
            </w:pPr>
            <w:r>
              <w:rPr/>
              <w:t>—</w:t>
            </w:r>
          </w:p>
        </w:tc>
        <w:tc>
          <w:tcPr>
            <w:tcW w:w="280" w:type="dxa"/>
            <w:tcBorders/>
            <w:shd w:fill="auto" w:val="clear"/>
            <w:vAlign w:val="center"/>
          </w:tcPr>
          <w:p>
            <w:pPr>
              <w:pStyle w:val="TableContents"/>
              <w:spacing w:before="0" w:after="0"/>
              <w:ind w:left="0" w:right="0" w:firstLine="30"/>
              <w:jc w:val="left"/>
              <w:rPr/>
            </w:pPr>
            <w:r>
              <w:rPr/>
              <w:t> </w:t>
            </w:r>
            <w:r>
              <w:rPr>
                <w:rFonts w:ascii="inherit" w:hAnsi="inherit"/>
                <w:sz w:val="17"/>
              </w:rPr>
              <w:t>%</w:t>
            </w:r>
          </w:p>
        </w:tc>
      </w:tr>
      <w:tr>
        <w:trPr/>
        <w:tc>
          <w:tcPr>
            <w:tcW w:w="4172" w:type="dxa"/>
            <w:tcBorders/>
            <w:shd w:fill="CCEEFF" w:val="clear"/>
            <w:vAlign w:val="center"/>
          </w:tcPr>
          <w:p>
            <w:pPr>
              <w:pStyle w:val="TableContents"/>
              <w:spacing w:lineRule="auto" w:line="288" w:before="0" w:after="0"/>
              <w:ind w:left="0" w:right="0" w:firstLine="30"/>
              <w:rPr>
                <w:sz w:val="17"/>
              </w:rPr>
            </w:pPr>
            <w:r>
              <w:rPr>
                <w:rFonts w:ascii="inherit" w:hAnsi="inherit"/>
                <w:sz w:val="17"/>
              </w:rPr>
              <w:t xml:space="preserve">Supply and Logistics Segment Adjusted EBITDA </w:t>
            </w:r>
            <w:r>
              <w:rPr>
                <w:rFonts w:ascii="inherit" w:hAnsi="inherit"/>
                <w:sz w:val="12"/>
              </w:rPr>
              <w:t>(1)</w:t>
            </w:r>
          </w:p>
        </w:tc>
        <w:tc>
          <w:tcPr>
            <w:tcW w:w="56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200</w:t>
            </w:r>
          </w:p>
        </w:tc>
        <w:tc>
          <w:tcPr>
            <w:tcW w:w="12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9" w:type="dxa"/>
            <w:tcBorders/>
            <w:shd w:fill="CCEEFF" w:val="clear"/>
            <w:vAlign w:val="center"/>
          </w:tcPr>
          <w:p>
            <w:pPr>
              <w:pStyle w:val="TableContents"/>
              <w:spacing w:before="0" w:after="0"/>
              <w:ind w:left="0" w:right="0" w:firstLine="30"/>
              <w:rPr/>
            </w:pPr>
            <w:r>
              <w:rPr/>
              <w:t> </w:t>
            </w:r>
          </w:p>
        </w:tc>
        <w:tc>
          <w:tcPr>
            <w:tcW w:w="56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w:t>
            </w:r>
          </w:p>
        </w:tc>
        <w:tc>
          <w:tcPr>
            <w:tcW w:w="12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50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226</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35" w:type="dxa"/>
            <w:tcBorders/>
            <w:shd w:fill="CCEEFF" w:val="clear"/>
            <w:vAlign w:val="center"/>
          </w:tcPr>
          <w:p>
            <w:pPr>
              <w:pStyle w:val="TableContents"/>
              <w:spacing w:before="0" w:after="0"/>
              <w:jc w:val="right"/>
              <w:rPr>
                <w:rFonts w:ascii="inherit" w:hAnsi="inherit"/>
                <w:sz w:val="17"/>
              </w:rPr>
            </w:pPr>
            <w:r>
              <w:rPr>
                <w:rFonts w:ascii="inherit" w:hAnsi="inherit"/>
                <w:sz w:val="17"/>
              </w:rPr>
              <w:t>**</w:t>
            </w:r>
          </w:p>
        </w:tc>
        <w:tc>
          <w:tcPr>
            <w:tcW w:w="2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478</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0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45</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433</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95" w:type="dxa"/>
            <w:tcBorders/>
            <w:shd w:fill="CCEEFF" w:val="clear"/>
            <w:vAlign w:val="center"/>
          </w:tcPr>
          <w:p>
            <w:pPr>
              <w:pStyle w:val="TableContents"/>
              <w:spacing w:before="0" w:after="0"/>
              <w:jc w:val="right"/>
              <w:rPr>
                <w:rFonts w:ascii="inherit" w:hAnsi="inherit"/>
                <w:sz w:val="17"/>
              </w:rPr>
            </w:pPr>
            <w:r>
              <w:rPr>
                <w:rFonts w:ascii="inherit" w:hAnsi="inherit"/>
                <w:sz w:val="17"/>
              </w:rPr>
              <w:t>**</w:t>
            </w:r>
          </w:p>
        </w:tc>
        <w:tc>
          <w:tcPr>
            <w:tcW w:w="2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Adjustments:</w:t>
            </w:r>
          </w:p>
        </w:tc>
        <w:tc>
          <w:tcPr>
            <w:tcW w:w="682" w:type="dxa"/>
            <w:gridSpan w:val="3"/>
            <w:tcBorders/>
            <w:shd w:fill="auto" w:val="clear"/>
            <w:vAlign w:val="center"/>
          </w:tcPr>
          <w:p>
            <w:pPr>
              <w:pStyle w:val="TableContents"/>
              <w:spacing w:before="0" w:after="0"/>
              <w:ind w:left="0" w:right="0" w:firstLine="30"/>
              <w:rPr/>
            </w:pPr>
            <w:r>
              <w:rPr/>
              <w:t> </w:t>
            </w:r>
          </w:p>
        </w:tc>
        <w:tc>
          <w:tcPr>
            <w:tcW w:w="99" w:type="dxa"/>
            <w:tcBorders/>
            <w:shd w:fill="auto" w:val="clear"/>
            <w:vAlign w:val="center"/>
          </w:tcPr>
          <w:p>
            <w:pPr>
              <w:pStyle w:val="TableContents"/>
              <w:spacing w:before="0" w:after="0"/>
              <w:ind w:left="0" w:right="0" w:firstLine="30"/>
              <w:rPr/>
            </w:pPr>
            <w:r>
              <w:rPr/>
              <w:t> </w:t>
            </w:r>
          </w:p>
        </w:tc>
        <w:tc>
          <w:tcPr>
            <w:tcW w:w="682"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1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595" w:type="dxa"/>
            <w:gridSpan w:val="2"/>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72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1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2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75" w:type="dxa"/>
            <w:gridSpan w:val="2"/>
            <w:tcBorders/>
            <w:shd w:fill="auto" w:val="clear"/>
            <w:vAlign w:val="center"/>
          </w:tcPr>
          <w:p>
            <w:pPr>
              <w:pStyle w:val="TableContents"/>
              <w:spacing w:before="0" w:after="0"/>
              <w:ind w:left="0" w:right="0" w:firstLine="30"/>
              <w:rPr/>
            </w:pPr>
            <w:r>
              <w:rPr/>
              <w:t> </w:t>
            </w:r>
          </w:p>
        </w:tc>
      </w:tr>
      <w:tr>
        <w:trPr/>
        <w:tc>
          <w:tcPr>
            <w:tcW w:w="4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 of unconsolidated entities</w:t>
            </w:r>
          </w:p>
        </w:tc>
        <w:tc>
          <w:tcPr>
            <w:tcW w:w="56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w:t>
            </w:r>
          </w:p>
        </w:tc>
        <w:tc>
          <w:tcPr>
            <w:tcW w:w="12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9" w:type="dxa"/>
            <w:tcBorders/>
            <w:shd w:fill="CCEEFF" w:val="clear"/>
            <w:vAlign w:val="center"/>
          </w:tcPr>
          <w:p>
            <w:pPr>
              <w:pStyle w:val="TableContents"/>
              <w:spacing w:before="0" w:after="0"/>
              <w:ind w:left="0" w:right="0" w:firstLine="30"/>
              <w:rPr/>
            </w:pPr>
            <w:r>
              <w:rPr/>
              <w:t> </w:t>
            </w:r>
          </w:p>
        </w:tc>
        <w:tc>
          <w:tcPr>
            <w:tcW w:w="56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w:t>
            </w:r>
          </w:p>
        </w:tc>
        <w:tc>
          <w:tcPr>
            <w:tcW w:w="12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505" w:type="dxa"/>
            <w:gridSpan w:val="2"/>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35" w:type="dxa"/>
            <w:tcBorders/>
            <w:shd w:fill="CCEEFF" w:val="clear"/>
            <w:vAlign w:val="center"/>
          </w:tcPr>
          <w:p>
            <w:pPr>
              <w:pStyle w:val="TableContents"/>
              <w:spacing w:before="0" w:after="0"/>
              <w:jc w:val="right"/>
              <w:rPr/>
            </w:pPr>
            <w:r>
              <w:rPr/>
              <w:t>—</w:t>
            </w:r>
          </w:p>
        </w:tc>
        <w:tc>
          <w:tcPr>
            <w:tcW w:w="260" w:type="dxa"/>
            <w:tcBorders/>
            <w:shd w:fill="CCEEFF" w:val="clear"/>
            <w:vAlign w:val="center"/>
          </w:tcPr>
          <w:p>
            <w:pPr>
              <w:pStyle w:val="TableContents"/>
              <w:spacing w:before="0" w:after="0"/>
              <w:ind w:left="0" w:right="0" w:firstLine="30"/>
              <w:jc w:val="left"/>
              <w:rPr/>
            </w:pPr>
            <w:r>
              <w:rPr/>
              <w:t> </w:t>
            </w: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50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(29</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95" w:type="dxa"/>
            <w:tcBorders/>
            <w:shd w:fill="CCEEFF" w:val="clear"/>
            <w:vAlign w:val="center"/>
          </w:tcPr>
          <w:p>
            <w:pPr>
              <w:pStyle w:val="TableContents"/>
              <w:spacing w:before="0" w:after="0"/>
              <w:jc w:val="right"/>
              <w:rPr>
                <w:rFonts w:ascii="inherit" w:hAnsi="inherit"/>
                <w:sz w:val="17"/>
              </w:rPr>
            </w:pPr>
            <w:r>
              <w:rPr>
                <w:rFonts w:ascii="inherit" w:hAnsi="inherit"/>
                <w:sz w:val="17"/>
              </w:rPr>
              <w:t>7</w:t>
            </w:r>
          </w:p>
        </w:tc>
        <w:tc>
          <w:tcPr>
            <w:tcW w:w="280" w:type="dxa"/>
            <w:tcBorders/>
            <w:shd w:fill="CCEEFF" w:val="clear"/>
            <w:vAlign w:val="center"/>
          </w:tcPr>
          <w:p>
            <w:pPr>
              <w:pStyle w:val="TableContents"/>
              <w:spacing w:before="0" w:after="0"/>
              <w:ind w:left="0" w:right="0" w:firstLine="30"/>
              <w:jc w:val="left"/>
              <w:rPr/>
            </w:pPr>
            <w:r>
              <w:rPr/>
              <w:t> </w:t>
            </w:r>
            <w:r>
              <w:rPr>
                <w:rFonts w:ascii="inherit" w:hAnsi="inherit"/>
                <w:sz w:val="17"/>
              </w:rPr>
              <w:t>%</w:t>
            </w:r>
          </w:p>
        </w:tc>
      </w:tr>
      <w:tr>
        <w:trPr/>
        <w:tc>
          <w:tcPr>
            <w:tcW w:w="4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Selected items impacting comparability - Segment Adjusted EBITDA</w:t>
            </w:r>
          </w:p>
        </w:tc>
        <w:tc>
          <w:tcPr>
            <w:tcW w:w="56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(91</w:t>
            </w:r>
          </w:p>
        </w:tc>
        <w:tc>
          <w:tcPr>
            <w:tcW w:w="1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9" w:type="dxa"/>
            <w:tcBorders/>
            <w:shd w:fill="auto" w:val="clear"/>
            <w:vAlign w:val="center"/>
          </w:tcPr>
          <w:p>
            <w:pPr>
              <w:pStyle w:val="TableContents"/>
              <w:spacing w:before="0" w:after="0"/>
              <w:ind w:left="0" w:right="0" w:firstLine="30"/>
              <w:rPr/>
            </w:pPr>
            <w:r>
              <w:rPr/>
              <w:t> </w:t>
            </w:r>
          </w:p>
        </w:tc>
        <w:tc>
          <w:tcPr>
            <w:tcW w:w="56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(258</w:t>
            </w:r>
          </w:p>
        </w:tc>
        <w:tc>
          <w:tcPr>
            <w:tcW w:w="1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50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167</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335" w:type="dxa"/>
            <w:tcBorders/>
            <w:shd w:fill="auto" w:val="clear"/>
            <w:vAlign w:val="center"/>
          </w:tcPr>
          <w:p>
            <w:pPr>
              <w:pStyle w:val="TableContents"/>
              <w:spacing w:before="0" w:after="0"/>
              <w:jc w:val="right"/>
              <w:rPr>
                <w:rFonts w:ascii="inherit" w:hAnsi="inherit"/>
                <w:sz w:val="17"/>
              </w:rPr>
            </w:pPr>
            <w:r>
              <w:rPr>
                <w:rFonts w:ascii="inherit" w:hAnsi="inherit"/>
                <w:sz w:val="17"/>
              </w:rPr>
              <w:t>**</w:t>
            </w:r>
          </w:p>
        </w:tc>
        <w:tc>
          <w:tcPr>
            <w:tcW w:w="2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0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(253</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257</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395" w:type="dxa"/>
            <w:tcBorders/>
            <w:shd w:fill="auto" w:val="clear"/>
            <w:vAlign w:val="center"/>
          </w:tcPr>
          <w:p>
            <w:pPr>
              <w:pStyle w:val="TableContents"/>
              <w:spacing w:before="0" w:after="0"/>
              <w:jc w:val="right"/>
              <w:rPr>
                <w:rFonts w:ascii="inherit" w:hAnsi="inherit"/>
                <w:sz w:val="17"/>
              </w:rPr>
            </w:pPr>
            <w:r>
              <w:rPr>
                <w:rFonts w:ascii="inherit" w:hAnsi="inherit"/>
                <w:sz w:val="17"/>
              </w:rPr>
              <w:t>**</w:t>
            </w:r>
          </w:p>
        </w:tc>
        <w:tc>
          <w:tcPr>
            <w:tcW w:w="2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56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(147</w:t>
            </w:r>
          </w:p>
        </w:tc>
        <w:tc>
          <w:tcPr>
            <w:tcW w:w="12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9" w:type="dxa"/>
            <w:tcBorders/>
            <w:shd w:fill="CCEEFF" w:val="clear"/>
            <w:vAlign w:val="center"/>
          </w:tcPr>
          <w:p>
            <w:pPr>
              <w:pStyle w:val="TableContents"/>
              <w:spacing w:before="0" w:after="0"/>
              <w:ind w:left="0" w:right="0" w:firstLine="30"/>
              <w:rPr/>
            </w:pPr>
            <w:r>
              <w:rPr/>
              <w:t> </w:t>
            </w:r>
          </w:p>
        </w:tc>
        <w:tc>
          <w:tcPr>
            <w:tcW w:w="56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(130</w:t>
            </w:r>
          </w:p>
        </w:tc>
        <w:tc>
          <w:tcPr>
            <w:tcW w:w="12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50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335" w:type="dxa"/>
            <w:tcBorders/>
            <w:shd w:fill="CCEEFF" w:val="clear"/>
            <w:vAlign w:val="center"/>
          </w:tcPr>
          <w:p>
            <w:pPr>
              <w:pStyle w:val="TableContents"/>
              <w:spacing w:before="0" w:after="0"/>
              <w:jc w:val="right"/>
              <w:rPr>
                <w:rFonts w:ascii="inherit" w:hAnsi="inherit"/>
                <w:sz w:val="17"/>
              </w:rPr>
            </w:pPr>
            <w:r>
              <w:rPr>
                <w:rFonts w:ascii="inherit" w:hAnsi="inherit"/>
                <w:sz w:val="17"/>
              </w:rPr>
              <w:t>(13</w:t>
            </w:r>
          </w:p>
        </w:tc>
        <w:tc>
          <w:tcPr>
            <w:tcW w:w="2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(283</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50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(256</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395" w:type="dxa"/>
            <w:tcBorders/>
            <w:shd w:fill="CCEEFF" w:val="clear"/>
            <w:vAlign w:val="center"/>
          </w:tcPr>
          <w:p>
            <w:pPr>
              <w:pStyle w:val="TableContents"/>
              <w:spacing w:before="0" w:after="0"/>
              <w:jc w:val="right"/>
              <w:rPr>
                <w:rFonts w:ascii="inherit" w:hAnsi="inherit"/>
                <w:sz w:val="17"/>
              </w:rPr>
            </w:pPr>
            <w:r>
              <w:rPr>
                <w:rFonts w:ascii="inherit" w:hAnsi="inherit"/>
                <w:sz w:val="17"/>
              </w:rPr>
              <w:t>(11</w:t>
            </w:r>
          </w:p>
        </w:tc>
        <w:tc>
          <w:tcPr>
            <w:tcW w:w="2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Gains/(losses) on asset sales and asset impairments, net</w:t>
            </w:r>
          </w:p>
        </w:tc>
        <w:tc>
          <w:tcPr>
            <w:tcW w:w="56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w:t>
            </w:r>
          </w:p>
        </w:tc>
        <w:tc>
          <w:tcPr>
            <w:tcW w:w="1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9" w:type="dxa"/>
            <w:tcBorders/>
            <w:shd w:fill="auto" w:val="clear"/>
            <w:vAlign w:val="center"/>
          </w:tcPr>
          <w:p>
            <w:pPr>
              <w:pStyle w:val="TableContents"/>
              <w:spacing w:before="0" w:after="0"/>
              <w:ind w:left="0" w:right="0" w:firstLine="30"/>
              <w:rPr/>
            </w:pPr>
            <w:r>
              <w:rPr/>
              <w:t> </w:t>
            </w:r>
          </w:p>
        </w:tc>
        <w:tc>
          <w:tcPr>
            <w:tcW w:w="56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81</w:t>
            </w:r>
          </w:p>
        </w:tc>
        <w:tc>
          <w:tcPr>
            <w:tcW w:w="1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0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(77</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335" w:type="dxa"/>
            <w:tcBorders/>
            <w:shd w:fill="auto" w:val="clear"/>
            <w:vAlign w:val="center"/>
          </w:tcPr>
          <w:p>
            <w:pPr>
              <w:pStyle w:val="TableContents"/>
              <w:spacing w:before="0" w:after="0"/>
              <w:jc w:val="right"/>
              <w:rPr>
                <w:rFonts w:ascii="inherit" w:hAnsi="inherit"/>
                <w:sz w:val="17"/>
              </w:rPr>
            </w:pPr>
            <w:r>
              <w:rPr>
                <w:rFonts w:ascii="inherit" w:hAnsi="inherit"/>
                <w:sz w:val="17"/>
              </w:rPr>
              <w:t>(95</w:t>
            </w:r>
          </w:p>
        </w:tc>
        <w:tc>
          <w:tcPr>
            <w:tcW w:w="2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0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395" w:type="dxa"/>
            <w:tcBorders/>
            <w:shd w:fill="auto" w:val="clear"/>
            <w:vAlign w:val="center"/>
          </w:tcPr>
          <w:p>
            <w:pPr>
              <w:pStyle w:val="TableContents"/>
              <w:spacing w:before="0" w:after="0"/>
              <w:jc w:val="right"/>
              <w:rPr>
                <w:rFonts w:ascii="inherit" w:hAnsi="inherit"/>
                <w:sz w:val="17"/>
              </w:rPr>
            </w:pPr>
            <w:r>
              <w:rPr>
                <w:rFonts w:ascii="inherit" w:hAnsi="inherit"/>
                <w:sz w:val="17"/>
              </w:rPr>
              <w:t>(100</w:t>
            </w:r>
          </w:p>
        </w:tc>
        <w:tc>
          <w:tcPr>
            <w:tcW w:w="2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Gain on investment in unconsolidated entities</w:t>
            </w:r>
          </w:p>
        </w:tc>
        <w:tc>
          <w:tcPr>
            <w:tcW w:w="560" w:type="dxa"/>
            <w:gridSpan w:val="2"/>
            <w:tcBorders/>
            <w:shd w:fill="CCEEFF" w:val="clear"/>
            <w:vAlign w:val="center"/>
          </w:tcPr>
          <w:p>
            <w:pPr>
              <w:pStyle w:val="TableContents"/>
              <w:spacing w:before="0" w:after="0"/>
              <w:jc w:val="right"/>
              <w:rPr/>
            </w:pPr>
            <w:r>
              <w:rPr/>
              <w:t>—</w:t>
            </w:r>
          </w:p>
        </w:tc>
        <w:tc>
          <w:tcPr>
            <w:tcW w:w="12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9" w:type="dxa"/>
            <w:tcBorders/>
            <w:shd w:fill="CCEEFF" w:val="clear"/>
            <w:vAlign w:val="center"/>
          </w:tcPr>
          <w:p>
            <w:pPr>
              <w:pStyle w:val="TableContents"/>
              <w:spacing w:before="0" w:after="0"/>
              <w:ind w:left="0" w:right="0" w:firstLine="30"/>
              <w:rPr/>
            </w:pPr>
            <w:r>
              <w:rPr/>
              <w:t> </w:t>
            </w:r>
          </w:p>
        </w:tc>
        <w:tc>
          <w:tcPr>
            <w:tcW w:w="560" w:type="dxa"/>
            <w:gridSpan w:val="2"/>
            <w:tcBorders/>
            <w:shd w:fill="CCEEFF" w:val="clear"/>
            <w:vAlign w:val="center"/>
          </w:tcPr>
          <w:p>
            <w:pPr>
              <w:pStyle w:val="TableContents"/>
              <w:spacing w:before="0" w:after="0"/>
              <w:jc w:val="right"/>
              <w:rPr/>
            </w:pPr>
            <w:r>
              <w:rPr/>
              <w:t>—</w:t>
            </w:r>
          </w:p>
        </w:tc>
        <w:tc>
          <w:tcPr>
            <w:tcW w:w="12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05" w:type="dxa"/>
            <w:gridSpan w:val="2"/>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35" w:type="dxa"/>
            <w:tcBorders/>
            <w:shd w:fill="CCEEFF" w:val="clear"/>
            <w:vAlign w:val="center"/>
          </w:tcPr>
          <w:p>
            <w:pPr>
              <w:pStyle w:val="TableContents"/>
              <w:spacing w:before="0" w:after="0"/>
              <w:jc w:val="right"/>
              <w:rPr>
                <w:rFonts w:ascii="inherit" w:hAnsi="inherit"/>
                <w:sz w:val="17"/>
              </w:rPr>
            </w:pPr>
            <w:r>
              <w:rPr>
                <w:rFonts w:ascii="inherit" w:hAnsi="inherit"/>
                <w:sz w:val="17"/>
              </w:rPr>
              <w:t>N/A</w:t>
            </w:r>
          </w:p>
        </w:tc>
        <w:tc>
          <w:tcPr>
            <w:tcW w:w="2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267</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05" w:type="dxa"/>
            <w:gridSpan w:val="2"/>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267</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95" w:type="dxa"/>
            <w:tcBorders/>
            <w:shd w:fill="CCEEFF" w:val="clear"/>
            <w:vAlign w:val="center"/>
          </w:tcPr>
          <w:p>
            <w:pPr>
              <w:pStyle w:val="TableContents"/>
              <w:spacing w:before="0" w:after="0"/>
              <w:jc w:val="right"/>
              <w:rPr>
                <w:rFonts w:ascii="inherit" w:hAnsi="inherit"/>
                <w:sz w:val="17"/>
              </w:rPr>
            </w:pPr>
            <w:r>
              <w:rPr>
                <w:rFonts w:ascii="inherit" w:hAnsi="inherit"/>
                <w:sz w:val="17"/>
              </w:rPr>
              <w:t>N/A</w:t>
            </w:r>
          </w:p>
        </w:tc>
        <w:tc>
          <w:tcPr>
            <w:tcW w:w="2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 net</w:t>
            </w:r>
          </w:p>
        </w:tc>
        <w:tc>
          <w:tcPr>
            <w:tcW w:w="56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(103</w:t>
            </w:r>
          </w:p>
        </w:tc>
        <w:tc>
          <w:tcPr>
            <w:tcW w:w="1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9" w:type="dxa"/>
            <w:tcBorders/>
            <w:shd w:fill="auto" w:val="clear"/>
            <w:vAlign w:val="center"/>
          </w:tcPr>
          <w:p>
            <w:pPr>
              <w:pStyle w:val="TableContents"/>
              <w:spacing w:before="0" w:after="0"/>
              <w:ind w:left="0" w:right="0" w:firstLine="30"/>
              <w:rPr/>
            </w:pPr>
            <w:r>
              <w:rPr/>
              <w:t> </w:t>
            </w:r>
          </w:p>
        </w:tc>
        <w:tc>
          <w:tcPr>
            <w:tcW w:w="56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(111</w:t>
            </w:r>
          </w:p>
        </w:tc>
        <w:tc>
          <w:tcPr>
            <w:tcW w:w="1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50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335" w:type="dxa"/>
            <w:tcBorders/>
            <w:shd w:fill="auto" w:val="clear"/>
            <w:vAlign w:val="center"/>
          </w:tcPr>
          <w:p>
            <w:pPr>
              <w:pStyle w:val="TableContents"/>
              <w:spacing w:before="0" w:after="0"/>
              <w:jc w:val="right"/>
              <w:rPr>
                <w:rFonts w:ascii="inherit" w:hAnsi="inherit"/>
                <w:sz w:val="17"/>
              </w:rPr>
            </w:pPr>
            <w:r>
              <w:rPr>
                <w:rFonts w:ascii="inherit" w:hAnsi="inherit"/>
                <w:sz w:val="17"/>
              </w:rPr>
              <w:t>7</w:t>
            </w:r>
          </w:p>
        </w:tc>
        <w:tc>
          <w:tcPr>
            <w:tcW w:w="260" w:type="dxa"/>
            <w:tcBorders/>
            <w:shd w:fill="auto" w:val="clear"/>
            <w:vAlign w:val="center"/>
          </w:tcPr>
          <w:p>
            <w:pPr>
              <w:pStyle w:val="TableContents"/>
              <w:spacing w:before="0" w:after="0"/>
              <w:ind w:left="0" w:right="0" w:firstLine="30"/>
              <w:jc w:val="left"/>
              <w:rPr/>
            </w:pPr>
            <w:r>
              <w:rPr/>
              <w:t> </w:t>
            </w: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(203</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50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(217</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395" w:type="dxa"/>
            <w:tcBorders/>
            <w:shd w:fill="auto" w:val="clear"/>
            <w:vAlign w:val="center"/>
          </w:tcPr>
          <w:p>
            <w:pPr>
              <w:pStyle w:val="TableContents"/>
              <w:spacing w:before="0" w:after="0"/>
              <w:jc w:val="right"/>
              <w:rPr>
                <w:rFonts w:ascii="inherit" w:hAnsi="inherit"/>
                <w:sz w:val="17"/>
              </w:rPr>
            </w:pPr>
            <w:r>
              <w:rPr>
                <w:rFonts w:ascii="inherit" w:hAnsi="inherit"/>
                <w:sz w:val="17"/>
              </w:rPr>
              <w:t>6</w:t>
            </w:r>
          </w:p>
        </w:tc>
        <w:tc>
          <w:tcPr>
            <w:tcW w:w="280" w:type="dxa"/>
            <w:tcBorders/>
            <w:shd w:fill="auto" w:val="clear"/>
            <w:vAlign w:val="center"/>
          </w:tcPr>
          <w:p>
            <w:pPr>
              <w:pStyle w:val="TableContents"/>
              <w:spacing w:before="0" w:after="0"/>
              <w:ind w:left="0" w:right="0" w:firstLine="30"/>
              <w:jc w:val="left"/>
              <w:rPr/>
            </w:pPr>
            <w:r>
              <w:rPr/>
              <w:t> </w:t>
            </w:r>
            <w:r>
              <w:rPr>
                <w:rFonts w:ascii="inherit" w:hAnsi="inherit"/>
                <w:sz w:val="17"/>
              </w:rPr>
              <w:t>%</w:t>
            </w:r>
          </w:p>
        </w:tc>
      </w:tr>
      <w:tr>
        <w:trPr/>
        <w:tc>
          <w:tcPr>
            <w:tcW w:w="4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income/(expense), net</w:t>
            </w:r>
          </w:p>
        </w:tc>
        <w:tc>
          <w:tcPr>
            <w:tcW w:w="56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w:t>
            </w:r>
          </w:p>
        </w:tc>
        <w:tc>
          <w:tcPr>
            <w:tcW w:w="12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9" w:type="dxa"/>
            <w:tcBorders/>
            <w:shd w:fill="CCEEFF" w:val="clear"/>
            <w:vAlign w:val="center"/>
          </w:tcPr>
          <w:p>
            <w:pPr>
              <w:pStyle w:val="TableContents"/>
              <w:spacing w:before="0" w:after="0"/>
              <w:ind w:left="0" w:right="0" w:firstLine="30"/>
              <w:rPr/>
            </w:pPr>
            <w:r>
              <w:rPr/>
              <w:t> </w:t>
            </w:r>
          </w:p>
        </w:tc>
        <w:tc>
          <w:tcPr>
            <w:tcW w:w="56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w:t>
            </w:r>
          </w:p>
        </w:tc>
        <w:tc>
          <w:tcPr>
            <w:tcW w:w="12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0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335" w:type="dxa"/>
            <w:tcBorders/>
            <w:shd w:fill="CCEEFF" w:val="clear"/>
            <w:vAlign w:val="center"/>
          </w:tcPr>
          <w:p>
            <w:pPr>
              <w:pStyle w:val="TableContents"/>
              <w:spacing w:before="0" w:after="0"/>
              <w:jc w:val="right"/>
              <w:rPr>
                <w:rFonts w:ascii="inherit" w:hAnsi="inherit"/>
                <w:sz w:val="17"/>
              </w:rPr>
            </w:pPr>
            <w:r>
              <w:rPr>
                <w:rFonts w:ascii="inherit" w:hAnsi="inherit"/>
                <w:sz w:val="17"/>
              </w:rPr>
              <w:t>**</w:t>
            </w:r>
          </w:p>
        </w:tc>
        <w:tc>
          <w:tcPr>
            <w:tcW w:w="2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0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95" w:type="dxa"/>
            <w:tcBorders/>
            <w:shd w:fill="CCEEFF" w:val="clear"/>
            <w:vAlign w:val="center"/>
          </w:tcPr>
          <w:p>
            <w:pPr>
              <w:pStyle w:val="TableContents"/>
              <w:spacing w:before="0" w:after="0"/>
              <w:jc w:val="right"/>
              <w:rPr>
                <w:rFonts w:ascii="inherit" w:hAnsi="inherit"/>
                <w:sz w:val="17"/>
              </w:rPr>
            </w:pPr>
            <w:r>
              <w:rPr>
                <w:rFonts w:ascii="inherit" w:hAnsi="inherit"/>
                <w:sz w:val="17"/>
              </w:rPr>
              <w:t>**</w:t>
            </w:r>
          </w:p>
        </w:tc>
        <w:tc>
          <w:tcPr>
            <w:tcW w:w="2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tax (expense)/benefit</w:t>
            </w:r>
          </w:p>
        </w:tc>
        <w:tc>
          <w:tcPr>
            <w:tcW w:w="56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w:t>
            </w:r>
          </w:p>
        </w:tc>
        <w:tc>
          <w:tcPr>
            <w:tcW w:w="1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9" w:type="dxa"/>
            <w:tcBorders/>
            <w:shd w:fill="auto" w:val="clear"/>
            <w:vAlign w:val="center"/>
          </w:tcPr>
          <w:p>
            <w:pPr>
              <w:pStyle w:val="TableContents"/>
              <w:spacing w:before="0" w:after="0"/>
              <w:ind w:left="0" w:right="0" w:firstLine="30"/>
              <w:rPr/>
            </w:pPr>
            <w:r>
              <w:rPr/>
              <w:t> </w:t>
            </w:r>
          </w:p>
        </w:tc>
        <w:tc>
          <w:tcPr>
            <w:tcW w:w="56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w:t>
            </w:r>
          </w:p>
        </w:tc>
        <w:tc>
          <w:tcPr>
            <w:tcW w:w="1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0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335" w:type="dxa"/>
            <w:tcBorders/>
            <w:shd w:fill="auto" w:val="clear"/>
            <w:vAlign w:val="center"/>
          </w:tcPr>
          <w:p>
            <w:pPr>
              <w:pStyle w:val="TableContents"/>
              <w:spacing w:before="0" w:after="0"/>
              <w:jc w:val="right"/>
              <w:rPr>
                <w:rFonts w:ascii="inherit" w:hAnsi="inherit"/>
                <w:sz w:val="17"/>
              </w:rPr>
            </w:pPr>
            <w:r>
              <w:rPr>
                <w:rFonts w:ascii="inherit" w:hAnsi="inherit"/>
                <w:sz w:val="17"/>
              </w:rPr>
              <w:t>44</w:t>
            </w:r>
          </w:p>
        </w:tc>
        <w:tc>
          <w:tcPr>
            <w:tcW w:w="260" w:type="dxa"/>
            <w:tcBorders/>
            <w:shd w:fill="auto" w:val="clear"/>
            <w:vAlign w:val="center"/>
          </w:tcPr>
          <w:p>
            <w:pPr>
              <w:pStyle w:val="TableContents"/>
              <w:spacing w:before="0" w:after="0"/>
              <w:ind w:left="0" w:right="0" w:firstLine="30"/>
              <w:jc w:val="left"/>
              <w:rPr/>
            </w:pPr>
            <w:r>
              <w:rPr/>
              <w:t> </w:t>
            </w: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50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(45</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44</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395" w:type="dxa"/>
            <w:tcBorders/>
            <w:shd w:fill="auto" w:val="clear"/>
            <w:vAlign w:val="center"/>
          </w:tcPr>
          <w:p>
            <w:pPr>
              <w:pStyle w:val="TableContents"/>
              <w:spacing w:before="0" w:after="0"/>
              <w:jc w:val="right"/>
              <w:rPr>
                <w:rFonts w:ascii="inherit" w:hAnsi="inherit"/>
                <w:sz w:val="17"/>
              </w:rPr>
            </w:pPr>
            <w:r>
              <w:rPr>
                <w:rFonts w:ascii="inherit" w:hAnsi="inherit"/>
                <w:sz w:val="17"/>
              </w:rPr>
              <w:t>98</w:t>
            </w:r>
          </w:p>
        </w:tc>
        <w:tc>
          <w:tcPr>
            <w:tcW w:w="280" w:type="dxa"/>
            <w:tcBorders/>
            <w:shd w:fill="auto" w:val="clear"/>
            <w:vAlign w:val="center"/>
          </w:tcPr>
          <w:p>
            <w:pPr>
              <w:pStyle w:val="TableContents"/>
              <w:spacing w:before="0" w:after="0"/>
              <w:ind w:left="0" w:right="0" w:firstLine="30"/>
              <w:jc w:val="left"/>
              <w:rPr/>
            </w:pPr>
            <w:r>
              <w:rPr/>
              <w:t> </w:t>
            </w:r>
            <w:r>
              <w:rPr>
                <w:rFonts w:ascii="inherit" w:hAnsi="inherit"/>
                <w:sz w:val="17"/>
              </w:rPr>
              <w:t>%</w:t>
            </w:r>
          </w:p>
        </w:tc>
      </w:tr>
      <w:tr>
        <w:trPr/>
        <w:tc>
          <w:tcPr>
            <w:tcW w:w="4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560"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448</w:t>
            </w:r>
          </w:p>
        </w:tc>
        <w:tc>
          <w:tcPr>
            <w:tcW w:w="122"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9" w:type="dxa"/>
            <w:tcBorders/>
            <w:shd w:fill="CCEEFF" w:val="clear"/>
            <w:vAlign w:val="center"/>
          </w:tcPr>
          <w:p>
            <w:pPr>
              <w:pStyle w:val="TableContents"/>
              <w:spacing w:before="0" w:after="0"/>
              <w:ind w:left="0" w:right="0" w:firstLine="30"/>
              <w:rPr/>
            </w:pPr>
            <w:r>
              <w:rPr/>
              <w:t> </w:t>
            </w:r>
          </w:p>
        </w:tc>
        <w:tc>
          <w:tcPr>
            <w:tcW w:w="560"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100</w:t>
            </w:r>
          </w:p>
        </w:tc>
        <w:tc>
          <w:tcPr>
            <w:tcW w:w="122"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05"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348</w:t>
            </w:r>
          </w:p>
        </w:tc>
        <w:tc>
          <w:tcPr>
            <w:tcW w:w="11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35"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348</w:t>
            </w:r>
          </w:p>
        </w:tc>
        <w:tc>
          <w:tcPr>
            <w:tcW w:w="260" w:type="dxa"/>
            <w:tcBorders>
              <w:top w:val="single" w:sz="2" w:space="0" w:color="000000"/>
            </w:tcBorders>
            <w:shd w:fill="CCEEFF" w:val="clear"/>
            <w:tcMar>
              <w:top w:w="30" w:type="dxa"/>
            </w:tcMar>
            <w:vAlign w:val="center"/>
          </w:tcPr>
          <w:p>
            <w:pPr>
              <w:pStyle w:val="TableContents"/>
              <w:spacing w:before="0" w:after="0"/>
              <w:ind w:left="0" w:right="0" w:firstLine="30"/>
              <w:jc w:val="left"/>
              <w:rPr/>
            </w:pPr>
            <w:r>
              <w:rPr/>
              <w:t> </w:t>
            </w: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610"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1,418</w:t>
            </w:r>
          </w:p>
        </w:tc>
        <w:tc>
          <w:tcPr>
            <w:tcW w:w="11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05"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388</w:t>
            </w:r>
          </w:p>
        </w:tc>
        <w:tc>
          <w:tcPr>
            <w:tcW w:w="11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1,030</w:t>
            </w:r>
          </w:p>
        </w:tc>
        <w:tc>
          <w:tcPr>
            <w:tcW w:w="11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95"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265</w:t>
            </w:r>
          </w:p>
        </w:tc>
        <w:tc>
          <w:tcPr>
            <w:tcW w:w="280" w:type="dxa"/>
            <w:tcBorders>
              <w:top w:val="single" w:sz="2" w:space="0" w:color="000000"/>
            </w:tcBorders>
            <w:shd w:fill="CCEEFF" w:val="clear"/>
            <w:tcMar>
              <w:top w:w="30" w:type="dxa"/>
            </w:tcMar>
            <w:vAlign w:val="center"/>
          </w:tcPr>
          <w:p>
            <w:pPr>
              <w:pStyle w:val="TableContents"/>
              <w:spacing w:before="0" w:after="0"/>
              <w:ind w:left="0" w:right="0" w:firstLine="30"/>
              <w:jc w:val="left"/>
              <w:rPr/>
            </w:pPr>
            <w:r>
              <w:rPr/>
              <w:t> </w:t>
            </w:r>
            <w:r>
              <w:rPr>
                <w:rFonts w:ascii="inherit" w:hAnsi="inherit"/>
                <w:sz w:val="17"/>
              </w:rPr>
              <w:t>%</w:t>
            </w:r>
          </w:p>
        </w:tc>
      </w:tr>
      <w:tr>
        <w:trPr/>
        <w:tc>
          <w:tcPr>
            <w:tcW w:w="4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noncontrolling interests</w:t>
            </w:r>
          </w:p>
        </w:tc>
        <w:tc>
          <w:tcPr>
            <w:tcW w:w="56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w:t>
            </w:r>
          </w:p>
        </w:tc>
        <w:tc>
          <w:tcPr>
            <w:tcW w:w="1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9" w:type="dxa"/>
            <w:tcBorders/>
            <w:shd w:fill="auto" w:val="clear"/>
            <w:vAlign w:val="center"/>
          </w:tcPr>
          <w:p>
            <w:pPr>
              <w:pStyle w:val="TableContents"/>
              <w:spacing w:before="0" w:after="0"/>
              <w:ind w:left="0" w:right="0" w:firstLine="30"/>
              <w:rPr/>
            </w:pPr>
            <w:r>
              <w:rPr/>
              <w:t> </w:t>
            </w:r>
          </w:p>
        </w:tc>
        <w:tc>
          <w:tcPr>
            <w:tcW w:w="560" w:type="dxa"/>
            <w:gridSpan w:val="2"/>
            <w:tcBorders/>
            <w:shd w:fill="auto" w:val="clear"/>
            <w:vAlign w:val="center"/>
          </w:tcPr>
          <w:p>
            <w:pPr>
              <w:pStyle w:val="TableContents"/>
              <w:spacing w:before="0" w:after="0"/>
              <w:jc w:val="right"/>
              <w:rPr/>
            </w:pPr>
            <w:r>
              <w:rPr/>
              <w:t>—</w:t>
            </w:r>
          </w:p>
        </w:tc>
        <w:tc>
          <w:tcPr>
            <w:tcW w:w="1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0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335" w:type="dxa"/>
            <w:tcBorders/>
            <w:shd w:fill="auto" w:val="clear"/>
            <w:vAlign w:val="center"/>
          </w:tcPr>
          <w:p>
            <w:pPr>
              <w:pStyle w:val="TableContents"/>
              <w:spacing w:before="0" w:after="0"/>
              <w:jc w:val="right"/>
              <w:rPr>
                <w:rFonts w:ascii="inherit" w:hAnsi="inherit"/>
                <w:sz w:val="17"/>
              </w:rPr>
            </w:pPr>
            <w:r>
              <w:rPr>
                <w:rFonts w:ascii="inherit" w:hAnsi="inherit"/>
                <w:sz w:val="17"/>
              </w:rPr>
              <w:t>N/A</w:t>
            </w:r>
          </w:p>
        </w:tc>
        <w:tc>
          <w:tcPr>
            <w:tcW w:w="2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505"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395" w:type="dxa"/>
            <w:tcBorders/>
            <w:shd w:fill="auto" w:val="clear"/>
            <w:vAlign w:val="center"/>
          </w:tcPr>
          <w:p>
            <w:pPr>
              <w:pStyle w:val="TableContents"/>
              <w:spacing w:before="0" w:after="0"/>
              <w:jc w:val="right"/>
              <w:rPr>
                <w:rFonts w:ascii="inherit" w:hAnsi="inherit"/>
                <w:sz w:val="17"/>
              </w:rPr>
            </w:pPr>
            <w:r>
              <w:rPr>
                <w:rFonts w:ascii="inherit" w:hAnsi="inherit"/>
                <w:sz w:val="17"/>
              </w:rPr>
              <w:t>N/A</w:t>
            </w:r>
          </w:p>
        </w:tc>
        <w:tc>
          <w:tcPr>
            <w:tcW w:w="2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PAA</w:t>
            </w:r>
          </w:p>
        </w:tc>
        <w:tc>
          <w:tcPr>
            <w:tcW w:w="13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2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446</w:t>
            </w:r>
          </w:p>
        </w:tc>
        <w:tc>
          <w:tcPr>
            <w:tcW w:w="12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9" w:type="dxa"/>
            <w:tcBorders/>
            <w:shd w:fill="CCEEFF" w:val="clear"/>
            <w:vAlign w:val="center"/>
          </w:tcPr>
          <w:p>
            <w:pPr>
              <w:pStyle w:val="TableContents"/>
              <w:spacing w:before="0" w:after="0"/>
              <w:ind w:left="0" w:right="0" w:firstLine="30"/>
              <w:rPr/>
            </w:pPr>
            <w:r>
              <w:rPr/>
              <w:t> </w:t>
            </w:r>
          </w:p>
        </w:tc>
        <w:tc>
          <w:tcPr>
            <w:tcW w:w="13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2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100</w:t>
            </w:r>
          </w:p>
        </w:tc>
        <w:tc>
          <w:tcPr>
            <w:tcW w:w="122"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8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346</w:t>
            </w:r>
          </w:p>
        </w:tc>
        <w:tc>
          <w:tcPr>
            <w:tcW w:w="11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3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346</w:t>
            </w:r>
          </w:p>
        </w:tc>
        <w:tc>
          <w:tcPr>
            <w:tcW w:w="26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ind w:left="0" w:right="0" w:firstLine="30"/>
              <w:jc w:val="left"/>
              <w:rPr/>
            </w:pPr>
            <w:r>
              <w:rPr/>
              <w:t> </w:t>
            </w: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1,416</w:t>
            </w:r>
          </w:p>
        </w:tc>
        <w:tc>
          <w:tcPr>
            <w:tcW w:w="11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8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388</w:t>
            </w:r>
          </w:p>
        </w:tc>
        <w:tc>
          <w:tcPr>
            <w:tcW w:w="11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1,028</w:t>
            </w:r>
          </w:p>
        </w:tc>
        <w:tc>
          <w:tcPr>
            <w:tcW w:w="11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9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265</w:t>
            </w:r>
          </w:p>
        </w:tc>
        <w:tc>
          <w:tcPr>
            <w:tcW w:w="28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ind w:left="0" w:right="0" w:firstLine="30"/>
              <w:jc w:val="left"/>
              <w:rPr/>
            </w:pPr>
            <w:r>
              <w:rPr/>
              <w:t> </w:t>
            </w:r>
            <w:r>
              <w:rPr>
                <w:rFonts w:ascii="inherit" w:hAnsi="inherit"/>
                <w:sz w:val="17"/>
              </w:rPr>
              <w:t>%</w:t>
            </w:r>
          </w:p>
        </w:tc>
      </w:tr>
      <w:tr>
        <w:trPr/>
        <w:tc>
          <w:tcPr>
            <w:tcW w:w="4172" w:type="dxa"/>
            <w:tcBorders/>
            <w:shd w:fill="auto" w:val="clear"/>
            <w:vAlign w:val="center"/>
          </w:tcPr>
          <w:p>
            <w:pPr>
              <w:pStyle w:val="TableContents"/>
              <w:spacing w:before="0" w:after="0"/>
              <w:ind w:left="0" w:right="0" w:firstLine="30"/>
              <w:rPr/>
            </w:pPr>
            <w:r>
              <w:rPr/>
              <w:t> </w:t>
            </w:r>
          </w:p>
        </w:tc>
        <w:tc>
          <w:tcPr>
            <w:tcW w:w="682" w:type="dxa"/>
            <w:gridSpan w:val="3"/>
            <w:tcBorders/>
            <w:shd w:fill="auto" w:val="clear"/>
            <w:vAlign w:val="center"/>
          </w:tcPr>
          <w:p>
            <w:pPr>
              <w:pStyle w:val="TableContents"/>
              <w:spacing w:before="0" w:after="0"/>
              <w:ind w:left="0" w:right="0" w:firstLine="30"/>
              <w:rPr/>
            </w:pPr>
            <w:r>
              <w:rPr/>
              <w:t> </w:t>
            </w:r>
          </w:p>
        </w:tc>
        <w:tc>
          <w:tcPr>
            <w:tcW w:w="99" w:type="dxa"/>
            <w:tcBorders/>
            <w:shd w:fill="auto" w:val="clear"/>
            <w:vAlign w:val="center"/>
          </w:tcPr>
          <w:p>
            <w:pPr>
              <w:pStyle w:val="TableContents"/>
              <w:spacing w:before="0" w:after="0"/>
              <w:ind w:left="0" w:right="0" w:firstLine="30"/>
              <w:rPr/>
            </w:pPr>
            <w:r>
              <w:rPr/>
              <w:t> </w:t>
            </w:r>
          </w:p>
        </w:tc>
        <w:tc>
          <w:tcPr>
            <w:tcW w:w="682"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1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595" w:type="dxa"/>
            <w:gridSpan w:val="2"/>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72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1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2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75" w:type="dxa"/>
            <w:gridSpan w:val="2"/>
            <w:tcBorders/>
            <w:shd w:fill="auto" w:val="clear"/>
            <w:vAlign w:val="center"/>
          </w:tcPr>
          <w:p>
            <w:pPr>
              <w:pStyle w:val="TableContents"/>
              <w:spacing w:before="0" w:after="0"/>
              <w:ind w:left="0" w:right="0" w:firstLine="30"/>
              <w:rPr/>
            </w:pPr>
            <w:r>
              <w:rPr/>
              <w:t> </w:t>
            </w:r>
          </w:p>
        </w:tc>
      </w:tr>
      <w:tr>
        <w:trPr/>
        <w:tc>
          <w:tcPr>
            <w:tcW w:w="4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Basic net income per common unit</w:t>
            </w:r>
          </w:p>
        </w:tc>
        <w:tc>
          <w:tcPr>
            <w:tcW w:w="13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22" w:type="dxa"/>
            <w:tcBorders/>
            <w:shd w:fill="CCEEFF" w:val="clear"/>
            <w:vAlign w:val="center"/>
          </w:tcPr>
          <w:p>
            <w:pPr>
              <w:pStyle w:val="TableContents"/>
              <w:spacing w:before="0" w:after="0"/>
              <w:jc w:val="right"/>
              <w:rPr>
                <w:rFonts w:ascii="inherit" w:hAnsi="inherit"/>
                <w:sz w:val="17"/>
              </w:rPr>
            </w:pPr>
            <w:r>
              <w:rPr>
                <w:rFonts w:ascii="inherit" w:hAnsi="inherit"/>
                <w:sz w:val="17"/>
              </w:rPr>
              <w:t>0.54</w:t>
            </w:r>
          </w:p>
        </w:tc>
        <w:tc>
          <w:tcPr>
            <w:tcW w:w="12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9" w:type="dxa"/>
            <w:tcBorders/>
            <w:shd w:fill="CCEEFF" w:val="clear"/>
            <w:vAlign w:val="center"/>
          </w:tcPr>
          <w:p>
            <w:pPr>
              <w:pStyle w:val="TableContents"/>
              <w:spacing w:before="0" w:after="0"/>
              <w:ind w:left="0" w:right="0" w:firstLine="30"/>
              <w:rPr/>
            </w:pPr>
            <w:r>
              <w:rPr/>
              <w:t> </w:t>
            </w:r>
          </w:p>
        </w:tc>
        <w:tc>
          <w:tcPr>
            <w:tcW w:w="13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22" w:type="dxa"/>
            <w:tcBorders/>
            <w:shd w:fill="CCEEFF" w:val="clear"/>
            <w:vAlign w:val="center"/>
          </w:tcPr>
          <w:p>
            <w:pPr>
              <w:pStyle w:val="TableContents"/>
              <w:spacing w:before="0" w:after="0"/>
              <w:jc w:val="right"/>
              <w:rPr>
                <w:rFonts w:ascii="inherit" w:hAnsi="inherit"/>
                <w:sz w:val="17"/>
              </w:rPr>
            </w:pPr>
            <w:r>
              <w:rPr>
                <w:rFonts w:ascii="inherit" w:hAnsi="inherit"/>
                <w:sz w:val="17"/>
              </w:rPr>
              <w:t>0.07</w:t>
            </w:r>
          </w:p>
        </w:tc>
        <w:tc>
          <w:tcPr>
            <w:tcW w:w="12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380" w:type="dxa"/>
            <w:tcBorders/>
            <w:shd w:fill="CCEEFF" w:val="clear"/>
            <w:vAlign w:val="center"/>
          </w:tcPr>
          <w:p>
            <w:pPr>
              <w:pStyle w:val="TableContents"/>
              <w:spacing w:before="0" w:after="0"/>
              <w:jc w:val="right"/>
              <w:rPr>
                <w:rFonts w:ascii="inherit" w:hAnsi="inherit"/>
                <w:sz w:val="17"/>
              </w:rPr>
            </w:pPr>
            <w:r>
              <w:rPr>
                <w:rFonts w:ascii="inherit" w:hAnsi="inherit"/>
                <w:sz w:val="17"/>
              </w:rPr>
              <w:t>0.47</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35" w:type="dxa"/>
            <w:tcBorders/>
            <w:shd w:fill="CCEEFF" w:val="clear"/>
            <w:vAlign w:val="center"/>
          </w:tcPr>
          <w:p>
            <w:pPr>
              <w:pStyle w:val="TableContents"/>
              <w:spacing w:before="0" w:after="0"/>
              <w:jc w:val="right"/>
              <w:rPr>
                <w:rFonts w:ascii="inherit" w:hAnsi="inherit"/>
                <w:sz w:val="17"/>
              </w:rPr>
            </w:pPr>
            <w:r>
              <w:rPr>
                <w:rFonts w:ascii="inherit" w:hAnsi="inherit"/>
                <w:sz w:val="17"/>
              </w:rPr>
              <w:t>**</w:t>
            </w:r>
          </w:p>
        </w:tc>
        <w:tc>
          <w:tcPr>
            <w:tcW w:w="2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1.80</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380" w:type="dxa"/>
            <w:tcBorders/>
            <w:shd w:fill="CCEEFF" w:val="clear"/>
            <w:vAlign w:val="center"/>
          </w:tcPr>
          <w:p>
            <w:pPr>
              <w:pStyle w:val="TableContents"/>
              <w:spacing w:before="0" w:after="0"/>
              <w:jc w:val="right"/>
              <w:rPr>
                <w:rFonts w:ascii="inherit" w:hAnsi="inherit"/>
                <w:sz w:val="17"/>
              </w:rPr>
            </w:pPr>
            <w:r>
              <w:rPr>
                <w:rFonts w:ascii="inherit" w:hAnsi="inherit"/>
                <w:sz w:val="17"/>
              </w:rPr>
              <w:t>0.39</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1.41</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95" w:type="dxa"/>
            <w:tcBorders/>
            <w:shd w:fill="CCEEFF" w:val="clear"/>
            <w:vAlign w:val="center"/>
          </w:tcPr>
          <w:p>
            <w:pPr>
              <w:pStyle w:val="TableContents"/>
              <w:spacing w:before="0" w:after="0"/>
              <w:jc w:val="right"/>
              <w:rPr>
                <w:rFonts w:ascii="inherit" w:hAnsi="inherit"/>
                <w:sz w:val="17"/>
              </w:rPr>
            </w:pPr>
            <w:r>
              <w:rPr>
                <w:rFonts w:ascii="inherit" w:hAnsi="inherit"/>
                <w:sz w:val="17"/>
              </w:rPr>
              <w:t>**</w:t>
            </w:r>
          </w:p>
        </w:tc>
        <w:tc>
          <w:tcPr>
            <w:tcW w:w="2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Diluted net income per common unit</w:t>
            </w:r>
          </w:p>
        </w:tc>
        <w:tc>
          <w:tcPr>
            <w:tcW w:w="13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22" w:type="dxa"/>
            <w:tcBorders/>
            <w:shd w:fill="auto" w:val="clear"/>
            <w:vAlign w:val="center"/>
          </w:tcPr>
          <w:p>
            <w:pPr>
              <w:pStyle w:val="TableContents"/>
              <w:spacing w:before="0" w:after="0"/>
              <w:jc w:val="right"/>
              <w:rPr>
                <w:rFonts w:ascii="inherit" w:hAnsi="inherit"/>
                <w:sz w:val="17"/>
              </w:rPr>
            </w:pPr>
            <w:r>
              <w:rPr>
                <w:rFonts w:ascii="inherit" w:hAnsi="inherit"/>
                <w:sz w:val="17"/>
              </w:rPr>
              <w:t>0.54</w:t>
            </w:r>
          </w:p>
        </w:tc>
        <w:tc>
          <w:tcPr>
            <w:tcW w:w="1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9" w:type="dxa"/>
            <w:tcBorders/>
            <w:shd w:fill="auto" w:val="clear"/>
            <w:vAlign w:val="center"/>
          </w:tcPr>
          <w:p>
            <w:pPr>
              <w:pStyle w:val="TableContents"/>
              <w:spacing w:before="0" w:after="0"/>
              <w:ind w:left="0" w:right="0" w:firstLine="30"/>
              <w:rPr/>
            </w:pPr>
            <w:r>
              <w:rPr/>
              <w:t> </w:t>
            </w:r>
          </w:p>
        </w:tc>
        <w:tc>
          <w:tcPr>
            <w:tcW w:w="13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22" w:type="dxa"/>
            <w:tcBorders/>
            <w:shd w:fill="auto" w:val="clear"/>
            <w:vAlign w:val="center"/>
          </w:tcPr>
          <w:p>
            <w:pPr>
              <w:pStyle w:val="TableContents"/>
              <w:spacing w:before="0" w:after="0"/>
              <w:jc w:val="right"/>
              <w:rPr>
                <w:rFonts w:ascii="inherit" w:hAnsi="inherit"/>
                <w:sz w:val="17"/>
              </w:rPr>
            </w:pPr>
            <w:r>
              <w:rPr>
                <w:rFonts w:ascii="inherit" w:hAnsi="inherit"/>
                <w:sz w:val="17"/>
              </w:rPr>
              <w:t>0.07</w:t>
            </w:r>
          </w:p>
        </w:tc>
        <w:tc>
          <w:tcPr>
            <w:tcW w:w="1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380" w:type="dxa"/>
            <w:tcBorders/>
            <w:shd w:fill="auto" w:val="clear"/>
            <w:vAlign w:val="center"/>
          </w:tcPr>
          <w:p>
            <w:pPr>
              <w:pStyle w:val="TableContents"/>
              <w:spacing w:before="0" w:after="0"/>
              <w:jc w:val="right"/>
              <w:rPr>
                <w:rFonts w:ascii="inherit" w:hAnsi="inherit"/>
                <w:sz w:val="17"/>
              </w:rPr>
            </w:pPr>
            <w:r>
              <w:rPr>
                <w:rFonts w:ascii="inherit" w:hAnsi="inherit"/>
                <w:sz w:val="17"/>
              </w:rPr>
              <w:t>0.47</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335" w:type="dxa"/>
            <w:tcBorders/>
            <w:shd w:fill="auto" w:val="clear"/>
            <w:vAlign w:val="center"/>
          </w:tcPr>
          <w:p>
            <w:pPr>
              <w:pStyle w:val="TableContents"/>
              <w:spacing w:before="0" w:after="0"/>
              <w:jc w:val="right"/>
              <w:rPr>
                <w:rFonts w:ascii="inherit" w:hAnsi="inherit"/>
                <w:sz w:val="17"/>
              </w:rPr>
            </w:pPr>
            <w:r>
              <w:rPr>
                <w:rFonts w:ascii="inherit" w:hAnsi="inherit"/>
                <w:sz w:val="17"/>
              </w:rPr>
              <w:t>**</w:t>
            </w:r>
          </w:p>
        </w:tc>
        <w:tc>
          <w:tcPr>
            <w:tcW w:w="2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auto" w:val="clear"/>
            <w:vAlign w:val="center"/>
          </w:tcPr>
          <w:p>
            <w:pPr>
              <w:pStyle w:val="TableContents"/>
              <w:spacing w:before="0" w:after="0"/>
              <w:jc w:val="right"/>
              <w:rPr>
                <w:rFonts w:ascii="inherit" w:hAnsi="inherit"/>
                <w:sz w:val="17"/>
              </w:rPr>
            </w:pPr>
            <w:r>
              <w:rPr>
                <w:rFonts w:ascii="inherit" w:hAnsi="inherit"/>
                <w:sz w:val="17"/>
              </w:rPr>
              <w:t>1.74</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380" w:type="dxa"/>
            <w:tcBorders/>
            <w:shd w:fill="auto" w:val="clear"/>
            <w:vAlign w:val="center"/>
          </w:tcPr>
          <w:p>
            <w:pPr>
              <w:pStyle w:val="TableContents"/>
              <w:spacing w:before="0" w:after="0"/>
              <w:jc w:val="right"/>
              <w:rPr>
                <w:rFonts w:ascii="inherit" w:hAnsi="inherit"/>
                <w:sz w:val="17"/>
              </w:rPr>
            </w:pPr>
            <w:r>
              <w:rPr>
                <w:rFonts w:ascii="inherit" w:hAnsi="inherit"/>
                <w:sz w:val="17"/>
              </w:rPr>
              <w:t>0.39</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auto" w:val="clear"/>
            <w:vAlign w:val="center"/>
          </w:tcPr>
          <w:p>
            <w:pPr>
              <w:pStyle w:val="TableContents"/>
              <w:spacing w:before="0" w:after="0"/>
              <w:jc w:val="right"/>
              <w:rPr>
                <w:rFonts w:ascii="inherit" w:hAnsi="inherit"/>
                <w:sz w:val="17"/>
              </w:rPr>
            </w:pPr>
            <w:r>
              <w:rPr>
                <w:rFonts w:ascii="inherit" w:hAnsi="inherit"/>
                <w:sz w:val="17"/>
              </w:rPr>
              <w:t>1.35</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395" w:type="dxa"/>
            <w:tcBorders/>
            <w:shd w:fill="auto" w:val="clear"/>
            <w:vAlign w:val="center"/>
          </w:tcPr>
          <w:p>
            <w:pPr>
              <w:pStyle w:val="TableContents"/>
              <w:spacing w:before="0" w:after="0"/>
              <w:jc w:val="right"/>
              <w:rPr>
                <w:rFonts w:ascii="inherit" w:hAnsi="inherit"/>
                <w:sz w:val="17"/>
              </w:rPr>
            </w:pPr>
            <w:r>
              <w:rPr>
                <w:rFonts w:ascii="inherit" w:hAnsi="inherit"/>
                <w:sz w:val="17"/>
              </w:rPr>
              <w:t>**</w:t>
            </w:r>
          </w:p>
        </w:tc>
        <w:tc>
          <w:tcPr>
            <w:tcW w:w="2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Basic weighted average common units outstanding</w:t>
            </w:r>
          </w:p>
        </w:tc>
        <w:tc>
          <w:tcPr>
            <w:tcW w:w="56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727</w:t>
            </w:r>
          </w:p>
        </w:tc>
        <w:tc>
          <w:tcPr>
            <w:tcW w:w="12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9" w:type="dxa"/>
            <w:tcBorders/>
            <w:shd w:fill="CCEEFF" w:val="clear"/>
            <w:vAlign w:val="center"/>
          </w:tcPr>
          <w:p>
            <w:pPr>
              <w:pStyle w:val="TableContents"/>
              <w:spacing w:before="0" w:after="0"/>
              <w:ind w:left="0" w:right="0" w:firstLine="30"/>
              <w:rPr/>
            </w:pPr>
            <w:r>
              <w:rPr/>
              <w:t> </w:t>
            </w:r>
          </w:p>
        </w:tc>
        <w:tc>
          <w:tcPr>
            <w:tcW w:w="56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725</w:t>
            </w:r>
          </w:p>
        </w:tc>
        <w:tc>
          <w:tcPr>
            <w:tcW w:w="12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0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35" w:type="dxa"/>
            <w:tcBorders/>
            <w:shd w:fill="CCEEFF" w:val="clear"/>
            <w:vAlign w:val="center"/>
          </w:tcPr>
          <w:p>
            <w:pPr>
              <w:pStyle w:val="TableContents"/>
              <w:spacing w:before="0" w:after="0"/>
              <w:jc w:val="right"/>
              <w:rPr>
                <w:rFonts w:ascii="inherit" w:hAnsi="inherit"/>
                <w:sz w:val="17"/>
              </w:rPr>
            </w:pPr>
            <w:r>
              <w:rPr>
                <w:rFonts w:ascii="inherit" w:hAnsi="inherit"/>
                <w:sz w:val="17"/>
              </w:rPr>
              <w:t>**</w:t>
            </w:r>
          </w:p>
        </w:tc>
        <w:tc>
          <w:tcPr>
            <w:tcW w:w="2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727</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0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725</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95" w:type="dxa"/>
            <w:tcBorders/>
            <w:shd w:fill="CCEEFF" w:val="clear"/>
            <w:vAlign w:val="center"/>
          </w:tcPr>
          <w:p>
            <w:pPr>
              <w:pStyle w:val="TableContents"/>
              <w:spacing w:before="0" w:after="0"/>
              <w:jc w:val="right"/>
              <w:rPr>
                <w:rFonts w:ascii="inherit" w:hAnsi="inherit"/>
                <w:sz w:val="17"/>
              </w:rPr>
            </w:pPr>
            <w:r>
              <w:rPr>
                <w:rFonts w:ascii="inherit" w:hAnsi="inherit"/>
                <w:sz w:val="17"/>
              </w:rPr>
              <w:t>**</w:t>
            </w:r>
          </w:p>
        </w:tc>
        <w:tc>
          <w:tcPr>
            <w:tcW w:w="2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Diluted weighted average common units outstanding</w:t>
            </w:r>
          </w:p>
        </w:tc>
        <w:tc>
          <w:tcPr>
            <w:tcW w:w="56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800</w:t>
            </w:r>
          </w:p>
        </w:tc>
        <w:tc>
          <w:tcPr>
            <w:tcW w:w="1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9" w:type="dxa"/>
            <w:tcBorders/>
            <w:shd w:fill="auto" w:val="clear"/>
            <w:vAlign w:val="center"/>
          </w:tcPr>
          <w:p>
            <w:pPr>
              <w:pStyle w:val="TableContents"/>
              <w:spacing w:before="0" w:after="0"/>
              <w:ind w:left="0" w:right="0" w:firstLine="30"/>
              <w:rPr/>
            </w:pPr>
            <w:r>
              <w:rPr/>
              <w:t> </w:t>
            </w:r>
          </w:p>
        </w:tc>
        <w:tc>
          <w:tcPr>
            <w:tcW w:w="56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727</w:t>
            </w:r>
          </w:p>
        </w:tc>
        <w:tc>
          <w:tcPr>
            <w:tcW w:w="1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0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73</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335" w:type="dxa"/>
            <w:tcBorders/>
            <w:shd w:fill="auto" w:val="clear"/>
            <w:vAlign w:val="center"/>
          </w:tcPr>
          <w:p>
            <w:pPr>
              <w:pStyle w:val="TableContents"/>
              <w:spacing w:before="0" w:after="0"/>
              <w:jc w:val="right"/>
              <w:rPr>
                <w:rFonts w:ascii="inherit" w:hAnsi="inherit"/>
                <w:sz w:val="17"/>
              </w:rPr>
            </w:pPr>
            <w:r>
              <w:rPr>
                <w:rFonts w:ascii="inherit" w:hAnsi="inherit"/>
                <w:sz w:val="17"/>
              </w:rPr>
              <w:t>**</w:t>
            </w:r>
          </w:p>
        </w:tc>
        <w:tc>
          <w:tcPr>
            <w:tcW w:w="2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800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0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727</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73</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395" w:type="dxa"/>
            <w:tcBorders/>
            <w:shd w:fill="auto" w:val="clear"/>
            <w:vAlign w:val="center"/>
          </w:tcPr>
          <w:p>
            <w:pPr>
              <w:pStyle w:val="TableContents"/>
              <w:spacing w:before="0" w:after="0"/>
              <w:jc w:val="right"/>
              <w:rPr>
                <w:rFonts w:ascii="inherit" w:hAnsi="inherit"/>
                <w:sz w:val="17"/>
              </w:rPr>
            </w:pPr>
            <w:r>
              <w:rPr>
                <w:rFonts w:ascii="inherit" w:hAnsi="inherit"/>
                <w:sz w:val="17"/>
              </w:rPr>
              <w:t>**</w:t>
            </w:r>
          </w:p>
        </w:tc>
        <w:tc>
          <w:tcPr>
            <w:tcW w:w="280"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sz w:val="4"/>
                <w:szCs w:val="4"/>
              </w:rPr>
            </w:pPr>
            <w:r>
              <w:rPr>
                <w:sz w:val="4"/>
                <w:szCs w:val="4"/>
              </w:rPr>
            </w:r>
          </w:p>
        </w:tc>
      </w:tr>
      <w:tr>
        <w:trPr/>
        <w:tc>
          <w:tcPr>
            <w:tcW w:w="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 w:type="dxa"/>
            <w:tcBorders>
              <w:bottom w:val="single" w:sz="2" w:space="0" w:color="000000"/>
            </w:tcBorders>
            <w:shd w:fill="auto" w:val="clear"/>
            <w:tcMar>
              <w:bottom w:w="30" w:type="dxa"/>
            </w:tcMar>
            <w:vAlign w:val="center"/>
          </w:tcPr>
          <w:p>
            <w:pPr>
              <w:pStyle w:val="TableContents"/>
              <w:spacing w:before="0" w:after="0"/>
              <w:rPr/>
            </w:pPr>
            <w:r>
              <w:rPr/>
              <w:t> </w:t>
            </w:r>
          </w:p>
        </w:tc>
      </w:tr>
    </w:tbl>
    <w:tbl>
      <w:tblPr>
        <w:tblW w:w="5065" w:type="dxa"/>
        <w:jc w:val="left"/>
        <w:tblInd w:w="0" w:type="dxa"/>
        <w:tblCellMar>
          <w:top w:w="0" w:type="dxa"/>
          <w:left w:w="0" w:type="dxa"/>
          <w:bottom w:w="0" w:type="dxa"/>
          <w:right w:w="0" w:type="dxa"/>
        </w:tblCellMar>
      </w:tblPr>
      <w:tblGrid>
        <w:gridCol w:w="200"/>
        <w:gridCol w:w="4865"/>
      </w:tblGrid>
      <w:tr>
        <w:trPr/>
        <w:tc>
          <w:tcPr>
            <w:tcW w:w="200" w:type="dxa"/>
            <w:tcBorders/>
            <w:shd w:fill="auto" w:val="clear"/>
            <w:vAlign w:val="center"/>
          </w:tcPr>
          <w:p>
            <w:pPr>
              <w:pStyle w:val="TableContents"/>
              <w:spacing w:before="0" w:after="283"/>
              <w:rPr>
                <w:sz w:val="4"/>
                <w:szCs w:val="4"/>
              </w:rPr>
            </w:pPr>
            <w:r>
              <w:rPr>
                <w:sz w:val="4"/>
                <w:szCs w:val="4"/>
              </w:rPr>
            </w:r>
          </w:p>
        </w:tc>
        <w:tc>
          <w:tcPr>
            <w:tcW w:w="4865" w:type="dxa"/>
            <w:tcBorders/>
            <w:shd w:fill="auto" w:val="clear"/>
            <w:vAlign w:val="center"/>
          </w:tcPr>
          <w:p>
            <w:pPr>
              <w:pStyle w:val="TableContents"/>
              <w:spacing w:before="0" w:after="283"/>
              <w:rPr>
                <w:sz w:val="4"/>
                <w:szCs w:val="4"/>
              </w:rPr>
            </w:pPr>
            <w:r>
              <w:rPr>
                <w:sz w:val="4"/>
                <w:szCs w:val="4"/>
              </w:rPr>
            </w:r>
          </w:p>
        </w:tc>
      </w:tr>
      <w:tr>
        <w:trPr/>
        <w:tc>
          <w:tcPr>
            <w:tcW w:w="200"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w:t>
            </w:r>
            <w:r>
              <w:rPr>
                <w:rFonts w:ascii="inherit" w:hAnsi="inherit"/>
                <w:sz w:val="17"/>
              </w:rPr>
              <w:t> </w:t>
            </w:r>
          </w:p>
        </w:tc>
        <w:tc>
          <w:tcPr>
            <w:tcW w:w="4865" w:type="dxa"/>
            <w:tcBorders/>
            <w:shd w:fill="auto" w:val="clear"/>
            <w:vAlign w:val="center"/>
          </w:tcPr>
          <w:p>
            <w:pPr>
              <w:pStyle w:val="TableContents"/>
              <w:spacing w:lineRule="auto" w:line="288" w:before="0" w:after="0"/>
              <w:rPr>
                <w:rFonts w:ascii="inherit" w:hAnsi="inherit"/>
                <w:sz w:val="17"/>
              </w:rPr>
            </w:pPr>
            <w:r>
              <w:rPr>
                <w:rFonts w:ascii="inherit" w:hAnsi="inherit"/>
                <w:sz w:val="17"/>
              </w:rPr>
              <w:t>Indicates that variance as a percentage is not meaningful.</w:t>
            </w:r>
          </w:p>
        </w:tc>
      </w:tr>
    </w:tbl>
    <w:tbl>
      <w:tblPr>
        <w:tblW w:w="10205" w:type="dxa"/>
        <w:jc w:val="left"/>
        <w:tblInd w:w="0" w:type="dxa"/>
        <w:tblCellMar>
          <w:top w:w="0" w:type="dxa"/>
          <w:left w:w="0" w:type="dxa"/>
          <w:bottom w:w="0" w:type="dxa"/>
          <w:right w:w="0" w:type="dxa"/>
        </w:tblCellMar>
      </w:tblPr>
      <w:tblGrid>
        <w:gridCol w:w="178"/>
        <w:gridCol w:w="10027"/>
      </w:tblGrid>
      <w:tr>
        <w:trPr/>
        <w:tc>
          <w:tcPr>
            <w:tcW w:w="178" w:type="dxa"/>
            <w:tcBorders/>
            <w:shd w:fill="auto" w:val="clear"/>
            <w:vAlign w:val="center"/>
          </w:tcPr>
          <w:p>
            <w:pPr>
              <w:pStyle w:val="TableContents"/>
              <w:spacing w:before="0" w:after="283"/>
              <w:rPr>
                <w:sz w:val="4"/>
                <w:szCs w:val="4"/>
              </w:rPr>
            </w:pPr>
            <w:r>
              <w:rPr>
                <w:sz w:val="4"/>
                <w:szCs w:val="4"/>
              </w:rPr>
            </w:r>
          </w:p>
        </w:tc>
        <w:tc>
          <w:tcPr>
            <w:tcW w:w="10027" w:type="dxa"/>
            <w:tcBorders/>
            <w:shd w:fill="auto" w:val="clear"/>
            <w:vAlign w:val="center"/>
          </w:tcPr>
          <w:p>
            <w:pPr>
              <w:pStyle w:val="TableContents"/>
              <w:spacing w:before="0" w:after="283"/>
              <w:rPr>
                <w:sz w:val="4"/>
                <w:szCs w:val="4"/>
              </w:rPr>
            </w:pPr>
            <w:r>
              <w:rPr>
                <w:sz w:val="4"/>
                <w:szCs w:val="4"/>
              </w:rPr>
            </w:r>
          </w:p>
        </w:tc>
      </w:tr>
      <w:tr>
        <w:trPr/>
        <w:tc>
          <w:tcPr>
            <w:tcW w:w="178"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(1)</w:t>
            </w:r>
            <w:r>
              <w:rPr>
                <w:rFonts w:ascii="inherit" w:hAnsi="inherit"/>
                <w:sz w:val="17"/>
              </w:rPr>
              <w:t> </w:t>
            </w:r>
          </w:p>
        </w:tc>
        <w:tc>
          <w:tcPr>
            <w:tcW w:w="10027" w:type="dxa"/>
            <w:tcBorders/>
            <w:shd w:fill="auto" w:val="clear"/>
            <w:vAlign w:val="center"/>
          </w:tcPr>
          <w:p>
            <w:pPr>
              <w:pStyle w:val="TableContents"/>
              <w:spacing w:lineRule="auto" w:line="288" w:before="0" w:after="0"/>
              <w:rPr>
                <w:sz w:val="17"/>
              </w:rPr>
            </w:pPr>
            <w:r>
              <w:rPr>
                <w:rFonts w:ascii="inherit" w:hAnsi="inherit"/>
                <w:sz w:val="17"/>
              </w:rPr>
              <w:t xml:space="preserve">Segment Adjusted EBITDA is the measure of segment performance that is utilized by our CODM to assess performance and allocate resources among our operating segments. This measure is adjusted for certain items, including those that our CODM believes impact comparability of results across periods. See </w:t>
            </w:r>
            <w:r>
              <w:rPr>
                <w:b w:val="false"/>
                <w:sz w:val="17"/>
              </w:rPr>
              <w:t>Note 14</w:t>
            </w:r>
            <w:r>
              <w:rPr>
                <w:sz w:val="17"/>
              </w:rPr>
              <w:t xml:space="preserve"> </w:t>
            </w:r>
            <w:r>
              <w:rPr>
                <w:rFonts w:ascii="inherit" w:hAnsi="inherit"/>
                <w:sz w:val="17"/>
              </w:rPr>
              <w:t>to our Condensed Consolidated Financial Statements for additional discussion of such adjustments.</w:t>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46</w:t>
      </w:r>
      <w:r>
        <w:br w:type="page"/>
      </w:r>
    </w:p>
    <w:p>
      <w:pPr>
        <w:pStyle w:val="TextBody"/>
        <w:spacing w:lineRule="auto" w:line="288" w:before="0" w:after="0"/>
        <w:rPr/>
      </w:pPr>
      <w:hyperlink w:anchor="s3336AD8A685850CC9B7F2572CB2C0BC3">
        <w:r>
          <w:rPr>
            <w:rStyle w:val="InternetLink"/>
            <w:rFonts w:ascii="inherit" w:hAnsi="inherit"/>
            <w:sz w:val="17"/>
          </w:rPr>
          <w:t>Table of Contents</w:t>
        </w:r>
      </w:hyperlink>
      <w:r>
        <w:rPr>
          <w:sz w:val="17"/>
        </w:rPr>
        <w:t xml:space="preserve"> </w:t>
      </w:r>
    </w:p>
    <w:p>
      <w:pPr>
        <w:pStyle w:val="TextBody"/>
        <w:spacing w:before="0" w:after="0"/>
        <w:rPr/>
      </w:pPr>
      <w:r>
        <w:rPr/>
      </w:r>
    </w:p>
    <w:p>
      <w:pPr>
        <w:pStyle w:val="TextBody"/>
        <w:spacing w:lineRule="auto" w:line="288" w:before="0" w:after="0"/>
        <w:rPr>
          <w:rFonts w:ascii="inherit" w:hAnsi="inherit"/>
          <w:b/>
          <w:i/>
          <w:sz w:val="17"/>
        </w:rPr>
      </w:pPr>
      <w:r>
        <w:rPr>
          <w:rFonts w:ascii="inherit" w:hAnsi="inherit"/>
          <w:b/>
          <w:i/>
          <w:sz w:val="17"/>
        </w:rPr>
        <w:t>Non-GAAP Financial Measures</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 xml:space="preserve">To supplement our financial information presented in accordance with GAAP, management uses additional measures known as “non-GAAP financial measures” in its evaluation of past performance and prospects for the future. The primary additional measures used by management are earnings before interest, taxes, depreciation and amortization (including our proportionate share of depreciation and amortization of, and gains and losses on significant asset sales by, unconsolidated entities), gains and losses on asset sales and asset impairments and gains on investments in unconsolidated entities, adjusted for certain selected items impacting comparability (“Adjusted EBITDA”) and implied distributable cash flow (“DCF”). </w:t>
      </w:r>
    </w:p>
    <w:p>
      <w:pPr>
        <w:pStyle w:val="TextBody"/>
        <w:spacing w:lineRule="auto" w:line="288" w:before="0" w:after="0"/>
        <w:rPr/>
      </w:pPr>
      <w:r>
        <w:rPr/>
        <w:t> </w:t>
      </w:r>
    </w:p>
    <w:p>
      <w:pPr>
        <w:pStyle w:val="TextBody"/>
        <w:spacing w:lineRule="auto" w:line="288" w:before="0" w:after="0"/>
        <w:ind w:left="0" w:right="0" w:firstLine="720"/>
        <w:rPr>
          <w:sz w:val="17"/>
        </w:rPr>
      </w:pPr>
      <w:r>
        <w:rPr>
          <w:rFonts w:ascii="inherit" w:hAnsi="inherit"/>
          <w:sz w:val="17"/>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(ii) provide investors with the same financial analytical framework upon which management bases financial, operational, compensation and planning/budgeting decisions and (iii) present measures that investors, rating agencies and debt holders have indicated are useful in assessing us and our results of operations. These non-GAAP measures may exclude, for example, (i) charges for obligations that are expected to be settled with the issuance of equity instruments, (ii) gains or losses on derivative instruments that are related to underlying activities in another period (or the reversal of such adjustments from a prior period), the mark-to-market related to our Preferred Distribution Rate Reset Option, gains and losses on derivatives that are related to investing activities (such as the purchase of linefill) and inventory valuation adjustments, as applicable, (iii) long-term inventory costing adjustments, (iv) items that are not indicative of our core operating results and business outlook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Such amounts are presented net of applicable amounts subsequently recognized into revenue. We have defined all such items as “selected items impacting comparability.”</w:t>
      </w:r>
      <w:r>
        <w:rPr>
          <w:sz w:val="17"/>
        </w:rPr>
        <w:t xml:space="preserve"> </w:t>
      </w:r>
      <w:r>
        <w:rPr>
          <w:rFonts w:ascii="inherit" w:hAnsi="inherit"/>
          <w:sz w:val="17"/>
        </w:rPr>
        <w:t>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lineRule="auto" w:line="288" w:before="0" w:after="0"/>
        <w:ind w:left="0" w:right="0" w:firstLine="720"/>
        <w:rPr>
          <w:rFonts w:ascii="inherit" w:hAnsi="inherit"/>
          <w:sz w:val="17"/>
        </w:rPr>
      </w:pPr>
      <w:r>
        <w:rPr>
          <w:rFonts w:ascii="inherit" w:hAnsi="inherit"/>
          <w:sz w:val="17"/>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expansion projects and numerous other factors as discussed, as applicable, in “Analysis of Operating Segments.”</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Our definition and calculation of certain non-GAAP financial measures may not be comparable to similarly-titled measures of other companies. Adjusted EBITDA and Implied DCF are reconciled to Net Income, the most directly comparable measure as reported in accordance with GAAP, and should be viewed in addition to, and not in lieu of, our Condensed Consolidated Financial Statements and footnotes.</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The following table sets forth the reconciliation of these non-GAAP financial performance measures from Net income (in millions):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47</w:t>
      </w:r>
      <w:r>
        <w:br w:type="page"/>
      </w:r>
    </w:p>
    <w:p>
      <w:pPr>
        <w:pStyle w:val="TextBody"/>
        <w:spacing w:lineRule="auto" w:line="288" w:before="0" w:after="0"/>
        <w:rPr/>
      </w:pPr>
      <w:hyperlink w:anchor="s3336AD8A685850CC9B7F2572CB2C0BC3">
        <w:r>
          <w:rPr>
            <w:rStyle w:val="InternetLink"/>
            <w:rFonts w:ascii="inherit" w:hAnsi="inherit"/>
            <w:sz w:val="17"/>
          </w:rPr>
          <w:t>Table of Contents</w:t>
        </w:r>
      </w:hyperlink>
      <w:r>
        <w:rPr>
          <w:sz w:val="17"/>
        </w:rPr>
        <w:t xml:space="preserve"> </w:t>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4131"/>
        <w:gridCol w:w="140"/>
        <w:gridCol w:w="378"/>
        <w:gridCol w:w="123"/>
        <w:gridCol w:w="101"/>
        <w:gridCol w:w="140"/>
        <w:gridCol w:w="378"/>
        <w:gridCol w:w="123"/>
        <w:gridCol w:w="90"/>
        <w:gridCol w:w="125"/>
        <w:gridCol w:w="335"/>
        <w:gridCol w:w="110"/>
        <w:gridCol w:w="90"/>
        <w:gridCol w:w="395"/>
        <w:gridCol w:w="260"/>
        <w:gridCol w:w="90"/>
        <w:gridCol w:w="90"/>
        <w:gridCol w:w="125"/>
        <w:gridCol w:w="485"/>
        <w:gridCol w:w="110"/>
        <w:gridCol w:w="90"/>
        <w:gridCol w:w="125"/>
        <w:gridCol w:w="485"/>
        <w:gridCol w:w="110"/>
        <w:gridCol w:w="90"/>
        <w:gridCol w:w="125"/>
        <w:gridCol w:w="485"/>
        <w:gridCol w:w="110"/>
        <w:gridCol w:w="90"/>
        <w:gridCol w:w="395"/>
        <w:gridCol w:w="281"/>
      </w:tblGrid>
      <w:tr>
        <w:trPr/>
        <w:tc>
          <w:tcPr>
            <w:tcW w:w="10205" w:type="dxa"/>
            <w:gridSpan w:val="31"/>
            <w:tcBorders/>
            <w:shd w:fill="auto" w:val="clear"/>
            <w:vAlign w:val="center"/>
          </w:tcPr>
          <w:p>
            <w:pPr>
              <w:pStyle w:val="TableContents"/>
              <w:spacing w:before="0" w:after="283"/>
              <w:rPr>
                <w:sz w:val="4"/>
                <w:szCs w:val="4"/>
              </w:rPr>
            </w:pPr>
            <w:r>
              <w:rPr>
                <w:sz w:val="4"/>
                <w:szCs w:val="4"/>
              </w:rPr>
            </w:r>
          </w:p>
        </w:tc>
      </w:tr>
      <w:tr>
        <w:trPr/>
        <w:tc>
          <w:tcPr>
            <w:tcW w:w="4131"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131" w:type="dxa"/>
            <w:tcBorders/>
            <w:shd w:fill="auto" w:val="clear"/>
            <w:vAlign w:val="center"/>
          </w:tcPr>
          <w:p>
            <w:pPr>
              <w:pStyle w:val="TableContents"/>
              <w:spacing w:before="0" w:after="0"/>
              <w:ind w:left="0" w:right="0" w:firstLine="30"/>
              <w:rPr/>
            </w:pPr>
            <w:r>
              <w:rPr/>
              <w:t> </w:t>
            </w:r>
          </w:p>
        </w:tc>
        <w:tc>
          <w:tcPr>
            <w:tcW w:w="1383"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w:t>
              <w:br/>
              <w:t>June 30,</w:t>
            </w:r>
          </w:p>
        </w:tc>
        <w:tc>
          <w:tcPr>
            <w:tcW w:w="90" w:type="dxa"/>
            <w:tcBorders/>
            <w:shd w:fill="auto" w:val="clear"/>
            <w:vAlign w:val="center"/>
          </w:tcPr>
          <w:p>
            <w:pPr>
              <w:pStyle w:val="TableContents"/>
              <w:spacing w:before="0" w:after="0"/>
              <w:ind w:left="0" w:right="0" w:firstLine="30"/>
              <w:rPr/>
            </w:pPr>
            <w:r>
              <w:rPr/>
              <w:t> </w:t>
            </w:r>
          </w:p>
        </w:tc>
        <w:tc>
          <w:tcPr>
            <w:tcW w:w="1315" w:type="dxa"/>
            <w:gridSpan w:val="6"/>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Variance</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30"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w:t>
              <w:br/>
              <w:t>June 30,</w:t>
            </w:r>
          </w:p>
        </w:tc>
        <w:tc>
          <w:tcPr>
            <w:tcW w:w="90" w:type="dxa"/>
            <w:tcBorders/>
            <w:shd w:fill="auto" w:val="clear"/>
            <w:vAlign w:val="center"/>
          </w:tcPr>
          <w:p>
            <w:pPr>
              <w:pStyle w:val="TableContents"/>
              <w:spacing w:before="0" w:after="0"/>
              <w:ind w:left="0" w:right="0" w:firstLine="30"/>
              <w:rPr/>
            </w:pPr>
            <w:r>
              <w:rPr/>
              <w:t> </w:t>
            </w:r>
          </w:p>
        </w:tc>
        <w:tc>
          <w:tcPr>
            <w:tcW w:w="1486" w:type="dxa"/>
            <w:gridSpan w:val="6"/>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Variance</w:t>
            </w:r>
          </w:p>
        </w:tc>
      </w:tr>
      <w:tr>
        <w:trPr/>
        <w:tc>
          <w:tcPr>
            <w:tcW w:w="4131" w:type="dxa"/>
            <w:tcBorders/>
            <w:shd w:fill="auto" w:val="clear"/>
            <w:vAlign w:val="center"/>
          </w:tcPr>
          <w:p>
            <w:pPr>
              <w:pStyle w:val="TableContents"/>
              <w:spacing w:before="0" w:after="0"/>
              <w:ind w:left="0" w:right="0" w:firstLine="30"/>
              <w:jc w:val="left"/>
              <w:rPr/>
            </w:pPr>
            <w:r>
              <w:rPr/>
              <w:t> </w:t>
            </w:r>
          </w:p>
        </w:tc>
        <w:tc>
          <w:tcPr>
            <w:tcW w:w="64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101" w:type="dxa"/>
            <w:tcBorders/>
            <w:shd w:fill="auto" w:val="clear"/>
            <w:vAlign w:val="center"/>
          </w:tcPr>
          <w:p>
            <w:pPr>
              <w:pStyle w:val="TableContents"/>
              <w:spacing w:before="0" w:after="0"/>
              <w:ind w:left="0" w:right="0" w:firstLine="30"/>
              <w:rPr/>
            </w:pPr>
            <w:r>
              <w:rPr/>
              <w:t> </w:t>
            </w:r>
          </w:p>
        </w:tc>
        <w:tc>
          <w:tcPr>
            <w:tcW w:w="64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0" w:type="dxa"/>
            <w:tcBorders/>
            <w:shd w:fill="auto" w:val="clear"/>
            <w:vAlign w:val="center"/>
          </w:tcPr>
          <w:p>
            <w:pPr>
              <w:pStyle w:val="TableContents"/>
              <w:spacing w:before="0" w:after="0"/>
              <w:ind w:left="0" w:right="0" w:firstLine="30"/>
              <w:rPr/>
            </w:pPr>
            <w:r>
              <w:rPr/>
              <w:t> </w:t>
            </w:r>
          </w:p>
        </w:tc>
        <w:tc>
          <w:tcPr>
            <w:tcW w:w="57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w:t>
            </w:r>
          </w:p>
        </w:tc>
        <w:tc>
          <w:tcPr>
            <w:tcW w:w="90" w:type="dxa"/>
            <w:tcBorders/>
            <w:shd w:fill="auto" w:val="clear"/>
            <w:vAlign w:val="center"/>
          </w:tcPr>
          <w:p>
            <w:pPr>
              <w:pStyle w:val="TableContents"/>
              <w:spacing w:before="0" w:after="0"/>
              <w:ind w:left="0" w:right="0" w:firstLine="30"/>
              <w:rPr/>
            </w:pPr>
            <w:r>
              <w:rPr/>
              <w:t> </w:t>
            </w:r>
          </w:p>
        </w:tc>
        <w:tc>
          <w:tcPr>
            <w:tcW w:w="655"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2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90" w:type="dxa"/>
            <w:tcBorders/>
            <w:shd w:fill="auto" w:val="clear"/>
            <w:vAlign w:val="center"/>
          </w:tcPr>
          <w:p>
            <w:pPr>
              <w:pStyle w:val="TableContents"/>
              <w:spacing w:before="0" w:after="0"/>
              <w:ind w:left="0" w:right="0" w:firstLine="30"/>
              <w:rPr/>
            </w:pPr>
            <w:r>
              <w:rPr/>
              <w:t> </w:t>
            </w:r>
          </w:p>
        </w:tc>
        <w:tc>
          <w:tcPr>
            <w:tcW w:w="72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0" w:type="dxa"/>
            <w:tcBorders/>
            <w:shd w:fill="auto" w:val="clear"/>
            <w:vAlign w:val="center"/>
          </w:tcPr>
          <w:p>
            <w:pPr>
              <w:pStyle w:val="TableContents"/>
              <w:spacing w:before="0" w:after="0"/>
              <w:ind w:left="0" w:right="0" w:firstLine="30"/>
              <w:rPr/>
            </w:pPr>
            <w:r>
              <w:rPr/>
              <w:t> </w:t>
            </w:r>
          </w:p>
        </w:tc>
        <w:tc>
          <w:tcPr>
            <w:tcW w:w="72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w:t>
            </w:r>
          </w:p>
        </w:tc>
        <w:tc>
          <w:tcPr>
            <w:tcW w:w="90" w:type="dxa"/>
            <w:tcBorders/>
            <w:shd w:fill="auto" w:val="clear"/>
            <w:vAlign w:val="center"/>
          </w:tcPr>
          <w:p>
            <w:pPr>
              <w:pStyle w:val="TableContents"/>
              <w:spacing w:before="0" w:after="0"/>
              <w:ind w:left="0" w:right="0" w:firstLine="30"/>
              <w:rPr/>
            </w:pPr>
            <w:r>
              <w:rPr/>
              <w:t> </w:t>
            </w:r>
          </w:p>
        </w:tc>
        <w:tc>
          <w:tcPr>
            <w:tcW w:w="676"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w:t>
            </w:r>
          </w:p>
        </w:tc>
      </w:tr>
      <w:tr>
        <w:trPr/>
        <w:tc>
          <w:tcPr>
            <w:tcW w:w="41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140"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378"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448</w:t>
            </w:r>
          </w:p>
        </w:tc>
        <w:tc>
          <w:tcPr>
            <w:tcW w:w="123"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140"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378"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100</w:t>
            </w:r>
          </w:p>
        </w:tc>
        <w:tc>
          <w:tcPr>
            <w:tcW w:w="123"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335"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348</w:t>
            </w:r>
          </w:p>
        </w:tc>
        <w:tc>
          <w:tcPr>
            <w:tcW w:w="11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95"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348</w:t>
            </w:r>
          </w:p>
        </w:tc>
        <w:tc>
          <w:tcPr>
            <w:tcW w:w="260" w:type="dxa"/>
            <w:tcBorders>
              <w:top w:val="single" w:sz="2" w:space="0" w:color="000000"/>
            </w:tcBorders>
            <w:shd w:fill="CCEEFF" w:val="clear"/>
            <w:tcMar>
              <w:top w:w="30" w:type="dxa"/>
            </w:tcMar>
            <w:vAlign w:val="center"/>
          </w:tcPr>
          <w:p>
            <w:pPr>
              <w:pStyle w:val="TableContents"/>
              <w:spacing w:before="0" w:after="0"/>
              <w:ind w:left="0" w:right="0" w:firstLine="30"/>
              <w:jc w:val="left"/>
              <w:rPr/>
            </w:pPr>
            <w:r>
              <w:rPr/>
              <w:t> </w:t>
            </w: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125"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1,418</w:t>
            </w:r>
          </w:p>
        </w:tc>
        <w:tc>
          <w:tcPr>
            <w:tcW w:w="11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388</w:t>
            </w:r>
          </w:p>
        </w:tc>
        <w:tc>
          <w:tcPr>
            <w:tcW w:w="11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1,030</w:t>
            </w:r>
          </w:p>
        </w:tc>
        <w:tc>
          <w:tcPr>
            <w:tcW w:w="11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95"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265</w:t>
            </w:r>
          </w:p>
        </w:tc>
        <w:tc>
          <w:tcPr>
            <w:tcW w:w="281" w:type="dxa"/>
            <w:tcBorders>
              <w:top w:val="single" w:sz="2" w:space="0" w:color="000000"/>
            </w:tcBorders>
            <w:shd w:fill="CCEEFF" w:val="clear"/>
            <w:tcMar>
              <w:top w:w="30" w:type="dxa"/>
            </w:tcMar>
            <w:vAlign w:val="center"/>
          </w:tcPr>
          <w:p>
            <w:pPr>
              <w:pStyle w:val="TableContents"/>
              <w:spacing w:before="0" w:after="0"/>
              <w:ind w:left="0" w:right="0" w:firstLine="30"/>
              <w:jc w:val="left"/>
              <w:rPr/>
            </w:pPr>
            <w:r>
              <w:rPr/>
              <w:t> </w:t>
            </w:r>
            <w:r>
              <w:rPr>
                <w:rFonts w:ascii="inherit" w:hAnsi="inherit"/>
                <w:sz w:val="17"/>
              </w:rPr>
              <w:t>%</w:t>
            </w:r>
          </w:p>
        </w:tc>
      </w:tr>
      <w:tr>
        <w:trPr/>
        <w:tc>
          <w:tcPr>
            <w:tcW w:w="41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Add/(Subtract):</w:t>
            </w:r>
          </w:p>
        </w:tc>
        <w:tc>
          <w:tcPr>
            <w:tcW w:w="518" w:type="dxa"/>
            <w:gridSpan w:val="2"/>
            <w:tcBorders/>
            <w:shd w:fill="auto" w:val="clear"/>
            <w:vAlign w:val="center"/>
          </w:tcPr>
          <w:p>
            <w:pPr>
              <w:pStyle w:val="TableContents"/>
              <w:spacing w:before="0" w:after="0"/>
              <w:jc w:val="right"/>
              <w:rPr/>
            </w:pPr>
            <w:r>
              <w:rPr/>
              <w:t> </w:t>
            </w:r>
          </w:p>
        </w:tc>
        <w:tc>
          <w:tcPr>
            <w:tcW w:w="1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auto" w:val="clear"/>
            <w:vAlign w:val="center"/>
          </w:tcPr>
          <w:p>
            <w:pPr>
              <w:pStyle w:val="TableContents"/>
              <w:spacing w:before="0" w:after="0"/>
              <w:ind w:left="0" w:right="0" w:firstLine="30"/>
              <w:rPr/>
            </w:pPr>
            <w:r>
              <w:rPr/>
              <w:t> </w:t>
            </w:r>
          </w:p>
        </w:tc>
        <w:tc>
          <w:tcPr>
            <w:tcW w:w="518" w:type="dxa"/>
            <w:gridSpan w:val="2"/>
            <w:tcBorders/>
            <w:shd w:fill="auto" w:val="clear"/>
            <w:vAlign w:val="center"/>
          </w:tcPr>
          <w:p>
            <w:pPr>
              <w:pStyle w:val="TableContents"/>
              <w:spacing w:before="0" w:after="0"/>
              <w:jc w:val="right"/>
              <w:rPr/>
            </w:pPr>
            <w:r>
              <w:rPr/>
              <w:t> </w:t>
            </w:r>
          </w:p>
        </w:tc>
        <w:tc>
          <w:tcPr>
            <w:tcW w:w="1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7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55" w:type="dxa"/>
            <w:gridSpan w:val="2"/>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pPr>
            <w:r>
              <w:rPr/>
              <w:t> </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pPr>
            <w:r>
              <w:rPr/>
              <w:t> </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2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76" w:type="dxa"/>
            <w:gridSpan w:val="2"/>
            <w:tcBorders/>
            <w:shd w:fill="auto" w:val="clear"/>
            <w:vAlign w:val="center"/>
          </w:tcPr>
          <w:p>
            <w:pPr>
              <w:pStyle w:val="TableContents"/>
              <w:spacing w:before="0" w:after="0"/>
              <w:ind w:left="0" w:right="0" w:firstLine="30"/>
              <w:rPr/>
            </w:pPr>
            <w:r>
              <w:rPr/>
              <w:t> </w:t>
            </w:r>
          </w:p>
        </w:tc>
      </w:tr>
      <w:tr>
        <w:trPr/>
        <w:tc>
          <w:tcPr>
            <w:tcW w:w="41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 net</w:t>
            </w:r>
          </w:p>
        </w:tc>
        <w:tc>
          <w:tcPr>
            <w:tcW w:w="51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103</w:t>
            </w:r>
          </w:p>
        </w:tc>
        <w:tc>
          <w:tcPr>
            <w:tcW w:w="1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51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111</w:t>
            </w:r>
          </w:p>
        </w:tc>
        <w:tc>
          <w:tcPr>
            <w:tcW w:w="1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46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395" w:type="dxa"/>
            <w:tcBorders/>
            <w:shd w:fill="CCEEFF" w:val="clear"/>
            <w:vAlign w:val="center"/>
          </w:tcPr>
          <w:p>
            <w:pPr>
              <w:pStyle w:val="TableContents"/>
              <w:spacing w:before="0" w:after="0"/>
              <w:jc w:val="right"/>
              <w:rPr>
                <w:rFonts w:ascii="inherit" w:hAnsi="inherit"/>
                <w:sz w:val="17"/>
              </w:rPr>
            </w:pPr>
            <w:r>
              <w:rPr>
                <w:rFonts w:ascii="inherit" w:hAnsi="inherit"/>
                <w:sz w:val="17"/>
              </w:rPr>
              <w:t>(7</w:t>
            </w:r>
          </w:p>
        </w:tc>
        <w:tc>
          <w:tcPr>
            <w:tcW w:w="2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203</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217</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395" w:type="dxa"/>
            <w:tcBorders/>
            <w:shd w:fill="CCEEFF" w:val="clear"/>
            <w:vAlign w:val="center"/>
          </w:tcPr>
          <w:p>
            <w:pPr>
              <w:pStyle w:val="TableContents"/>
              <w:spacing w:before="0" w:after="0"/>
              <w:jc w:val="right"/>
              <w:rPr>
                <w:rFonts w:ascii="inherit" w:hAnsi="inherit"/>
                <w:sz w:val="17"/>
              </w:rPr>
            </w:pPr>
            <w:r>
              <w:rPr>
                <w:rFonts w:ascii="inherit" w:hAnsi="inherit"/>
                <w:sz w:val="17"/>
              </w:rPr>
              <w:t>(6</w:t>
            </w:r>
          </w:p>
        </w:tc>
        <w:tc>
          <w:tcPr>
            <w:tcW w:w="28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1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tax expense/(benefit)</w:t>
            </w:r>
          </w:p>
        </w:tc>
        <w:tc>
          <w:tcPr>
            <w:tcW w:w="51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w:t>
            </w:r>
          </w:p>
        </w:tc>
        <w:tc>
          <w:tcPr>
            <w:tcW w:w="1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1" w:type="dxa"/>
            <w:tcBorders/>
            <w:shd w:fill="auto" w:val="clear"/>
            <w:vAlign w:val="center"/>
          </w:tcPr>
          <w:p>
            <w:pPr>
              <w:pStyle w:val="TableContents"/>
              <w:spacing w:before="0" w:after="0"/>
              <w:ind w:left="0" w:right="0" w:firstLine="30"/>
              <w:rPr/>
            </w:pPr>
            <w:r>
              <w:rPr/>
              <w:t> </w:t>
            </w:r>
          </w:p>
        </w:tc>
        <w:tc>
          <w:tcPr>
            <w:tcW w:w="51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w:t>
            </w:r>
          </w:p>
        </w:tc>
        <w:tc>
          <w:tcPr>
            <w:tcW w:w="1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46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395" w:type="dxa"/>
            <w:tcBorders/>
            <w:shd w:fill="auto" w:val="clear"/>
            <w:vAlign w:val="center"/>
          </w:tcPr>
          <w:p>
            <w:pPr>
              <w:pStyle w:val="TableContents"/>
              <w:spacing w:before="0" w:after="0"/>
              <w:jc w:val="right"/>
              <w:rPr>
                <w:rFonts w:ascii="inherit" w:hAnsi="inherit"/>
                <w:sz w:val="17"/>
              </w:rPr>
            </w:pPr>
            <w:r>
              <w:rPr>
                <w:rFonts w:ascii="inherit" w:hAnsi="inherit"/>
                <w:sz w:val="17"/>
              </w:rPr>
              <w:t>(44</w:t>
            </w:r>
          </w:p>
        </w:tc>
        <w:tc>
          <w:tcPr>
            <w:tcW w:w="2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45</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(44</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395" w:type="dxa"/>
            <w:tcBorders/>
            <w:shd w:fill="auto" w:val="clear"/>
            <w:vAlign w:val="center"/>
          </w:tcPr>
          <w:p>
            <w:pPr>
              <w:pStyle w:val="TableContents"/>
              <w:spacing w:before="0" w:after="0"/>
              <w:jc w:val="right"/>
              <w:rPr>
                <w:rFonts w:ascii="inherit" w:hAnsi="inherit"/>
                <w:sz w:val="17"/>
              </w:rPr>
            </w:pPr>
            <w:r>
              <w:rPr>
                <w:rFonts w:ascii="inherit" w:hAnsi="inherit"/>
                <w:sz w:val="17"/>
              </w:rPr>
              <w:t>(98</w:t>
            </w:r>
          </w:p>
        </w:tc>
        <w:tc>
          <w:tcPr>
            <w:tcW w:w="2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1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51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147</w:t>
            </w:r>
          </w:p>
        </w:tc>
        <w:tc>
          <w:tcPr>
            <w:tcW w:w="1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51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130</w:t>
            </w:r>
          </w:p>
        </w:tc>
        <w:tc>
          <w:tcPr>
            <w:tcW w:w="1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46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95" w:type="dxa"/>
            <w:tcBorders/>
            <w:shd w:fill="CCEEFF" w:val="clear"/>
            <w:vAlign w:val="center"/>
          </w:tcPr>
          <w:p>
            <w:pPr>
              <w:pStyle w:val="TableContents"/>
              <w:spacing w:before="0" w:after="0"/>
              <w:jc w:val="right"/>
              <w:rPr>
                <w:rFonts w:ascii="inherit" w:hAnsi="inherit"/>
                <w:sz w:val="17"/>
              </w:rPr>
            </w:pPr>
            <w:r>
              <w:rPr>
                <w:rFonts w:ascii="inherit" w:hAnsi="inherit"/>
                <w:sz w:val="17"/>
              </w:rPr>
              <w:t>13</w:t>
            </w:r>
          </w:p>
        </w:tc>
        <w:tc>
          <w:tcPr>
            <w:tcW w:w="260" w:type="dxa"/>
            <w:tcBorders/>
            <w:shd w:fill="CCEEFF" w:val="clear"/>
            <w:vAlign w:val="center"/>
          </w:tcPr>
          <w:p>
            <w:pPr>
              <w:pStyle w:val="TableContents"/>
              <w:spacing w:before="0" w:after="0"/>
              <w:ind w:left="0" w:right="0" w:firstLine="30"/>
              <w:jc w:val="left"/>
              <w:rPr/>
            </w:pPr>
            <w:r>
              <w:rPr/>
              <w:t> </w:t>
            </w: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283</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256</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95" w:type="dxa"/>
            <w:tcBorders/>
            <w:shd w:fill="CCEEFF" w:val="clear"/>
            <w:vAlign w:val="center"/>
          </w:tcPr>
          <w:p>
            <w:pPr>
              <w:pStyle w:val="TableContents"/>
              <w:spacing w:before="0" w:after="0"/>
              <w:jc w:val="right"/>
              <w:rPr>
                <w:rFonts w:ascii="inherit" w:hAnsi="inherit"/>
                <w:sz w:val="17"/>
              </w:rPr>
            </w:pPr>
            <w:r>
              <w:rPr>
                <w:rFonts w:ascii="inherit" w:hAnsi="inherit"/>
                <w:sz w:val="17"/>
              </w:rPr>
              <w:t>11</w:t>
            </w:r>
          </w:p>
        </w:tc>
        <w:tc>
          <w:tcPr>
            <w:tcW w:w="281" w:type="dxa"/>
            <w:tcBorders/>
            <w:shd w:fill="CCEEFF" w:val="clear"/>
            <w:vAlign w:val="center"/>
          </w:tcPr>
          <w:p>
            <w:pPr>
              <w:pStyle w:val="TableContents"/>
              <w:spacing w:before="0" w:after="0"/>
              <w:ind w:left="0" w:right="0" w:firstLine="30"/>
              <w:jc w:val="left"/>
              <w:rPr/>
            </w:pPr>
            <w:r>
              <w:rPr/>
              <w:t> </w:t>
            </w:r>
            <w:r>
              <w:rPr>
                <w:rFonts w:ascii="inherit" w:hAnsi="inherit"/>
                <w:sz w:val="17"/>
              </w:rPr>
              <w:t>%</w:t>
            </w:r>
          </w:p>
        </w:tc>
      </w:tr>
      <w:tr>
        <w:trPr/>
        <w:tc>
          <w:tcPr>
            <w:tcW w:w="41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(Gains)/losses on asset sales and asset impairments, net</w:t>
            </w:r>
          </w:p>
        </w:tc>
        <w:tc>
          <w:tcPr>
            <w:tcW w:w="51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w:t>
            </w:r>
          </w:p>
        </w:tc>
        <w:tc>
          <w:tcPr>
            <w:tcW w:w="1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1" w:type="dxa"/>
            <w:tcBorders/>
            <w:shd w:fill="auto" w:val="clear"/>
            <w:vAlign w:val="center"/>
          </w:tcPr>
          <w:p>
            <w:pPr>
              <w:pStyle w:val="TableContents"/>
              <w:spacing w:before="0" w:after="0"/>
              <w:ind w:left="0" w:right="0" w:firstLine="30"/>
              <w:rPr/>
            </w:pPr>
            <w:r>
              <w:rPr/>
              <w:t> </w:t>
            </w:r>
          </w:p>
        </w:tc>
        <w:tc>
          <w:tcPr>
            <w:tcW w:w="51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(81</w:t>
            </w:r>
          </w:p>
        </w:tc>
        <w:tc>
          <w:tcPr>
            <w:tcW w:w="1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46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77</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395" w:type="dxa"/>
            <w:tcBorders/>
            <w:shd w:fill="auto" w:val="clear"/>
            <w:vAlign w:val="center"/>
          </w:tcPr>
          <w:p>
            <w:pPr>
              <w:pStyle w:val="TableContents"/>
              <w:spacing w:before="0" w:after="0"/>
              <w:jc w:val="right"/>
              <w:rPr>
                <w:rFonts w:ascii="inherit" w:hAnsi="inherit"/>
                <w:sz w:val="17"/>
              </w:rPr>
            </w:pPr>
            <w:r>
              <w:rPr>
                <w:rFonts w:ascii="inherit" w:hAnsi="inherit"/>
                <w:sz w:val="17"/>
              </w:rPr>
              <w:t>95</w:t>
            </w:r>
          </w:p>
        </w:tc>
        <w:tc>
          <w:tcPr>
            <w:tcW w:w="260" w:type="dxa"/>
            <w:tcBorders/>
            <w:shd w:fill="auto" w:val="clear"/>
            <w:vAlign w:val="center"/>
          </w:tcPr>
          <w:p>
            <w:pPr>
              <w:pStyle w:val="TableContents"/>
              <w:spacing w:before="0" w:after="0"/>
              <w:ind w:left="0" w:right="0" w:firstLine="30"/>
              <w:jc w:val="left"/>
              <w:rPr/>
            </w:pPr>
            <w:r>
              <w:rPr/>
              <w:t> </w:t>
            </w: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395" w:type="dxa"/>
            <w:tcBorders/>
            <w:shd w:fill="auto" w:val="clear"/>
            <w:vAlign w:val="center"/>
          </w:tcPr>
          <w:p>
            <w:pPr>
              <w:pStyle w:val="TableContents"/>
              <w:spacing w:before="0" w:after="0"/>
              <w:jc w:val="right"/>
              <w:rPr>
                <w:rFonts w:ascii="inherit" w:hAnsi="inherit"/>
                <w:sz w:val="17"/>
              </w:rPr>
            </w:pPr>
            <w:r>
              <w:rPr>
                <w:rFonts w:ascii="inherit" w:hAnsi="inherit"/>
                <w:sz w:val="17"/>
              </w:rPr>
              <w:t>100</w:t>
            </w:r>
          </w:p>
        </w:tc>
        <w:tc>
          <w:tcPr>
            <w:tcW w:w="281" w:type="dxa"/>
            <w:tcBorders/>
            <w:shd w:fill="auto" w:val="clear"/>
            <w:vAlign w:val="center"/>
          </w:tcPr>
          <w:p>
            <w:pPr>
              <w:pStyle w:val="TableContents"/>
              <w:spacing w:before="0" w:after="0"/>
              <w:ind w:left="0" w:right="0" w:firstLine="30"/>
              <w:jc w:val="left"/>
              <w:rPr/>
            </w:pPr>
            <w:r>
              <w:rPr/>
              <w:t> </w:t>
            </w:r>
            <w:r>
              <w:rPr>
                <w:rFonts w:ascii="inherit" w:hAnsi="inherit"/>
                <w:sz w:val="17"/>
              </w:rPr>
              <w:t>%</w:t>
            </w:r>
          </w:p>
        </w:tc>
      </w:tr>
      <w:tr>
        <w:trPr/>
        <w:tc>
          <w:tcPr>
            <w:tcW w:w="41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Gain on investment in unconsolidated entities</w:t>
            </w:r>
          </w:p>
        </w:tc>
        <w:tc>
          <w:tcPr>
            <w:tcW w:w="518" w:type="dxa"/>
            <w:gridSpan w:val="2"/>
            <w:tcBorders/>
            <w:shd w:fill="CCEEFF" w:val="clear"/>
            <w:vAlign w:val="center"/>
          </w:tcPr>
          <w:p>
            <w:pPr>
              <w:pStyle w:val="TableContents"/>
              <w:spacing w:before="0" w:after="0"/>
              <w:jc w:val="right"/>
              <w:rPr/>
            </w:pPr>
            <w:r>
              <w:rPr/>
              <w:t>—</w:t>
            </w:r>
          </w:p>
        </w:tc>
        <w:tc>
          <w:tcPr>
            <w:tcW w:w="1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518" w:type="dxa"/>
            <w:gridSpan w:val="2"/>
            <w:tcBorders/>
            <w:shd w:fill="CCEEFF" w:val="clear"/>
            <w:vAlign w:val="center"/>
          </w:tcPr>
          <w:p>
            <w:pPr>
              <w:pStyle w:val="TableContents"/>
              <w:spacing w:before="0" w:after="0"/>
              <w:jc w:val="right"/>
              <w:rPr/>
            </w:pPr>
            <w:r>
              <w:rPr/>
              <w:t>—</w:t>
            </w:r>
          </w:p>
        </w:tc>
        <w:tc>
          <w:tcPr>
            <w:tcW w:w="1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460" w:type="dxa"/>
            <w:gridSpan w:val="2"/>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95" w:type="dxa"/>
            <w:tcBorders/>
            <w:shd w:fill="CCEEFF" w:val="clear"/>
            <w:vAlign w:val="center"/>
          </w:tcPr>
          <w:p>
            <w:pPr>
              <w:pStyle w:val="TableContents"/>
              <w:spacing w:before="0" w:after="0"/>
              <w:jc w:val="right"/>
              <w:rPr>
                <w:rFonts w:ascii="inherit" w:hAnsi="inherit"/>
                <w:sz w:val="17"/>
              </w:rPr>
            </w:pPr>
            <w:r>
              <w:rPr>
                <w:rFonts w:ascii="inherit" w:hAnsi="inherit"/>
                <w:sz w:val="17"/>
              </w:rPr>
              <w:t>N/A</w:t>
            </w:r>
          </w:p>
        </w:tc>
        <w:tc>
          <w:tcPr>
            <w:tcW w:w="2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(267</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(267</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395" w:type="dxa"/>
            <w:tcBorders/>
            <w:shd w:fill="CCEEFF" w:val="clear"/>
            <w:vAlign w:val="center"/>
          </w:tcPr>
          <w:p>
            <w:pPr>
              <w:pStyle w:val="TableContents"/>
              <w:spacing w:before="0" w:after="0"/>
              <w:jc w:val="right"/>
              <w:rPr>
                <w:rFonts w:ascii="inherit" w:hAnsi="inherit"/>
                <w:sz w:val="17"/>
              </w:rPr>
            </w:pPr>
            <w:r>
              <w:rPr>
                <w:rFonts w:ascii="inherit" w:hAnsi="inherit"/>
                <w:sz w:val="17"/>
              </w:rPr>
              <w:t>N/A</w:t>
            </w:r>
          </w:p>
        </w:tc>
        <w:tc>
          <w:tcPr>
            <w:tcW w:w="28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131" w:type="dxa"/>
            <w:tcBorders/>
            <w:shd w:fill="auto" w:val="clear"/>
            <w:vAlign w:val="center"/>
          </w:tcPr>
          <w:p>
            <w:pPr>
              <w:pStyle w:val="TableContents"/>
              <w:spacing w:lineRule="auto" w:line="288" w:before="0" w:after="0"/>
              <w:ind w:left="0" w:right="0" w:firstLine="30"/>
              <w:jc w:val="left"/>
              <w:rPr>
                <w:sz w:val="17"/>
              </w:rPr>
            </w:pPr>
            <w:r>
              <w:rPr>
                <w:rFonts w:ascii="inherit" w:hAnsi="inherit"/>
                <w:sz w:val="17"/>
              </w:rPr>
              <w:t xml:space="preserve">Depreciation and amortization of unconsolidated entities </w:t>
            </w:r>
            <w:r>
              <w:rPr>
                <w:rFonts w:ascii="inherit" w:hAnsi="inherit"/>
                <w:sz w:val="12"/>
              </w:rPr>
              <w:t>(1)</w:t>
            </w:r>
          </w:p>
        </w:tc>
        <w:tc>
          <w:tcPr>
            <w:tcW w:w="51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w:t>
            </w:r>
          </w:p>
        </w:tc>
        <w:tc>
          <w:tcPr>
            <w:tcW w:w="1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auto" w:val="clear"/>
            <w:vAlign w:val="center"/>
          </w:tcPr>
          <w:p>
            <w:pPr>
              <w:pStyle w:val="TableContents"/>
              <w:spacing w:before="0" w:after="0"/>
              <w:ind w:left="0" w:right="0" w:firstLine="30"/>
              <w:rPr/>
            </w:pPr>
            <w:r>
              <w:rPr/>
              <w:t> </w:t>
            </w:r>
          </w:p>
        </w:tc>
        <w:tc>
          <w:tcPr>
            <w:tcW w:w="51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w:t>
            </w:r>
          </w:p>
        </w:tc>
        <w:tc>
          <w:tcPr>
            <w:tcW w:w="1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60"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395" w:type="dxa"/>
            <w:tcBorders/>
            <w:shd w:fill="auto" w:val="clear"/>
            <w:vAlign w:val="center"/>
          </w:tcPr>
          <w:p>
            <w:pPr>
              <w:pStyle w:val="TableContents"/>
              <w:spacing w:before="0" w:after="0"/>
              <w:jc w:val="right"/>
              <w:rPr/>
            </w:pPr>
            <w:r>
              <w:rPr/>
              <w:t>—</w:t>
            </w:r>
          </w:p>
        </w:tc>
        <w:tc>
          <w:tcPr>
            <w:tcW w:w="260" w:type="dxa"/>
            <w:tcBorders/>
            <w:shd w:fill="auto" w:val="clear"/>
            <w:vAlign w:val="center"/>
          </w:tcPr>
          <w:p>
            <w:pPr>
              <w:pStyle w:val="TableContents"/>
              <w:spacing w:before="0" w:after="0"/>
              <w:ind w:left="0" w:right="0" w:firstLine="30"/>
              <w:jc w:val="left"/>
              <w:rPr/>
            </w:pPr>
            <w:r>
              <w:rPr/>
              <w:t> </w:t>
            </w: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27</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29</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395" w:type="dxa"/>
            <w:tcBorders/>
            <w:shd w:fill="auto" w:val="clear"/>
            <w:vAlign w:val="center"/>
          </w:tcPr>
          <w:p>
            <w:pPr>
              <w:pStyle w:val="TableContents"/>
              <w:spacing w:before="0" w:after="0"/>
              <w:jc w:val="right"/>
              <w:rPr>
                <w:rFonts w:ascii="inherit" w:hAnsi="inherit"/>
                <w:sz w:val="17"/>
              </w:rPr>
            </w:pPr>
            <w:r>
              <w:rPr>
                <w:rFonts w:ascii="inherit" w:hAnsi="inherit"/>
                <w:sz w:val="17"/>
              </w:rPr>
              <w:t>(7</w:t>
            </w:r>
          </w:p>
        </w:tc>
        <w:tc>
          <w:tcPr>
            <w:tcW w:w="2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1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Selected Items Impacting Comparability:</w:t>
            </w:r>
          </w:p>
        </w:tc>
        <w:tc>
          <w:tcPr>
            <w:tcW w:w="518" w:type="dxa"/>
            <w:gridSpan w:val="2"/>
            <w:tcBorders/>
            <w:shd w:fill="CCEEFF" w:val="clear"/>
            <w:vAlign w:val="center"/>
          </w:tcPr>
          <w:p>
            <w:pPr>
              <w:pStyle w:val="TableContents"/>
              <w:spacing w:before="0" w:after="0"/>
              <w:jc w:val="right"/>
              <w:rPr/>
            </w:pPr>
            <w:r>
              <w:rPr/>
              <w:t> </w:t>
            </w:r>
          </w:p>
        </w:tc>
        <w:tc>
          <w:tcPr>
            <w:tcW w:w="1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518" w:type="dxa"/>
            <w:gridSpan w:val="2"/>
            <w:tcBorders/>
            <w:shd w:fill="CCEEFF" w:val="clear"/>
            <w:vAlign w:val="center"/>
          </w:tcPr>
          <w:p>
            <w:pPr>
              <w:pStyle w:val="TableContents"/>
              <w:spacing w:before="0" w:after="0"/>
              <w:jc w:val="right"/>
              <w:rPr/>
            </w:pPr>
            <w:r>
              <w:rPr/>
              <w:t> </w:t>
            </w:r>
          </w:p>
        </w:tc>
        <w:tc>
          <w:tcPr>
            <w:tcW w:w="1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7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655" w:type="dxa"/>
            <w:gridSpan w:val="2"/>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pPr>
            <w:r>
              <w:rPr/>
              <w:t> </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2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676" w:type="dxa"/>
            <w:gridSpan w:val="2"/>
            <w:tcBorders/>
            <w:shd w:fill="CCEEFF" w:val="clear"/>
            <w:vAlign w:val="center"/>
          </w:tcPr>
          <w:p>
            <w:pPr>
              <w:pStyle w:val="TableContents"/>
              <w:spacing w:before="0" w:after="0"/>
              <w:ind w:left="0" w:right="0" w:firstLine="30"/>
              <w:rPr/>
            </w:pPr>
            <w:r>
              <w:rPr/>
              <w:t> </w:t>
            </w:r>
          </w:p>
        </w:tc>
      </w:tr>
      <w:tr>
        <w:trPr/>
        <w:tc>
          <w:tcPr>
            <w:tcW w:w="4131" w:type="dxa"/>
            <w:tcBorders/>
            <w:shd w:fill="auto" w:val="clear"/>
            <w:vAlign w:val="center"/>
          </w:tcPr>
          <w:p>
            <w:pPr>
              <w:pStyle w:val="TableContents"/>
              <w:spacing w:lineRule="auto" w:line="288" w:before="0" w:after="0"/>
              <w:ind w:left="0" w:right="0" w:firstLine="30"/>
              <w:jc w:val="left"/>
              <w:rPr>
                <w:sz w:val="17"/>
              </w:rPr>
            </w:pPr>
            <w:r>
              <w:rPr>
                <w:rFonts w:ascii="inherit" w:hAnsi="inherit"/>
                <w:sz w:val="17"/>
              </w:rPr>
              <w:t>(Gains)/losses from derivative activities, net of inventory valuation adjustments</w:t>
            </w:r>
            <w:r>
              <w:rPr>
                <w:sz w:val="17"/>
              </w:rPr>
              <w:t> </w:t>
            </w:r>
            <w:r>
              <w:rPr>
                <w:rFonts w:ascii="inherit" w:hAnsi="inherit"/>
                <w:sz w:val="12"/>
              </w:rPr>
              <w:t>(2)</w:t>
            </w:r>
          </w:p>
        </w:tc>
        <w:tc>
          <w:tcPr>
            <w:tcW w:w="51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44</w:t>
            </w:r>
          </w:p>
        </w:tc>
        <w:tc>
          <w:tcPr>
            <w:tcW w:w="1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auto" w:val="clear"/>
            <w:vAlign w:val="center"/>
          </w:tcPr>
          <w:p>
            <w:pPr>
              <w:pStyle w:val="TableContents"/>
              <w:spacing w:before="0" w:after="0"/>
              <w:ind w:left="0" w:right="0" w:firstLine="30"/>
              <w:rPr/>
            </w:pPr>
            <w:r>
              <w:rPr/>
              <w:t> </w:t>
            </w:r>
          </w:p>
        </w:tc>
        <w:tc>
          <w:tcPr>
            <w:tcW w:w="51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240</w:t>
            </w:r>
          </w:p>
        </w:tc>
        <w:tc>
          <w:tcPr>
            <w:tcW w:w="1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6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(196</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395" w:type="dxa"/>
            <w:tcBorders/>
            <w:shd w:fill="auto" w:val="clear"/>
            <w:vAlign w:val="center"/>
          </w:tcPr>
          <w:p>
            <w:pPr>
              <w:pStyle w:val="TableContents"/>
              <w:spacing w:before="0" w:after="0"/>
              <w:jc w:val="right"/>
              <w:rPr>
                <w:rFonts w:ascii="inherit" w:hAnsi="inherit"/>
                <w:sz w:val="17"/>
              </w:rPr>
            </w:pPr>
            <w:r>
              <w:rPr>
                <w:rFonts w:ascii="inherit" w:hAnsi="inherit"/>
                <w:sz w:val="17"/>
              </w:rPr>
              <w:t>**</w:t>
            </w:r>
          </w:p>
        </w:tc>
        <w:tc>
          <w:tcPr>
            <w:tcW w:w="2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216</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(246</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395" w:type="dxa"/>
            <w:tcBorders/>
            <w:shd w:fill="auto" w:val="clear"/>
            <w:vAlign w:val="center"/>
          </w:tcPr>
          <w:p>
            <w:pPr>
              <w:pStyle w:val="TableContents"/>
              <w:spacing w:before="0" w:after="0"/>
              <w:jc w:val="right"/>
              <w:rPr>
                <w:rFonts w:ascii="inherit" w:hAnsi="inherit"/>
                <w:sz w:val="17"/>
              </w:rPr>
            </w:pPr>
            <w:r>
              <w:rPr>
                <w:rFonts w:ascii="inherit" w:hAnsi="inherit"/>
                <w:sz w:val="17"/>
              </w:rPr>
              <w:t>**</w:t>
            </w:r>
          </w:p>
        </w:tc>
        <w:tc>
          <w:tcPr>
            <w:tcW w:w="2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131" w:type="dxa"/>
            <w:tcBorders/>
            <w:shd w:fill="CCEEFF" w:val="clear"/>
            <w:vAlign w:val="center"/>
          </w:tcPr>
          <w:p>
            <w:pPr>
              <w:pStyle w:val="TableContents"/>
              <w:spacing w:lineRule="auto" w:line="288" w:before="0" w:after="0"/>
              <w:ind w:left="0" w:right="0" w:firstLine="30"/>
              <w:jc w:val="left"/>
              <w:rPr>
                <w:sz w:val="17"/>
              </w:rPr>
            </w:pPr>
            <w:r>
              <w:rPr>
                <w:rFonts w:ascii="inherit" w:hAnsi="inherit"/>
                <w:sz w:val="17"/>
              </w:rPr>
              <w:t xml:space="preserve">Long-term inventory costing adjustments </w:t>
            </w:r>
            <w:r>
              <w:rPr>
                <w:rFonts w:ascii="inherit" w:hAnsi="inherit"/>
                <w:sz w:val="12"/>
              </w:rPr>
              <w:t>(3)</w:t>
            </w:r>
          </w:p>
        </w:tc>
        <w:tc>
          <w:tcPr>
            <w:tcW w:w="51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25</w:t>
            </w:r>
          </w:p>
        </w:tc>
        <w:tc>
          <w:tcPr>
            <w:tcW w:w="1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51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w:t>
            </w:r>
          </w:p>
        </w:tc>
        <w:tc>
          <w:tcPr>
            <w:tcW w:w="1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46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95" w:type="dxa"/>
            <w:tcBorders/>
            <w:shd w:fill="CCEEFF" w:val="clear"/>
            <w:vAlign w:val="center"/>
          </w:tcPr>
          <w:p>
            <w:pPr>
              <w:pStyle w:val="TableContents"/>
              <w:spacing w:before="0" w:after="0"/>
              <w:jc w:val="right"/>
              <w:rPr>
                <w:rFonts w:ascii="inherit" w:hAnsi="inherit"/>
                <w:sz w:val="17"/>
              </w:rPr>
            </w:pPr>
            <w:r>
              <w:rPr>
                <w:rFonts w:ascii="inherit" w:hAnsi="inherit"/>
                <w:sz w:val="17"/>
              </w:rPr>
              <w:t>**</w:t>
            </w:r>
          </w:p>
        </w:tc>
        <w:tc>
          <w:tcPr>
            <w:tcW w:w="2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95" w:type="dxa"/>
            <w:tcBorders/>
            <w:shd w:fill="CCEEFF" w:val="clear"/>
            <w:vAlign w:val="center"/>
          </w:tcPr>
          <w:p>
            <w:pPr>
              <w:pStyle w:val="TableContents"/>
              <w:spacing w:before="0" w:after="0"/>
              <w:jc w:val="right"/>
              <w:rPr>
                <w:rFonts w:ascii="inherit" w:hAnsi="inherit"/>
                <w:sz w:val="17"/>
              </w:rPr>
            </w:pPr>
            <w:r>
              <w:rPr>
                <w:rFonts w:ascii="inherit" w:hAnsi="inherit"/>
                <w:sz w:val="17"/>
              </w:rPr>
              <w:t>**</w:t>
            </w:r>
          </w:p>
        </w:tc>
        <w:tc>
          <w:tcPr>
            <w:tcW w:w="28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131" w:type="dxa"/>
            <w:tcBorders/>
            <w:shd w:fill="auto" w:val="clear"/>
            <w:vAlign w:val="center"/>
          </w:tcPr>
          <w:p>
            <w:pPr>
              <w:pStyle w:val="TableContents"/>
              <w:spacing w:lineRule="auto" w:line="288" w:before="0" w:after="0"/>
              <w:ind w:left="0" w:right="0" w:firstLine="30"/>
              <w:jc w:val="left"/>
              <w:rPr>
                <w:sz w:val="17"/>
              </w:rPr>
            </w:pPr>
            <w:r>
              <w:rPr>
                <w:rFonts w:ascii="inherit" w:hAnsi="inherit"/>
                <w:sz w:val="17"/>
              </w:rPr>
              <w:t xml:space="preserve">Deficiencies under minimum volume commitments, net </w:t>
            </w:r>
            <w:r>
              <w:rPr>
                <w:rFonts w:ascii="inherit" w:hAnsi="inherit"/>
                <w:sz w:val="12"/>
              </w:rPr>
              <w:t>(4)</w:t>
            </w:r>
          </w:p>
        </w:tc>
        <w:tc>
          <w:tcPr>
            <w:tcW w:w="51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1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auto" w:val="clear"/>
            <w:vAlign w:val="center"/>
          </w:tcPr>
          <w:p>
            <w:pPr>
              <w:pStyle w:val="TableContents"/>
              <w:spacing w:before="0" w:after="0"/>
              <w:ind w:left="0" w:right="0" w:firstLine="30"/>
              <w:rPr/>
            </w:pPr>
            <w:r>
              <w:rPr/>
              <w:t> </w:t>
            </w:r>
          </w:p>
        </w:tc>
        <w:tc>
          <w:tcPr>
            <w:tcW w:w="51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w:t>
            </w:r>
          </w:p>
        </w:tc>
        <w:tc>
          <w:tcPr>
            <w:tcW w:w="1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6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395" w:type="dxa"/>
            <w:tcBorders/>
            <w:shd w:fill="auto" w:val="clear"/>
            <w:vAlign w:val="center"/>
          </w:tcPr>
          <w:p>
            <w:pPr>
              <w:pStyle w:val="TableContents"/>
              <w:spacing w:before="0" w:after="0"/>
              <w:jc w:val="right"/>
              <w:rPr>
                <w:rFonts w:ascii="inherit" w:hAnsi="inherit"/>
                <w:sz w:val="17"/>
              </w:rPr>
            </w:pPr>
            <w:r>
              <w:rPr>
                <w:rFonts w:ascii="inherit" w:hAnsi="inherit"/>
                <w:sz w:val="17"/>
              </w:rPr>
              <w:t>**</w:t>
            </w:r>
          </w:p>
        </w:tc>
        <w:tc>
          <w:tcPr>
            <w:tcW w:w="2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395" w:type="dxa"/>
            <w:tcBorders/>
            <w:shd w:fill="auto" w:val="clear"/>
            <w:vAlign w:val="center"/>
          </w:tcPr>
          <w:p>
            <w:pPr>
              <w:pStyle w:val="TableContents"/>
              <w:spacing w:before="0" w:after="0"/>
              <w:jc w:val="right"/>
              <w:rPr>
                <w:rFonts w:ascii="inherit" w:hAnsi="inherit"/>
                <w:sz w:val="17"/>
              </w:rPr>
            </w:pPr>
            <w:r>
              <w:rPr>
                <w:rFonts w:ascii="inherit" w:hAnsi="inherit"/>
                <w:sz w:val="17"/>
              </w:rPr>
              <w:t>**</w:t>
            </w:r>
          </w:p>
        </w:tc>
        <w:tc>
          <w:tcPr>
            <w:tcW w:w="2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131" w:type="dxa"/>
            <w:tcBorders/>
            <w:shd w:fill="CCEEFF" w:val="clear"/>
            <w:vAlign w:val="center"/>
          </w:tcPr>
          <w:p>
            <w:pPr>
              <w:pStyle w:val="TableContents"/>
              <w:spacing w:lineRule="auto" w:line="288" w:before="0" w:after="0"/>
              <w:ind w:left="0" w:right="0" w:firstLine="30"/>
              <w:jc w:val="left"/>
              <w:rPr>
                <w:sz w:val="17"/>
              </w:rPr>
            </w:pPr>
            <w:r>
              <w:rPr>
                <w:rFonts w:ascii="inherit" w:hAnsi="inherit"/>
                <w:sz w:val="17"/>
              </w:rPr>
              <w:t xml:space="preserve">Equity-indexed compensation expense </w:t>
            </w:r>
            <w:r>
              <w:rPr>
                <w:rFonts w:ascii="inherit" w:hAnsi="inherit"/>
                <w:sz w:val="12"/>
              </w:rPr>
              <w:t>(5)</w:t>
            </w:r>
          </w:p>
        </w:tc>
        <w:tc>
          <w:tcPr>
            <w:tcW w:w="51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w:t>
            </w:r>
          </w:p>
        </w:tc>
        <w:tc>
          <w:tcPr>
            <w:tcW w:w="1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51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w:t>
            </w:r>
          </w:p>
        </w:tc>
        <w:tc>
          <w:tcPr>
            <w:tcW w:w="1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46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395" w:type="dxa"/>
            <w:tcBorders/>
            <w:shd w:fill="CCEEFF" w:val="clear"/>
            <w:vAlign w:val="center"/>
          </w:tcPr>
          <w:p>
            <w:pPr>
              <w:pStyle w:val="TableContents"/>
              <w:spacing w:before="0" w:after="0"/>
              <w:jc w:val="right"/>
              <w:rPr>
                <w:rFonts w:ascii="inherit" w:hAnsi="inherit"/>
                <w:sz w:val="17"/>
              </w:rPr>
            </w:pPr>
            <w:r>
              <w:rPr>
                <w:rFonts w:ascii="inherit" w:hAnsi="inherit"/>
                <w:sz w:val="17"/>
              </w:rPr>
              <w:t>**</w:t>
            </w:r>
          </w:p>
        </w:tc>
        <w:tc>
          <w:tcPr>
            <w:tcW w:w="2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395" w:type="dxa"/>
            <w:tcBorders/>
            <w:shd w:fill="CCEEFF" w:val="clear"/>
            <w:vAlign w:val="center"/>
          </w:tcPr>
          <w:p>
            <w:pPr>
              <w:pStyle w:val="TableContents"/>
              <w:spacing w:before="0" w:after="0"/>
              <w:jc w:val="right"/>
              <w:rPr>
                <w:rFonts w:ascii="inherit" w:hAnsi="inherit"/>
                <w:sz w:val="17"/>
              </w:rPr>
            </w:pPr>
            <w:r>
              <w:rPr>
                <w:rFonts w:ascii="inherit" w:hAnsi="inherit"/>
                <w:sz w:val="17"/>
              </w:rPr>
              <w:t>**</w:t>
            </w:r>
          </w:p>
        </w:tc>
        <w:tc>
          <w:tcPr>
            <w:tcW w:w="28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131" w:type="dxa"/>
            <w:tcBorders/>
            <w:shd w:fill="auto" w:val="clear"/>
            <w:vAlign w:val="center"/>
          </w:tcPr>
          <w:p>
            <w:pPr>
              <w:pStyle w:val="TableContents"/>
              <w:spacing w:lineRule="auto" w:line="288" w:before="0" w:after="0"/>
              <w:ind w:left="0" w:right="0" w:firstLine="30"/>
              <w:jc w:val="left"/>
              <w:rPr>
                <w:sz w:val="17"/>
              </w:rPr>
            </w:pPr>
            <w:r>
              <w:rPr>
                <w:rFonts w:ascii="inherit" w:hAnsi="inherit"/>
                <w:sz w:val="17"/>
              </w:rPr>
              <w:t xml:space="preserve">Net (gain)/loss on foreign currency revaluation </w:t>
            </w:r>
            <w:r>
              <w:rPr>
                <w:rFonts w:ascii="inherit" w:hAnsi="inherit"/>
                <w:sz w:val="12"/>
              </w:rPr>
              <w:t>(6)</w:t>
            </w:r>
          </w:p>
        </w:tc>
        <w:tc>
          <w:tcPr>
            <w:tcW w:w="51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w:t>
            </w:r>
          </w:p>
        </w:tc>
        <w:tc>
          <w:tcPr>
            <w:tcW w:w="1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auto" w:val="clear"/>
            <w:vAlign w:val="center"/>
          </w:tcPr>
          <w:p>
            <w:pPr>
              <w:pStyle w:val="TableContents"/>
              <w:spacing w:before="0" w:after="0"/>
              <w:ind w:left="0" w:right="0" w:firstLine="30"/>
              <w:rPr/>
            </w:pPr>
            <w:r>
              <w:rPr/>
              <w:t> </w:t>
            </w:r>
          </w:p>
        </w:tc>
        <w:tc>
          <w:tcPr>
            <w:tcW w:w="51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w:t>
            </w:r>
          </w:p>
        </w:tc>
        <w:tc>
          <w:tcPr>
            <w:tcW w:w="1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46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395" w:type="dxa"/>
            <w:tcBorders/>
            <w:shd w:fill="auto" w:val="clear"/>
            <w:vAlign w:val="center"/>
          </w:tcPr>
          <w:p>
            <w:pPr>
              <w:pStyle w:val="TableContents"/>
              <w:spacing w:before="0" w:after="0"/>
              <w:jc w:val="right"/>
              <w:rPr>
                <w:rFonts w:ascii="inherit" w:hAnsi="inherit"/>
                <w:sz w:val="17"/>
              </w:rPr>
            </w:pPr>
            <w:r>
              <w:rPr>
                <w:rFonts w:ascii="inherit" w:hAnsi="inherit"/>
                <w:sz w:val="17"/>
              </w:rPr>
              <w:t>**</w:t>
            </w:r>
          </w:p>
        </w:tc>
        <w:tc>
          <w:tcPr>
            <w:tcW w:w="2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395" w:type="dxa"/>
            <w:tcBorders/>
            <w:shd w:fill="auto" w:val="clear"/>
            <w:vAlign w:val="center"/>
          </w:tcPr>
          <w:p>
            <w:pPr>
              <w:pStyle w:val="TableContents"/>
              <w:spacing w:before="0" w:after="0"/>
              <w:jc w:val="right"/>
              <w:rPr>
                <w:rFonts w:ascii="inherit" w:hAnsi="inherit"/>
                <w:sz w:val="17"/>
              </w:rPr>
            </w:pPr>
            <w:r>
              <w:rPr>
                <w:rFonts w:ascii="inherit" w:hAnsi="inherit"/>
                <w:sz w:val="17"/>
              </w:rPr>
              <w:t>**</w:t>
            </w:r>
          </w:p>
        </w:tc>
        <w:tc>
          <w:tcPr>
            <w:tcW w:w="2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131" w:type="dxa"/>
            <w:tcBorders/>
            <w:shd w:fill="CCEEFF" w:val="clear"/>
            <w:vAlign w:val="center"/>
          </w:tcPr>
          <w:p>
            <w:pPr>
              <w:pStyle w:val="TableContents"/>
              <w:spacing w:lineRule="auto" w:line="288" w:before="0" w:after="0"/>
              <w:ind w:left="0" w:right="0" w:firstLine="30"/>
              <w:jc w:val="left"/>
              <w:rPr>
                <w:sz w:val="17"/>
              </w:rPr>
            </w:pPr>
            <w:r>
              <w:rPr>
                <w:rFonts w:ascii="inherit" w:hAnsi="inherit"/>
                <w:sz w:val="17"/>
              </w:rPr>
              <w:t xml:space="preserve">Line 901 incident </w:t>
            </w:r>
            <w:r>
              <w:rPr>
                <w:rFonts w:ascii="inherit" w:hAnsi="inherit"/>
                <w:sz w:val="12"/>
              </w:rPr>
              <w:t>(7)</w:t>
            </w:r>
          </w:p>
        </w:tc>
        <w:tc>
          <w:tcPr>
            <w:tcW w:w="51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w:t>
            </w:r>
          </w:p>
        </w:tc>
        <w:tc>
          <w:tcPr>
            <w:tcW w:w="1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518" w:type="dxa"/>
            <w:gridSpan w:val="2"/>
            <w:tcBorders/>
            <w:shd w:fill="CCEEFF" w:val="clear"/>
            <w:vAlign w:val="center"/>
          </w:tcPr>
          <w:p>
            <w:pPr>
              <w:pStyle w:val="TableContents"/>
              <w:spacing w:before="0" w:after="0"/>
              <w:jc w:val="right"/>
              <w:rPr/>
            </w:pPr>
            <w:r>
              <w:rPr/>
              <w:t>—</w:t>
            </w:r>
          </w:p>
        </w:tc>
        <w:tc>
          <w:tcPr>
            <w:tcW w:w="1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46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95" w:type="dxa"/>
            <w:tcBorders/>
            <w:shd w:fill="CCEEFF" w:val="clear"/>
            <w:vAlign w:val="center"/>
          </w:tcPr>
          <w:p>
            <w:pPr>
              <w:pStyle w:val="TableContents"/>
              <w:spacing w:before="0" w:after="0"/>
              <w:jc w:val="right"/>
              <w:rPr>
                <w:rFonts w:ascii="inherit" w:hAnsi="inherit"/>
                <w:sz w:val="17"/>
              </w:rPr>
            </w:pPr>
            <w:r>
              <w:rPr>
                <w:rFonts w:ascii="inherit" w:hAnsi="inherit"/>
                <w:sz w:val="17"/>
              </w:rPr>
              <w:t>**</w:t>
            </w:r>
          </w:p>
        </w:tc>
        <w:tc>
          <w:tcPr>
            <w:tcW w:w="2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w:t>
            </w:r>
          </w:p>
        </w:tc>
        <w:tc>
          <w:tcPr>
            <w:tcW w:w="11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1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w:t>
            </w:r>
          </w:p>
        </w:tc>
        <w:tc>
          <w:tcPr>
            <w:tcW w:w="11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95"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w:t>
            </w:r>
          </w:p>
        </w:tc>
        <w:tc>
          <w:tcPr>
            <w:tcW w:w="28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1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Selected Items Impacting Comparability - Segment Adjusted EBITDA</w:t>
            </w:r>
          </w:p>
        </w:tc>
        <w:tc>
          <w:tcPr>
            <w:tcW w:w="518"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91</w:t>
            </w:r>
          </w:p>
        </w:tc>
        <w:tc>
          <w:tcPr>
            <w:tcW w:w="123"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auto" w:val="clear"/>
            <w:vAlign w:val="center"/>
          </w:tcPr>
          <w:p>
            <w:pPr>
              <w:pStyle w:val="TableContents"/>
              <w:spacing w:before="0" w:after="0"/>
              <w:ind w:left="0" w:right="0" w:firstLine="30"/>
              <w:rPr/>
            </w:pPr>
            <w:r>
              <w:rPr/>
              <w:t> </w:t>
            </w:r>
          </w:p>
        </w:tc>
        <w:tc>
          <w:tcPr>
            <w:tcW w:w="518"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258</w:t>
            </w:r>
          </w:p>
        </w:tc>
        <w:tc>
          <w:tcPr>
            <w:tcW w:w="123"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60"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(167</w:t>
            </w:r>
          </w:p>
        </w:tc>
        <w:tc>
          <w:tcPr>
            <w:tcW w:w="110"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395"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w:t>
            </w:r>
          </w:p>
        </w:tc>
        <w:tc>
          <w:tcPr>
            <w:tcW w:w="260"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253</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(257</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395" w:type="dxa"/>
            <w:tcBorders/>
            <w:shd w:fill="auto" w:val="clear"/>
            <w:vAlign w:val="center"/>
          </w:tcPr>
          <w:p>
            <w:pPr>
              <w:pStyle w:val="TableContents"/>
              <w:spacing w:before="0" w:after="0"/>
              <w:jc w:val="right"/>
              <w:rPr>
                <w:rFonts w:ascii="inherit" w:hAnsi="inherit"/>
                <w:sz w:val="17"/>
              </w:rPr>
            </w:pPr>
            <w:r>
              <w:rPr>
                <w:rFonts w:ascii="inherit" w:hAnsi="inherit"/>
                <w:sz w:val="17"/>
              </w:rPr>
              <w:t>**</w:t>
            </w:r>
          </w:p>
        </w:tc>
        <w:tc>
          <w:tcPr>
            <w:tcW w:w="2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131" w:type="dxa"/>
            <w:tcBorders/>
            <w:shd w:fill="CCEEFF" w:val="clear"/>
            <w:vAlign w:val="center"/>
          </w:tcPr>
          <w:p>
            <w:pPr>
              <w:pStyle w:val="TableContents"/>
              <w:spacing w:lineRule="auto" w:line="288" w:before="0" w:after="0"/>
              <w:ind w:left="0" w:right="0" w:firstLine="30"/>
              <w:jc w:val="left"/>
              <w:rPr>
                <w:sz w:val="17"/>
              </w:rPr>
            </w:pPr>
            <w:r>
              <w:rPr>
                <w:rFonts w:ascii="inherit" w:hAnsi="inherit"/>
                <w:sz w:val="17"/>
              </w:rPr>
              <w:t xml:space="preserve">(Gains)/losses from derivative activities </w:t>
            </w:r>
            <w:r>
              <w:rPr>
                <w:rFonts w:ascii="inherit" w:hAnsi="inherit"/>
                <w:sz w:val="12"/>
              </w:rPr>
              <w:t>(2)</w:t>
            </w:r>
          </w:p>
        </w:tc>
        <w:tc>
          <w:tcPr>
            <w:tcW w:w="51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w:t>
            </w:r>
          </w:p>
        </w:tc>
        <w:tc>
          <w:tcPr>
            <w:tcW w:w="1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51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w:t>
            </w:r>
          </w:p>
        </w:tc>
        <w:tc>
          <w:tcPr>
            <w:tcW w:w="1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46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95" w:type="dxa"/>
            <w:tcBorders/>
            <w:shd w:fill="CCEEFF" w:val="clear"/>
            <w:vAlign w:val="center"/>
          </w:tcPr>
          <w:p>
            <w:pPr>
              <w:pStyle w:val="TableContents"/>
              <w:spacing w:before="0" w:after="0"/>
              <w:jc w:val="right"/>
              <w:rPr>
                <w:rFonts w:ascii="inherit" w:hAnsi="inherit"/>
                <w:sz w:val="17"/>
              </w:rPr>
            </w:pPr>
            <w:r>
              <w:rPr>
                <w:rFonts w:ascii="inherit" w:hAnsi="inherit"/>
                <w:sz w:val="17"/>
              </w:rPr>
              <w:t>**</w:t>
            </w:r>
          </w:p>
        </w:tc>
        <w:tc>
          <w:tcPr>
            <w:tcW w:w="2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395" w:type="dxa"/>
            <w:tcBorders/>
            <w:shd w:fill="CCEEFF" w:val="clear"/>
            <w:vAlign w:val="center"/>
          </w:tcPr>
          <w:p>
            <w:pPr>
              <w:pStyle w:val="TableContents"/>
              <w:spacing w:before="0" w:after="0"/>
              <w:jc w:val="right"/>
              <w:rPr>
                <w:rFonts w:ascii="inherit" w:hAnsi="inherit"/>
                <w:sz w:val="17"/>
              </w:rPr>
            </w:pPr>
            <w:r>
              <w:rPr>
                <w:rFonts w:ascii="inherit" w:hAnsi="inherit"/>
                <w:sz w:val="17"/>
              </w:rPr>
              <w:t>**</w:t>
            </w:r>
          </w:p>
        </w:tc>
        <w:tc>
          <w:tcPr>
            <w:tcW w:w="28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131" w:type="dxa"/>
            <w:tcBorders/>
            <w:shd w:fill="auto" w:val="clear"/>
            <w:vAlign w:val="center"/>
          </w:tcPr>
          <w:p>
            <w:pPr>
              <w:pStyle w:val="TableContents"/>
              <w:spacing w:lineRule="auto" w:line="288" w:before="0" w:after="0"/>
              <w:ind w:left="0" w:right="0" w:firstLine="30"/>
              <w:jc w:val="left"/>
              <w:rPr>
                <w:sz w:val="17"/>
              </w:rPr>
            </w:pPr>
            <w:r>
              <w:rPr>
                <w:rFonts w:ascii="inherit" w:hAnsi="inherit"/>
                <w:sz w:val="17"/>
              </w:rPr>
              <w:t xml:space="preserve">Net (gain)/loss on foreign currency revaluation </w:t>
            </w:r>
            <w:r>
              <w:rPr>
                <w:rFonts w:ascii="inherit" w:hAnsi="inherit"/>
                <w:sz w:val="12"/>
              </w:rPr>
              <w:t>(6)</w:t>
            </w:r>
          </w:p>
        </w:tc>
        <w:tc>
          <w:tcPr>
            <w:tcW w:w="51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1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auto" w:val="clear"/>
            <w:vAlign w:val="center"/>
          </w:tcPr>
          <w:p>
            <w:pPr>
              <w:pStyle w:val="TableContents"/>
              <w:spacing w:before="0" w:after="0"/>
              <w:ind w:left="0" w:right="0" w:firstLine="30"/>
              <w:rPr/>
            </w:pPr>
            <w:r>
              <w:rPr/>
              <w:t> </w:t>
            </w:r>
          </w:p>
        </w:tc>
        <w:tc>
          <w:tcPr>
            <w:tcW w:w="51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w:t>
            </w:r>
          </w:p>
        </w:tc>
        <w:tc>
          <w:tcPr>
            <w:tcW w:w="1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46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395" w:type="dxa"/>
            <w:tcBorders/>
            <w:shd w:fill="auto" w:val="clear"/>
            <w:vAlign w:val="center"/>
          </w:tcPr>
          <w:p>
            <w:pPr>
              <w:pStyle w:val="TableContents"/>
              <w:spacing w:before="0" w:after="0"/>
              <w:jc w:val="right"/>
              <w:rPr>
                <w:rFonts w:ascii="inherit" w:hAnsi="inherit"/>
                <w:sz w:val="17"/>
              </w:rPr>
            </w:pPr>
            <w:r>
              <w:rPr>
                <w:rFonts w:ascii="inherit" w:hAnsi="inherit"/>
                <w:sz w:val="17"/>
              </w:rPr>
              <w:t>**</w:t>
            </w:r>
          </w:p>
        </w:tc>
        <w:tc>
          <w:tcPr>
            <w:tcW w:w="2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395" w:type="dxa"/>
            <w:tcBorders/>
            <w:shd w:fill="auto" w:val="clear"/>
            <w:vAlign w:val="center"/>
          </w:tcPr>
          <w:p>
            <w:pPr>
              <w:pStyle w:val="TableContents"/>
              <w:spacing w:before="0" w:after="0"/>
              <w:jc w:val="right"/>
              <w:rPr>
                <w:rFonts w:ascii="inherit" w:hAnsi="inherit"/>
                <w:sz w:val="17"/>
              </w:rPr>
            </w:pPr>
            <w:r>
              <w:rPr>
                <w:rFonts w:ascii="inherit" w:hAnsi="inherit"/>
                <w:sz w:val="17"/>
              </w:rPr>
              <w:t>**</w:t>
            </w:r>
          </w:p>
        </w:tc>
        <w:tc>
          <w:tcPr>
            <w:tcW w:w="2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131" w:type="dxa"/>
            <w:tcBorders/>
            <w:shd w:fill="CCEEFF" w:val="clear"/>
            <w:vAlign w:val="center"/>
          </w:tcPr>
          <w:p>
            <w:pPr>
              <w:pStyle w:val="TableContents"/>
              <w:spacing w:lineRule="auto" w:line="288" w:before="0" w:after="0"/>
              <w:ind w:left="0" w:right="0" w:firstLine="30"/>
              <w:rPr>
                <w:sz w:val="17"/>
              </w:rPr>
            </w:pPr>
            <w:r>
              <w:rPr>
                <w:rFonts w:ascii="inherit" w:hAnsi="inherit"/>
                <w:sz w:val="17"/>
              </w:rPr>
              <w:t xml:space="preserve">Selected Items Impacting Comparability - Adjusted EBITDA </w:t>
            </w:r>
            <w:r>
              <w:rPr>
                <w:rFonts w:ascii="inherit" w:hAnsi="inherit"/>
                <w:sz w:val="12"/>
              </w:rPr>
              <w:t>(8)</w:t>
            </w:r>
          </w:p>
        </w:tc>
        <w:tc>
          <w:tcPr>
            <w:tcW w:w="518"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99</w:t>
            </w:r>
          </w:p>
        </w:tc>
        <w:tc>
          <w:tcPr>
            <w:tcW w:w="123"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518"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248</w:t>
            </w:r>
          </w:p>
        </w:tc>
        <w:tc>
          <w:tcPr>
            <w:tcW w:w="123"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460"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(149</w:t>
            </w:r>
          </w:p>
        </w:tc>
        <w:tc>
          <w:tcPr>
            <w:tcW w:w="110"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395"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w:t>
            </w:r>
          </w:p>
        </w:tc>
        <w:tc>
          <w:tcPr>
            <w:tcW w:w="26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610"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(19</w:t>
            </w:r>
          </w:p>
        </w:tc>
        <w:tc>
          <w:tcPr>
            <w:tcW w:w="110"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244</w:t>
            </w:r>
          </w:p>
        </w:tc>
        <w:tc>
          <w:tcPr>
            <w:tcW w:w="11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(263</w:t>
            </w:r>
          </w:p>
        </w:tc>
        <w:tc>
          <w:tcPr>
            <w:tcW w:w="110"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395"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w:t>
            </w:r>
          </w:p>
        </w:tc>
        <w:tc>
          <w:tcPr>
            <w:tcW w:w="281"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131" w:type="dxa"/>
            <w:tcBorders/>
            <w:shd w:fill="auto" w:val="clear"/>
            <w:vAlign w:val="center"/>
          </w:tcPr>
          <w:p>
            <w:pPr>
              <w:pStyle w:val="TableContents"/>
              <w:spacing w:lineRule="auto" w:line="288" w:before="0" w:after="0"/>
              <w:ind w:left="0" w:right="0" w:firstLine="30"/>
              <w:rPr>
                <w:sz w:val="17"/>
              </w:rPr>
            </w:pPr>
            <w:r>
              <w:rPr>
                <w:rFonts w:ascii="inherit" w:hAnsi="inherit"/>
                <w:sz w:val="17"/>
              </w:rPr>
              <w:t xml:space="preserve">Adjusted EBITDA </w:t>
            </w:r>
            <w:r>
              <w:rPr>
                <w:rFonts w:ascii="inherit" w:hAnsi="inherit"/>
                <w:sz w:val="12"/>
              </w:rPr>
              <w:t>(8)</w:t>
            </w:r>
          </w:p>
        </w:tc>
        <w:tc>
          <w:tcPr>
            <w:tcW w:w="14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7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784</w:t>
            </w:r>
          </w:p>
        </w:tc>
        <w:tc>
          <w:tcPr>
            <w:tcW w:w="123"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auto" w:val="clear"/>
            <w:vAlign w:val="center"/>
          </w:tcPr>
          <w:p>
            <w:pPr>
              <w:pStyle w:val="TableContents"/>
              <w:spacing w:before="0" w:after="0"/>
              <w:ind w:left="0" w:right="0" w:firstLine="30"/>
              <w:rPr/>
            </w:pPr>
            <w:r>
              <w:rPr/>
              <w:t> </w:t>
            </w:r>
          </w:p>
        </w:tc>
        <w:tc>
          <w:tcPr>
            <w:tcW w:w="14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7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506</w:t>
            </w:r>
          </w:p>
        </w:tc>
        <w:tc>
          <w:tcPr>
            <w:tcW w:w="123"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3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278</w:t>
            </w:r>
          </w:p>
        </w:tc>
        <w:tc>
          <w:tcPr>
            <w:tcW w:w="11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39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55</w:t>
            </w:r>
          </w:p>
        </w:tc>
        <w:tc>
          <w:tcPr>
            <w:tcW w:w="26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pPr>
            <w:r>
              <w:rPr/>
              <w:t> </w:t>
            </w: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1,646</w:t>
            </w:r>
          </w:p>
        </w:tc>
        <w:tc>
          <w:tcPr>
            <w:tcW w:w="11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1,098</w:t>
            </w:r>
          </w:p>
        </w:tc>
        <w:tc>
          <w:tcPr>
            <w:tcW w:w="11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548</w:t>
            </w:r>
          </w:p>
        </w:tc>
        <w:tc>
          <w:tcPr>
            <w:tcW w:w="11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39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50</w:t>
            </w:r>
          </w:p>
        </w:tc>
        <w:tc>
          <w:tcPr>
            <w:tcW w:w="28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pPr>
            <w:r>
              <w:rPr/>
              <w:t> </w:t>
            </w:r>
            <w:r>
              <w:rPr>
                <w:rFonts w:ascii="inherit" w:hAnsi="inherit"/>
                <w:sz w:val="17"/>
              </w:rPr>
              <w:t>%</w:t>
            </w:r>
          </w:p>
        </w:tc>
      </w:tr>
      <w:tr>
        <w:trPr/>
        <w:tc>
          <w:tcPr>
            <w:tcW w:w="4131" w:type="dxa"/>
            <w:tcBorders/>
            <w:shd w:fill="CCEEFF" w:val="clear"/>
            <w:vAlign w:val="center"/>
          </w:tcPr>
          <w:p>
            <w:pPr>
              <w:pStyle w:val="TableContents"/>
              <w:spacing w:lineRule="auto" w:line="288" w:before="0" w:after="0"/>
              <w:ind w:left="0" w:right="0" w:firstLine="30"/>
              <w:jc w:val="left"/>
              <w:rPr>
                <w:sz w:val="17"/>
              </w:rPr>
            </w:pPr>
            <w:r>
              <w:rPr>
                <w:rFonts w:ascii="inherit" w:hAnsi="inherit"/>
                <w:sz w:val="17"/>
              </w:rPr>
              <w:t xml:space="preserve">Interest expense, net of certain non-cash items </w:t>
            </w:r>
            <w:r>
              <w:rPr>
                <w:rFonts w:ascii="inherit" w:hAnsi="inherit"/>
                <w:sz w:val="12"/>
              </w:rPr>
              <w:t>(9)</w:t>
            </w:r>
          </w:p>
        </w:tc>
        <w:tc>
          <w:tcPr>
            <w:tcW w:w="51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(98</w:t>
            </w:r>
          </w:p>
        </w:tc>
        <w:tc>
          <w:tcPr>
            <w:tcW w:w="1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1" w:type="dxa"/>
            <w:tcBorders/>
            <w:shd w:fill="CCEEFF" w:val="clear"/>
            <w:vAlign w:val="center"/>
          </w:tcPr>
          <w:p>
            <w:pPr>
              <w:pStyle w:val="TableContents"/>
              <w:spacing w:before="0" w:after="0"/>
              <w:ind w:left="0" w:right="0" w:firstLine="30"/>
              <w:rPr/>
            </w:pPr>
            <w:r>
              <w:rPr/>
              <w:t> </w:t>
            </w:r>
          </w:p>
        </w:tc>
        <w:tc>
          <w:tcPr>
            <w:tcW w:w="51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(107</w:t>
            </w:r>
          </w:p>
        </w:tc>
        <w:tc>
          <w:tcPr>
            <w:tcW w:w="1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46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95" w:type="dxa"/>
            <w:tcBorders/>
            <w:shd w:fill="CCEEFF" w:val="clear"/>
            <w:vAlign w:val="center"/>
          </w:tcPr>
          <w:p>
            <w:pPr>
              <w:pStyle w:val="TableContents"/>
              <w:spacing w:before="0" w:after="0"/>
              <w:jc w:val="right"/>
              <w:rPr>
                <w:rFonts w:ascii="inherit" w:hAnsi="inherit"/>
                <w:sz w:val="17"/>
              </w:rPr>
            </w:pPr>
            <w:r>
              <w:rPr>
                <w:rFonts w:ascii="inherit" w:hAnsi="inherit"/>
                <w:sz w:val="17"/>
              </w:rPr>
              <w:t>8</w:t>
            </w:r>
          </w:p>
        </w:tc>
        <w:tc>
          <w:tcPr>
            <w:tcW w:w="260" w:type="dxa"/>
            <w:tcBorders/>
            <w:shd w:fill="CCEEFF" w:val="clear"/>
            <w:vAlign w:val="center"/>
          </w:tcPr>
          <w:p>
            <w:pPr>
              <w:pStyle w:val="TableContents"/>
              <w:spacing w:before="0" w:after="0"/>
              <w:ind w:left="0" w:right="0" w:firstLine="30"/>
              <w:jc w:val="left"/>
              <w:rPr/>
            </w:pPr>
            <w:r>
              <w:rPr/>
              <w:t> </w:t>
            </w: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(194</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(212</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95" w:type="dxa"/>
            <w:tcBorders/>
            <w:shd w:fill="CCEEFF" w:val="clear"/>
            <w:vAlign w:val="center"/>
          </w:tcPr>
          <w:p>
            <w:pPr>
              <w:pStyle w:val="TableContents"/>
              <w:spacing w:before="0" w:after="0"/>
              <w:jc w:val="right"/>
              <w:rPr>
                <w:rFonts w:ascii="inherit" w:hAnsi="inherit"/>
                <w:sz w:val="17"/>
              </w:rPr>
            </w:pPr>
            <w:r>
              <w:rPr>
                <w:rFonts w:ascii="inherit" w:hAnsi="inherit"/>
                <w:sz w:val="17"/>
              </w:rPr>
              <w:t>8</w:t>
            </w:r>
          </w:p>
        </w:tc>
        <w:tc>
          <w:tcPr>
            <w:tcW w:w="281" w:type="dxa"/>
            <w:tcBorders/>
            <w:shd w:fill="CCEEFF" w:val="clear"/>
            <w:vAlign w:val="center"/>
          </w:tcPr>
          <w:p>
            <w:pPr>
              <w:pStyle w:val="TableContents"/>
              <w:spacing w:before="0" w:after="0"/>
              <w:ind w:left="0" w:right="0" w:firstLine="30"/>
              <w:jc w:val="left"/>
              <w:rPr/>
            </w:pPr>
            <w:r>
              <w:rPr/>
              <w:t> </w:t>
            </w:r>
            <w:r>
              <w:rPr>
                <w:rFonts w:ascii="inherit" w:hAnsi="inherit"/>
                <w:sz w:val="17"/>
              </w:rPr>
              <w:t>%</w:t>
            </w:r>
          </w:p>
        </w:tc>
      </w:tr>
      <w:tr>
        <w:trPr/>
        <w:tc>
          <w:tcPr>
            <w:tcW w:w="4131" w:type="dxa"/>
            <w:tcBorders/>
            <w:shd w:fill="auto" w:val="clear"/>
            <w:vAlign w:val="center"/>
          </w:tcPr>
          <w:p>
            <w:pPr>
              <w:pStyle w:val="TableContents"/>
              <w:spacing w:lineRule="auto" w:line="288" w:before="0" w:after="0"/>
              <w:ind w:left="0" w:right="0" w:firstLine="30"/>
              <w:jc w:val="left"/>
              <w:rPr>
                <w:sz w:val="17"/>
              </w:rPr>
            </w:pPr>
            <w:r>
              <w:rPr>
                <w:rFonts w:ascii="inherit" w:hAnsi="inherit"/>
                <w:sz w:val="17"/>
              </w:rPr>
              <w:t xml:space="preserve">Maintenance capital </w:t>
            </w:r>
            <w:r>
              <w:rPr>
                <w:rFonts w:ascii="inherit" w:hAnsi="inherit"/>
                <w:sz w:val="12"/>
              </w:rPr>
              <w:t>(10)</w:t>
            </w:r>
          </w:p>
        </w:tc>
        <w:tc>
          <w:tcPr>
            <w:tcW w:w="51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(72</w:t>
            </w:r>
          </w:p>
        </w:tc>
        <w:tc>
          <w:tcPr>
            <w:tcW w:w="1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1" w:type="dxa"/>
            <w:tcBorders/>
            <w:shd w:fill="auto" w:val="clear"/>
            <w:vAlign w:val="center"/>
          </w:tcPr>
          <w:p>
            <w:pPr>
              <w:pStyle w:val="TableContents"/>
              <w:spacing w:before="0" w:after="0"/>
              <w:ind w:left="0" w:right="0" w:firstLine="30"/>
              <w:rPr/>
            </w:pPr>
            <w:r>
              <w:rPr/>
              <w:t> </w:t>
            </w:r>
          </w:p>
        </w:tc>
        <w:tc>
          <w:tcPr>
            <w:tcW w:w="51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(63</w:t>
            </w:r>
          </w:p>
        </w:tc>
        <w:tc>
          <w:tcPr>
            <w:tcW w:w="1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46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395" w:type="dxa"/>
            <w:tcBorders/>
            <w:shd w:fill="auto" w:val="clear"/>
            <w:vAlign w:val="center"/>
          </w:tcPr>
          <w:p>
            <w:pPr>
              <w:pStyle w:val="TableContents"/>
              <w:spacing w:before="0" w:after="0"/>
              <w:jc w:val="right"/>
              <w:rPr>
                <w:rFonts w:ascii="inherit" w:hAnsi="inherit"/>
                <w:sz w:val="17"/>
              </w:rPr>
            </w:pPr>
            <w:r>
              <w:rPr>
                <w:rFonts w:ascii="inherit" w:hAnsi="inherit"/>
                <w:sz w:val="17"/>
              </w:rPr>
              <w:t>(14</w:t>
            </w:r>
          </w:p>
        </w:tc>
        <w:tc>
          <w:tcPr>
            <w:tcW w:w="2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(118</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(108</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395" w:type="dxa"/>
            <w:tcBorders/>
            <w:shd w:fill="auto" w:val="clear"/>
            <w:vAlign w:val="center"/>
          </w:tcPr>
          <w:p>
            <w:pPr>
              <w:pStyle w:val="TableContents"/>
              <w:spacing w:before="0" w:after="0"/>
              <w:jc w:val="right"/>
              <w:rPr>
                <w:rFonts w:ascii="inherit" w:hAnsi="inherit"/>
                <w:sz w:val="17"/>
              </w:rPr>
            </w:pPr>
            <w:r>
              <w:rPr>
                <w:rFonts w:ascii="inherit" w:hAnsi="inherit"/>
                <w:sz w:val="17"/>
              </w:rPr>
              <w:t>(9</w:t>
            </w:r>
          </w:p>
        </w:tc>
        <w:tc>
          <w:tcPr>
            <w:tcW w:w="2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1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Current income tax expense</w:t>
            </w:r>
          </w:p>
        </w:tc>
        <w:tc>
          <w:tcPr>
            <w:tcW w:w="51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w:t>
            </w:r>
          </w:p>
        </w:tc>
        <w:tc>
          <w:tcPr>
            <w:tcW w:w="1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1" w:type="dxa"/>
            <w:tcBorders/>
            <w:shd w:fill="CCEEFF" w:val="clear"/>
            <w:vAlign w:val="center"/>
          </w:tcPr>
          <w:p>
            <w:pPr>
              <w:pStyle w:val="TableContents"/>
              <w:spacing w:before="0" w:after="0"/>
              <w:ind w:left="0" w:right="0" w:firstLine="30"/>
              <w:rPr/>
            </w:pPr>
            <w:r>
              <w:rPr/>
              <w:t> </w:t>
            </w:r>
          </w:p>
        </w:tc>
        <w:tc>
          <w:tcPr>
            <w:tcW w:w="51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w:t>
            </w:r>
          </w:p>
        </w:tc>
        <w:tc>
          <w:tcPr>
            <w:tcW w:w="1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46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395" w:type="dxa"/>
            <w:tcBorders/>
            <w:shd w:fill="CCEEFF" w:val="clear"/>
            <w:vAlign w:val="center"/>
          </w:tcPr>
          <w:p>
            <w:pPr>
              <w:pStyle w:val="TableContents"/>
              <w:spacing w:before="0" w:after="0"/>
              <w:jc w:val="right"/>
              <w:rPr>
                <w:rFonts w:ascii="inherit" w:hAnsi="inherit"/>
                <w:sz w:val="17"/>
              </w:rPr>
            </w:pPr>
            <w:r>
              <w:rPr>
                <w:rFonts w:ascii="inherit" w:hAnsi="inherit"/>
                <w:sz w:val="17"/>
              </w:rPr>
              <w:t>(243</w:t>
            </w:r>
          </w:p>
        </w:tc>
        <w:tc>
          <w:tcPr>
            <w:tcW w:w="2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(53</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(33</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395" w:type="dxa"/>
            <w:tcBorders/>
            <w:shd w:fill="CCEEFF" w:val="clear"/>
            <w:vAlign w:val="center"/>
          </w:tcPr>
          <w:p>
            <w:pPr>
              <w:pStyle w:val="TableContents"/>
              <w:spacing w:before="0" w:after="0"/>
              <w:jc w:val="right"/>
              <w:rPr>
                <w:rFonts w:ascii="inherit" w:hAnsi="inherit"/>
                <w:sz w:val="17"/>
              </w:rPr>
            </w:pPr>
            <w:r>
              <w:rPr>
                <w:rFonts w:ascii="inherit" w:hAnsi="inherit"/>
                <w:sz w:val="17"/>
              </w:rPr>
              <w:t>(165</w:t>
            </w:r>
          </w:p>
        </w:tc>
        <w:tc>
          <w:tcPr>
            <w:tcW w:w="28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131" w:type="dxa"/>
            <w:tcBorders/>
            <w:shd w:fill="auto" w:val="clear"/>
            <w:vAlign w:val="center"/>
          </w:tcPr>
          <w:p>
            <w:pPr>
              <w:pStyle w:val="TableContents"/>
              <w:spacing w:lineRule="auto" w:line="288" w:before="0" w:after="0"/>
              <w:ind w:left="0" w:right="0" w:firstLine="30"/>
              <w:jc w:val="left"/>
              <w:rPr>
                <w:sz w:val="17"/>
              </w:rPr>
            </w:pPr>
            <w:r>
              <w:rPr>
                <w:rFonts w:ascii="inherit" w:hAnsi="inherit"/>
                <w:sz w:val="17"/>
              </w:rPr>
              <w:t xml:space="preserve">Adjusted equity earnings in unconsolidated entities, net of distributions </w:t>
            </w:r>
            <w:r>
              <w:rPr>
                <w:rFonts w:ascii="inherit" w:hAnsi="inherit"/>
                <w:sz w:val="12"/>
              </w:rPr>
              <w:t>(11)</w:t>
            </w:r>
          </w:p>
        </w:tc>
        <w:tc>
          <w:tcPr>
            <w:tcW w:w="518" w:type="dxa"/>
            <w:gridSpan w:val="2"/>
            <w:tcBorders/>
            <w:shd w:fill="auto" w:val="clear"/>
            <w:vAlign w:val="center"/>
          </w:tcPr>
          <w:p>
            <w:pPr>
              <w:pStyle w:val="TableContents"/>
              <w:spacing w:before="0" w:after="0"/>
              <w:jc w:val="right"/>
              <w:rPr/>
            </w:pPr>
            <w:r>
              <w:rPr/>
              <w:t>—</w:t>
            </w:r>
          </w:p>
        </w:tc>
        <w:tc>
          <w:tcPr>
            <w:tcW w:w="1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auto" w:val="clear"/>
            <w:vAlign w:val="center"/>
          </w:tcPr>
          <w:p>
            <w:pPr>
              <w:pStyle w:val="TableContents"/>
              <w:spacing w:before="0" w:after="0"/>
              <w:ind w:left="0" w:right="0" w:firstLine="30"/>
              <w:rPr/>
            </w:pPr>
            <w:r>
              <w:rPr/>
              <w:t> </w:t>
            </w:r>
          </w:p>
        </w:tc>
        <w:tc>
          <w:tcPr>
            <w:tcW w:w="51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1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6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395" w:type="dxa"/>
            <w:tcBorders/>
            <w:shd w:fill="auto" w:val="clear"/>
            <w:vAlign w:val="center"/>
          </w:tcPr>
          <w:p>
            <w:pPr>
              <w:pStyle w:val="TableContents"/>
              <w:spacing w:before="0" w:after="0"/>
              <w:jc w:val="right"/>
              <w:rPr>
                <w:rFonts w:ascii="inherit" w:hAnsi="inherit"/>
                <w:sz w:val="17"/>
              </w:rPr>
            </w:pPr>
            <w:r>
              <w:rPr>
                <w:rFonts w:ascii="inherit" w:hAnsi="inherit"/>
                <w:sz w:val="17"/>
              </w:rPr>
              <w:t>**</w:t>
            </w:r>
          </w:p>
        </w:tc>
        <w:tc>
          <w:tcPr>
            <w:tcW w:w="2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395" w:type="dxa"/>
            <w:tcBorders/>
            <w:shd w:fill="auto" w:val="clear"/>
            <w:vAlign w:val="center"/>
          </w:tcPr>
          <w:p>
            <w:pPr>
              <w:pStyle w:val="TableContents"/>
              <w:spacing w:before="0" w:after="0"/>
              <w:jc w:val="right"/>
              <w:rPr>
                <w:rFonts w:ascii="inherit" w:hAnsi="inherit"/>
                <w:sz w:val="17"/>
              </w:rPr>
            </w:pPr>
            <w:r>
              <w:rPr>
                <w:rFonts w:ascii="inherit" w:hAnsi="inherit"/>
                <w:sz w:val="17"/>
              </w:rPr>
              <w:t>**</w:t>
            </w:r>
          </w:p>
        </w:tc>
        <w:tc>
          <w:tcPr>
            <w:tcW w:w="28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1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Implied DCF</w:t>
            </w:r>
          </w:p>
        </w:tc>
        <w:tc>
          <w:tcPr>
            <w:tcW w:w="140"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378"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590</w:t>
            </w:r>
          </w:p>
        </w:tc>
        <w:tc>
          <w:tcPr>
            <w:tcW w:w="123"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140"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378"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330</w:t>
            </w:r>
          </w:p>
        </w:tc>
        <w:tc>
          <w:tcPr>
            <w:tcW w:w="123"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460"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260</w:t>
            </w:r>
          </w:p>
        </w:tc>
        <w:tc>
          <w:tcPr>
            <w:tcW w:w="11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95"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79</w:t>
            </w:r>
          </w:p>
        </w:tc>
        <w:tc>
          <w:tcPr>
            <w:tcW w:w="260" w:type="dxa"/>
            <w:tcBorders>
              <w:top w:val="single" w:sz="2" w:space="0" w:color="000000"/>
            </w:tcBorders>
            <w:shd w:fill="CCEEFF" w:val="clear"/>
            <w:tcMar>
              <w:top w:w="30" w:type="dxa"/>
            </w:tcMar>
            <w:vAlign w:val="center"/>
          </w:tcPr>
          <w:p>
            <w:pPr>
              <w:pStyle w:val="TableContents"/>
              <w:spacing w:before="0" w:after="0"/>
              <w:ind w:left="0" w:right="0" w:firstLine="30"/>
              <w:jc w:val="left"/>
              <w:rPr/>
            </w:pPr>
            <w:r>
              <w:rPr/>
              <w:t> </w:t>
            </w: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125"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1,282</w:t>
            </w:r>
          </w:p>
        </w:tc>
        <w:tc>
          <w:tcPr>
            <w:tcW w:w="11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773</w:t>
            </w:r>
          </w:p>
        </w:tc>
        <w:tc>
          <w:tcPr>
            <w:tcW w:w="11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509</w:t>
            </w:r>
          </w:p>
        </w:tc>
        <w:tc>
          <w:tcPr>
            <w:tcW w:w="11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95"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66</w:t>
            </w:r>
          </w:p>
        </w:tc>
        <w:tc>
          <w:tcPr>
            <w:tcW w:w="281" w:type="dxa"/>
            <w:tcBorders>
              <w:top w:val="single" w:sz="2" w:space="0" w:color="000000"/>
            </w:tcBorders>
            <w:shd w:fill="CCEEFF" w:val="clear"/>
            <w:tcMar>
              <w:top w:w="30" w:type="dxa"/>
            </w:tcMar>
            <w:vAlign w:val="center"/>
          </w:tcPr>
          <w:p>
            <w:pPr>
              <w:pStyle w:val="TableContents"/>
              <w:spacing w:before="0" w:after="0"/>
              <w:ind w:left="0" w:right="0" w:firstLine="30"/>
              <w:jc w:val="left"/>
              <w:rPr/>
            </w:pPr>
            <w:r>
              <w:rPr/>
              <w:t> </w:t>
            </w:r>
            <w:r>
              <w:rPr>
                <w:rFonts w:ascii="inherit" w:hAnsi="inherit"/>
                <w:sz w:val="17"/>
              </w:rPr>
              <w:t>%</w:t>
            </w:r>
          </w:p>
        </w:tc>
      </w:tr>
      <w:tr>
        <w:trPr/>
        <w:tc>
          <w:tcPr>
            <w:tcW w:w="4131" w:type="dxa"/>
            <w:tcBorders/>
            <w:shd w:fill="auto" w:val="clear"/>
            <w:vAlign w:val="center"/>
          </w:tcPr>
          <w:p>
            <w:pPr>
              <w:pStyle w:val="TableContents"/>
              <w:spacing w:lineRule="auto" w:line="288" w:before="0" w:after="0"/>
              <w:ind w:left="0" w:right="0" w:firstLine="30"/>
              <w:jc w:val="left"/>
              <w:rPr>
                <w:sz w:val="17"/>
              </w:rPr>
            </w:pPr>
            <w:r>
              <w:rPr>
                <w:rFonts w:ascii="inherit" w:hAnsi="inherit"/>
                <w:sz w:val="17"/>
              </w:rPr>
              <w:t xml:space="preserve">Preferred unit distributions </w:t>
            </w:r>
            <w:r>
              <w:rPr>
                <w:rFonts w:ascii="inherit" w:hAnsi="inherit"/>
                <w:sz w:val="12"/>
              </w:rPr>
              <w:t>(12)</w:t>
            </w:r>
          </w:p>
        </w:tc>
        <w:tc>
          <w:tcPr>
            <w:tcW w:w="51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(62</w:t>
            </w:r>
          </w:p>
        </w:tc>
        <w:tc>
          <w:tcPr>
            <w:tcW w:w="123"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1" w:type="dxa"/>
            <w:tcBorders/>
            <w:shd w:fill="auto" w:val="clear"/>
            <w:vAlign w:val="center"/>
          </w:tcPr>
          <w:p>
            <w:pPr>
              <w:pStyle w:val="TableContents"/>
              <w:spacing w:before="0" w:after="0"/>
              <w:ind w:left="0" w:right="0" w:firstLine="30"/>
              <w:rPr/>
            </w:pPr>
            <w:r>
              <w:rPr/>
              <w:t> </w:t>
            </w:r>
          </w:p>
        </w:tc>
        <w:tc>
          <w:tcPr>
            <w:tcW w:w="51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(62</w:t>
            </w:r>
          </w:p>
        </w:tc>
        <w:tc>
          <w:tcPr>
            <w:tcW w:w="123"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460"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395"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260" w:type="dxa"/>
            <w:tcBorders>
              <w:bottom w:val="single" w:sz="2" w:space="0" w:color="000000"/>
            </w:tcBorders>
            <w:shd w:fill="auto" w:val="clear"/>
            <w:tcMar>
              <w:bottom w:w="30" w:type="dxa"/>
            </w:tcMar>
            <w:vAlign w:val="center"/>
          </w:tcPr>
          <w:p>
            <w:pPr>
              <w:pStyle w:val="TableContents"/>
              <w:spacing w:before="0" w:after="0"/>
              <w:ind w:left="0" w:right="0" w:firstLine="30"/>
              <w:jc w:val="left"/>
              <w:rPr/>
            </w:pPr>
            <w:r>
              <w:rPr/>
              <w:t> </w:t>
            </w: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(99</w:t>
            </w:r>
          </w:p>
        </w:tc>
        <w:tc>
          <w:tcPr>
            <w:tcW w:w="11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(62</w:t>
            </w:r>
          </w:p>
        </w:tc>
        <w:tc>
          <w:tcPr>
            <w:tcW w:w="11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(37</w:t>
            </w:r>
          </w:p>
        </w:tc>
        <w:tc>
          <w:tcPr>
            <w:tcW w:w="11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395"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(60</w:t>
            </w:r>
          </w:p>
        </w:tc>
        <w:tc>
          <w:tcPr>
            <w:tcW w:w="281"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1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Implied DCF Available to Common Unitholders</w:t>
            </w:r>
          </w:p>
        </w:tc>
        <w:tc>
          <w:tcPr>
            <w:tcW w:w="14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78"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528</w:t>
            </w:r>
          </w:p>
        </w:tc>
        <w:tc>
          <w:tcPr>
            <w:tcW w:w="123"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14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78"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268</w:t>
            </w:r>
          </w:p>
        </w:tc>
        <w:tc>
          <w:tcPr>
            <w:tcW w:w="123"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3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260</w:t>
            </w:r>
          </w:p>
        </w:tc>
        <w:tc>
          <w:tcPr>
            <w:tcW w:w="11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9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97</w:t>
            </w:r>
          </w:p>
        </w:tc>
        <w:tc>
          <w:tcPr>
            <w:tcW w:w="260" w:type="dxa"/>
            <w:tcBorders>
              <w:bottom w:val="double" w:sz="6" w:space="0" w:color="000000"/>
            </w:tcBorders>
            <w:shd w:fill="CCEEFF" w:val="clear"/>
            <w:tcMar>
              <w:bottom w:w="30" w:type="dxa"/>
            </w:tcMar>
            <w:vAlign w:val="center"/>
          </w:tcPr>
          <w:p>
            <w:pPr>
              <w:pStyle w:val="TableContents"/>
              <w:spacing w:before="0" w:after="0"/>
              <w:ind w:left="0" w:right="0" w:firstLine="30"/>
              <w:jc w:val="left"/>
              <w:rPr/>
            </w:pPr>
            <w:r>
              <w:rPr/>
              <w:t> </w:t>
            </w: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1,183</w:t>
            </w:r>
          </w:p>
        </w:tc>
        <w:tc>
          <w:tcPr>
            <w:tcW w:w="11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711</w:t>
            </w:r>
          </w:p>
        </w:tc>
        <w:tc>
          <w:tcPr>
            <w:tcW w:w="11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472</w:t>
            </w:r>
          </w:p>
        </w:tc>
        <w:tc>
          <w:tcPr>
            <w:tcW w:w="11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9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66</w:t>
            </w:r>
          </w:p>
        </w:tc>
        <w:tc>
          <w:tcPr>
            <w:tcW w:w="281" w:type="dxa"/>
            <w:tcBorders>
              <w:bottom w:val="double" w:sz="6" w:space="0" w:color="000000"/>
            </w:tcBorders>
            <w:shd w:fill="CCEEFF" w:val="clear"/>
            <w:tcMar>
              <w:bottom w:w="30" w:type="dxa"/>
            </w:tcMar>
            <w:vAlign w:val="center"/>
          </w:tcPr>
          <w:p>
            <w:pPr>
              <w:pStyle w:val="TableContents"/>
              <w:spacing w:before="0" w:after="0"/>
              <w:ind w:left="0" w:right="0" w:firstLine="30"/>
              <w:jc w:val="left"/>
              <w:rPr/>
            </w:pPr>
            <w:r>
              <w:rPr/>
              <w:t> </w:t>
            </w:r>
            <w:r>
              <w:rPr>
                <w:rFonts w:ascii="inherit" w:hAnsi="inherit"/>
                <w:sz w:val="17"/>
              </w:rPr>
              <w:t>%</w:t>
            </w:r>
          </w:p>
        </w:tc>
      </w:tr>
      <w:tr>
        <w:trPr/>
        <w:tc>
          <w:tcPr>
            <w:tcW w:w="4131" w:type="dxa"/>
            <w:tcBorders/>
            <w:shd w:fill="auto" w:val="clear"/>
            <w:vAlign w:val="center"/>
          </w:tcPr>
          <w:p>
            <w:pPr>
              <w:pStyle w:val="TableContents"/>
              <w:spacing w:lineRule="auto" w:line="288" w:before="0" w:after="0"/>
              <w:ind w:left="0" w:right="0" w:firstLine="30"/>
              <w:jc w:val="left"/>
              <w:rPr>
                <w:sz w:val="17"/>
              </w:rPr>
            </w:pPr>
            <w:r>
              <w:rPr>
                <w:rFonts w:ascii="inherit" w:hAnsi="inherit"/>
                <w:sz w:val="17"/>
              </w:rPr>
              <w:t xml:space="preserve">Common unit cash distributions </w:t>
            </w:r>
            <w:r>
              <w:rPr>
                <w:rFonts w:ascii="inherit" w:hAnsi="inherit"/>
                <w:sz w:val="12"/>
              </w:rPr>
              <w:t>(13)</w:t>
            </w:r>
          </w:p>
        </w:tc>
        <w:tc>
          <w:tcPr>
            <w:tcW w:w="518" w:type="dxa"/>
            <w:gridSpan w:val="2"/>
            <w:tcBorders>
              <w:top w:val="double" w:sz="6"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(262</w:t>
            </w:r>
          </w:p>
        </w:tc>
        <w:tc>
          <w:tcPr>
            <w:tcW w:w="123" w:type="dxa"/>
            <w:tcBorders>
              <w:top w:val="double" w:sz="6"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1" w:type="dxa"/>
            <w:tcBorders/>
            <w:shd w:fill="auto" w:val="clear"/>
            <w:vAlign w:val="center"/>
          </w:tcPr>
          <w:p>
            <w:pPr>
              <w:pStyle w:val="TableContents"/>
              <w:spacing w:before="0" w:after="0"/>
              <w:ind w:left="0" w:right="0" w:firstLine="30"/>
              <w:rPr/>
            </w:pPr>
            <w:r>
              <w:rPr/>
              <w:t> </w:t>
            </w:r>
          </w:p>
        </w:tc>
        <w:tc>
          <w:tcPr>
            <w:tcW w:w="51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(218</w:t>
            </w:r>
          </w:p>
        </w:tc>
        <w:tc>
          <w:tcPr>
            <w:tcW w:w="123"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57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55" w:type="dxa"/>
            <w:gridSpan w:val="2"/>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(480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(435</w:t>
            </w:r>
          </w:p>
        </w:tc>
        <w:tc>
          <w:tcPr>
            <w:tcW w:w="11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72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76" w:type="dxa"/>
            <w:gridSpan w:val="2"/>
            <w:tcBorders/>
            <w:shd w:fill="auto" w:val="clear"/>
            <w:vAlign w:val="center"/>
          </w:tcPr>
          <w:p>
            <w:pPr>
              <w:pStyle w:val="TableContents"/>
              <w:spacing w:before="0" w:after="0"/>
              <w:ind w:left="0" w:right="0" w:firstLine="30"/>
              <w:rPr/>
            </w:pPr>
            <w:r>
              <w:rPr/>
              <w:t> </w:t>
            </w:r>
          </w:p>
        </w:tc>
      </w:tr>
      <w:tr>
        <w:trPr/>
        <w:tc>
          <w:tcPr>
            <w:tcW w:w="4131" w:type="dxa"/>
            <w:tcBorders/>
            <w:shd w:fill="CCEEFF" w:val="clear"/>
            <w:vAlign w:val="center"/>
          </w:tcPr>
          <w:p>
            <w:pPr>
              <w:pStyle w:val="TableContents"/>
              <w:spacing w:lineRule="auto" w:line="288" w:before="0" w:after="0"/>
              <w:ind w:left="0" w:right="0" w:firstLine="30"/>
              <w:jc w:val="left"/>
              <w:rPr>
                <w:sz w:val="17"/>
              </w:rPr>
            </w:pPr>
            <w:r>
              <w:rPr>
                <w:rFonts w:ascii="inherit" w:hAnsi="inherit"/>
                <w:sz w:val="17"/>
              </w:rPr>
              <w:t xml:space="preserve">Implied DCF Excess/(Shortage) </w:t>
            </w:r>
            <w:r>
              <w:rPr>
                <w:rFonts w:ascii="inherit" w:hAnsi="inherit"/>
                <w:sz w:val="12"/>
              </w:rPr>
              <w:t>(14)</w:t>
            </w:r>
          </w:p>
        </w:tc>
        <w:tc>
          <w:tcPr>
            <w:tcW w:w="14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7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266</w:t>
            </w:r>
          </w:p>
        </w:tc>
        <w:tc>
          <w:tcPr>
            <w:tcW w:w="123"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1" w:type="dxa"/>
            <w:tcBorders/>
            <w:shd w:fill="CCEEFF" w:val="clear"/>
            <w:vAlign w:val="center"/>
          </w:tcPr>
          <w:p>
            <w:pPr>
              <w:pStyle w:val="TableContents"/>
              <w:spacing w:before="0" w:after="0"/>
              <w:ind w:left="0" w:right="0" w:firstLine="30"/>
              <w:rPr/>
            </w:pPr>
            <w:r>
              <w:rPr/>
              <w:t> </w:t>
            </w:r>
          </w:p>
        </w:tc>
        <w:tc>
          <w:tcPr>
            <w:tcW w:w="14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7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50</w:t>
            </w:r>
          </w:p>
        </w:tc>
        <w:tc>
          <w:tcPr>
            <w:tcW w:w="123"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7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655" w:type="dxa"/>
            <w:gridSpan w:val="2"/>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703</w:t>
            </w:r>
          </w:p>
        </w:tc>
        <w:tc>
          <w:tcPr>
            <w:tcW w:w="11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276</w:t>
            </w:r>
          </w:p>
        </w:tc>
        <w:tc>
          <w:tcPr>
            <w:tcW w:w="11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2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676" w:type="dxa"/>
            <w:gridSpan w:val="2"/>
            <w:tcBorders/>
            <w:shd w:fill="CCEEFF" w:val="clear"/>
            <w:vAlign w:val="center"/>
          </w:tcPr>
          <w:p>
            <w:pPr>
              <w:pStyle w:val="TableContents"/>
              <w:spacing w:before="0" w:after="0"/>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sz w:val="4"/>
                <w:szCs w:val="4"/>
              </w:rPr>
            </w:pPr>
            <w:r>
              <w:rPr>
                <w:sz w:val="4"/>
                <w:szCs w:val="4"/>
              </w:rPr>
            </w:r>
          </w:p>
        </w:tc>
      </w:tr>
      <w:tr>
        <w:trPr/>
        <w:tc>
          <w:tcPr>
            <w:tcW w:w="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 w:type="dxa"/>
            <w:tcBorders>
              <w:bottom w:val="single" w:sz="2" w:space="0" w:color="000000"/>
            </w:tcBorders>
            <w:shd w:fill="auto" w:val="clear"/>
            <w:tcMar>
              <w:bottom w:w="30" w:type="dxa"/>
            </w:tcMar>
            <w:vAlign w:val="center"/>
          </w:tcPr>
          <w:p>
            <w:pPr>
              <w:pStyle w:val="TableContents"/>
              <w:spacing w:before="0" w:after="0"/>
              <w:rPr/>
            </w:pPr>
            <w:r>
              <w:rPr/>
              <w:t> </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48</w:t>
      </w:r>
      <w:r>
        <w:br w:type="page"/>
      </w:r>
    </w:p>
    <w:p>
      <w:pPr>
        <w:pStyle w:val="TextBody"/>
        <w:spacing w:lineRule="auto" w:line="288" w:before="0" w:after="0"/>
        <w:rPr/>
      </w:pPr>
      <w:hyperlink w:anchor="s3336AD8A685850CC9B7F2572CB2C0BC3">
        <w:r>
          <w:rPr>
            <w:rStyle w:val="InternetLink"/>
            <w:rFonts w:ascii="inherit" w:hAnsi="inherit"/>
            <w:sz w:val="17"/>
          </w:rPr>
          <w:t>Table of Contents</w:t>
        </w:r>
      </w:hyperlink>
      <w:r>
        <w:rPr>
          <w:sz w:val="17"/>
        </w:rPr>
        <w:t xml:space="preserve"> </w:t>
      </w:r>
    </w:p>
    <w:p>
      <w:pPr>
        <w:pStyle w:val="TextBody"/>
        <w:spacing w:before="0" w:after="0"/>
        <w:rPr/>
      </w:pPr>
      <w:r>
        <w:rPr/>
      </w:r>
    </w:p>
    <w:tbl>
      <w:tblPr>
        <w:tblW w:w="5065" w:type="dxa"/>
        <w:jc w:val="left"/>
        <w:tblInd w:w="0" w:type="dxa"/>
        <w:tblCellMar>
          <w:top w:w="0" w:type="dxa"/>
          <w:left w:w="0" w:type="dxa"/>
          <w:bottom w:w="0" w:type="dxa"/>
          <w:right w:w="0" w:type="dxa"/>
        </w:tblCellMar>
      </w:tblPr>
      <w:tblGrid>
        <w:gridCol w:w="200"/>
        <w:gridCol w:w="4865"/>
      </w:tblGrid>
      <w:tr>
        <w:trPr/>
        <w:tc>
          <w:tcPr>
            <w:tcW w:w="200" w:type="dxa"/>
            <w:tcBorders/>
            <w:shd w:fill="auto" w:val="clear"/>
            <w:vAlign w:val="center"/>
          </w:tcPr>
          <w:p>
            <w:pPr>
              <w:pStyle w:val="TableContents"/>
              <w:spacing w:before="0" w:after="283"/>
              <w:rPr>
                <w:sz w:val="4"/>
                <w:szCs w:val="4"/>
              </w:rPr>
            </w:pPr>
            <w:r>
              <w:rPr>
                <w:sz w:val="4"/>
                <w:szCs w:val="4"/>
              </w:rPr>
            </w:r>
          </w:p>
        </w:tc>
        <w:tc>
          <w:tcPr>
            <w:tcW w:w="4865" w:type="dxa"/>
            <w:tcBorders/>
            <w:shd w:fill="auto" w:val="clear"/>
            <w:vAlign w:val="center"/>
          </w:tcPr>
          <w:p>
            <w:pPr>
              <w:pStyle w:val="TableContents"/>
              <w:spacing w:before="0" w:after="283"/>
              <w:rPr>
                <w:sz w:val="4"/>
                <w:szCs w:val="4"/>
              </w:rPr>
            </w:pPr>
            <w:r>
              <w:rPr>
                <w:sz w:val="4"/>
                <w:szCs w:val="4"/>
              </w:rPr>
            </w:r>
          </w:p>
        </w:tc>
      </w:tr>
      <w:tr>
        <w:trPr/>
        <w:tc>
          <w:tcPr>
            <w:tcW w:w="200"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w:t>
            </w:r>
            <w:r>
              <w:rPr>
                <w:rFonts w:ascii="inherit" w:hAnsi="inherit"/>
                <w:sz w:val="17"/>
              </w:rPr>
              <w:t> </w:t>
            </w:r>
          </w:p>
        </w:tc>
        <w:tc>
          <w:tcPr>
            <w:tcW w:w="4865" w:type="dxa"/>
            <w:tcBorders/>
            <w:shd w:fill="auto" w:val="clear"/>
            <w:vAlign w:val="center"/>
          </w:tcPr>
          <w:p>
            <w:pPr>
              <w:pStyle w:val="TableContents"/>
              <w:spacing w:lineRule="auto" w:line="288" w:before="0" w:after="0"/>
              <w:rPr>
                <w:rFonts w:ascii="inherit" w:hAnsi="inherit"/>
                <w:sz w:val="17"/>
              </w:rPr>
            </w:pPr>
            <w:r>
              <w:rPr>
                <w:rFonts w:ascii="inherit" w:hAnsi="inherit"/>
                <w:sz w:val="17"/>
              </w:rPr>
              <w:t>Indicates that variance as a percentage is not meaningful.</w:t>
            </w:r>
          </w:p>
        </w:tc>
      </w:tr>
    </w:tbl>
    <w:tbl>
      <w:tblPr>
        <w:tblW w:w="10205" w:type="dxa"/>
        <w:jc w:val="left"/>
        <w:tblInd w:w="0" w:type="dxa"/>
        <w:tblCellMar>
          <w:top w:w="0" w:type="dxa"/>
          <w:left w:w="0" w:type="dxa"/>
          <w:bottom w:w="0" w:type="dxa"/>
          <w:right w:w="0" w:type="dxa"/>
        </w:tblCellMar>
      </w:tblPr>
      <w:tblGrid>
        <w:gridCol w:w="180"/>
        <w:gridCol w:w="10025"/>
      </w:tblGrid>
      <w:tr>
        <w:trPr/>
        <w:tc>
          <w:tcPr>
            <w:tcW w:w="180" w:type="dxa"/>
            <w:tcBorders/>
            <w:shd w:fill="auto" w:val="clear"/>
            <w:vAlign w:val="center"/>
          </w:tcPr>
          <w:p>
            <w:pPr>
              <w:pStyle w:val="TableContents"/>
              <w:spacing w:before="0" w:after="283"/>
              <w:rPr>
                <w:sz w:val="4"/>
                <w:szCs w:val="4"/>
              </w:rPr>
            </w:pPr>
            <w:r>
              <w:rPr>
                <w:sz w:val="4"/>
                <w:szCs w:val="4"/>
              </w:rPr>
            </w:r>
          </w:p>
        </w:tc>
        <w:tc>
          <w:tcPr>
            <w:tcW w:w="10025" w:type="dxa"/>
            <w:tcBorders/>
            <w:shd w:fill="auto" w:val="clear"/>
            <w:vAlign w:val="center"/>
          </w:tcPr>
          <w:p>
            <w:pPr>
              <w:pStyle w:val="TableContents"/>
              <w:spacing w:before="0" w:after="283"/>
              <w:rPr>
                <w:sz w:val="4"/>
                <w:szCs w:val="4"/>
              </w:rPr>
            </w:pPr>
            <w:r>
              <w:rPr>
                <w:sz w:val="4"/>
                <w:szCs w:val="4"/>
              </w:rPr>
            </w:r>
          </w:p>
        </w:tc>
      </w:tr>
      <w:tr>
        <w:trPr/>
        <w:tc>
          <w:tcPr>
            <w:tcW w:w="180"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(1)</w:t>
            </w:r>
            <w:r>
              <w:rPr>
                <w:rFonts w:ascii="inherit" w:hAnsi="inherit"/>
                <w:sz w:val="17"/>
              </w:rPr>
              <w:t> </w:t>
            </w:r>
          </w:p>
        </w:tc>
        <w:tc>
          <w:tcPr>
            <w:tcW w:w="10025" w:type="dxa"/>
            <w:tcBorders/>
            <w:shd w:fill="auto" w:val="clear"/>
            <w:vAlign w:val="center"/>
          </w:tcPr>
          <w:p>
            <w:pPr>
              <w:pStyle w:val="TableContents"/>
              <w:spacing w:lineRule="auto" w:line="288" w:before="0" w:after="0"/>
              <w:rPr>
                <w:rFonts w:ascii="inherit" w:hAnsi="inherit"/>
                <w:sz w:val="17"/>
              </w:rPr>
            </w:pPr>
            <w:r>
              <w:rPr>
                <w:rFonts w:ascii="inherit" w:hAnsi="inherit"/>
                <w:sz w:val="17"/>
              </w:rPr>
              <w:t>Over the past several years, we have increased our participation in strategic pipeline joint ventures accounted for under the equity method of accounting. We exclude our proportionate share of the depreciation and amortization expense of, and gains and losses on significant asset sales by, such unconsolidated entities when reviewing Adjusted EBITDA, similar to our consolidated assets.</w:t>
            </w:r>
          </w:p>
        </w:tc>
      </w:tr>
    </w:tbl>
    <w:tbl>
      <w:tblPr>
        <w:tblW w:w="10205" w:type="dxa"/>
        <w:jc w:val="left"/>
        <w:tblInd w:w="0" w:type="dxa"/>
        <w:tblCellMar>
          <w:top w:w="0" w:type="dxa"/>
          <w:left w:w="0" w:type="dxa"/>
          <w:bottom w:w="0" w:type="dxa"/>
          <w:right w:w="0" w:type="dxa"/>
        </w:tblCellMar>
      </w:tblPr>
      <w:tblGrid>
        <w:gridCol w:w="162"/>
        <w:gridCol w:w="10043"/>
      </w:tblGrid>
      <w:tr>
        <w:trPr/>
        <w:tc>
          <w:tcPr>
            <w:tcW w:w="162" w:type="dxa"/>
            <w:tcBorders/>
            <w:shd w:fill="auto" w:val="clear"/>
            <w:vAlign w:val="center"/>
          </w:tcPr>
          <w:p>
            <w:pPr>
              <w:pStyle w:val="TableContents"/>
              <w:spacing w:before="0" w:after="283"/>
              <w:rPr>
                <w:sz w:val="4"/>
                <w:szCs w:val="4"/>
              </w:rPr>
            </w:pPr>
            <w:r>
              <w:rPr>
                <w:sz w:val="4"/>
                <w:szCs w:val="4"/>
              </w:rPr>
            </w:r>
          </w:p>
        </w:tc>
        <w:tc>
          <w:tcPr>
            <w:tcW w:w="10043" w:type="dxa"/>
            <w:tcBorders/>
            <w:shd w:fill="auto" w:val="clear"/>
            <w:vAlign w:val="center"/>
          </w:tcPr>
          <w:p>
            <w:pPr>
              <w:pStyle w:val="TableContents"/>
              <w:spacing w:before="0" w:after="283"/>
              <w:rPr>
                <w:sz w:val="4"/>
                <w:szCs w:val="4"/>
              </w:rPr>
            </w:pPr>
            <w:r>
              <w:rPr>
                <w:sz w:val="4"/>
                <w:szCs w:val="4"/>
              </w:rPr>
            </w:r>
          </w:p>
        </w:tc>
      </w:tr>
      <w:tr>
        <w:trPr/>
        <w:tc>
          <w:tcPr>
            <w:tcW w:w="162"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(2)</w:t>
            </w:r>
            <w:r>
              <w:rPr>
                <w:rFonts w:ascii="inherit" w:hAnsi="inherit"/>
                <w:sz w:val="17"/>
              </w:rPr>
              <w:t> </w:t>
            </w:r>
          </w:p>
        </w:tc>
        <w:tc>
          <w:tcPr>
            <w:tcW w:w="10043" w:type="dxa"/>
            <w:tcBorders/>
            <w:shd w:fill="auto" w:val="clear"/>
            <w:vAlign w:val="center"/>
          </w:tcPr>
          <w:p>
            <w:pPr>
              <w:pStyle w:val="TableContents"/>
              <w:spacing w:lineRule="auto" w:line="288" w:before="0" w:after="0"/>
              <w:rPr>
                <w:sz w:val="17"/>
              </w:rPr>
            </w:pPr>
            <w:r>
              <w:rPr>
                <w:rFonts w:ascii="inherit" w:hAnsi="inherit"/>
                <w:sz w:val="17"/>
              </w:rPr>
              <w:t xml:space="preserve">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of operations, we identify the earnings that were recognized during the period related to derivative instruments for which the identified underlying transaction does not occur in the current period and exclude the related gains and losses in determining Adjusted EBITDA. In addition, we exclude gains and losses on derivatives that are related to investing activities, such as the purchase of linefill. We also exclude the impact of corresponding inventory valuation adjustments, as applicable, as well as the mark-to-market adjustment related to our Preferred Distribution Rate Reset Option. See </w:t>
            </w:r>
            <w:r>
              <w:rPr>
                <w:b w:val="false"/>
                <w:sz w:val="17"/>
              </w:rPr>
              <w:t>Note 10</w:t>
            </w:r>
            <w:r>
              <w:rPr>
                <w:sz w:val="17"/>
              </w:rPr>
              <w:t xml:space="preserve"> </w:t>
            </w:r>
            <w:r>
              <w:rPr>
                <w:rFonts w:ascii="inherit" w:hAnsi="inherit"/>
                <w:sz w:val="17"/>
              </w:rPr>
              <w:t>to our Condensed Consolidated Financial Statements for a comprehensive discussion regarding our derivatives and risk management activities and our Preferred Distribution Rate Reset Option.</w:t>
            </w:r>
          </w:p>
        </w:tc>
      </w:tr>
    </w:tbl>
    <w:tbl>
      <w:tblPr>
        <w:tblW w:w="10205" w:type="dxa"/>
        <w:jc w:val="left"/>
        <w:tblInd w:w="0" w:type="dxa"/>
        <w:tblCellMar>
          <w:top w:w="0" w:type="dxa"/>
          <w:left w:w="0" w:type="dxa"/>
          <w:bottom w:w="0" w:type="dxa"/>
          <w:right w:w="0" w:type="dxa"/>
        </w:tblCellMar>
      </w:tblPr>
      <w:tblGrid>
        <w:gridCol w:w="166"/>
        <w:gridCol w:w="10039"/>
      </w:tblGrid>
      <w:tr>
        <w:trPr/>
        <w:tc>
          <w:tcPr>
            <w:tcW w:w="166" w:type="dxa"/>
            <w:tcBorders/>
            <w:shd w:fill="auto" w:val="clear"/>
            <w:vAlign w:val="center"/>
          </w:tcPr>
          <w:p>
            <w:pPr>
              <w:pStyle w:val="TableContents"/>
              <w:spacing w:before="0" w:after="283"/>
              <w:rPr>
                <w:sz w:val="4"/>
                <w:szCs w:val="4"/>
              </w:rPr>
            </w:pPr>
            <w:r>
              <w:rPr>
                <w:sz w:val="4"/>
                <w:szCs w:val="4"/>
              </w:rPr>
            </w:r>
          </w:p>
        </w:tc>
        <w:tc>
          <w:tcPr>
            <w:tcW w:w="10039" w:type="dxa"/>
            <w:tcBorders/>
            <w:shd w:fill="auto" w:val="clear"/>
            <w:vAlign w:val="center"/>
          </w:tcPr>
          <w:p>
            <w:pPr>
              <w:pStyle w:val="TableContents"/>
              <w:spacing w:before="0" w:after="283"/>
              <w:rPr>
                <w:sz w:val="4"/>
                <w:szCs w:val="4"/>
              </w:rPr>
            </w:pPr>
            <w:r>
              <w:rPr>
                <w:sz w:val="4"/>
                <w:szCs w:val="4"/>
              </w:rPr>
            </w:r>
          </w:p>
        </w:tc>
      </w:tr>
      <w:tr>
        <w:trPr/>
        <w:tc>
          <w:tcPr>
            <w:tcW w:w="166"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(3)</w:t>
            </w:r>
            <w:r>
              <w:rPr>
                <w:rFonts w:ascii="inherit" w:hAnsi="inherit"/>
                <w:sz w:val="17"/>
              </w:rPr>
              <w:t> </w:t>
            </w:r>
          </w:p>
        </w:tc>
        <w:tc>
          <w:tcPr>
            <w:tcW w:w="10039" w:type="dxa"/>
            <w:tcBorders/>
            <w:shd w:fill="auto" w:val="clear"/>
            <w:vAlign w:val="center"/>
          </w:tcPr>
          <w:p>
            <w:pPr>
              <w:pStyle w:val="TableContents"/>
              <w:spacing w:lineRule="auto" w:line="288" w:before="0" w:after="0"/>
              <w:rPr>
                <w:sz w:val="17"/>
              </w:rPr>
            </w:pPr>
            <w:r>
              <w:rPr>
                <w:rFonts w:ascii="inherit" w:hAnsi="inherit"/>
                <w:sz w:val="17"/>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treat the impact of changes in the average cost of the long-term inventory (that result from fluctuations in market prices) and writedowns of such inventory that result from price declines as a selected item impacting comparability. See Note 5 to our Consolidated Financial Statements included in Part IV of our 2018</w:t>
            </w:r>
            <w:r>
              <w:rPr>
                <w:sz w:val="17"/>
              </w:rPr>
              <w:t xml:space="preserve"> </w:t>
            </w:r>
            <w:r>
              <w:rPr>
                <w:rFonts w:ascii="inherit" w:hAnsi="inherit"/>
                <w:sz w:val="17"/>
              </w:rPr>
              <w:t>Annual Report on Form 10-K for additional inventory disclosures. </w:t>
            </w:r>
          </w:p>
        </w:tc>
      </w:tr>
    </w:tbl>
    <w:tbl>
      <w:tblPr>
        <w:tblW w:w="10205" w:type="dxa"/>
        <w:jc w:val="left"/>
        <w:tblInd w:w="0" w:type="dxa"/>
        <w:tblCellMar>
          <w:top w:w="0" w:type="dxa"/>
          <w:left w:w="0" w:type="dxa"/>
          <w:bottom w:w="0" w:type="dxa"/>
          <w:right w:w="0" w:type="dxa"/>
        </w:tblCellMar>
      </w:tblPr>
      <w:tblGrid>
        <w:gridCol w:w="161"/>
        <w:gridCol w:w="10044"/>
      </w:tblGrid>
      <w:tr>
        <w:trPr/>
        <w:tc>
          <w:tcPr>
            <w:tcW w:w="161" w:type="dxa"/>
            <w:tcBorders/>
            <w:shd w:fill="auto" w:val="clear"/>
            <w:vAlign w:val="center"/>
          </w:tcPr>
          <w:p>
            <w:pPr>
              <w:pStyle w:val="TableContents"/>
              <w:spacing w:before="0" w:after="283"/>
              <w:rPr>
                <w:sz w:val="4"/>
                <w:szCs w:val="4"/>
              </w:rPr>
            </w:pPr>
            <w:r>
              <w:rPr>
                <w:sz w:val="4"/>
                <w:szCs w:val="4"/>
              </w:rPr>
            </w:r>
          </w:p>
        </w:tc>
        <w:tc>
          <w:tcPr>
            <w:tcW w:w="10044"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(4)</w:t>
            </w:r>
            <w:r>
              <w:rPr>
                <w:rFonts w:ascii="inherit" w:hAnsi="inherit"/>
                <w:sz w:val="17"/>
              </w:rPr>
              <w:t> </w:t>
            </w:r>
          </w:p>
        </w:tc>
        <w:tc>
          <w:tcPr>
            <w:tcW w:w="10044" w:type="dxa"/>
            <w:tcBorders/>
            <w:shd w:fill="auto" w:val="clear"/>
            <w:vAlign w:val="center"/>
          </w:tcPr>
          <w:p>
            <w:pPr>
              <w:pStyle w:val="TableContents"/>
              <w:spacing w:lineRule="auto" w:line="288" w:before="0" w:after="0"/>
              <w:rPr>
                <w:rFonts w:ascii="inherit" w:hAnsi="inherit"/>
                <w:sz w:val="17"/>
              </w:rPr>
            </w:pPr>
            <w:r>
              <w:rPr>
                <w:rFonts w:ascii="inherit" w:hAnsi="inherit"/>
                <w:sz w:val="17"/>
              </w:rPr>
              <w:t>We have certain agreements that require counterparties to deliver, transport or throughput a minimum volume over an agreed upon period. Substantially all of such agreements were entered into with counterparties to economically support the return on our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as a selected item impacting comparability. We believe the inclusion of the contractually committed revenues associated with that period is meaningful to investors as the related asset has been constructed, is standing ready to provide the committed service and the fixed operating costs are included in the current period results.</w:t>
            </w:r>
          </w:p>
        </w:tc>
      </w:tr>
    </w:tbl>
    <w:tbl>
      <w:tblPr>
        <w:tblW w:w="10205" w:type="dxa"/>
        <w:jc w:val="left"/>
        <w:tblInd w:w="0" w:type="dxa"/>
        <w:tblCellMar>
          <w:top w:w="0" w:type="dxa"/>
          <w:left w:w="0" w:type="dxa"/>
          <w:bottom w:w="0" w:type="dxa"/>
          <w:right w:w="0" w:type="dxa"/>
        </w:tblCellMar>
      </w:tblPr>
      <w:tblGrid>
        <w:gridCol w:w="164"/>
        <w:gridCol w:w="10041"/>
      </w:tblGrid>
      <w:tr>
        <w:trPr/>
        <w:tc>
          <w:tcPr>
            <w:tcW w:w="164" w:type="dxa"/>
            <w:tcBorders/>
            <w:shd w:fill="auto" w:val="clear"/>
            <w:vAlign w:val="center"/>
          </w:tcPr>
          <w:p>
            <w:pPr>
              <w:pStyle w:val="TableContents"/>
              <w:spacing w:before="0" w:after="283"/>
              <w:rPr>
                <w:sz w:val="4"/>
                <w:szCs w:val="4"/>
              </w:rPr>
            </w:pPr>
            <w:r>
              <w:rPr>
                <w:sz w:val="4"/>
                <w:szCs w:val="4"/>
              </w:rPr>
            </w:r>
          </w:p>
        </w:tc>
        <w:tc>
          <w:tcPr>
            <w:tcW w:w="10041" w:type="dxa"/>
            <w:tcBorders/>
            <w:shd w:fill="auto" w:val="clear"/>
            <w:vAlign w:val="center"/>
          </w:tcPr>
          <w:p>
            <w:pPr>
              <w:pStyle w:val="TableContents"/>
              <w:spacing w:before="0" w:after="283"/>
              <w:rPr>
                <w:sz w:val="4"/>
                <w:szCs w:val="4"/>
              </w:rPr>
            </w:pPr>
            <w:r>
              <w:rPr>
                <w:sz w:val="4"/>
                <w:szCs w:val="4"/>
              </w:rPr>
            </w:r>
          </w:p>
        </w:tc>
      </w:tr>
      <w:tr>
        <w:trPr/>
        <w:tc>
          <w:tcPr>
            <w:tcW w:w="164"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(5)</w:t>
            </w:r>
            <w:r>
              <w:rPr>
                <w:rFonts w:ascii="inherit" w:hAnsi="inherit"/>
                <w:sz w:val="17"/>
              </w:rPr>
              <w:t> </w:t>
            </w:r>
          </w:p>
        </w:tc>
        <w:tc>
          <w:tcPr>
            <w:tcW w:w="10041" w:type="dxa"/>
            <w:tcBorders/>
            <w:shd w:fill="auto" w:val="clear"/>
            <w:vAlign w:val="center"/>
          </w:tcPr>
          <w:p>
            <w:pPr>
              <w:pStyle w:val="TableContents"/>
              <w:spacing w:lineRule="auto" w:line="288" w:before="0" w:after="0"/>
              <w:rPr>
                <w:sz w:val="17"/>
              </w:rPr>
            </w:pPr>
            <w:r>
              <w:rPr>
                <w:rFonts w:ascii="inherit" w:hAnsi="inherit"/>
                <w:sz w:val="17"/>
              </w:rPr>
              <w:t>Our total equity-indexed compensation expense includes expense associated with awards that will or may be settled in units and awards that will or may be settled in cash. The awards that will or may be settled in units are included in our diluted net income per unit calculation when the applicable performance criteria have been met. We consider the compensation expense associated with these awards as a selected item impacting comparability as the dilutive impact of the outstanding awards is included in our diluted net income per unit calculation, as applicable, and the majority of the awards are expected to be settled in units. The portion of compensation expense associated with awards that are certain to be settled in cash is not considered a selected item impacting comparability. See Note 17 to our Consolidated Financial Statements included in Part IV of our 2018</w:t>
            </w:r>
            <w:r>
              <w:rPr>
                <w:sz w:val="17"/>
              </w:rPr>
              <w:t xml:space="preserve"> </w:t>
            </w:r>
            <w:r>
              <w:rPr>
                <w:rFonts w:ascii="inherit" w:hAnsi="inherit"/>
                <w:sz w:val="17"/>
              </w:rPr>
              <w:t>Annual Report on Form 10-K for a comprehensive discussion regarding our equity-indexed compensation plans. </w:t>
            </w:r>
          </w:p>
        </w:tc>
      </w:tr>
    </w:tbl>
    <w:tbl>
      <w:tblPr>
        <w:tblW w:w="10205" w:type="dxa"/>
        <w:jc w:val="left"/>
        <w:tblInd w:w="0" w:type="dxa"/>
        <w:tblCellMar>
          <w:top w:w="0" w:type="dxa"/>
          <w:left w:w="0" w:type="dxa"/>
          <w:bottom w:w="0" w:type="dxa"/>
          <w:right w:w="0" w:type="dxa"/>
        </w:tblCellMar>
      </w:tblPr>
      <w:tblGrid>
        <w:gridCol w:w="202"/>
        <w:gridCol w:w="10003"/>
      </w:tblGrid>
      <w:tr>
        <w:trPr/>
        <w:tc>
          <w:tcPr>
            <w:tcW w:w="202" w:type="dxa"/>
            <w:tcBorders/>
            <w:shd w:fill="auto" w:val="clear"/>
            <w:vAlign w:val="center"/>
          </w:tcPr>
          <w:p>
            <w:pPr>
              <w:pStyle w:val="TableContents"/>
              <w:spacing w:before="0" w:after="283"/>
              <w:rPr>
                <w:sz w:val="4"/>
                <w:szCs w:val="4"/>
              </w:rPr>
            </w:pPr>
            <w:r>
              <w:rPr>
                <w:sz w:val="4"/>
                <w:szCs w:val="4"/>
              </w:rPr>
            </w:r>
          </w:p>
        </w:tc>
        <w:tc>
          <w:tcPr>
            <w:tcW w:w="10003" w:type="dxa"/>
            <w:tcBorders/>
            <w:shd w:fill="auto" w:val="clear"/>
            <w:vAlign w:val="center"/>
          </w:tcPr>
          <w:p>
            <w:pPr>
              <w:pStyle w:val="TableContents"/>
              <w:spacing w:before="0" w:after="283"/>
              <w:rPr>
                <w:sz w:val="4"/>
                <w:szCs w:val="4"/>
              </w:rPr>
            </w:pPr>
            <w:r>
              <w:rPr>
                <w:sz w:val="4"/>
                <w:szCs w:val="4"/>
              </w:rPr>
            </w:r>
          </w:p>
        </w:tc>
      </w:tr>
      <w:tr>
        <w:trPr/>
        <w:tc>
          <w:tcPr>
            <w:tcW w:w="202"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(6) </w:t>
            </w:r>
            <w:r>
              <w:rPr>
                <w:rFonts w:ascii="inherit" w:hAnsi="inherit"/>
                <w:sz w:val="17"/>
              </w:rPr>
              <w:t> </w:t>
            </w:r>
          </w:p>
        </w:tc>
        <w:tc>
          <w:tcPr>
            <w:tcW w:w="10003" w:type="dxa"/>
            <w:tcBorders/>
            <w:shd w:fill="auto" w:val="clear"/>
            <w:vAlign w:val="center"/>
          </w:tcPr>
          <w:p>
            <w:pPr>
              <w:pStyle w:val="TableContents"/>
              <w:spacing w:lineRule="auto" w:line="288" w:before="0" w:after="0"/>
              <w:rPr>
                <w:sz w:val="17"/>
              </w:rPr>
            </w:pPr>
            <w:r>
              <w:rPr>
                <w:rFonts w:ascii="inherit" w:hAnsi="inherit"/>
                <w:sz w:val="17"/>
              </w:rPr>
              <w:t xml:space="preserve">During the periods presented, there were fluctuations in the value of CAD to USD, resulting in non-cash gains and losses that were not related to our core operating results for the period and were thus classified as a selected item impacting comparability. See </w:t>
            </w:r>
            <w:r>
              <w:rPr>
                <w:b w:val="false"/>
                <w:sz w:val="17"/>
              </w:rPr>
              <w:t>Note 10</w:t>
            </w:r>
            <w:r>
              <w:rPr>
                <w:sz w:val="17"/>
              </w:rPr>
              <w:t xml:space="preserve"> </w:t>
            </w:r>
            <w:r>
              <w:rPr>
                <w:rFonts w:ascii="inherit" w:hAnsi="inherit"/>
                <w:sz w:val="17"/>
              </w:rPr>
              <w:t>to our Condensed Consolidated Financial Statements for discussion regarding our currency exchange rate risk hedging activities.</w:t>
            </w:r>
          </w:p>
        </w:tc>
      </w:tr>
    </w:tbl>
    <w:tbl>
      <w:tblPr>
        <w:tblW w:w="10205" w:type="dxa"/>
        <w:jc w:val="left"/>
        <w:tblInd w:w="0" w:type="dxa"/>
        <w:tblCellMar>
          <w:top w:w="0" w:type="dxa"/>
          <w:left w:w="0" w:type="dxa"/>
          <w:bottom w:w="0" w:type="dxa"/>
          <w:right w:w="0" w:type="dxa"/>
        </w:tblCellMar>
      </w:tblPr>
      <w:tblGrid>
        <w:gridCol w:w="215"/>
        <w:gridCol w:w="9990"/>
      </w:tblGrid>
      <w:tr>
        <w:trPr/>
        <w:tc>
          <w:tcPr>
            <w:tcW w:w="215" w:type="dxa"/>
            <w:tcBorders/>
            <w:shd w:fill="auto" w:val="clear"/>
            <w:vAlign w:val="center"/>
          </w:tcPr>
          <w:p>
            <w:pPr>
              <w:pStyle w:val="TableContents"/>
              <w:spacing w:before="0" w:after="283"/>
              <w:rPr>
                <w:sz w:val="4"/>
                <w:szCs w:val="4"/>
              </w:rPr>
            </w:pPr>
            <w:r>
              <w:rPr>
                <w:sz w:val="4"/>
                <w:szCs w:val="4"/>
              </w:rPr>
            </w:r>
          </w:p>
        </w:tc>
        <w:tc>
          <w:tcPr>
            <w:tcW w:w="9990" w:type="dxa"/>
            <w:tcBorders/>
            <w:shd w:fill="auto" w:val="clear"/>
            <w:vAlign w:val="center"/>
          </w:tcPr>
          <w:p>
            <w:pPr>
              <w:pStyle w:val="TableContents"/>
              <w:spacing w:before="0" w:after="283"/>
              <w:rPr>
                <w:sz w:val="4"/>
                <w:szCs w:val="4"/>
              </w:rPr>
            </w:pPr>
            <w:r>
              <w:rPr>
                <w:sz w:val="4"/>
                <w:szCs w:val="4"/>
              </w:rPr>
            </w:r>
          </w:p>
        </w:tc>
      </w:tr>
      <w:tr>
        <w:trPr/>
        <w:tc>
          <w:tcPr>
            <w:tcW w:w="215"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(7) </w:t>
            </w:r>
            <w:r>
              <w:rPr>
                <w:rFonts w:ascii="inherit" w:hAnsi="inherit"/>
                <w:sz w:val="17"/>
              </w:rPr>
              <w:t> </w:t>
            </w:r>
          </w:p>
        </w:tc>
        <w:tc>
          <w:tcPr>
            <w:tcW w:w="9990" w:type="dxa"/>
            <w:tcBorders/>
            <w:shd w:fill="auto" w:val="clear"/>
            <w:vAlign w:val="center"/>
          </w:tcPr>
          <w:p>
            <w:pPr>
              <w:pStyle w:val="TableContents"/>
              <w:spacing w:lineRule="auto" w:line="288" w:before="0" w:after="0"/>
              <w:rPr>
                <w:sz w:val="17"/>
              </w:rPr>
            </w:pPr>
            <w:r>
              <w:rPr>
                <w:rFonts w:ascii="inherit" w:hAnsi="inherit"/>
                <w:sz w:val="17"/>
              </w:rPr>
              <w:t xml:space="preserve">Includes costs recognized during the period related to the Line 901 incident that occurred in May 2015, net of amounts we believe are probable of recovery from insurance. See </w:t>
            </w:r>
            <w:r>
              <w:rPr>
                <w:b w:val="false"/>
                <w:sz w:val="17"/>
              </w:rPr>
              <w:t>Note 13</w:t>
            </w:r>
            <w:r>
              <w:rPr>
                <w:sz w:val="17"/>
              </w:rPr>
              <w:t xml:space="preserve"> </w:t>
            </w:r>
            <w:r>
              <w:rPr>
                <w:rFonts w:ascii="inherit" w:hAnsi="inherit"/>
                <w:sz w:val="17"/>
              </w:rPr>
              <w:t>to our Condensed Consolidated Financial Statements for additional information regarding the Line 901 incident.</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49</w:t>
      </w:r>
      <w:r>
        <w:br w:type="page"/>
      </w:r>
    </w:p>
    <w:p>
      <w:pPr>
        <w:pStyle w:val="TextBody"/>
        <w:spacing w:lineRule="auto" w:line="288" w:before="0" w:after="0"/>
        <w:rPr/>
      </w:pPr>
      <w:hyperlink w:anchor="s3336AD8A685850CC9B7F2572CB2C0BC3">
        <w:r>
          <w:rPr>
            <w:rStyle w:val="InternetLink"/>
            <w:rFonts w:ascii="inherit" w:hAnsi="inherit"/>
            <w:sz w:val="17"/>
          </w:rPr>
          <w:t>Table of Contents</w:t>
        </w:r>
      </w:hyperlink>
      <w:r>
        <w:rPr>
          <w:sz w:val="17"/>
        </w:rPr>
        <w:t xml:space="preserve"> </w:t>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193"/>
        <w:gridCol w:w="10012"/>
      </w:tblGrid>
      <w:tr>
        <w:trPr/>
        <w:tc>
          <w:tcPr>
            <w:tcW w:w="193" w:type="dxa"/>
            <w:tcBorders/>
            <w:shd w:fill="auto" w:val="clear"/>
            <w:vAlign w:val="center"/>
          </w:tcPr>
          <w:p>
            <w:pPr>
              <w:pStyle w:val="TableContents"/>
              <w:spacing w:before="0" w:after="283"/>
              <w:rPr>
                <w:sz w:val="4"/>
                <w:szCs w:val="4"/>
              </w:rPr>
            </w:pPr>
            <w:r>
              <w:rPr>
                <w:sz w:val="4"/>
                <w:szCs w:val="4"/>
              </w:rPr>
            </w:r>
          </w:p>
        </w:tc>
        <w:tc>
          <w:tcPr>
            <w:tcW w:w="10012" w:type="dxa"/>
            <w:tcBorders/>
            <w:shd w:fill="auto" w:val="clear"/>
            <w:vAlign w:val="center"/>
          </w:tcPr>
          <w:p>
            <w:pPr>
              <w:pStyle w:val="TableContents"/>
              <w:spacing w:before="0" w:after="283"/>
              <w:rPr>
                <w:sz w:val="4"/>
                <w:szCs w:val="4"/>
              </w:rPr>
            </w:pPr>
            <w:r>
              <w:rPr>
                <w:sz w:val="4"/>
                <w:szCs w:val="4"/>
              </w:rPr>
            </w:r>
          </w:p>
        </w:tc>
      </w:tr>
      <w:tr>
        <w:trPr/>
        <w:tc>
          <w:tcPr>
            <w:tcW w:w="193" w:type="dxa"/>
            <w:tcBorders/>
            <w:shd w:fill="auto" w:val="clear"/>
            <w:vAlign w:val="center"/>
          </w:tcPr>
          <w:p>
            <w:pPr>
              <w:pStyle w:val="TableContents"/>
              <w:spacing w:lineRule="auto" w:line="288" w:before="0" w:after="0"/>
              <w:ind w:left="0" w:right="0" w:hanging="0"/>
              <w:rPr>
                <w:sz w:val="17"/>
              </w:rPr>
            </w:pPr>
            <w:r>
              <w:rPr>
                <w:rFonts w:ascii="inherit" w:hAnsi="inherit"/>
                <w:sz w:val="12"/>
              </w:rPr>
              <w:t>(8)</w:t>
            </w:r>
            <w:r>
              <w:rPr>
                <w:sz w:val="17"/>
              </w:rPr>
              <w:t> </w:t>
            </w:r>
          </w:p>
        </w:tc>
        <w:tc>
          <w:tcPr>
            <w:tcW w:w="10012" w:type="dxa"/>
            <w:tcBorders/>
            <w:shd w:fill="auto" w:val="clear"/>
            <w:vAlign w:val="center"/>
          </w:tcPr>
          <w:p>
            <w:pPr>
              <w:pStyle w:val="TableContents"/>
              <w:spacing w:lineRule="auto" w:line="288" w:before="0" w:after="0"/>
              <w:rPr>
                <w:rFonts w:ascii="inherit" w:hAnsi="inherit"/>
                <w:sz w:val="17"/>
              </w:rPr>
            </w:pPr>
            <w:r>
              <w:rPr>
                <w:rFonts w:ascii="inherit" w:hAnsi="inherit"/>
                <w:sz w:val="17"/>
              </w:rPr>
              <w:t>Other income/(expense), net per our Condensed Consolidated Statements of Operations, adjusted for selected items impacting comparability (“Adjusted Other income/(expense), net”) is included in Adjusted EBITDA and excluded from Segment Adjusted EBITDA.</w:t>
            </w:r>
          </w:p>
        </w:tc>
      </w:tr>
    </w:tbl>
    <w:tbl>
      <w:tblPr>
        <w:tblW w:w="10205" w:type="dxa"/>
        <w:jc w:val="left"/>
        <w:tblInd w:w="0" w:type="dxa"/>
        <w:tblCellMar>
          <w:top w:w="0" w:type="dxa"/>
          <w:left w:w="0" w:type="dxa"/>
          <w:bottom w:w="0" w:type="dxa"/>
          <w:right w:w="0" w:type="dxa"/>
        </w:tblCellMar>
      </w:tblPr>
      <w:tblGrid>
        <w:gridCol w:w="229"/>
        <w:gridCol w:w="9976"/>
      </w:tblGrid>
      <w:tr>
        <w:trPr/>
        <w:tc>
          <w:tcPr>
            <w:tcW w:w="229" w:type="dxa"/>
            <w:tcBorders/>
            <w:shd w:fill="auto" w:val="clear"/>
            <w:vAlign w:val="center"/>
          </w:tcPr>
          <w:p>
            <w:pPr>
              <w:pStyle w:val="TableContents"/>
              <w:spacing w:before="0" w:after="283"/>
              <w:rPr>
                <w:sz w:val="4"/>
                <w:szCs w:val="4"/>
              </w:rPr>
            </w:pPr>
            <w:r>
              <w:rPr>
                <w:sz w:val="4"/>
                <w:szCs w:val="4"/>
              </w:rPr>
            </w:r>
          </w:p>
        </w:tc>
        <w:tc>
          <w:tcPr>
            <w:tcW w:w="9976" w:type="dxa"/>
            <w:tcBorders/>
            <w:shd w:fill="auto" w:val="clear"/>
            <w:vAlign w:val="center"/>
          </w:tcPr>
          <w:p>
            <w:pPr>
              <w:pStyle w:val="TableContents"/>
              <w:spacing w:before="0" w:after="283"/>
              <w:rPr>
                <w:sz w:val="4"/>
                <w:szCs w:val="4"/>
              </w:rPr>
            </w:pPr>
            <w:r>
              <w:rPr>
                <w:sz w:val="4"/>
                <w:szCs w:val="4"/>
              </w:rPr>
            </w:r>
          </w:p>
        </w:tc>
      </w:tr>
      <w:tr>
        <w:trPr/>
        <w:tc>
          <w:tcPr>
            <w:tcW w:w="229" w:type="dxa"/>
            <w:tcBorders/>
            <w:shd w:fill="auto" w:val="clear"/>
            <w:vAlign w:val="center"/>
          </w:tcPr>
          <w:p>
            <w:pPr>
              <w:pStyle w:val="TableContents"/>
              <w:spacing w:lineRule="auto" w:line="288" w:before="0" w:after="0"/>
              <w:ind w:left="0" w:right="0" w:hanging="0"/>
              <w:rPr>
                <w:sz w:val="17"/>
              </w:rPr>
            </w:pPr>
            <w:r>
              <w:rPr>
                <w:rFonts w:ascii="inherit" w:hAnsi="inherit"/>
                <w:sz w:val="12"/>
              </w:rPr>
              <w:t>(9)</w:t>
            </w:r>
            <w:r>
              <w:rPr>
                <w:sz w:val="17"/>
              </w:rPr>
              <w:t> </w:t>
            </w:r>
          </w:p>
        </w:tc>
        <w:tc>
          <w:tcPr>
            <w:tcW w:w="9976" w:type="dxa"/>
            <w:tcBorders/>
            <w:shd w:fill="auto" w:val="clear"/>
            <w:vAlign w:val="center"/>
          </w:tcPr>
          <w:p>
            <w:pPr>
              <w:pStyle w:val="TableContents"/>
              <w:spacing w:lineRule="auto" w:line="288" w:before="0" w:after="0"/>
              <w:rPr>
                <w:rFonts w:ascii="inherit" w:hAnsi="inherit"/>
                <w:sz w:val="17"/>
              </w:rPr>
            </w:pPr>
            <w:r>
              <w:rPr>
                <w:rFonts w:ascii="inherit" w:hAnsi="inherit"/>
                <w:sz w:val="17"/>
              </w:rPr>
              <w:t>Excludes certain non-cash items impacting interest expense such as amortization of debt issuance costs and terminated interest rate swaps. </w:t>
            </w:r>
          </w:p>
        </w:tc>
      </w:tr>
    </w:tbl>
    <w:tbl>
      <w:tblPr>
        <w:tblW w:w="10205" w:type="dxa"/>
        <w:jc w:val="left"/>
        <w:tblInd w:w="0" w:type="dxa"/>
        <w:tblCellMar>
          <w:top w:w="0" w:type="dxa"/>
          <w:left w:w="0" w:type="dxa"/>
          <w:bottom w:w="0" w:type="dxa"/>
          <w:right w:w="0" w:type="dxa"/>
        </w:tblCellMar>
      </w:tblPr>
      <w:tblGrid>
        <w:gridCol w:w="294"/>
        <w:gridCol w:w="9911"/>
      </w:tblGrid>
      <w:tr>
        <w:trPr/>
        <w:tc>
          <w:tcPr>
            <w:tcW w:w="294" w:type="dxa"/>
            <w:tcBorders/>
            <w:shd w:fill="auto" w:val="clear"/>
            <w:vAlign w:val="center"/>
          </w:tcPr>
          <w:p>
            <w:pPr>
              <w:pStyle w:val="TableContents"/>
              <w:spacing w:before="0" w:after="283"/>
              <w:rPr>
                <w:sz w:val="4"/>
                <w:szCs w:val="4"/>
              </w:rPr>
            </w:pPr>
            <w:r>
              <w:rPr>
                <w:sz w:val="4"/>
                <w:szCs w:val="4"/>
              </w:rPr>
            </w:r>
          </w:p>
        </w:tc>
        <w:tc>
          <w:tcPr>
            <w:tcW w:w="9911" w:type="dxa"/>
            <w:tcBorders/>
            <w:shd w:fill="auto" w:val="clear"/>
            <w:vAlign w:val="center"/>
          </w:tcPr>
          <w:p>
            <w:pPr>
              <w:pStyle w:val="TableContents"/>
              <w:spacing w:before="0" w:after="283"/>
              <w:rPr>
                <w:sz w:val="4"/>
                <w:szCs w:val="4"/>
              </w:rPr>
            </w:pPr>
            <w:r>
              <w:rPr>
                <w:sz w:val="4"/>
                <w:szCs w:val="4"/>
              </w:rPr>
            </w:r>
          </w:p>
        </w:tc>
      </w:tr>
      <w:tr>
        <w:trPr/>
        <w:tc>
          <w:tcPr>
            <w:tcW w:w="294"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(10) </w:t>
            </w:r>
            <w:r>
              <w:rPr>
                <w:rFonts w:ascii="inherit" w:hAnsi="inherit"/>
                <w:sz w:val="17"/>
              </w:rPr>
              <w:t> </w:t>
            </w:r>
          </w:p>
        </w:tc>
        <w:tc>
          <w:tcPr>
            <w:tcW w:w="9911" w:type="dxa"/>
            <w:tcBorders/>
            <w:shd w:fill="auto" w:val="clear"/>
            <w:vAlign w:val="center"/>
          </w:tcPr>
          <w:p>
            <w:pPr>
              <w:pStyle w:val="TableContents"/>
              <w:spacing w:lineRule="auto" w:line="288" w:before="0" w:after="0"/>
              <w:rPr>
                <w:rFonts w:ascii="inherit" w:hAnsi="inherit"/>
                <w:sz w:val="17"/>
              </w:rPr>
            </w:pPr>
            <w:r>
              <w:rPr>
                <w:rFonts w:ascii="inherit" w:hAnsi="inherit"/>
                <w:sz w:val="17"/>
              </w:rPr>
              <w:t>Maintenance capital expenditures are defined as capital expenditures for the replacement and/or refurbishment of partially or fully depreciated assets in order to maintain the operating and/or earnings capacity of our existing assets.</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sz w:val="4"/>
                <w:szCs w:val="4"/>
              </w:rPr>
            </w:pPr>
            <w:r>
              <w:rPr>
                <w:sz w:val="4"/>
                <w:szCs w:val="4"/>
              </w:rPr>
            </w:r>
          </w:p>
        </w:tc>
        <w:tc>
          <w:tcPr>
            <w:tcW w:w="9934" w:type="dxa"/>
            <w:tcBorders/>
            <w:shd w:fill="auto" w:val="clear"/>
            <w:vAlign w:val="center"/>
          </w:tcPr>
          <w:p>
            <w:pPr>
              <w:pStyle w:val="TableContents"/>
              <w:spacing w:before="0" w:after="283"/>
              <w:rPr>
                <w:sz w:val="4"/>
                <w:szCs w:val="4"/>
              </w:rPr>
            </w:pPr>
            <w:r>
              <w:rPr>
                <w:sz w:val="4"/>
                <w:szCs w:val="4"/>
              </w:rPr>
            </w:r>
          </w:p>
        </w:tc>
      </w:tr>
      <w:tr>
        <w:trPr/>
        <w:tc>
          <w:tcPr>
            <w:tcW w:w="271"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(11)</w:t>
            </w:r>
            <w:r>
              <w:rPr>
                <w:rFonts w:ascii="inherit" w:hAnsi="inherit"/>
                <w:sz w:val="17"/>
              </w:rPr>
              <w:t> </w:t>
            </w:r>
          </w:p>
        </w:tc>
        <w:tc>
          <w:tcPr>
            <w:tcW w:w="9934" w:type="dxa"/>
            <w:tcBorders/>
            <w:shd w:fill="auto" w:val="clear"/>
            <w:vAlign w:val="center"/>
          </w:tcPr>
          <w:p>
            <w:pPr>
              <w:pStyle w:val="TableContents"/>
              <w:spacing w:lineRule="auto" w:line="288" w:before="0" w:after="0"/>
              <w:rPr>
                <w:rFonts w:ascii="inherit" w:hAnsi="inherit"/>
                <w:sz w:val="17"/>
              </w:rPr>
            </w:pPr>
            <w:r>
              <w:rPr>
                <w:rFonts w:ascii="inherit" w:hAnsi="inherit"/>
                <w:sz w:val="17"/>
              </w:rPr>
              <w:t>Comprised of cash distributions received from unconsolidated entities less equity earnings in unconsolidated entities (adjusted for our proportionate share of depreciation and amortization and gains and losses on significant asset sales). </w:t>
            </w:r>
          </w:p>
        </w:tc>
      </w:tr>
    </w:tbl>
    <w:tbl>
      <w:tblPr>
        <w:tblW w:w="10205" w:type="dxa"/>
        <w:jc w:val="left"/>
        <w:tblInd w:w="0" w:type="dxa"/>
        <w:tblCellMar>
          <w:top w:w="0" w:type="dxa"/>
          <w:left w:w="0" w:type="dxa"/>
          <w:bottom w:w="0" w:type="dxa"/>
          <w:right w:w="0" w:type="dxa"/>
        </w:tblCellMar>
      </w:tblPr>
      <w:tblGrid>
        <w:gridCol w:w="242"/>
        <w:gridCol w:w="9963"/>
      </w:tblGrid>
      <w:tr>
        <w:trPr/>
        <w:tc>
          <w:tcPr>
            <w:tcW w:w="242" w:type="dxa"/>
            <w:tcBorders/>
            <w:shd w:fill="auto" w:val="clear"/>
            <w:vAlign w:val="center"/>
          </w:tcPr>
          <w:p>
            <w:pPr>
              <w:pStyle w:val="TableContents"/>
              <w:spacing w:before="0" w:after="283"/>
              <w:rPr>
                <w:sz w:val="4"/>
                <w:szCs w:val="4"/>
              </w:rPr>
            </w:pPr>
            <w:r>
              <w:rPr>
                <w:sz w:val="4"/>
                <w:szCs w:val="4"/>
              </w:rPr>
            </w:r>
          </w:p>
        </w:tc>
        <w:tc>
          <w:tcPr>
            <w:tcW w:w="9963" w:type="dxa"/>
            <w:tcBorders/>
            <w:shd w:fill="auto" w:val="clear"/>
            <w:vAlign w:val="center"/>
          </w:tcPr>
          <w:p>
            <w:pPr>
              <w:pStyle w:val="TableContents"/>
              <w:spacing w:before="0" w:after="283"/>
              <w:rPr>
                <w:sz w:val="4"/>
                <w:szCs w:val="4"/>
              </w:rPr>
            </w:pPr>
            <w:r>
              <w:rPr>
                <w:sz w:val="4"/>
                <w:szCs w:val="4"/>
              </w:rPr>
            </w:r>
          </w:p>
        </w:tc>
      </w:tr>
      <w:tr>
        <w:trPr/>
        <w:tc>
          <w:tcPr>
            <w:tcW w:w="242"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(12)</w:t>
            </w:r>
            <w:r>
              <w:rPr>
                <w:rFonts w:ascii="inherit" w:hAnsi="inherit"/>
                <w:sz w:val="17"/>
              </w:rPr>
              <w:t> </w:t>
            </w:r>
          </w:p>
        </w:tc>
        <w:tc>
          <w:tcPr>
            <w:tcW w:w="9963" w:type="dxa"/>
            <w:tcBorders/>
            <w:shd w:fill="auto" w:val="clear"/>
            <w:vAlign w:val="center"/>
          </w:tcPr>
          <w:p>
            <w:pPr>
              <w:pStyle w:val="TableContents"/>
              <w:spacing w:lineRule="auto" w:line="288" w:before="0" w:after="0"/>
              <w:rPr>
                <w:sz w:val="17"/>
              </w:rPr>
            </w:pPr>
            <w:r>
              <w:rPr>
                <w:rFonts w:ascii="inherit" w:hAnsi="inherit"/>
                <w:sz w:val="17"/>
              </w:rPr>
              <w:t>Cash distributions paid to our preferred unitholders during the period presented. The current $0.5250 quarterly ($2.10 annualized) per unit distribution requirement of our Series A preferred units was paid-in-kind for each quarterly distribution from their issuance through February 2018. Distributions on our Series A preferred units have been paid in cash since the May 2018 quarterly distribution. The current $61.25 per unit annual distribution requirement of our Series B preferred units, which were issued in October 2017, is payable semi-annually in arrears on May 15 and November 15. See Note 12 to our Consolidated Financial Statements included in Part IV of our 2018</w:t>
            </w:r>
            <w:r>
              <w:rPr>
                <w:sz w:val="17"/>
              </w:rPr>
              <w:t xml:space="preserve"> </w:t>
            </w:r>
            <w:r>
              <w:rPr>
                <w:rFonts w:ascii="inherit" w:hAnsi="inherit"/>
                <w:sz w:val="17"/>
              </w:rPr>
              <w:t>Annual Report on Form 10-K for additional information regarding our preferred units.</w:t>
            </w:r>
          </w:p>
        </w:tc>
      </w:tr>
    </w:tbl>
    <w:tbl>
      <w:tblPr>
        <w:tblW w:w="4690" w:type="dxa"/>
        <w:jc w:val="left"/>
        <w:tblInd w:w="0" w:type="dxa"/>
        <w:tblCellMar>
          <w:top w:w="0" w:type="dxa"/>
          <w:left w:w="0" w:type="dxa"/>
          <w:bottom w:w="0" w:type="dxa"/>
          <w:right w:w="0" w:type="dxa"/>
        </w:tblCellMar>
      </w:tblPr>
      <w:tblGrid>
        <w:gridCol w:w="320"/>
        <w:gridCol w:w="4370"/>
      </w:tblGrid>
      <w:tr>
        <w:trPr/>
        <w:tc>
          <w:tcPr>
            <w:tcW w:w="320" w:type="dxa"/>
            <w:tcBorders/>
            <w:shd w:fill="auto" w:val="clear"/>
            <w:vAlign w:val="center"/>
          </w:tcPr>
          <w:p>
            <w:pPr>
              <w:pStyle w:val="TableContents"/>
              <w:spacing w:before="0" w:after="283"/>
              <w:rPr>
                <w:sz w:val="4"/>
                <w:szCs w:val="4"/>
              </w:rPr>
            </w:pPr>
            <w:r>
              <w:rPr>
                <w:sz w:val="4"/>
                <w:szCs w:val="4"/>
              </w:rPr>
            </w:r>
          </w:p>
        </w:tc>
        <w:tc>
          <w:tcPr>
            <w:tcW w:w="4370" w:type="dxa"/>
            <w:tcBorders/>
            <w:shd w:fill="auto" w:val="clear"/>
            <w:vAlign w:val="center"/>
          </w:tcPr>
          <w:p>
            <w:pPr>
              <w:pStyle w:val="TableContents"/>
              <w:spacing w:before="0" w:after="283"/>
              <w:rPr>
                <w:sz w:val="4"/>
                <w:szCs w:val="4"/>
              </w:rPr>
            </w:pPr>
            <w:r>
              <w:rPr>
                <w:sz w:val="4"/>
                <w:szCs w:val="4"/>
              </w:rPr>
            </w:r>
          </w:p>
        </w:tc>
      </w:tr>
      <w:tr>
        <w:trPr/>
        <w:tc>
          <w:tcPr>
            <w:tcW w:w="320"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(13)</w:t>
            </w:r>
            <w:r>
              <w:rPr>
                <w:rFonts w:ascii="inherit" w:hAnsi="inherit"/>
                <w:sz w:val="17"/>
              </w:rPr>
              <w:t> </w:t>
            </w:r>
          </w:p>
        </w:tc>
        <w:tc>
          <w:tcPr>
            <w:tcW w:w="4370" w:type="dxa"/>
            <w:tcBorders/>
            <w:shd w:fill="auto" w:val="clear"/>
            <w:vAlign w:val="center"/>
          </w:tcPr>
          <w:p>
            <w:pPr>
              <w:pStyle w:val="TableContents"/>
              <w:spacing w:lineRule="auto" w:line="288" w:before="0" w:after="0"/>
              <w:rPr>
                <w:rFonts w:ascii="inherit" w:hAnsi="inherit"/>
                <w:sz w:val="17"/>
              </w:rPr>
            </w:pPr>
            <w:r>
              <w:rPr>
                <w:rFonts w:ascii="inherit" w:hAnsi="inherit"/>
                <w:sz w:val="17"/>
              </w:rPr>
              <w:t>Cash distributions paid during the period presented.</w:t>
            </w:r>
          </w:p>
        </w:tc>
      </w:tr>
    </w:tbl>
    <w:tbl>
      <w:tblPr>
        <w:tblW w:w="10205" w:type="dxa"/>
        <w:jc w:val="left"/>
        <w:tblInd w:w="0" w:type="dxa"/>
        <w:tblCellMar>
          <w:top w:w="0" w:type="dxa"/>
          <w:left w:w="0" w:type="dxa"/>
          <w:bottom w:w="0" w:type="dxa"/>
          <w:right w:w="0" w:type="dxa"/>
        </w:tblCellMar>
      </w:tblPr>
      <w:tblGrid>
        <w:gridCol w:w="265"/>
        <w:gridCol w:w="9940"/>
      </w:tblGrid>
      <w:tr>
        <w:trPr/>
        <w:tc>
          <w:tcPr>
            <w:tcW w:w="265" w:type="dxa"/>
            <w:tcBorders/>
            <w:shd w:fill="auto" w:val="clear"/>
            <w:vAlign w:val="center"/>
          </w:tcPr>
          <w:p>
            <w:pPr>
              <w:pStyle w:val="TableContents"/>
              <w:spacing w:before="0" w:after="283"/>
              <w:rPr>
                <w:sz w:val="4"/>
                <w:szCs w:val="4"/>
              </w:rPr>
            </w:pPr>
            <w:r>
              <w:rPr>
                <w:sz w:val="4"/>
                <w:szCs w:val="4"/>
              </w:rPr>
            </w:r>
          </w:p>
        </w:tc>
        <w:tc>
          <w:tcPr>
            <w:tcW w:w="9940" w:type="dxa"/>
            <w:tcBorders/>
            <w:shd w:fill="auto" w:val="clear"/>
            <w:vAlign w:val="center"/>
          </w:tcPr>
          <w:p>
            <w:pPr>
              <w:pStyle w:val="TableContents"/>
              <w:spacing w:before="0" w:after="283"/>
              <w:rPr>
                <w:sz w:val="4"/>
                <w:szCs w:val="4"/>
              </w:rPr>
            </w:pPr>
            <w:r>
              <w:rPr>
                <w:sz w:val="4"/>
                <w:szCs w:val="4"/>
              </w:rPr>
            </w:r>
          </w:p>
        </w:tc>
      </w:tr>
      <w:tr>
        <w:trPr/>
        <w:tc>
          <w:tcPr>
            <w:tcW w:w="265"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(14)</w:t>
            </w:r>
            <w:r>
              <w:rPr>
                <w:rFonts w:ascii="inherit" w:hAnsi="inherit"/>
                <w:sz w:val="17"/>
              </w:rPr>
              <w:t> </w:t>
            </w:r>
          </w:p>
        </w:tc>
        <w:tc>
          <w:tcPr>
            <w:tcW w:w="9940" w:type="dxa"/>
            <w:tcBorders/>
            <w:shd w:fill="auto" w:val="clear"/>
            <w:vAlign w:val="center"/>
          </w:tcPr>
          <w:p>
            <w:pPr>
              <w:pStyle w:val="TableContents"/>
              <w:spacing w:lineRule="auto" w:line="288" w:before="0" w:after="0"/>
              <w:rPr>
                <w:rFonts w:ascii="inherit" w:hAnsi="inherit"/>
                <w:sz w:val="17"/>
              </w:rPr>
            </w:pPr>
            <w:r>
              <w:rPr>
                <w:rFonts w:ascii="inherit" w:hAnsi="inherit"/>
                <w:sz w:val="17"/>
              </w:rPr>
              <w:t>Excess DCF is retained to establish reserves for future distributions, capital expenditures and other partnership purposes. DCF shortages may be funded from previously established reserves, cash on hand or from borrowings under our credit facilities or commercial paper program.</w:t>
            </w:r>
          </w:p>
        </w:tc>
      </w:tr>
    </w:tbl>
    <w:p>
      <w:pPr>
        <w:pStyle w:val="TextBody"/>
        <w:spacing w:lineRule="auto" w:line="288" w:before="0" w:after="0"/>
        <w:rPr/>
      </w:pPr>
      <w:r>
        <w:rPr/>
        <w:t> </w:t>
      </w:r>
    </w:p>
    <w:p>
      <w:pPr>
        <w:pStyle w:val="TextBody"/>
        <w:spacing w:lineRule="auto" w:line="288" w:before="0" w:after="0"/>
        <w:rPr>
          <w:sz w:val="17"/>
        </w:rPr>
      </w:pPr>
      <w:r>
        <w:rPr>
          <w:b/>
          <w:i/>
          <w:sz w:val="17"/>
        </w:rPr>
        <w:t>Analysis of Operating Segments</w:t>
      </w:r>
      <w:r>
        <w:rPr>
          <w:sz w:val="17"/>
        </w:rPr>
        <w:t xml:space="preserve"> </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 xml:space="preserve">We manage our operations through three operating segments: Transportation, Facilities and Supply and Logistics. Our CODM (our Chief Executive Officer) evaluates segment performance based on a variety of measures including Segment Adjusted EBITDA, segment volumes, Segment Adjusted EBITDA per barrel and maintenance capital investment. </w:t>
      </w:r>
    </w:p>
    <w:p>
      <w:pPr>
        <w:pStyle w:val="TextBody"/>
        <w:spacing w:lineRule="auto" w:line="288" w:before="0" w:after="0"/>
        <w:ind w:left="0" w:right="0" w:firstLine="720"/>
        <w:jc w:val="left"/>
        <w:rPr>
          <w:sz w:val="17"/>
        </w:rPr>
      </w:pPr>
      <w:r>
        <w:rPr>
          <w:rFonts w:ascii="inherit" w:hAnsi="inherit"/>
          <w:sz w:val="17"/>
        </w:rPr>
        <w:t xml:space="preserve">We define Segment Adjusted EBITDA as revenues and equity earnings in unconsolidated entities less (a) purchases and related costs, (b) field operating costs and (c) segment general and administrative expenses, plus our proportionate share of the depreciation and amortization expense of, and gains and losses on significant asset sales by, unconsolidated entities, and further adjusted for certain selected items including (i) the mark-to-market of derivative instruments that are related to underlying activities in another period (or the reversal of such adjustments from a prior period), gains and losses on derivatives that are related to investing activities (such as the purchase of linefill) and inventory valuation adjustments, as applicable, (ii) long-term inventory costing adjustments, (iii) charges for obligations that are expected to be settled with the issuance of equity instruments, (iv) amounts related to deficiencies associated with minimum volume commitments, net of applicable amounts subsequently recognized into revenue and (v) other items that our CODM believes are integral to understanding our core segment operating performance. See </w:t>
      </w:r>
      <w:r>
        <w:rPr>
          <w:b w:val="false"/>
          <w:sz w:val="17"/>
        </w:rPr>
        <w:t>Note 14</w:t>
      </w:r>
      <w:r>
        <w:rPr>
          <w:sz w:val="17"/>
        </w:rPr>
        <w:t xml:space="preserve"> </w:t>
      </w:r>
      <w:r>
        <w:rPr>
          <w:rFonts w:ascii="inherit" w:hAnsi="inherit"/>
          <w:sz w:val="17"/>
        </w:rPr>
        <w:t>to our Condensed Consolidated Financial Statements for a reconciliation of Segment Adjusted EBITDA to Net income attributable to PAA.</w:t>
      </w:r>
    </w:p>
    <w:p>
      <w:pPr>
        <w:pStyle w:val="TextBody"/>
        <w:spacing w:lineRule="auto" w:line="288" w:before="0" w:after="0"/>
        <w:ind w:left="0" w:right="0" w:firstLine="720"/>
        <w:rPr>
          <w:rFonts w:ascii="inherit" w:hAnsi="inherit"/>
          <w:sz w:val="17"/>
        </w:rPr>
      </w:pPr>
      <w:r>
        <w:rPr>
          <w:rFonts w:ascii="inherit" w:hAnsi="inherit"/>
          <w:sz w:val="17"/>
        </w:rPr>
        <w:t>Revenues and expenses from our Canadian based subsidiaries, which use CAD as their functional currency, are translated at the prevailing average exchange rates for the month.</w:t>
      </w:r>
    </w:p>
    <w:p>
      <w:pPr>
        <w:pStyle w:val="TextBody"/>
        <w:spacing w:lineRule="auto" w:line="288" w:before="0" w:after="0"/>
        <w:rPr/>
      </w:pPr>
      <w:r>
        <w:rPr/>
        <w:t>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50</w:t>
      </w:r>
      <w:r>
        <w:br w:type="page"/>
      </w:r>
    </w:p>
    <w:p>
      <w:pPr>
        <w:pStyle w:val="TextBody"/>
        <w:spacing w:lineRule="auto" w:line="288" w:before="0" w:after="0"/>
        <w:rPr/>
      </w:pPr>
      <w:hyperlink w:anchor="s3336AD8A685850CC9B7F2572CB2C0BC3">
        <w:bookmarkStart w:id="34" w:name="s6FD371CE8331521680D6E95E7773E7D5"/>
        <w:bookmarkEnd w:id="34"/>
        <w:r>
          <w:rPr>
            <w:rStyle w:val="InternetLink"/>
            <w:rFonts w:ascii="inherit" w:hAnsi="inherit"/>
            <w:sz w:val="17"/>
          </w:rPr>
          <w:t>Table of Contents</w:t>
        </w:r>
      </w:hyperlink>
      <w:r>
        <w:rPr>
          <w:sz w:val="17"/>
        </w:rPr>
        <w:t xml:space="preserve"> </w:t>
      </w:r>
    </w:p>
    <w:p>
      <w:pPr>
        <w:pStyle w:val="TextBody"/>
        <w:spacing w:before="0" w:after="0"/>
        <w:rPr/>
      </w:pPr>
      <w:r>
        <w:rPr/>
      </w:r>
    </w:p>
    <w:p>
      <w:pPr>
        <w:pStyle w:val="TextBody"/>
        <w:spacing w:lineRule="auto" w:line="288" w:before="0" w:after="0"/>
        <w:ind w:left="0" w:right="0" w:firstLine="720"/>
        <w:rPr>
          <w:rFonts w:ascii="inherit" w:hAnsi="inherit"/>
          <w:b/>
          <w:sz w:val="17"/>
        </w:rPr>
      </w:pPr>
      <w:r>
        <w:rPr>
          <w:rFonts w:ascii="inherit" w:hAnsi="inherit"/>
          <w:b/>
          <w:sz w:val="17"/>
        </w:rPr>
        <w:t>Transportation Segment</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 xml:space="preserve">Our Transportation segment operations generally consist of fee-based activities associated with transporting crude oil and NGL on pipelines, gathering systems, trucks and barges. The Transportation segment generates revenue through a combination of tariffs, pipeline capacity agreements and other transportation fees. Tariffs and other fees on our pipeline systems vary by receipt point and delivery point. The segment results generated by our tariff and other fee-related activities depend on the volumes transported on the pipeline and the level of the tariff and other fees charged, as well as the fixed and variable field costs of operating the pipeline. </w:t>
      </w:r>
    </w:p>
    <w:p>
      <w:pPr>
        <w:pStyle w:val="TextBody"/>
        <w:spacing w:lineRule="auto" w:line="288" w:before="0" w:after="0"/>
        <w:rPr/>
      </w:pPr>
      <w:r>
        <w:rPr/>
        <w:t> </w:t>
      </w:r>
    </w:p>
    <w:p>
      <w:pPr>
        <w:pStyle w:val="TextBody"/>
        <w:spacing w:lineRule="auto" w:line="288" w:before="0" w:after="0"/>
        <w:ind w:left="0" w:right="0" w:firstLine="720"/>
        <w:jc w:val="left"/>
        <w:rPr>
          <w:sz w:val="17"/>
        </w:rPr>
      </w:pPr>
      <w:r>
        <w:rPr>
          <w:rFonts w:ascii="inherit" w:hAnsi="inherit"/>
          <w:sz w:val="17"/>
        </w:rPr>
        <w:t>The following tables set forth our operating results from our Transportation segment:</w:t>
      </w:r>
      <w:r>
        <w:rPr>
          <w:sz w:val="17"/>
        </w:rPr>
        <w:t xml:space="preserve"> </w:t>
      </w:r>
    </w:p>
    <w:tbl>
      <w:tblPr>
        <w:tblW w:w="10205" w:type="dxa"/>
        <w:jc w:val="left"/>
        <w:tblInd w:w="0" w:type="dxa"/>
        <w:tblCellMar>
          <w:top w:w="0" w:type="dxa"/>
          <w:left w:w="0" w:type="dxa"/>
          <w:bottom w:w="0" w:type="dxa"/>
          <w:right w:w="0" w:type="dxa"/>
        </w:tblCellMar>
      </w:tblPr>
      <w:tblGrid>
        <w:gridCol w:w="4179"/>
        <w:gridCol w:w="90"/>
        <w:gridCol w:w="140"/>
        <w:gridCol w:w="427"/>
        <w:gridCol w:w="123"/>
        <w:gridCol w:w="100"/>
        <w:gridCol w:w="140"/>
        <w:gridCol w:w="427"/>
        <w:gridCol w:w="123"/>
        <w:gridCol w:w="90"/>
        <w:gridCol w:w="125"/>
        <w:gridCol w:w="440"/>
        <w:gridCol w:w="110"/>
        <w:gridCol w:w="90"/>
        <w:gridCol w:w="311"/>
        <w:gridCol w:w="260"/>
        <w:gridCol w:w="90"/>
        <w:gridCol w:w="90"/>
        <w:gridCol w:w="125"/>
        <w:gridCol w:w="485"/>
        <w:gridCol w:w="110"/>
        <w:gridCol w:w="90"/>
        <w:gridCol w:w="125"/>
        <w:gridCol w:w="380"/>
        <w:gridCol w:w="110"/>
        <w:gridCol w:w="90"/>
        <w:gridCol w:w="125"/>
        <w:gridCol w:w="440"/>
        <w:gridCol w:w="110"/>
        <w:gridCol w:w="90"/>
        <w:gridCol w:w="290"/>
        <w:gridCol w:w="280"/>
      </w:tblGrid>
      <w:tr>
        <w:trPr/>
        <w:tc>
          <w:tcPr>
            <w:tcW w:w="10205" w:type="dxa"/>
            <w:gridSpan w:val="32"/>
            <w:tcBorders/>
            <w:shd w:fill="auto" w:val="clear"/>
            <w:vAlign w:val="center"/>
          </w:tcPr>
          <w:p>
            <w:pPr>
              <w:pStyle w:val="TableContents"/>
              <w:spacing w:before="0" w:after="283"/>
              <w:rPr>
                <w:sz w:val="4"/>
                <w:szCs w:val="4"/>
              </w:rPr>
            </w:pPr>
            <w:r>
              <w:rPr>
                <w:sz w:val="4"/>
                <w:szCs w:val="4"/>
              </w:rPr>
            </w:r>
          </w:p>
        </w:tc>
      </w:tr>
      <w:tr>
        <w:trPr/>
        <w:tc>
          <w:tcPr>
            <w:tcW w:w="417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179" w:type="dxa"/>
            <w:tcBorders/>
            <w:shd w:fill="auto" w:val="clear"/>
            <w:vAlign w:val="center"/>
          </w:tcPr>
          <w:p>
            <w:pPr>
              <w:pStyle w:val="TableContents"/>
              <w:spacing w:lineRule="auto" w:line="288" w:before="0" w:after="0"/>
              <w:ind w:left="0" w:right="0" w:firstLine="30"/>
              <w:rPr>
                <w:sz w:val="17"/>
              </w:rPr>
            </w:pPr>
            <w:r>
              <w:rPr>
                <w:rFonts w:ascii="inherit" w:hAnsi="inherit"/>
                <w:b/>
                <w:sz w:val="13"/>
              </w:rPr>
              <w:t>Operating Results </w:t>
            </w:r>
            <w:r>
              <w:rPr>
                <w:rFonts w:ascii="inherit" w:hAnsi="inherit"/>
                <w:b/>
                <w:sz w:val="12"/>
              </w:rPr>
              <w:t>(1)</w:t>
            </w:r>
          </w:p>
        </w:tc>
        <w:tc>
          <w:tcPr>
            <w:tcW w:w="90" w:type="dxa"/>
            <w:tcBorders/>
            <w:shd w:fill="auto" w:val="clear"/>
            <w:vAlign w:val="center"/>
          </w:tcPr>
          <w:p>
            <w:pPr>
              <w:pStyle w:val="TableContents"/>
              <w:spacing w:before="0" w:after="0"/>
              <w:ind w:left="0" w:right="0" w:firstLine="30"/>
              <w:rPr/>
            </w:pPr>
            <w:r>
              <w:rPr/>
              <w:t> </w:t>
            </w:r>
          </w:p>
        </w:tc>
        <w:tc>
          <w:tcPr>
            <w:tcW w:w="1480"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w:t>
              <w:br/>
              <w:t>June 30,</w:t>
            </w:r>
          </w:p>
        </w:tc>
        <w:tc>
          <w:tcPr>
            <w:tcW w:w="90" w:type="dxa"/>
            <w:tcBorders/>
            <w:shd w:fill="auto" w:val="clear"/>
            <w:vAlign w:val="center"/>
          </w:tcPr>
          <w:p>
            <w:pPr>
              <w:pStyle w:val="TableContents"/>
              <w:spacing w:before="0" w:after="0"/>
              <w:ind w:left="0" w:right="0" w:firstLine="30"/>
              <w:rPr/>
            </w:pPr>
            <w:r>
              <w:rPr/>
              <w:t> </w:t>
            </w:r>
          </w:p>
        </w:tc>
        <w:tc>
          <w:tcPr>
            <w:tcW w:w="1336" w:type="dxa"/>
            <w:gridSpan w:val="6"/>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Variance</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425"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w:t>
              <w:br/>
              <w:t>June 30,</w:t>
            </w:r>
          </w:p>
        </w:tc>
        <w:tc>
          <w:tcPr>
            <w:tcW w:w="90" w:type="dxa"/>
            <w:tcBorders/>
            <w:shd w:fill="auto" w:val="clear"/>
            <w:vAlign w:val="center"/>
          </w:tcPr>
          <w:p>
            <w:pPr>
              <w:pStyle w:val="TableContents"/>
              <w:spacing w:before="0" w:after="0"/>
              <w:ind w:left="0" w:right="0" w:firstLine="30"/>
              <w:rPr/>
            </w:pPr>
            <w:r>
              <w:rPr/>
              <w:t> </w:t>
            </w:r>
          </w:p>
        </w:tc>
        <w:tc>
          <w:tcPr>
            <w:tcW w:w="1335" w:type="dxa"/>
            <w:gridSpan w:val="6"/>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Variance</w:t>
            </w:r>
          </w:p>
        </w:tc>
      </w:tr>
      <w:tr>
        <w:trPr/>
        <w:tc>
          <w:tcPr>
            <w:tcW w:w="4179" w:type="dxa"/>
            <w:tcBorders>
              <w:bottom w:val="single" w:sz="2" w:space="0" w:color="000000"/>
            </w:tcBorders>
            <w:shd w:fill="auto" w:val="clear"/>
            <w:tcMar>
              <w:bottom w:w="30" w:type="dxa"/>
            </w:tcMar>
            <w:vAlign w:val="center"/>
          </w:tcPr>
          <w:p>
            <w:pPr>
              <w:pStyle w:val="TableContents"/>
              <w:spacing w:before="0" w:after="0"/>
              <w:ind w:left="0" w:right="0" w:firstLine="30"/>
              <w:rPr>
                <w:rFonts w:ascii="inherit" w:hAnsi="inherit"/>
                <w:b/>
                <w:sz w:val="13"/>
              </w:rPr>
            </w:pPr>
            <w:r>
              <w:rPr>
                <w:rFonts w:ascii="inherit" w:hAnsi="inherit"/>
                <w:b/>
                <w:sz w:val="13"/>
              </w:rPr>
              <w:t>(in millions, except per barrel data)</w:t>
            </w:r>
          </w:p>
        </w:tc>
        <w:tc>
          <w:tcPr>
            <w:tcW w:w="90" w:type="dxa"/>
            <w:tcBorders/>
            <w:shd w:fill="auto" w:val="clear"/>
            <w:vAlign w:val="center"/>
          </w:tcPr>
          <w:p>
            <w:pPr>
              <w:pStyle w:val="TableContents"/>
              <w:spacing w:before="0" w:after="0"/>
              <w:ind w:left="0" w:right="0" w:firstLine="30"/>
              <w:rPr/>
            </w:pPr>
            <w:r>
              <w:rPr/>
              <w:t> </w:t>
            </w:r>
          </w:p>
        </w:tc>
        <w:tc>
          <w:tcPr>
            <w:tcW w:w="69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100" w:type="dxa"/>
            <w:tcBorders/>
            <w:shd w:fill="auto" w:val="clear"/>
            <w:vAlign w:val="center"/>
          </w:tcPr>
          <w:p>
            <w:pPr>
              <w:pStyle w:val="TableContents"/>
              <w:spacing w:before="0" w:after="0"/>
              <w:ind w:left="0" w:right="0" w:firstLine="30"/>
              <w:rPr/>
            </w:pPr>
            <w:r>
              <w:rPr/>
              <w:t> </w:t>
            </w:r>
          </w:p>
        </w:tc>
        <w:tc>
          <w:tcPr>
            <w:tcW w:w="69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0" w:type="dxa"/>
            <w:tcBorders/>
            <w:shd w:fill="auto" w:val="clear"/>
            <w:vAlign w:val="center"/>
          </w:tcPr>
          <w:p>
            <w:pPr>
              <w:pStyle w:val="TableContents"/>
              <w:spacing w:before="0" w:after="0"/>
              <w:ind w:left="0" w:right="0" w:firstLine="30"/>
              <w:rPr/>
            </w:pPr>
            <w:r>
              <w:rPr/>
              <w:t> </w:t>
            </w:r>
          </w:p>
        </w:tc>
        <w:tc>
          <w:tcPr>
            <w:tcW w:w="67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w:t>
            </w:r>
          </w:p>
        </w:tc>
        <w:tc>
          <w:tcPr>
            <w:tcW w:w="90" w:type="dxa"/>
            <w:tcBorders/>
            <w:shd w:fill="auto" w:val="clear"/>
            <w:vAlign w:val="center"/>
          </w:tcPr>
          <w:p>
            <w:pPr>
              <w:pStyle w:val="TableContents"/>
              <w:spacing w:before="0" w:after="0"/>
              <w:ind w:left="0" w:right="0" w:firstLine="30"/>
              <w:rPr/>
            </w:pPr>
            <w:r>
              <w:rPr/>
              <w:t> </w:t>
            </w:r>
          </w:p>
        </w:tc>
        <w:tc>
          <w:tcPr>
            <w:tcW w:w="571"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2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90" w:type="dxa"/>
            <w:tcBorders/>
            <w:shd w:fill="auto" w:val="clear"/>
            <w:vAlign w:val="center"/>
          </w:tcPr>
          <w:p>
            <w:pPr>
              <w:pStyle w:val="TableContents"/>
              <w:spacing w:before="0" w:after="0"/>
              <w:ind w:left="0" w:right="0" w:firstLine="30"/>
              <w:rPr/>
            </w:pPr>
            <w:r>
              <w:rPr/>
              <w:t> </w:t>
            </w:r>
          </w:p>
        </w:tc>
        <w:tc>
          <w:tcPr>
            <w:tcW w:w="61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0" w:type="dxa"/>
            <w:tcBorders/>
            <w:shd w:fill="auto" w:val="clear"/>
            <w:vAlign w:val="center"/>
          </w:tcPr>
          <w:p>
            <w:pPr>
              <w:pStyle w:val="TableContents"/>
              <w:spacing w:before="0" w:after="0"/>
              <w:ind w:left="0" w:right="0" w:firstLine="30"/>
              <w:rPr/>
            </w:pPr>
            <w:r>
              <w:rPr/>
              <w:t> </w:t>
            </w:r>
          </w:p>
        </w:tc>
        <w:tc>
          <w:tcPr>
            <w:tcW w:w="67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w:t>
            </w:r>
          </w:p>
        </w:tc>
        <w:tc>
          <w:tcPr>
            <w:tcW w:w="90" w:type="dxa"/>
            <w:tcBorders/>
            <w:shd w:fill="auto" w:val="clear"/>
            <w:vAlign w:val="center"/>
          </w:tcPr>
          <w:p>
            <w:pPr>
              <w:pStyle w:val="TableContents"/>
              <w:spacing w:before="0" w:after="0"/>
              <w:ind w:left="0" w:right="0" w:firstLine="30"/>
              <w:rPr/>
            </w:pPr>
            <w:r>
              <w:rPr/>
              <w:t> </w:t>
            </w:r>
          </w:p>
        </w:tc>
        <w:tc>
          <w:tcPr>
            <w:tcW w:w="570"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w:t>
            </w:r>
          </w:p>
        </w:tc>
      </w:tr>
      <w:tr>
        <w:trPr/>
        <w:tc>
          <w:tcPr>
            <w:tcW w:w="417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90" w:type="dxa"/>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27" w:type="dxa"/>
            <w:tcBorders/>
            <w:shd w:fill="CCEEFF" w:val="clear"/>
            <w:vAlign w:val="center"/>
          </w:tcPr>
          <w:p>
            <w:pPr>
              <w:pStyle w:val="TableContents"/>
              <w:spacing w:before="0" w:after="0"/>
              <w:jc w:val="right"/>
              <w:rPr>
                <w:rFonts w:ascii="inherit" w:hAnsi="inherit"/>
                <w:sz w:val="17"/>
              </w:rPr>
            </w:pPr>
            <w:r>
              <w:rPr>
                <w:rFonts w:ascii="inherit" w:hAnsi="inherit"/>
                <w:sz w:val="17"/>
              </w:rPr>
              <w:t>559</w:t>
            </w:r>
          </w:p>
        </w:tc>
        <w:tc>
          <w:tcPr>
            <w:tcW w:w="1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27" w:type="dxa"/>
            <w:tcBorders/>
            <w:shd w:fill="CCEEFF" w:val="clear"/>
            <w:vAlign w:val="center"/>
          </w:tcPr>
          <w:p>
            <w:pPr>
              <w:pStyle w:val="TableContents"/>
              <w:spacing w:before="0" w:after="0"/>
              <w:jc w:val="right"/>
              <w:rPr>
                <w:rFonts w:ascii="inherit" w:hAnsi="inherit"/>
                <w:sz w:val="17"/>
              </w:rPr>
            </w:pPr>
            <w:r>
              <w:rPr>
                <w:rFonts w:ascii="inherit" w:hAnsi="inherit"/>
                <w:sz w:val="17"/>
              </w:rPr>
              <w:t>475</w:t>
            </w:r>
          </w:p>
        </w:tc>
        <w:tc>
          <w:tcPr>
            <w:tcW w:w="1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40" w:type="dxa"/>
            <w:tcBorders/>
            <w:shd w:fill="CCEEFF" w:val="clear"/>
            <w:vAlign w:val="center"/>
          </w:tcPr>
          <w:p>
            <w:pPr>
              <w:pStyle w:val="TableContents"/>
              <w:spacing w:before="0" w:after="0"/>
              <w:jc w:val="right"/>
              <w:rPr>
                <w:rFonts w:ascii="inherit" w:hAnsi="inherit"/>
                <w:sz w:val="17"/>
              </w:rPr>
            </w:pPr>
            <w:r>
              <w:rPr>
                <w:rFonts w:ascii="inherit" w:hAnsi="inherit"/>
                <w:sz w:val="17"/>
              </w:rPr>
              <w:t>84</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11" w:type="dxa"/>
            <w:tcBorders/>
            <w:shd w:fill="CCEEFF" w:val="clear"/>
            <w:vAlign w:val="center"/>
          </w:tcPr>
          <w:p>
            <w:pPr>
              <w:pStyle w:val="TableContents"/>
              <w:spacing w:before="0" w:after="0"/>
              <w:jc w:val="right"/>
              <w:rPr>
                <w:rFonts w:ascii="inherit" w:hAnsi="inherit"/>
                <w:sz w:val="17"/>
              </w:rPr>
            </w:pPr>
            <w:r>
              <w:rPr>
                <w:rFonts w:ascii="inherit" w:hAnsi="inherit"/>
                <w:sz w:val="17"/>
              </w:rPr>
              <w:t>18</w:t>
            </w:r>
          </w:p>
        </w:tc>
        <w:tc>
          <w:tcPr>
            <w:tcW w:w="260" w:type="dxa"/>
            <w:tcBorders/>
            <w:shd w:fill="CCEEFF" w:val="clear"/>
            <w:vAlign w:val="center"/>
          </w:tcPr>
          <w:p>
            <w:pPr>
              <w:pStyle w:val="TableContents"/>
              <w:spacing w:before="0" w:after="0"/>
              <w:ind w:left="0" w:right="0" w:firstLine="30"/>
              <w:jc w:val="left"/>
              <w:rPr/>
            </w:pPr>
            <w:r>
              <w:rPr/>
              <w:t> </w:t>
            </w: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1,115</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380" w:type="dxa"/>
            <w:tcBorders/>
            <w:shd w:fill="CCEEFF" w:val="clear"/>
            <w:vAlign w:val="center"/>
          </w:tcPr>
          <w:p>
            <w:pPr>
              <w:pStyle w:val="TableContents"/>
              <w:spacing w:before="0" w:after="0"/>
              <w:jc w:val="right"/>
              <w:rPr>
                <w:rFonts w:ascii="inherit" w:hAnsi="inherit"/>
                <w:sz w:val="17"/>
              </w:rPr>
            </w:pPr>
            <w:r>
              <w:rPr>
                <w:rFonts w:ascii="inherit" w:hAnsi="inherit"/>
                <w:sz w:val="17"/>
              </w:rPr>
              <w:t>929</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40" w:type="dxa"/>
            <w:tcBorders/>
            <w:shd w:fill="CCEEFF" w:val="clear"/>
            <w:vAlign w:val="center"/>
          </w:tcPr>
          <w:p>
            <w:pPr>
              <w:pStyle w:val="TableContents"/>
              <w:spacing w:before="0" w:after="0"/>
              <w:jc w:val="right"/>
              <w:rPr>
                <w:rFonts w:ascii="inherit" w:hAnsi="inherit"/>
                <w:sz w:val="17"/>
              </w:rPr>
            </w:pPr>
            <w:r>
              <w:rPr>
                <w:rFonts w:ascii="inherit" w:hAnsi="inherit"/>
                <w:sz w:val="17"/>
              </w:rPr>
              <w:t>186</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90" w:type="dxa"/>
            <w:tcBorders/>
            <w:shd w:fill="CCEEFF" w:val="clear"/>
            <w:vAlign w:val="center"/>
          </w:tcPr>
          <w:p>
            <w:pPr>
              <w:pStyle w:val="TableContents"/>
              <w:spacing w:before="0" w:after="0"/>
              <w:jc w:val="right"/>
              <w:rPr>
                <w:rFonts w:ascii="inherit" w:hAnsi="inherit"/>
                <w:sz w:val="17"/>
              </w:rPr>
            </w:pPr>
            <w:r>
              <w:rPr>
                <w:rFonts w:ascii="inherit" w:hAnsi="inherit"/>
                <w:sz w:val="17"/>
              </w:rPr>
              <w:t>20</w:t>
            </w:r>
          </w:p>
        </w:tc>
        <w:tc>
          <w:tcPr>
            <w:tcW w:w="280" w:type="dxa"/>
            <w:tcBorders/>
            <w:shd w:fill="CCEEFF" w:val="clear"/>
            <w:vAlign w:val="center"/>
          </w:tcPr>
          <w:p>
            <w:pPr>
              <w:pStyle w:val="TableContents"/>
              <w:spacing w:before="0" w:after="0"/>
              <w:ind w:left="0" w:right="0" w:firstLine="30"/>
              <w:jc w:val="left"/>
              <w:rPr/>
            </w:pPr>
            <w:r>
              <w:rPr/>
              <w:t> </w:t>
            </w:r>
            <w:r>
              <w:rPr>
                <w:rFonts w:ascii="inherit" w:hAnsi="inherit"/>
                <w:sz w:val="17"/>
              </w:rPr>
              <w:t>%</w:t>
            </w:r>
          </w:p>
        </w:tc>
      </w:tr>
      <w:tr>
        <w:trPr/>
        <w:tc>
          <w:tcPr>
            <w:tcW w:w="417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Purchases and related costs</w:t>
            </w:r>
          </w:p>
        </w:tc>
        <w:tc>
          <w:tcPr>
            <w:tcW w:w="90" w:type="dxa"/>
            <w:tcBorders/>
            <w:shd w:fill="auto" w:val="clear"/>
            <w:vAlign w:val="center"/>
          </w:tcPr>
          <w:p>
            <w:pPr>
              <w:pStyle w:val="TableContents"/>
              <w:spacing w:before="0" w:after="0"/>
              <w:ind w:left="0" w:right="0" w:firstLine="30"/>
              <w:rPr/>
            </w:pPr>
            <w:r>
              <w:rPr/>
              <w:t> </w:t>
            </w:r>
          </w:p>
        </w:tc>
        <w:tc>
          <w:tcPr>
            <w:tcW w:w="56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(48</w:t>
            </w:r>
          </w:p>
        </w:tc>
        <w:tc>
          <w:tcPr>
            <w:tcW w:w="1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0" w:type="dxa"/>
            <w:tcBorders/>
            <w:shd w:fill="auto" w:val="clear"/>
            <w:vAlign w:val="center"/>
          </w:tcPr>
          <w:p>
            <w:pPr>
              <w:pStyle w:val="TableContents"/>
              <w:spacing w:before="0" w:after="0"/>
              <w:ind w:left="0" w:right="0" w:firstLine="30"/>
              <w:rPr/>
            </w:pPr>
            <w:r>
              <w:rPr/>
              <w:t> </w:t>
            </w:r>
          </w:p>
        </w:tc>
        <w:tc>
          <w:tcPr>
            <w:tcW w:w="56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(46</w:t>
            </w:r>
          </w:p>
        </w:tc>
        <w:tc>
          <w:tcPr>
            <w:tcW w:w="1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56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311" w:type="dxa"/>
            <w:tcBorders/>
            <w:shd w:fill="auto" w:val="clear"/>
            <w:vAlign w:val="center"/>
          </w:tcPr>
          <w:p>
            <w:pPr>
              <w:pStyle w:val="TableContents"/>
              <w:spacing w:before="0" w:after="0"/>
              <w:jc w:val="right"/>
              <w:rPr>
                <w:rFonts w:ascii="inherit" w:hAnsi="inherit"/>
                <w:sz w:val="17"/>
              </w:rPr>
            </w:pPr>
            <w:r>
              <w:rPr>
                <w:rFonts w:ascii="inherit" w:hAnsi="inherit"/>
                <w:sz w:val="17"/>
              </w:rPr>
              <w:t>(4</w:t>
            </w:r>
          </w:p>
        </w:tc>
        <w:tc>
          <w:tcPr>
            <w:tcW w:w="2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50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56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290" w:type="dxa"/>
            <w:tcBorders/>
            <w:shd w:fill="auto" w:val="clear"/>
            <w:vAlign w:val="center"/>
          </w:tcPr>
          <w:p>
            <w:pPr>
              <w:pStyle w:val="TableContents"/>
              <w:spacing w:before="0" w:after="0"/>
              <w:jc w:val="right"/>
              <w:rPr>
                <w:rFonts w:ascii="inherit" w:hAnsi="inherit"/>
                <w:sz w:val="17"/>
              </w:rPr>
            </w:pPr>
            <w:r>
              <w:rPr>
                <w:rFonts w:ascii="inherit" w:hAnsi="inherit"/>
                <w:sz w:val="17"/>
              </w:rPr>
              <w:t>(9</w:t>
            </w:r>
          </w:p>
        </w:tc>
        <w:tc>
          <w:tcPr>
            <w:tcW w:w="2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17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Field operating costs</w:t>
            </w:r>
          </w:p>
        </w:tc>
        <w:tc>
          <w:tcPr>
            <w:tcW w:w="90" w:type="dxa"/>
            <w:tcBorders/>
            <w:shd w:fill="CCEEFF" w:val="clear"/>
            <w:vAlign w:val="center"/>
          </w:tcPr>
          <w:p>
            <w:pPr>
              <w:pStyle w:val="TableContents"/>
              <w:spacing w:before="0" w:after="0"/>
              <w:ind w:left="0" w:right="0" w:firstLine="30"/>
              <w:rPr/>
            </w:pPr>
            <w:r>
              <w:rPr/>
              <w:t> </w:t>
            </w:r>
          </w:p>
        </w:tc>
        <w:tc>
          <w:tcPr>
            <w:tcW w:w="56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(186</w:t>
            </w:r>
          </w:p>
        </w:tc>
        <w:tc>
          <w:tcPr>
            <w:tcW w:w="1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0" w:type="dxa"/>
            <w:tcBorders/>
            <w:shd w:fill="CCEEFF" w:val="clear"/>
            <w:vAlign w:val="center"/>
          </w:tcPr>
          <w:p>
            <w:pPr>
              <w:pStyle w:val="TableContents"/>
              <w:spacing w:before="0" w:after="0"/>
              <w:ind w:left="0" w:right="0" w:firstLine="30"/>
              <w:rPr/>
            </w:pPr>
            <w:r>
              <w:rPr/>
              <w:t> </w:t>
            </w:r>
          </w:p>
        </w:tc>
        <w:tc>
          <w:tcPr>
            <w:tcW w:w="56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(157</w:t>
            </w:r>
          </w:p>
        </w:tc>
        <w:tc>
          <w:tcPr>
            <w:tcW w:w="1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56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(29</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311" w:type="dxa"/>
            <w:tcBorders/>
            <w:shd w:fill="CCEEFF" w:val="clear"/>
            <w:vAlign w:val="center"/>
          </w:tcPr>
          <w:p>
            <w:pPr>
              <w:pStyle w:val="TableContents"/>
              <w:spacing w:before="0" w:after="0"/>
              <w:jc w:val="right"/>
              <w:rPr>
                <w:rFonts w:ascii="inherit" w:hAnsi="inherit"/>
                <w:sz w:val="17"/>
              </w:rPr>
            </w:pPr>
            <w:r>
              <w:rPr>
                <w:rFonts w:ascii="inherit" w:hAnsi="inherit"/>
                <w:sz w:val="17"/>
              </w:rPr>
              <w:t>(18</w:t>
            </w:r>
          </w:p>
        </w:tc>
        <w:tc>
          <w:tcPr>
            <w:tcW w:w="2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(360</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50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(304</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56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(56</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290" w:type="dxa"/>
            <w:tcBorders/>
            <w:shd w:fill="CCEEFF" w:val="clear"/>
            <w:vAlign w:val="center"/>
          </w:tcPr>
          <w:p>
            <w:pPr>
              <w:pStyle w:val="TableContents"/>
              <w:spacing w:before="0" w:after="0"/>
              <w:jc w:val="right"/>
              <w:rPr>
                <w:rFonts w:ascii="inherit" w:hAnsi="inherit"/>
                <w:sz w:val="17"/>
              </w:rPr>
            </w:pPr>
            <w:r>
              <w:rPr>
                <w:rFonts w:ascii="inherit" w:hAnsi="inherit"/>
                <w:sz w:val="17"/>
              </w:rPr>
              <w:t>(18</w:t>
            </w:r>
          </w:p>
        </w:tc>
        <w:tc>
          <w:tcPr>
            <w:tcW w:w="2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179" w:type="dxa"/>
            <w:tcBorders/>
            <w:shd w:fill="auto" w:val="clear"/>
            <w:vAlign w:val="center"/>
          </w:tcPr>
          <w:p>
            <w:pPr>
              <w:pStyle w:val="TableContents"/>
              <w:spacing w:lineRule="auto" w:line="288" w:before="0" w:after="0"/>
              <w:ind w:left="0" w:right="0" w:firstLine="30"/>
              <w:jc w:val="left"/>
              <w:rPr>
                <w:sz w:val="17"/>
              </w:rPr>
            </w:pPr>
            <w:r>
              <w:rPr>
                <w:rFonts w:ascii="inherit" w:hAnsi="inherit"/>
                <w:sz w:val="17"/>
              </w:rPr>
              <w:t xml:space="preserve">Segment general and administrative expenses </w:t>
            </w:r>
            <w:r>
              <w:rPr>
                <w:rFonts w:ascii="inherit" w:hAnsi="inherit"/>
                <w:sz w:val="12"/>
              </w:rPr>
              <w:t>(2)</w:t>
            </w:r>
          </w:p>
        </w:tc>
        <w:tc>
          <w:tcPr>
            <w:tcW w:w="90" w:type="dxa"/>
            <w:tcBorders/>
            <w:shd w:fill="auto" w:val="clear"/>
            <w:vAlign w:val="center"/>
          </w:tcPr>
          <w:p>
            <w:pPr>
              <w:pStyle w:val="TableContents"/>
              <w:spacing w:before="0" w:after="0"/>
              <w:ind w:left="0" w:right="0" w:firstLine="30"/>
              <w:rPr/>
            </w:pPr>
            <w:r>
              <w:rPr/>
              <w:t> </w:t>
            </w:r>
          </w:p>
        </w:tc>
        <w:tc>
          <w:tcPr>
            <w:tcW w:w="56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(27</w:t>
            </w:r>
          </w:p>
        </w:tc>
        <w:tc>
          <w:tcPr>
            <w:tcW w:w="1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0" w:type="dxa"/>
            <w:tcBorders/>
            <w:shd w:fill="auto" w:val="clear"/>
            <w:vAlign w:val="center"/>
          </w:tcPr>
          <w:p>
            <w:pPr>
              <w:pStyle w:val="TableContents"/>
              <w:spacing w:before="0" w:after="0"/>
              <w:ind w:left="0" w:right="0" w:firstLine="30"/>
              <w:rPr/>
            </w:pPr>
            <w:r>
              <w:rPr/>
              <w:t> </w:t>
            </w:r>
          </w:p>
        </w:tc>
        <w:tc>
          <w:tcPr>
            <w:tcW w:w="56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w:t>
            </w:r>
          </w:p>
        </w:tc>
        <w:tc>
          <w:tcPr>
            <w:tcW w:w="1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56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311" w:type="dxa"/>
            <w:tcBorders/>
            <w:shd w:fill="auto" w:val="clear"/>
            <w:vAlign w:val="center"/>
          </w:tcPr>
          <w:p>
            <w:pPr>
              <w:pStyle w:val="TableContents"/>
              <w:spacing w:before="0" w:after="0"/>
              <w:jc w:val="right"/>
              <w:rPr>
                <w:rFonts w:ascii="inherit" w:hAnsi="inherit"/>
                <w:sz w:val="17"/>
              </w:rPr>
            </w:pPr>
            <w:r>
              <w:rPr>
                <w:rFonts w:ascii="inherit" w:hAnsi="inherit"/>
                <w:sz w:val="17"/>
              </w:rPr>
              <w:t>10</w:t>
            </w:r>
          </w:p>
        </w:tc>
        <w:tc>
          <w:tcPr>
            <w:tcW w:w="260" w:type="dxa"/>
            <w:tcBorders/>
            <w:shd w:fill="auto" w:val="clear"/>
            <w:vAlign w:val="center"/>
          </w:tcPr>
          <w:p>
            <w:pPr>
              <w:pStyle w:val="TableContents"/>
              <w:spacing w:before="0" w:after="0"/>
              <w:ind w:left="0" w:right="0" w:firstLine="30"/>
              <w:jc w:val="left"/>
              <w:rPr/>
            </w:pPr>
            <w:r>
              <w:rPr/>
              <w:t> </w:t>
            </w: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(54</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50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(58</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56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90" w:type="dxa"/>
            <w:tcBorders/>
            <w:shd w:fill="auto" w:val="clear"/>
            <w:vAlign w:val="center"/>
          </w:tcPr>
          <w:p>
            <w:pPr>
              <w:pStyle w:val="TableContents"/>
              <w:spacing w:before="0" w:after="0"/>
              <w:jc w:val="right"/>
              <w:rPr>
                <w:rFonts w:ascii="inherit" w:hAnsi="inherit"/>
                <w:sz w:val="17"/>
              </w:rPr>
            </w:pPr>
            <w:r>
              <w:rPr>
                <w:rFonts w:ascii="inherit" w:hAnsi="inherit"/>
                <w:sz w:val="17"/>
              </w:rPr>
              <w:t>7</w:t>
            </w:r>
          </w:p>
        </w:tc>
        <w:tc>
          <w:tcPr>
            <w:tcW w:w="280" w:type="dxa"/>
            <w:tcBorders/>
            <w:shd w:fill="auto" w:val="clear"/>
            <w:vAlign w:val="center"/>
          </w:tcPr>
          <w:p>
            <w:pPr>
              <w:pStyle w:val="TableContents"/>
              <w:spacing w:before="0" w:after="0"/>
              <w:ind w:left="0" w:right="0" w:firstLine="30"/>
              <w:jc w:val="left"/>
              <w:rPr/>
            </w:pPr>
            <w:r>
              <w:rPr/>
              <w:t> </w:t>
            </w:r>
            <w:r>
              <w:rPr>
                <w:rFonts w:ascii="inherit" w:hAnsi="inherit"/>
                <w:sz w:val="17"/>
              </w:rPr>
              <w:t>%</w:t>
            </w:r>
          </w:p>
        </w:tc>
      </w:tr>
      <w:tr>
        <w:trPr/>
        <w:tc>
          <w:tcPr>
            <w:tcW w:w="417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Equity earnings in unconsolidated entities</w:t>
            </w:r>
          </w:p>
        </w:tc>
        <w:tc>
          <w:tcPr>
            <w:tcW w:w="90" w:type="dxa"/>
            <w:tcBorders/>
            <w:shd w:fill="CCEEFF" w:val="clear"/>
            <w:vAlign w:val="center"/>
          </w:tcPr>
          <w:p>
            <w:pPr>
              <w:pStyle w:val="TableContents"/>
              <w:spacing w:before="0" w:after="0"/>
              <w:ind w:left="0" w:right="0" w:firstLine="30"/>
              <w:rPr/>
            </w:pPr>
            <w:r>
              <w:rPr/>
              <w:t> </w:t>
            </w:r>
          </w:p>
        </w:tc>
        <w:tc>
          <w:tcPr>
            <w:tcW w:w="56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83</w:t>
            </w:r>
          </w:p>
        </w:tc>
        <w:tc>
          <w:tcPr>
            <w:tcW w:w="1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CCEEFF" w:val="clear"/>
            <w:vAlign w:val="center"/>
          </w:tcPr>
          <w:p>
            <w:pPr>
              <w:pStyle w:val="TableContents"/>
              <w:spacing w:before="0" w:after="0"/>
              <w:ind w:left="0" w:right="0" w:firstLine="30"/>
              <w:rPr/>
            </w:pPr>
            <w:r>
              <w:rPr/>
              <w:t> </w:t>
            </w:r>
          </w:p>
        </w:tc>
        <w:tc>
          <w:tcPr>
            <w:tcW w:w="56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96</w:t>
            </w:r>
          </w:p>
        </w:tc>
        <w:tc>
          <w:tcPr>
            <w:tcW w:w="1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6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311" w:type="dxa"/>
            <w:tcBorders/>
            <w:shd w:fill="CCEEFF" w:val="clear"/>
            <w:vAlign w:val="center"/>
          </w:tcPr>
          <w:p>
            <w:pPr>
              <w:pStyle w:val="TableContents"/>
              <w:spacing w:before="0" w:after="0"/>
              <w:jc w:val="right"/>
              <w:rPr>
                <w:rFonts w:ascii="inherit" w:hAnsi="inherit"/>
                <w:sz w:val="17"/>
              </w:rPr>
            </w:pPr>
            <w:r>
              <w:rPr>
                <w:rFonts w:ascii="inherit" w:hAnsi="inherit"/>
                <w:sz w:val="17"/>
              </w:rPr>
              <w:t>(14</w:t>
            </w:r>
          </w:p>
        </w:tc>
        <w:tc>
          <w:tcPr>
            <w:tcW w:w="2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172</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0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171</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6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90" w:type="dxa"/>
            <w:tcBorders/>
            <w:shd w:fill="CCEEFF" w:val="clear"/>
            <w:vAlign w:val="center"/>
          </w:tcPr>
          <w:p>
            <w:pPr>
              <w:pStyle w:val="TableContents"/>
              <w:spacing w:before="0" w:after="0"/>
              <w:jc w:val="right"/>
              <w:rPr>
                <w:rFonts w:ascii="inherit" w:hAnsi="inherit"/>
                <w:sz w:val="17"/>
              </w:rPr>
            </w:pPr>
            <w:r>
              <w:rPr>
                <w:rFonts w:ascii="inherit" w:hAnsi="inherit"/>
                <w:sz w:val="17"/>
              </w:rPr>
              <w:t>1</w:t>
            </w:r>
          </w:p>
        </w:tc>
        <w:tc>
          <w:tcPr>
            <w:tcW w:w="280" w:type="dxa"/>
            <w:tcBorders/>
            <w:shd w:fill="CCEEFF" w:val="clear"/>
            <w:vAlign w:val="center"/>
          </w:tcPr>
          <w:p>
            <w:pPr>
              <w:pStyle w:val="TableContents"/>
              <w:spacing w:before="0" w:after="0"/>
              <w:ind w:left="0" w:right="0" w:firstLine="30"/>
              <w:jc w:val="left"/>
              <w:rPr/>
            </w:pPr>
            <w:r>
              <w:rPr/>
              <w:t> </w:t>
            </w:r>
            <w:r>
              <w:rPr>
                <w:rFonts w:ascii="inherit" w:hAnsi="inherit"/>
                <w:sz w:val="17"/>
              </w:rPr>
              <w:t>%</w:t>
            </w:r>
          </w:p>
        </w:tc>
      </w:tr>
      <w:tr>
        <w:trPr/>
        <w:tc>
          <w:tcPr>
            <w:tcW w:w="4179"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90" w:type="dxa"/>
            <w:gridSpan w:val="3"/>
            <w:tcBorders/>
            <w:shd w:fill="auto" w:val="clear"/>
            <w:vAlign w:val="center"/>
          </w:tcPr>
          <w:p>
            <w:pPr>
              <w:pStyle w:val="TableContents"/>
              <w:spacing w:before="0" w:after="0"/>
              <w:ind w:left="0" w:right="0" w:firstLine="30"/>
              <w:rPr/>
            </w:pPr>
            <w:r>
              <w:rPr/>
              <w:t> </w:t>
            </w:r>
          </w:p>
        </w:tc>
        <w:tc>
          <w:tcPr>
            <w:tcW w:w="100" w:type="dxa"/>
            <w:tcBorders/>
            <w:shd w:fill="auto" w:val="clear"/>
            <w:vAlign w:val="center"/>
          </w:tcPr>
          <w:p>
            <w:pPr>
              <w:pStyle w:val="TableContents"/>
              <w:spacing w:before="0" w:after="0"/>
              <w:ind w:left="0" w:right="0" w:firstLine="30"/>
              <w:rPr/>
            </w:pPr>
            <w:r>
              <w:rPr/>
              <w:t> </w:t>
            </w:r>
          </w:p>
        </w:tc>
        <w:tc>
          <w:tcPr>
            <w:tcW w:w="69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7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571" w:type="dxa"/>
            <w:gridSpan w:val="2"/>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72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1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7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570" w:type="dxa"/>
            <w:gridSpan w:val="2"/>
            <w:tcBorders/>
            <w:shd w:fill="auto" w:val="clear"/>
            <w:vAlign w:val="center"/>
          </w:tcPr>
          <w:p>
            <w:pPr>
              <w:pStyle w:val="TableContents"/>
              <w:spacing w:before="0" w:after="0"/>
              <w:ind w:left="0" w:right="0" w:firstLine="30"/>
              <w:rPr/>
            </w:pPr>
            <w:r>
              <w:rPr/>
              <w:t> </w:t>
            </w:r>
          </w:p>
        </w:tc>
      </w:tr>
      <w:tr>
        <w:trPr/>
        <w:tc>
          <w:tcPr>
            <w:tcW w:w="4179" w:type="dxa"/>
            <w:tcBorders/>
            <w:shd w:fill="CCEEFF" w:val="clear"/>
            <w:vAlign w:val="center"/>
          </w:tcPr>
          <w:p>
            <w:pPr>
              <w:pStyle w:val="TableContents"/>
              <w:spacing w:lineRule="auto" w:line="288" w:before="0" w:after="0"/>
              <w:ind w:left="0" w:right="0" w:firstLine="30"/>
              <w:rPr>
                <w:sz w:val="17"/>
              </w:rPr>
            </w:pPr>
            <w:r>
              <w:rPr>
                <w:rFonts w:ascii="inherit" w:hAnsi="inherit"/>
                <w:sz w:val="17"/>
              </w:rPr>
              <w:t xml:space="preserve">Adjustments </w:t>
            </w:r>
            <w:r>
              <w:rPr>
                <w:rFonts w:ascii="inherit" w:hAnsi="inherit"/>
                <w:sz w:val="12"/>
              </w:rPr>
              <w:t>(3)</w:t>
            </w: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690" w:type="dxa"/>
            <w:gridSpan w:val="3"/>
            <w:tcBorders/>
            <w:shd w:fill="CCEEFF" w:val="clear"/>
            <w:vAlign w:val="center"/>
          </w:tcPr>
          <w:p>
            <w:pPr>
              <w:pStyle w:val="TableContents"/>
              <w:spacing w:before="0" w:after="0"/>
              <w:ind w:left="0" w:right="0" w:firstLine="30"/>
              <w:rPr/>
            </w:pPr>
            <w:r>
              <w:rPr/>
              <w:t> </w:t>
            </w:r>
          </w:p>
        </w:tc>
        <w:tc>
          <w:tcPr>
            <w:tcW w:w="100" w:type="dxa"/>
            <w:tcBorders/>
            <w:shd w:fill="CCEEFF" w:val="clear"/>
            <w:vAlign w:val="center"/>
          </w:tcPr>
          <w:p>
            <w:pPr>
              <w:pStyle w:val="TableContents"/>
              <w:spacing w:before="0" w:after="0"/>
              <w:ind w:left="0" w:right="0" w:firstLine="30"/>
              <w:rPr/>
            </w:pPr>
            <w:r>
              <w:rPr/>
              <w:t> </w:t>
            </w:r>
          </w:p>
        </w:tc>
        <w:tc>
          <w:tcPr>
            <w:tcW w:w="69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67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571" w:type="dxa"/>
            <w:gridSpan w:val="2"/>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72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61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67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570" w:type="dxa"/>
            <w:gridSpan w:val="2"/>
            <w:tcBorders/>
            <w:shd w:fill="CCEEFF" w:val="clear"/>
            <w:vAlign w:val="center"/>
          </w:tcPr>
          <w:p>
            <w:pPr>
              <w:pStyle w:val="TableContents"/>
              <w:spacing w:before="0" w:after="0"/>
              <w:ind w:left="0" w:right="0" w:firstLine="30"/>
              <w:rPr/>
            </w:pPr>
            <w:r>
              <w:rPr/>
              <w:t> </w:t>
            </w:r>
          </w:p>
        </w:tc>
      </w:tr>
      <w:tr>
        <w:trPr/>
        <w:tc>
          <w:tcPr>
            <w:tcW w:w="417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 of unconsolidated entities</w:t>
            </w:r>
          </w:p>
        </w:tc>
        <w:tc>
          <w:tcPr>
            <w:tcW w:w="90" w:type="dxa"/>
            <w:tcBorders/>
            <w:shd w:fill="auto" w:val="clear"/>
            <w:vAlign w:val="center"/>
          </w:tcPr>
          <w:p>
            <w:pPr>
              <w:pStyle w:val="TableContents"/>
              <w:spacing w:before="0" w:after="0"/>
              <w:ind w:left="0" w:right="0" w:firstLine="30"/>
              <w:rPr/>
            </w:pPr>
            <w:r>
              <w:rPr/>
              <w:t> </w:t>
            </w:r>
          </w:p>
        </w:tc>
        <w:tc>
          <w:tcPr>
            <w:tcW w:w="56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w:t>
            </w:r>
          </w:p>
        </w:tc>
        <w:tc>
          <w:tcPr>
            <w:tcW w:w="1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auto" w:val="clear"/>
            <w:vAlign w:val="center"/>
          </w:tcPr>
          <w:p>
            <w:pPr>
              <w:pStyle w:val="TableContents"/>
              <w:spacing w:before="0" w:after="0"/>
              <w:ind w:left="0" w:right="0" w:firstLine="30"/>
              <w:rPr/>
            </w:pPr>
            <w:r>
              <w:rPr/>
              <w:t> </w:t>
            </w:r>
          </w:p>
        </w:tc>
        <w:tc>
          <w:tcPr>
            <w:tcW w:w="56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w:t>
            </w:r>
          </w:p>
        </w:tc>
        <w:tc>
          <w:tcPr>
            <w:tcW w:w="1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65"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311" w:type="dxa"/>
            <w:tcBorders/>
            <w:shd w:fill="auto" w:val="clear"/>
            <w:vAlign w:val="center"/>
          </w:tcPr>
          <w:p>
            <w:pPr>
              <w:pStyle w:val="TableContents"/>
              <w:spacing w:before="0" w:after="0"/>
              <w:jc w:val="right"/>
              <w:rPr/>
            </w:pPr>
            <w:r>
              <w:rPr/>
              <w:t>—</w:t>
            </w:r>
          </w:p>
        </w:tc>
        <w:tc>
          <w:tcPr>
            <w:tcW w:w="260" w:type="dxa"/>
            <w:tcBorders/>
            <w:shd w:fill="auto" w:val="clear"/>
            <w:vAlign w:val="center"/>
          </w:tcPr>
          <w:p>
            <w:pPr>
              <w:pStyle w:val="TableContents"/>
              <w:spacing w:before="0" w:after="0"/>
              <w:ind w:left="0" w:right="0" w:firstLine="30"/>
              <w:jc w:val="left"/>
              <w:rPr/>
            </w:pPr>
            <w:r>
              <w:rPr/>
              <w:t> </w:t>
            </w: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27</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0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29</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6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290" w:type="dxa"/>
            <w:tcBorders/>
            <w:shd w:fill="auto" w:val="clear"/>
            <w:vAlign w:val="center"/>
          </w:tcPr>
          <w:p>
            <w:pPr>
              <w:pStyle w:val="TableContents"/>
              <w:spacing w:before="0" w:after="0"/>
              <w:jc w:val="right"/>
              <w:rPr>
                <w:rFonts w:ascii="inherit" w:hAnsi="inherit"/>
                <w:sz w:val="17"/>
              </w:rPr>
            </w:pPr>
            <w:r>
              <w:rPr>
                <w:rFonts w:ascii="inherit" w:hAnsi="inherit"/>
                <w:sz w:val="17"/>
              </w:rPr>
              <w:t>(7</w:t>
            </w:r>
          </w:p>
        </w:tc>
        <w:tc>
          <w:tcPr>
            <w:tcW w:w="2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179" w:type="dxa"/>
            <w:tcBorders/>
            <w:shd w:fill="CCEEFF" w:val="clear"/>
            <w:vAlign w:val="center"/>
          </w:tcPr>
          <w:p>
            <w:pPr>
              <w:pStyle w:val="TableContents"/>
              <w:spacing w:before="0" w:after="0"/>
              <w:ind w:left="0" w:right="0" w:firstLine="30"/>
              <w:jc w:val="left"/>
              <w:rPr>
                <w:rFonts w:ascii="inherit" w:hAnsi="inherit"/>
                <w:sz w:val="17"/>
                <w:highlight w:val="cyan"/>
              </w:rPr>
            </w:pPr>
            <w:r>
              <w:rPr>
                <w:rFonts w:ascii="inherit" w:hAnsi="inherit"/>
                <w:sz w:val="17"/>
                <w:highlight w:val="cyan"/>
              </w:rPr>
              <w:t>(Gains)/losses from derivative activities</w:t>
            </w:r>
          </w:p>
        </w:tc>
        <w:tc>
          <w:tcPr>
            <w:tcW w:w="90" w:type="dxa"/>
            <w:tcBorders/>
            <w:shd w:fill="CCEEFF" w:val="clear"/>
            <w:vAlign w:val="center"/>
          </w:tcPr>
          <w:p>
            <w:pPr>
              <w:pStyle w:val="TableContents"/>
              <w:spacing w:before="0" w:after="0"/>
              <w:ind w:left="0" w:right="0" w:firstLine="30"/>
              <w:rPr/>
            </w:pPr>
            <w:r>
              <w:rPr/>
              <w:t> </w:t>
            </w:r>
          </w:p>
        </w:tc>
        <w:tc>
          <w:tcPr>
            <w:tcW w:w="56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w:t>
            </w:r>
          </w:p>
        </w:tc>
        <w:tc>
          <w:tcPr>
            <w:tcW w:w="1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CCEEFF" w:val="clear"/>
            <w:vAlign w:val="center"/>
          </w:tcPr>
          <w:p>
            <w:pPr>
              <w:pStyle w:val="TableContents"/>
              <w:spacing w:before="0" w:after="0"/>
              <w:ind w:left="0" w:right="0" w:firstLine="30"/>
              <w:rPr/>
            </w:pPr>
            <w:r>
              <w:rPr/>
              <w:t> </w:t>
            </w:r>
          </w:p>
        </w:tc>
        <w:tc>
          <w:tcPr>
            <w:tcW w:w="567" w:type="dxa"/>
            <w:gridSpan w:val="2"/>
            <w:tcBorders/>
            <w:shd w:fill="CCEEFF" w:val="clear"/>
            <w:vAlign w:val="center"/>
          </w:tcPr>
          <w:p>
            <w:pPr>
              <w:pStyle w:val="TableContents"/>
              <w:spacing w:before="0" w:after="0"/>
              <w:jc w:val="right"/>
              <w:rPr/>
            </w:pPr>
            <w:r>
              <w:rPr/>
              <w:t>—</w:t>
            </w:r>
          </w:p>
        </w:tc>
        <w:tc>
          <w:tcPr>
            <w:tcW w:w="1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6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11" w:type="dxa"/>
            <w:tcBorders/>
            <w:shd w:fill="CCEEFF" w:val="clear"/>
            <w:vAlign w:val="center"/>
          </w:tcPr>
          <w:p>
            <w:pPr>
              <w:pStyle w:val="TableContents"/>
              <w:spacing w:before="0" w:after="0"/>
              <w:jc w:val="right"/>
              <w:rPr>
                <w:rFonts w:ascii="inherit" w:hAnsi="inherit"/>
                <w:sz w:val="17"/>
              </w:rPr>
            </w:pPr>
            <w:r>
              <w:rPr>
                <w:rFonts w:ascii="inherit" w:hAnsi="inherit"/>
                <w:sz w:val="17"/>
              </w:rPr>
              <w:t>N/A</w:t>
            </w:r>
          </w:p>
        </w:tc>
        <w:tc>
          <w:tcPr>
            <w:tcW w:w="2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0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56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90" w:type="dxa"/>
            <w:tcBorders/>
            <w:shd w:fill="CCEEFF" w:val="clear"/>
            <w:vAlign w:val="center"/>
          </w:tcPr>
          <w:p>
            <w:pPr>
              <w:pStyle w:val="TableContents"/>
              <w:spacing w:before="0" w:after="0"/>
              <w:jc w:val="right"/>
              <w:rPr>
                <w:rFonts w:ascii="inherit" w:hAnsi="inherit"/>
                <w:sz w:val="17"/>
              </w:rPr>
            </w:pPr>
            <w:r>
              <w:rPr>
                <w:rFonts w:ascii="inherit" w:hAnsi="inherit"/>
                <w:sz w:val="17"/>
              </w:rPr>
              <w:t>**</w:t>
            </w:r>
          </w:p>
        </w:tc>
        <w:tc>
          <w:tcPr>
            <w:tcW w:w="2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17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Deficiencies under minimum volume commitments, net</w:t>
            </w:r>
          </w:p>
        </w:tc>
        <w:tc>
          <w:tcPr>
            <w:tcW w:w="90" w:type="dxa"/>
            <w:tcBorders/>
            <w:shd w:fill="auto" w:val="clear"/>
            <w:vAlign w:val="center"/>
          </w:tcPr>
          <w:p>
            <w:pPr>
              <w:pStyle w:val="TableContents"/>
              <w:spacing w:before="0" w:after="0"/>
              <w:ind w:left="0" w:right="0" w:firstLine="30"/>
              <w:rPr/>
            </w:pPr>
            <w:r>
              <w:rPr/>
              <w:t> </w:t>
            </w:r>
          </w:p>
        </w:tc>
        <w:tc>
          <w:tcPr>
            <w:tcW w:w="56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1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auto" w:val="clear"/>
            <w:vAlign w:val="center"/>
          </w:tcPr>
          <w:p>
            <w:pPr>
              <w:pStyle w:val="TableContents"/>
              <w:spacing w:before="0" w:after="0"/>
              <w:ind w:left="0" w:right="0" w:firstLine="30"/>
              <w:rPr/>
            </w:pPr>
            <w:r>
              <w:rPr/>
              <w:t> </w:t>
            </w:r>
          </w:p>
        </w:tc>
        <w:tc>
          <w:tcPr>
            <w:tcW w:w="56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1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65"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311" w:type="dxa"/>
            <w:tcBorders/>
            <w:shd w:fill="auto" w:val="clear"/>
            <w:vAlign w:val="center"/>
          </w:tcPr>
          <w:p>
            <w:pPr>
              <w:pStyle w:val="TableContents"/>
              <w:spacing w:before="0" w:after="0"/>
              <w:jc w:val="right"/>
              <w:rPr>
                <w:rFonts w:ascii="inherit" w:hAnsi="inherit"/>
                <w:sz w:val="17"/>
              </w:rPr>
            </w:pPr>
            <w:r>
              <w:rPr>
                <w:rFonts w:ascii="inherit" w:hAnsi="inherit"/>
                <w:sz w:val="17"/>
              </w:rPr>
              <w:t>**</w:t>
            </w:r>
          </w:p>
        </w:tc>
        <w:tc>
          <w:tcPr>
            <w:tcW w:w="2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50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6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290" w:type="dxa"/>
            <w:tcBorders/>
            <w:shd w:fill="auto" w:val="clear"/>
            <w:vAlign w:val="center"/>
          </w:tcPr>
          <w:p>
            <w:pPr>
              <w:pStyle w:val="TableContents"/>
              <w:spacing w:before="0" w:after="0"/>
              <w:jc w:val="right"/>
              <w:rPr>
                <w:rFonts w:ascii="inherit" w:hAnsi="inherit"/>
                <w:sz w:val="17"/>
              </w:rPr>
            </w:pPr>
            <w:r>
              <w:rPr>
                <w:rFonts w:ascii="inherit" w:hAnsi="inherit"/>
                <w:sz w:val="17"/>
              </w:rPr>
              <w:t>**</w:t>
            </w:r>
          </w:p>
        </w:tc>
        <w:tc>
          <w:tcPr>
            <w:tcW w:w="2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17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Equity-indexed compensation expense</w:t>
            </w:r>
          </w:p>
        </w:tc>
        <w:tc>
          <w:tcPr>
            <w:tcW w:w="90" w:type="dxa"/>
            <w:tcBorders/>
            <w:shd w:fill="CCEEFF" w:val="clear"/>
            <w:vAlign w:val="center"/>
          </w:tcPr>
          <w:p>
            <w:pPr>
              <w:pStyle w:val="TableContents"/>
              <w:spacing w:before="0" w:after="0"/>
              <w:ind w:left="0" w:right="0" w:firstLine="30"/>
              <w:rPr/>
            </w:pPr>
            <w:r>
              <w:rPr/>
              <w:t> </w:t>
            </w:r>
          </w:p>
        </w:tc>
        <w:tc>
          <w:tcPr>
            <w:tcW w:w="56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w:t>
            </w:r>
          </w:p>
        </w:tc>
        <w:tc>
          <w:tcPr>
            <w:tcW w:w="1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CCEEFF" w:val="clear"/>
            <w:vAlign w:val="center"/>
          </w:tcPr>
          <w:p>
            <w:pPr>
              <w:pStyle w:val="TableContents"/>
              <w:spacing w:before="0" w:after="0"/>
              <w:ind w:left="0" w:right="0" w:firstLine="30"/>
              <w:rPr/>
            </w:pPr>
            <w:r>
              <w:rPr/>
              <w:t> </w:t>
            </w:r>
          </w:p>
        </w:tc>
        <w:tc>
          <w:tcPr>
            <w:tcW w:w="56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w:t>
            </w:r>
          </w:p>
        </w:tc>
        <w:tc>
          <w:tcPr>
            <w:tcW w:w="1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6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311" w:type="dxa"/>
            <w:tcBorders/>
            <w:shd w:fill="CCEEFF" w:val="clear"/>
            <w:vAlign w:val="center"/>
          </w:tcPr>
          <w:p>
            <w:pPr>
              <w:pStyle w:val="TableContents"/>
              <w:spacing w:before="0" w:after="0"/>
              <w:jc w:val="right"/>
              <w:rPr>
                <w:rFonts w:ascii="inherit" w:hAnsi="inherit"/>
                <w:sz w:val="17"/>
              </w:rPr>
            </w:pPr>
            <w:r>
              <w:rPr>
                <w:rFonts w:ascii="inherit" w:hAnsi="inherit"/>
                <w:sz w:val="17"/>
              </w:rPr>
              <w:t>**</w:t>
            </w:r>
          </w:p>
        </w:tc>
        <w:tc>
          <w:tcPr>
            <w:tcW w:w="2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0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6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290" w:type="dxa"/>
            <w:tcBorders/>
            <w:shd w:fill="CCEEFF" w:val="clear"/>
            <w:vAlign w:val="center"/>
          </w:tcPr>
          <w:p>
            <w:pPr>
              <w:pStyle w:val="TableContents"/>
              <w:spacing w:before="0" w:after="0"/>
              <w:jc w:val="right"/>
              <w:rPr>
                <w:rFonts w:ascii="inherit" w:hAnsi="inherit"/>
                <w:sz w:val="17"/>
              </w:rPr>
            </w:pPr>
            <w:r>
              <w:rPr>
                <w:rFonts w:ascii="inherit" w:hAnsi="inherit"/>
                <w:sz w:val="17"/>
              </w:rPr>
              <w:t>**</w:t>
            </w:r>
          </w:p>
        </w:tc>
        <w:tc>
          <w:tcPr>
            <w:tcW w:w="2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17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Line 901 incident</w:t>
            </w:r>
          </w:p>
        </w:tc>
        <w:tc>
          <w:tcPr>
            <w:tcW w:w="90" w:type="dxa"/>
            <w:tcBorders/>
            <w:shd w:fill="auto" w:val="clear"/>
            <w:vAlign w:val="center"/>
          </w:tcPr>
          <w:p>
            <w:pPr>
              <w:pStyle w:val="TableContents"/>
              <w:spacing w:before="0" w:after="0"/>
              <w:ind w:left="0" w:right="0" w:firstLine="30"/>
              <w:rPr/>
            </w:pPr>
            <w:r>
              <w:rPr/>
              <w:t> </w:t>
            </w:r>
          </w:p>
        </w:tc>
        <w:tc>
          <w:tcPr>
            <w:tcW w:w="56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w:t>
            </w:r>
          </w:p>
        </w:tc>
        <w:tc>
          <w:tcPr>
            <w:tcW w:w="12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auto" w:val="clear"/>
            <w:vAlign w:val="center"/>
          </w:tcPr>
          <w:p>
            <w:pPr>
              <w:pStyle w:val="TableContents"/>
              <w:spacing w:before="0" w:after="0"/>
              <w:ind w:left="0" w:right="0" w:firstLine="30"/>
              <w:rPr/>
            </w:pPr>
            <w:r>
              <w:rPr/>
              <w:t> </w:t>
            </w:r>
          </w:p>
        </w:tc>
        <w:tc>
          <w:tcPr>
            <w:tcW w:w="567"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2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6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311"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w:t>
            </w:r>
          </w:p>
        </w:tc>
        <w:tc>
          <w:tcPr>
            <w:tcW w:w="26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05"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6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90"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w:t>
            </w:r>
          </w:p>
        </w:tc>
        <w:tc>
          <w:tcPr>
            <w:tcW w:w="28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17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Adjusted EBITDA</w:t>
            </w:r>
          </w:p>
        </w:tc>
        <w:tc>
          <w:tcPr>
            <w:tcW w:w="90" w:type="dxa"/>
            <w:tcBorders/>
            <w:shd w:fill="CCEEFF" w:val="clear"/>
            <w:vAlign w:val="center"/>
          </w:tcPr>
          <w:p>
            <w:pPr>
              <w:pStyle w:val="TableContents"/>
              <w:spacing w:before="0" w:after="0"/>
              <w:ind w:left="0" w:right="0" w:firstLine="30"/>
              <w:rPr/>
            </w:pPr>
            <w:r>
              <w:rPr/>
              <w:t> </w:t>
            </w:r>
          </w:p>
        </w:tc>
        <w:tc>
          <w:tcPr>
            <w:tcW w:w="14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2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410</w:t>
            </w:r>
          </w:p>
        </w:tc>
        <w:tc>
          <w:tcPr>
            <w:tcW w:w="123"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CCEEFF" w:val="clear"/>
            <w:vAlign w:val="center"/>
          </w:tcPr>
          <w:p>
            <w:pPr>
              <w:pStyle w:val="TableContents"/>
              <w:spacing w:before="0" w:after="0"/>
              <w:ind w:left="0" w:right="0" w:firstLine="30"/>
              <w:rPr/>
            </w:pPr>
            <w:r>
              <w:rPr/>
              <w:t> </w:t>
            </w:r>
          </w:p>
        </w:tc>
        <w:tc>
          <w:tcPr>
            <w:tcW w:w="14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2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360</w:t>
            </w:r>
          </w:p>
        </w:tc>
        <w:tc>
          <w:tcPr>
            <w:tcW w:w="123"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4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50</w:t>
            </w:r>
          </w:p>
        </w:tc>
        <w:tc>
          <w:tcPr>
            <w:tcW w:w="11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1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14</w:t>
            </w:r>
          </w:p>
        </w:tc>
        <w:tc>
          <w:tcPr>
            <w:tcW w:w="260" w:type="dxa"/>
            <w:tcBorders>
              <w:bottom w:val="double" w:sz="6" w:space="0" w:color="000000"/>
            </w:tcBorders>
            <w:shd w:fill="CCEEFF" w:val="clear"/>
            <w:tcMar>
              <w:bottom w:w="30" w:type="dxa"/>
            </w:tcMar>
            <w:vAlign w:val="center"/>
          </w:tcPr>
          <w:p>
            <w:pPr>
              <w:pStyle w:val="TableContents"/>
              <w:spacing w:before="0" w:after="0"/>
              <w:ind w:left="0" w:right="0" w:firstLine="30"/>
              <w:jc w:val="left"/>
              <w:rPr/>
            </w:pPr>
            <w:r>
              <w:rPr/>
              <w:t> </w:t>
            </w: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809</w:t>
            </w:r>
          </w:p>
        </w:tc>
        <w:tc>
          <w:tcPr>
            <w:tcW w:w="11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8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695</w:t>
            </w:r>
          </w:p>
        </w:tc>
        <w:tc>
          <w:tcPr>
            <w:tcW w:w="11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4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114</w:t>
            </w:r>
          </w:p>
        </w:tc>
        <w:tc>
          <w:tcPr>
            <w:tcW w:w="11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9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16</w:t>
            </w:r>
          </w:p>
        </w:tc>
        <w:tc>
          <w:tcPr>
            <w:tcW w:w="280" w:type="dxa"/>
            <w:tcBorders>
              <w:bottom w:val="double" w:sz="6" w:space="0" w:color="000000"/>
            </w:tcBorders>
            <w:shd w:fill="CCEEFF" w:val="clear"/>
            <w:tcMar>
              <w:bottom w:w="30" w:type="dxa"/>
            </w:tcMar>
            <w:vAlign w:val="center"/>
          </w:tcPr>
          <w:p>
            <w:pPr>
              <w:pStyle w:val="TableContents"/>
              <w:spacing w:before="0" w:after="0"/>
              <w:ind w:left="0" w:right="0" w:firstLine="30"/>
              <w:jc w:val="left"/>
              <w:rPr/>
            </w:pPr>
            <w:r>
              <w:rPr/>
              <w:t> </w:t>
            </w:r>
            <w:r>
              <w:rPr>
                <w:rFonts w:ascii="inherit" w:hAnsi="inherit"/>
                <w:sz w:val="17"/>
              </w:rPr>
              <w:t>%</w:t>
            </w:r>
          </w:p>
        </w:tc>
      </w:tr>
      <w:tr>
        <w:trPr/>
        <w:tc>
          <w:tcPr>
            <w:tcW w:w="417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Maintenance capital</w:t>
            </w:r>
          </w:p>
        </w:tc>
        <w:tc>
          <w:tcPr>
            <w:tcW w:w="90" w:type="dxa"/>
            <w:tcBorders/>
            <w:shd w:fill="auto" w:val="clear"/>
            <w:vAlign w:val="center"/>
          </w:tcPr>
          <w:p>
            <w:pPr>
              <w:pStyle w:val="TableContents"/>
              <w:spacing w:before="0" w:after="0"/>
              <w:ind w:left="0" w:right="0" w:firstLine="30"/>
              <w:rPr/>
            </w:pPr>
            <w:r>
              <w:rPr/>
              <w:t> </w:t>
            </w:r>
          </w:p>
        </w:tc>
        <w:tc>
          <w:tcPr>
            <w:tcW w:w="140" w:type="dxa"/>
            <w:tcBorders>
              <w:top w:val="double" w:sz="6"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27" w:type="dxa"/>
            <w:tcBorders>
              <w:top w:val="double" w:sz="6"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39</w:t>
            </w:r>
          </w:p>
        </w:tc>
        <w:tc>
          <w:tcPr>
            <w:tcW w:w="123" w:type="dxa"/>
            <w:tcBorders>
              <w:top w:val="double" w:sz="6"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auto" w:val="clear"/>
            <w:vAlign w:val="center"/>
          </w:tcPr>
          <w:p>
            <w:pPr>
              <w:pStyle w:val="TableContents"/>
              <w:spacing w:before="0" w:after="0"/>
              <w:ind w:left="0" w:right="0" w:firstLine="30"/>
              <w:rPr/>
            </w:pPr>
            <w:r>
              <w:rPr/>
              <w:t> </w:t>
            </w:r>
          </w:p>
        </w:tc>
        <w:tc>
          <w:tcPr>
            <w:tcW w:w="14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27"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32</w:t>
            </w:r>
          </w:p>
        </w:tc>
        <w:tc>
          <w:tcPr>
            <w:tcW w:w="123"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4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w:t>
            </w:r>
          </w:p>
        </w:tc>
        <w:tc>
          <w:tcPr>
            <w:tcW w:w="11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31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22</w:t>
            </w:r>
          </w:p>
        </w:tc>
        <w:tc>
          <w:tcPr>
            <w:tcW w:w="260" w:type="dxa"/>
            <w:tcBorders>
              <w:bottom w:val="double" w:sz="6" w:space="0" w:color="000000"/>
            </w:tcBorders>
            <w:shd w:fill="auto" w:val="clear"/>
            <w:tcMar>
              <w:bottom w:w="30" w:type="dxa"/>
            </w:tcMar>
            <w:vAlign w:val="center"/>
          </w:tcPr>
          <w:p>
            <w:pPr>
              <w:pStyle w:val="TableContents"/>
              <w:spacing w:before="0" w:after="0"/>
              <w:ind w:left="0" w:right="0" w:firstLine="30"/>
              <w:jc w:val="left"/>
              <w:rPr/>
            </w:pPr>
            <w:r>
              <w:rPr/>
              <w:t> </w:t>
            </w: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125" w:type="dxa"/>
            <w:tcBorders>
              <w:top w:val="double" w:sz="6"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double" w:sz="6"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67</w:t>
            </w:r>
          </w:p>
        </w:tc>
        <w:tc>
          <w:tcPr>
            <w:tcW w:w="110" w:type="dxa"/>
            <w:tcBorders>
              <w:top w:val="double" w:sz="6"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8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61</w:t>
            </w:r>
          </w:p>
        </w:tc>
        <w:tc>
          <w:tcPr>
            <w:tcW w:w="11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4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w:t>
            </w:r>
          </w:p>
        </w:tc>
        <w:tc>
          <w:tcPr>
            <w:tcW w:w="11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9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w:t>
            </w:r>
          </w:p>
        </w:tc>
        <w:tc>
          <w:tcPr>
            <w:tcW w:w="280" w:type="dxa"/>
            <w:tcBorders>
              <w:bottom w:val="double" w:sz="6" w:space="0" w:color="000000"/>
            </w:tcBorders>
            <w:shd w:fill="auto" w:val="clear"/>
            <w:tcMar>
              <w:bottom w:w="30" w:type="dxa"/>
            </w:tcMar>
            <w:vAlign w:val="center"/>
          </w:tcPr>
          <w:p>
            <w:pPr>
              <w:pStyle w:val="TableContents"/>
              <w:spacing w:before="0" w:after="0"/>
              <w:ind w:left="0" w:right="0" w:firstLine="30"/>
              <w:jc w:val="left"/>
              <w:rPr/>
            </w:pPr>
            <w:r>
              <w:rPr/>
              <w:t> </w:t>
            </w:r>
            <w:r>
              <w:rPr>
                <w:rFonts w:ascii="inherit" w:hAnsi="inherit"/>
                <w:sz w:val="17"/>
              </w:rPr>
              <w:t>%</w:t>
            </w:r>
          </w:p>
        </w:tc>
      </w:tr>
      <w:tr>
        <w:trPr/>
        <w:tc>
          <w:tcPr>
            <w:tcW w:w="417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Adjusted EBITDA per barrel</w:t>
            </w:r>
          </w:p>
        </w:tc>
        <w:tc>
          <w:tcPr>
            <w:tcW w:w="90" w:type="dxa"/>
            <w:tcBorders/>
            <w:shd w:fill="CCEEFF" w:val="clear"/>
            <w:vAlign w:val="center"/>
          </w:tcPr>
          <w:p>
            <w:pPr>
              <w:pStyle w:val="TableContents"/>
              <w:spacing w:before="0" w:after="0"/>
              <w:ind w:left="0" w:right="0" w:firstLine="30"/>
              <w:rPr/>
            </w:pPr>
            <w:r>
              <w:rPr/>
              <w:t> </w:t>
            </w:r>
          </w:p>
        </w:tc>
        <w:tc>
          <w:tcPr>
            <w:tcW w:w="140" w:type="dxa"/>
            <w:tcBorders>
              <w:top w:val="double" w:sz="6"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27" w:type="dxa"/>
            <w:tcBorders>
              <w:top w:val="double" w:sz="6"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0.66</w:t>
            </w:r>
          </w:p>
        </w:tc>
        <w:tc>
          <w:tcPr>
            <w:tcW w:w="123" w:type="dxa"/>
            <w:tcBorders>
              <w:top w:val="double" w:sz="6"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CCEEFF" w:val="clear"/>
            <w:vAlign w:val="center"/>
          </w:tcPr>
          <w:p>
            <w:pPr>
              <w:pStyle w:val="TableContents"/>
              <w:spacing w:before="0" w:after="0"/>
              <w:ind w:left="0" w:right="0" w:firstLine="30"/>
              <w:rPr/>
            </w:pPr>
            <w:r>
              <w:rPr/>
              <w:t> </w:t>
            </w:r>
          </w:p>
        </w:tc>
        <w:tc>
          <w:tcPr>
            <w:tcW w:w="14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2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0.68</w:t>
            </w:r>
          </w:p>
        </w:tc>
        <w:tc>
          <w:tcPr>
            <w:tcW w:w="123"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4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(0.02</w:t>
            </w:r>
          </w:p>
        </w:tc>
        <w:tc>
          <w:tcPr>
            <w:tcW w:w="110"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31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w:t>
            </w:r>
          </w:p>
        </w:tc>
        <w:tc>
          <w:tcPr>
            <w:tcW w:w="260"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125" w:type="dxa"/>
            <w:tcBorders>
              <w:top w:val="double" w:sz="6"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double" w:sz="6"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0.67</w:t>
            </w:r>
          </w:p>
        </w:tc>
        <w:tc>
          <w:tcPr>
            <w:tcW w:w="110" w:type="dxa"/>
            <w:tcBorders>
              <w:top w:val="double" w:sz="6"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8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0.69</w:t>
            </w:r>
          </w:p>
        </w:tc>
        <w:tc>
          <w:tcPr>
            <w:tcW w:w="11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4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(0.02</w:t>
            </w:r>
          </w:p>
        </w:tc>
        <w:tc>
          <w:tcPr>
            <w:tcW w:w="110"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29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w:t>
            </w:r>
          </w:p>
        </w:tc>
        <w:tc>
          <w:tcPr>
            <w:tcW w:w="28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51</w:t>
      </w:r>
      <w:r>
        <w:br w:type="page"/>
      </w:r>
    </w:p>
    <w:p>
      <w:pPr>
        <w:pStyle w:val="TextBody"/>
        <w:spacing w:lineRule="auto" w:line="288" w:before="0" w:after="0"/>
        <w:rPr/>
      </w:pPr>
      <w:hyperlink w:anchor="s3336AD8A685850CC9B7F2572CB2C0BC3">
        <w:r>
          <w:rPr>
            <w:rStyle w:val="InternetLink"/>
            <w:rFonts w:ascii="inherit" w:hAnsi="inherit"/>
            <w:sz w:val="17"/>
          </w:rPr>
          <w:t>Table of Contents</w:t>
        </w:r>
      </w:hyperlink>
      <w:r>
        <w:rPr>
          <w:sz w:val="17"/>
        </w:rPr>
        <w:t xml:space="preserve"> </w:t>
      </w:r>
    </w:p>
    <w:p>
      <w:pPr>
        <w:pStyle w:val="TextBody"/>
        <w:spacing w:before="0" w:after="0"/>
        <w:rPr/>
      </w:pPr>
      <w:r>
        <w:rPr/>
      </w:r>
    </w:p>
    <w:tbl>
      <w:tblPr>
        <w:tblW w:w="9280" w:type="dxa"/>
        <w:jc w:val="left"/>
        <w:tblInd w:w="0" w:type="dxa"/>
        <w:tblCellMar>
          <w:top w:w="0" w:type="dxa"/>
          <w:left w:w="0" w:type="dxa"/>
          <w:bottom w:w="0" w:type="dxa"/>
          <w:right w:w="0" w:type="dxa"/>
        </w:tblCellMar>
      </w:tblPr>
      <w:tblGrid>
        <w:gridCol w:w="3275"/>
        <w:gridCol w:w="90"/>
        <w:gridCol w:w="671"/>
        <w:gridCol w:w="41"/>
        <w:gridCol w:w="124"/>
        <w:gridCol w:w="671"/>
        <w:gridCol w:w="41"/>
        <w:gridCol w:w="90"/>
        <w:gridCol w:w="511"/>
        <w:gridCol w:w="169"/>
        <w:gridCol w:w="90"/>
        <w:gridCol w:w="290"/>
        <w:gridCol w:w="260"/>
        <w:gridCol w:w="90"/>
        <w:gridCol w:w="90"/>
        <w:gridCol w:w="586"/>
        <w:gridCol w:w="36"/>
        <w:gridCol w:w="108"/>
        <w:gridCol w:w="586"/>
        <w:gridCol w:w="36"/>
        <w:gridCol w:w="90"/>
        <w:gridCol w:w="554"/>
        <w:gridCol w:w="126"/>
        <w:gridCol w:w="90"/>
        <w:gridCol w:w="290"/>
        <w:gridCol w:w="275"/>
      </w:tblGrid>
      <w:tr>
        <w:trPr/>
        <w:tc>
          <w:tcPr>
            <w:tcW w:w="9280" w:type="dxa"/>
            <w:gridSpan w:val="26"/>
            <w:tcBorders/>
            <w:shd w:fill="auto" w:val="clear"/>
            <w:vAlign w:val="center"/>
          </w:tcPr>
          <w:p>
            <w:pPr>
              <w:pStyle w:val="TableContents"/>
              <w:spacing w:before="0" w:after="283"/>
              <w:rPr>
                <w:sz w:val="4"/>
                <w:szCs w:val="4"/>
              </w:rPr>
            </w:pPr>
            <w:r>
              <w:rPr>
                <w:sz w:val="4"/>
                <w:szCs w:val="4"/>
              </w:rPr>
            </w:r>
          </w:p>
        </w:tc>
      </w:tr>
      <w:tr>
        <w:trPr/>
        <w:tc>
          <w:tcPr>
            <w:tcW w:w="327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4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4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36"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3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275" w:type="dxa"/>
            <w:tcBorders/>
            <w:shd w:fill="auto" w:val="clear"/>
            <w:vAlign w:val="center"/>
          </w:tcPr>
          <w:p>
            <w:pPr>
              <w:pStyle w:val="TableContents"/>
              <w:spacing w:before="0" w:after="0"/>
              <w:ind w:left="0" w:right="0" w:firstLine="30"/>
              <w:rPr>
                <w:rFonts w:ascii="inherit" w:hAnsi="inherit"/>
                <w:b/>
                <w:sz w:val="13"/>
              </w:rPr>
            </w:pPr>
            <w:r>
              <w:rPr>
                <w:rFonts w:ascii="inherit" w:hAnsi="inherit"/>
                <w:b/>
                <w:sz w:val="13"/>
              </w:rPr>
              <w:t>Average Daily Volumes</w:t>
            </w:r>
          </w:p>
        </w:tc>
        <w:tc>
          <w:tcPr>
            <w:tcW w:w="90" w:type="dxa"/>
            <w:tcBorders/>
            <w:shd w:fill="auto" w:val="clear"/>
            <w:vAlign w:val="center"/>
          </w:tcPr>
          <w:p>
            <w:pPr>
              <w:pStyle w:val="TableContents"/>
              <w:spacing w:before="0" w:after="0"/>
              <w:ind w:left="0" w:right="0" w:firstLine="30"/>
              <w:rPr/>
            </w:pPr>
            <w:r>
              <w:rPr/>
              <w:t> </w:t>
            </w:r>
          </w:p>
        </w:tc>
        <w:tc>
          <w:tcPr>
            <w:tcW w:w="1548" w:type="dxa"/>
            <w:gridSpan w:val="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w:t>
              <w:br/>
              <w:t>June 30,</w:t>
            </w:r>
          </w:p>
        </w:tc>
        <w:tc>
          <w:tcPr>
            <w:tcW w:w="90" w:type="dxa"/>
            <w:tcBorders/>
            <w:shd w:fill="auto" w:val="clear"/>
            <w:vAlign w:val="center"/>
          </w:tcPr>
          <w:p>
            <w:pPr>
              <w:pStyle w:val="TableContents"/>
              <w:spacing w:before="0" w:after="0"/>
              <w:ind w:left="0" w:right="0" w:firstLine="30"/>
              <w:rPr/>
            </w:pPr>
            <w:r>
              <w:rPr/>
              <w:t> </w:t>
            </w:r>
          </w:p>
        </w:tc>
        <w:tc>
          <w:tcPr>
            <w:tcW w:w="1320" w:type="dxa"/>
            <w:gridSpan w:val="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Variance</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52" w:type="dxa"/>
            <w:gridSpan w:val="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w:t>
              <w:br/>
              <w:t>June 30,</w:t>
            </w:r>
          </w:p>
        </w:tc>
        <w:tc>
          <w:tcPr>
            <w:tcW w:w="90" w:type="dxa"/>
            <w:tcBorders/>
            <w:shd w:fill="auto" w:val="clear"/>
            <w:vAlign w:val="center"/>
          </w:tcPr>
          <w:p>
            <w:pPr>
              <w:pStyle w:val="TableContents"/>
              <w:spacing w:before="0" w:after="0"/>
              <w:ind w:left="0" w:right="0" w:firstLine="30"/>
              <w:rPr/>
            </w:pPr>
            <w:r>
              <w:rPr/>
              <w:t> </w:t>
            </w:r>
          </w:p>
        </w:tc>
        <w:tc>
          <w:tcPr>
            <w:tcW w:w="1335" w:type="dxa"/>
            <w:gridSpan w:val="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Variance</w:t>
            </w:r>
          </w:p>
        </w:tc>
      </w:tr>
      <w:tr>
        <w:trPr/>
        <w:tc>
          <w:tcPr>
            <w:tcW w:w="3275" w:type="dxa"/>
            <w:tcBorders>
              <w:bottom w:val="single" w:sz="2" w:space="0" w:color="000000"/>
            </w:tcBorders>
            <w:shd w:fill="auto" w:val="clear"/>
            <w:tcMar>
              <w:bottom w:w="30" w:type="dxa"/>
            </w:tcMar>
            <w:vAlign w:val="center"/>
          </w:tcPr>
          <w:p>
            <w:pPr>
              <w:pStyle w:val="TableContents"/>
              <w:spacing w:lineRule="auto" w:line="288" w:before="0" w:after="0"/>
              <w:ind w:left="0" w:right="0" w:firstLine="30"/>
              <w:rPr>
                <w:sz w:val="17"/>
              </w:rPr>
            </w:pPr>
            <w:r>
              <w:rPr>
                <w:rFonts w:ascii="inherit" w:hAnsi="inherit"/>
                <w:b/>
                <w:sz w:val="13"/>
              </w:rPr>
              <w:t>(in thousands of barrels per day)</w:t>
            </w:r>
            <w:r>
              <w:rPr>
                <w:sz w:val="17"/>
              </w:rPr>
              <w:t> </w:t>
            </w:r>
            <w:r>
              <w:rPr>
                <w:rFonts w:ascii="inherit" w:hAnsi="inherit"/>
                <w:b/>
                <w:sz w:val="12"/>
              </w:rPr>
              <w:t>(4)</w:t>
            </w:r>
          </w:p>
        </w:tc>
        <w:tc>
          <w:tcPr>
            <w:tcW w:w="90" w:type="dxa"/>
            <w:tcBorders/>
            <w:shd w:fill="auto" w:val="clear"/>
            <w:vAlign w:val="center"/>
          </w:tcPr>
          <w:p>
            <w:pPr>
              <w:pStyle w:val="TableContents"/>
              <w:spacing w:before="0" w:after="0"/>
              <w:ind w:left="0" w:right="0" w:firstLine="30"/>
              <w:rPr/>
            </w:pPr>
            <w:r>
              <w:rPr/>
              <w:t> </w:t>
            </w:r>
          </w:p>
        </w:tc>
        <w:tc>
          <w:tcPr>
            <w:tcW w:w="712"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124" w:type="dxa"/>
            <w:tcBorders/>
            <w:shd w:fill="auto" w:val="clear"/>
            <w:vAlign w:val="center"/>
          </w:tcPr>
          <w:p>
            <w:pPr>
              <w:pStyle w:val="TableContents"/>
              <w:spacing w:before="0" w:after="0"/>
              <w:ind w:left="0" w:right="0" w:firstLine="30"/>
              <w:rPr/>
            </w:pPr>
            <w:r>
              <w:rPr/>
              <w:t> </w:t>
            </w:r>
          </w:p>
        </w:tc>
        <w:tc>
          <w:tcPr>
            <w:tcW w:w="712"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0" w:type="dxa"/>
            <w:tcBorders/>
            <w:shd w:fill="auto" w:val="clear"/>
            <w:vAlign w:val="center"/>
          </w:tcPr>
          <w:p>
            <w:pPr>
              <w:pStyle w:val="TableContents"/>
              <w:spacing w:before="0" w:after="0"/>
              <w:ind w:left="0" w:right="0" w:firstLine="30"/>
              <w:rPr/>
            </w:pPr>
            <w:r>
              <w:rPr/>
              <w:t> </w:t>
            </w:r>
          </w:p>
        </w:tc>
        <w:tc>
          <w:tcPr>
            <w:tcW w:w="680"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Volumes</w:t>
            </w:r>
          </w:p>
        </w:tc>
        <w:tc>
          <w:tcPr>
            <w:tcW w:w="90" w:type="dxa"/>
            <w:tcBorders/>
            <w:shd w:fill="auto" w:val="clear"/>
            <w:vAlign w:val="center"/>
          </w:tcPr>
          <w:p>
            <w:pPr>
              <w:pStyle w:val="TableContents"/>
              <w:spacing w:before="0" w:after="0"/>
              <w:ind w:left="0" w:right="0" w:firstLine="30"/>
              <w:rPr/>
            </w:pPr>
            <w:r>
              <w:rPr/>
              <w:t> </w:t>
            </w:r>
          </w:p>
        </w:tc>
        <w:tc>
          <w:tcPr>
            <w:tcW w:w="550"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22"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108" w:type="dxa"/>
            <w:tcBorders/>
            <w:shd w:fill="auto" w:val="clear"/>
            <w:vAlign w:val="center"/>
          </w:tcPr>
          <w:p>
            <w:pPr>
              <w:pStyle w:val="TableContents"/>
              <w:spacing w:before="0" w:after="0"/>
              <w:ind w:left="0" w:right="0" w:firstLine="30"/>
              <w:rPr/>
            </w:pPr>
            <w:r>
              <w:rPr/>
              <w:t> </w:t>
            </w:r>
          </w:p>
        </w:tc>
        <w:tc>
          <w:tcPr>
            <w:tcW w:w="622"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0" w:type="dxa"/>
            <w:tcBorders/>
            <w:shd w:fill="auto" w:val="clear"/>
            <w:vAlign w:val="center"/>
          </w:tcPr>
          <w:p>
            <w:pPr>
              <w:pStyle w:val="TableContents"/>
              <w:spacing w:before="0" w:after="0"/>
              <w:ind w:left="0" w:right="0" w:firstLine="30"/>
              <w:rPr/>
            </w:pPr>
            <w:r>
              <w:rPr/>
              <w:t> </w:t>
            </w:r>
          </w:p>
        </w:tc>
        <w:tc>
          <w:tcPr>
            <w:tcW w:w="680"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Volumes</w:t>
            </w:r>
          </w:p>
        </w:tc>
        <w:tc>
          <w:tcPr>
            <w:tcW w:w="90" w:type="dxa"/>
            <w:tcBorders/>
            <w:shd w:fill="auto" w:val="clear"/>
            <w:vAlign w:val="center"/>
          </w:tcPr>
          <w:p>
            <w:pPr>
              <w:pStyle w:val="TableContents"/>
              <w:spacing w:before="0" w:after="0"/>
              <w:ind w:left="0" w:right="0" w:firstLine="30"/>
              <w:rPr/>
            </w:pPr>
            <w:r>
              <w:rPr/>
              <w:t> </w:t>
            </w:r>
          </w:p>
        </w:tc>
        <w:tc>
          <w:tcPr>
            <w:tcW w:w="565"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w:t>
            </w:r>
          </w:p>
        </w:tc>
      </w:tr>
      <w:tr>
        <w:trPr/>
        <w:tc>
          <w:tcPr>
            <w:tcW w:w="3275"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Tariff activities volumes</w:t>
            </w:r>
          </w:p>
        </w:tc>
        <w:tc>
          <w:tcPr>
            <w:tcW w:w="90" w:type="dxa"/>
            <w:tcBorders/>
            <w:shd w:fill="CCEEFF" w:val="clear"/>
            <w:vAlign w:val="center"/>
          </w:tcPr>
          <w:p>
            <w:pPr>
              <w:pStyle w:val="TableContents"/>
              <w:spacing w:before="0" w:after="0"/>
              <w:ind w:left="0" w:right="0" w:firstLine="30"/>
              <w:rPr/>
            </w:pPr>
            <w:r>
              <w:rPr/>
              <w:t> </w:t>
            </w:r>
          </w:p>
        </w:tc>
        <w:tc>
          <w:tcPr>
            <w:tcW w:w="671" w:type="dxa"/>
            <w:tcBorders/>
            <w:shd w:fill="CCEEFF" w:val="clear"/>
            <w:vAlign w:val="center"/>
          </w:tcPr>
          <w:p>
            <w:pPr>
              <w:pStyle w:val="TableContents"/>
              <w:spacing w:before="0" w:after="0"/>
              <w:jc w:val="right"/>
              <w:rPr/>
            </w:pPr>
            <w:r>
              <w:rPr/>
              <w:t> </w:t>
            </w:r>
          </w:p>
        </w:tc>
        <w:tc>
          <w:tcPr>
            <w:tcW w:w="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671" w:type="dxa"/>
            <w:tcBorders/>
            <w:shd w:fill="CCEEFF" w:val="clear"/>
            <w:vAlign w:val="center"/>
          </w:tcPr>
          <w:p>
            <w:pPr>
              <w:pStyle w:val="TableContents"/>
              <w:spacing w:before="0" w:after="0"/>
              <w:jc w:val="right"/>
              <w:rPr/>
            </w:pPr>
            <w:r>
              <w:rPr/>
              <w:t> </w:t>
            </w:r>
          </w:p>
        </w:tc>
        <w:tc>
          <w:tcPr>
            <w:tcW w:w="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11" w:type="dxa"/>
            <w:tcBorders/>
            <w:shd w:fill="CCEEFF" w:val="clear"/>
            <w:vAlign w:val="center"/>
          </w:tcPr>
          <w:p>
            <w:pPr>
              <w:pStyle w:val="TableContents"/>
              <w:spacing w:before="0" w:after="0"/>
              <w:jc w:val="right"/>
              <w:rPr/>
            </w:pPr>
            <w:r>
              <w:rPr/>
              <w:t> </w:t>
            </w:r>
          </w:p>
        </w:tc>
        <w:tc>
          <w:tcPr>
            <w:tcW w:w="16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90" w:type="dxa"/>
            <w:tcBorders/>
            <w:shd w:fill="CCEEFF" w:val="clear"/>
            <w:vAlign w:val="center"/>
          </w:tcPr>
          <w:p>
            <w:pPr>
              <w:pStyle w:val="TableContents"/>
              <w:spacing w:before="0" w:after="0"/>
              <w:jc w:val="right"/>
              <w:rPr/>
            </w:pPr>
            <w:r>
              <w:rPr/>
              <w:t> </w:t>
            </w:r>
          </w:p>
        </w:tc>
        <w:tc>
          <w:tcPr>
            <w:tcW w:w="2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622" w:type="dxa"/>
            <w:gridSpan w:val="2"/>
            <w:tcBorders/>
            <w:shd w:fill="CCEEFF" w:val="clear"/>
            <w:vAlign w:val="center"/>
          </w:tcPr>
          <w:p>
            <w:pPr>
              <w:pStyle w:val="TableContents"/>
              <w:spacing w:before="0" w:after="0"/>
              <w:ind w:left="0" w:right="0" w:firstLine="30"/>
              <w:jc w:val="left"/>
              <w:rPr/>
            </w:pPr>
            <w:r>
              <w:rPr/>
              <w:t> </w:t>
            </w:r>
          </w:p>
        </w:tc>
        <w:tc>
          <w:tcPr>
            <w:tcW w:w="108" w:type="dxa"/>
            <w:tcBorders/>
            <w:shd w:fill="CCEEFF" w:val="clear"/>
            <w:vAlign w:val="center"/>
          </w:tcPr>
          <w:p>
            <w:pPr>
              <w:pStyle w:val="TableContents"/>
              <w:spacing w:before="0" w:after="0"/>
              <w:ind w:left="0" w:right="0" w:firstLine="30"/>
              <w:rPr/>
            </w:pPr>
            <w:r>
              <w:rPr/>
              <w:t> </w:t>
            </w:r>
          </w:p>
        </w:tc>
        <w:tc>
          <w:tcPr>
            <w:tcW w:w="622" w:type="dxa"/>
            <w:gridSpan w:val="2"/>
            <w:tcBorders/>
            <w:shd w:fill="CCEEFF" w:val="clear"/>
            <w:vAlign w:val="center"/>
          </w:tcPr>
          <w:p>
            <w:pPr>
              <w:pStyle w:val="TableContents"/>
              <w:spacing w:before="0" w:after="0"/>
              <w:ind w:left="0" w:right="0" w:firstLine="30"/>
              <w:jc w:val="left"/>
              <w:rPr/>
            </w:pPr>
            <w:r>
              <w:rPr/>
              <w:t> </w:t>
            </w:r>
          </w:p>
        </w:tc>
        <w:tc>
          <w:tcPr>
            <w:tcW w:w="90" w:type="dxa"/>
            <w:tcBorders/>
            <w:shd w:fill="CCEEFF" w:val="clear"/>
            <w:vAlign w:val="center"/>
          </w:tcPr>
          <w:p>
            <w:pPr>
              <w:pStyle w:val="TableContents"/>
              <w:spacing w:before="0" w:after="0"/>
              <w:ind w:left="0" w:right="0" w:firstLine="30"/>
              <w:rPr/>
            </w:pPr>
            <w:r>
              <w:rPr/>
              <w:t> </w:t>
            </w:r>
          </w:p>
        </w:tc>
        <w:tc>
          <w:tcPr>
            <w:tcW w:w="680" w:type="dxa"/>
            <w:gridSpan w:val="2"/>
            <w:tcBorders/>
            <w:shd w:fill="CCEEFF" w:val="clear"/>
            <w:vAlign w:val="center"/>
          </w:tcPr>
          <w:p>
            <w:pPr>
              <w:pStyle w:val="TableContents"/>
              <w:spacing w:before="0" w:after="0"/>
              <w:ind w:left="0" w:right="0" w:firstLine="30"/>
              <w:jc w:val="left"/>
              <w:rPr/>
            </w:pPr>
            <w:r>
              <w:rPr/>
              <w:t> </w:t>
            </w:r>
          </w:p>
        </w:tc>
        <w:tc>
          <w:tcPr>
            <w:tcW w:w="90" w:type="dxa"/>
            <w:tcBorders/>
            <w:shd w:fill="CCEEFF" w:val="clear"/>
            <w:vAlign w:val="center"/>
          </w:tcPr>
          <w:p>
            <w:pPr>
              <w:pStyle w:val="TableContents"/>
              <w:spacing w:before="0" w:after="0"/>
              <w:ind w:left="0" w:right="0" w:firstLine="30"/>
              <w:rPr/>
            </w:pPr>
            <w:r>
              <w:rPr/>
              <w:t> </w:t>
            </w:r>
          </w:p>
        </w:tc>
        <w:tc>
          <w:tcPr>
            <w:tcW w:w="565" w:type="dxa"/>
            <w:gridSpan w:val="2"/>
            <w:tcBorders/>
            <w:shd w:fill="CCEEFF" w:val="clear"/>
            <w:vAlign w:val="center"/>
          </w:tcPr>
          <w:p>
            <w:pPr>
              <w:pStyle w:val="TableContents"/>
              <w:spacing w:before="0" w:after="0"/>
              <w:ind w:left="0" w:right="0" w:firstLine="30"/>
              <w:jc w:val="left"/>
              <w:rPr/>
            </w:pPr>
            <w:r>
              <w:rPr/>
              <w:t> </w:t>
            </w:r>
          </w:p>
        </w:tc>
      </w:tr>
      <w:tr>
        <w:trPr/>
        <w:tc>
          <w:tcPr>
            <w:tcW w:w="32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Crude oil pipelines (by region):</w:t>
            </w:r>
          </w:p>
        </w:tc>
        <w:tc>
          <w:tcPr>
            <w:tcW w:w="90" w:type="dxa"/>
            <w:tcBorders/>
            <w:shd w:fill="auto" w:val="clear"/>
            <w:vAlign w:val="center"/>
          </w:tcPr>
          <w:p>
            <w:pPr>
              <w:pStyle w:val="TableContents"/>
              <w:spacing w:before="0" w:after="0"/>
              <w:ind w:left="0" w:right="0" w:firstLine="30"/>
              <w:rPr/>
            </w:pPr>
            <w:r>
              <w:rPr/>
              <w:t> </w:t>
            </w:r>
          </w:p>
        </w:tc>
        <w:tc>
          <w:tcPr>
            <w:tcW w:w="671" w:type="dxa"/>
            <w:tcBorders/>
            <w:shd w:fill="auto" w:val="clear"/>
            <w:vAlign w:val="center"/>
          </w:tcPr>
          <w:p>
            <w:pPr>
              <w:pStyle w:val="TableContents"/>
              <w:spacing w:before="0" w:after="0"/>
              <w:jc w:val="right"/>
              <w:rPr/>
            </w:pPr>
            <w:r>
              <w:rPr/>
              <w:t> </w:t>
            </w:r>
          </w:p>
        </w:tc>
        <w:tc>
          <w:tcPr>
            <w:tcW w:w="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671" w:type="dxa"/>
            <w:tcBorders/>
            <w:shd w:fill="auto" w:val="clear"/>
            <w:vAlign w:val="center"/>
          </w:tcPr>
          <w:p>
            <w:pPr>
              <w:pStyle w:val="TableContents"/>
              <w:spacing w:before="0" w:after="0"/>
              <w:jc w:val="right"/>
              <w:rPr/>
            </w:pPr>
            <w:r>
              <w:rPr/>
              <w:t> </w:t>
            </w:r>
          </w:p>
        </w:tc>
        <w:tc>
          <w:tcPr>
            <w:tcW w:w="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11" w:type="dxa"/>
            <w:tcBorders/>
            <w:shd w:fill="auto" w:val="clear"/>
            <w:vAlign w:val="center"/>
          </w:tcPr>
          <w:p>
            <w:pPr>
              <w:pStyle w:val="TableContents"/>
              <w:spacing w:before="0" w:after="0"/>
              <w:jc w:val="right"/>
              <w:rPr/>
            </w:pPr>
            <w:r>
              <w:rPr/>
              <w:t> </w:t>
            </w:r>
          </w:p>
        </w:tc>
        <w:tc>
          <w:tcPr>
            <w:tcW w:w="1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90" w:type="dxa"/>
            <w:tcBorders/>
            <w:shd w:fill="auto" w:val="clear"/>
            <w:vAlign w:val="center"/>
          </w:tcPr>
          <w:p>
            <w:pPr>
              <w:pStyle w:val="TableContents"/>
              <w:spacing w:before="0" w:after="0"/>
              <w:jc w:val="right"/>
              <w:rPr/>
            </w:pPr>
            <w:r>
              <w:rPr/>
              <w:t> </w:t>
            </w:r>
          </w:p>
        </w:tc>
        <w:tc>
          <w:tcPr>
            <w:tcW w:w="2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622" w:type="dxa"/>
            <w:gridSpan w:val="2"/>
            <w:tcBorders/>
            <w:shd w:fill="auto" w:val="clear"/>
            <w:vAlign w:val="center"/>
          </w:tcPr>
          <w:p>
            <w:pPr>
              <w:pStyle w:val="TableContents"/>
              <w:spacing w:before="0" w:after="0"/>
              <w:ind w:left="0" w:right="0" w:firstLine="30"/>
              <w:jc w:val="left"/>
              <w:rPr/>
            </w:pPr>
            <w:r>
              <w:rPr/>
              <w:t> </w:t>
            </w:r>
          </w:p>
        </w:tc>
        <w:tc>
          <w:tcPr>
            <w:tcW w:w="108" w:type="dxa"/>
            <w:tcBorders/>
            <w:shd w:fill="auto" w:val="clear"/>
            <w:vAlign w:val="center"/>
          </w:tcPr>
          <w:p>
            <w:pPr>
              <w:pStyle w:val="TableContents"/>
              <w:spacing w:before="0" w:after="0"/>
              <w:ind w:left="0" w:right="0" w:firstLine="30"/>
              <w:rPr/>
            </w:pPr>
            <w:r>
              <w:rPr/>
              <w:t> </w:t>
            </w:r>
          </w:p>
        </w:tc>
        <w:tc>
          <w:tcPr>
            <w:tcW w:w="622" w:type="dxa"/>
            <w:gridSpan w:val="2"/>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680" w:type="dxa"/>
            <w:gridSpan w:val="2"/>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565" w:type="dxa"/>
            <w:gridSpan w:val="2"/>
            <w:tcBorders/>
            <w:shd w:fill="auto" w:val="clear"/>
            <w:vAlign w:val="center"/>
          </w:tcPr>
          <w:p>
            <w:pPr>
              <w:pStyle w:val="TableContents"/>
              <w:spacing w:before="0" w:after="0"/>
              <w:ind w:left="0" w:right="0" w:firstLine="30"/>
              <w:jc w:val="left"/>
              <w:rPr/>
            </w:pPr>
            <w:r>
              <w:rPr/>
              <w:t> </w:t>
            </w:r>
          </w:p>
        </w:tc>
      </w:tr>
      <w:tr>
        <w:trPr/>
        <w:tc>
          <w:tcPr>
            <w:tcW w:w="3275" w:type="dxa"/>
            <w:tcBorders/>
            <w:shd w:fill="CCEEFF" w:val="clear"/>
            <w:vAlign w:val="center"/>
          </w:tcPr>
          <w:p>
            <w:pPr>
              <w:pStyle w:val="TableContents"/>
              <w:spacing w:lineRule="auto" w:line="288" w:before="0" w:after="0"/>
              <w:ind w:left="0" w:right="0" w:firstLine="30"/>
              <w:jc w:val="left"/>
              <w:rPr>
                <w:sz w:val="17"/>
              </w:rPr>
            </w:pPr>
            <w:r>
              <w:rPr>
                <w:rFonts w:ascii="inherit" w:hAnsi="inherit"/>
                <w:sz w:val="17"/>
              </w:rPr>
              <w:t xml:space="preserve">Permian Basin </w:t>
            </w:r>
            <w:r>
              <w:rPr>
                <w:rFonts w:ascii="inherit" w:hAnsi="inherit"/>
                <w:sz w:val="12"/>
              </w:rPr>
              <w:t>(5)</w:t>
            </w:r>
          </w:p>
        </w:tc>
        <w:tc>
          <w:tcPr>
            <w:tcW w:w="90" w:type="dxa"/>
            <w:tcBorders/>
            <w:shd w:fill="CCEEFF" w:val="clear"/>
            <w:vAlign w:val="center"/>
          </w:tcPr>
          <w:p>
            <w:pPr>
              <w:pStyle w:val="TableContents"/>
              <w:spacing w:before="0" w:after="0"/>
              <w:ind w:left="0" w:right="0" w:firstLine="30"/>
              <w:rPr/>
            </w:pPr>
            <w:r>
              <w:rPr/>
              <w:t> </w:t>
            </w:r>
          </w:p>
        </w:tc>
        <w:tc>
          <w:tcPr>
            <w:tcW w:w="671" w:type="dxa"/>
            <w:tcBorders/>
            <w:shd w:fill="CCEEFF" w:val="clear"/>
            <w:vAlign w:val="center"/>
          </w:tcPr>
          <w:p>
            <w:pPr>
              <w:pStyle w:val="TableContents"/>
              <w:spacing w:before="0" w:after="0"/>
              <w:jc w:val="right"/>
              <w:rPr>
                <w:rFonts w:ascii="inherit" w:hAnsi="inherit"/>
                <w:sz w:val="17"/>
              </w:rPr>
            </w:pPr>
            <w:r>
              <w:rPr>
                <w:rFonts w:ascii="inherit" w:hAnsi="inherit"/>
                <w:sz w:val="17"/>
              </w:rPr>
              <w:t>4,575</w:t>
            </w:r>
          </w:p>
        </w:tc>
        <w:tc>
          <w:tcPr>
            <w:tcW w:w="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671" w:type="dxa"/>
            <w:tcBorders/>
            <w:shd w:fill="CCEEFF" w:val="clear"/>
            <w:vAlign w:val="center"/>
          </w:tcPr>
          <w:p>
            <w:pPr>
              <w:pStyle w:val="TableContents"/>
              <w:spacing w:before="0" w:after="0"/>
              <w:jc w:val="right"/>
              <w:rPr>
                <w:rFonts w:ascii="inherit" w:hAnsi="inherit"/>
                <w:sz w:val="17"/>
              </w:rPr>
            </w:pPr>
            <w:r>
              <w:rPr>
                <w:rFonts w:ascii="inherit" w:hAnsi="inherit"/>
                <w:sz w:val="17"/>
              </w:rPr>
              <w:t>3,734</w:t>
            </w:r>
          </w:p>
        </w:tc>
        <w:tc>
          <w:tcPr>
            <w:tcW w:w="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11" w:type="dxa"/>
            <w:tcBorders/>
            <w:shd w:fill="CCEEFF" w:val="clear"/>
            <w:vAlign w:val="center"/>
          </w:tcPr>
          <w:p>
            <w:pPr>
              <w:pStyle w:val="TableContents"/>
              <w:spacing w:before="0" w:after="0"/>
              <w:jc w:val="right"/>
              <w:rPr>
                <w:rFonts w:ascii="inherit" w:hAnsi="inherit"/>
                <w:sz w:val="17"/>
              </w:rPr>
            </w:pPr>
            <w:r>
              <w:rPr>
                <w:rFonts w:ascii="inherit" w:hAnsi="inherit"/>
                <w:sz w:val="17"/>
              </w:rPr>
              <w:t>841</w:t>
            </w:r>
          </w:p>
        </w:tc>
        <w:tc>
          <w:tcPr>
            <w:tcW w:w="16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90" w:type="dxa"/>
            <w:tcBorders/>
            <w:shd w:fill="CCEEFF" w:val="clear"/>
            <w:vAlign w:val="center"/>
          </w:tcPr>
          <w:p>
            <w:pPr>
              <w:pStyle w:val="TableContents"/>
              <w:spacing w:before="0" w:after="0"/>
              <w:jc w:val="right"/>
              <w:rPr>
                <w:rFonts w:ascii="inherit" w:hAnsi="inherit"/>
                <w:sz w:val="17"/>
              </w:rPr>
            </w:pPr>
            <w:r>
              <w:rPr>
                <w:rFonts w:ascii="inherit" w:hAnsi="inherit"/>
                <w:sz w:val="17"/>
              </w:rPr>
              <w:t>23</w:t>
            </w:r>
          </w:p>
        </w:tc>
        <w:tc>
          <w:tcPr>
            <w:tcW w:w="260" w:type="dxa"/>
            <w:tcBorders/>
            <w:shd w:fill="CCEEFF" w:val="clear"/>
            <w:vAlign w:val="center"/>
          </w:tcPr>
          <w:p>
            <w:pPr>
              <w:pStyle w:val="TableContents"/>
              <w:spacing w:before="0" w:after="0"/>
              <w:ind w:left="0" w:right="0" w:firstLine="30"/>
              <w:jc w:val="left"/>
              <w:rPr/>
            </w:pPr>
            <w:r>
              <w:rPr/>
              <w:t> </w:t>
            </w: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586" w:type="dxa"/>
            <w:tcBorders/>
            <w:shd w:fill="CCEEFF" w:val="clear"/>
            <w:vAlign w:val="center"/>
          </w:tcPr>
          <w:p>
            <w:pPr>
              <w:pStyle w:val="TableContents"/>
              <w:spacing w:before="0" w:after="0"/>
              <w:jc w:val="right"/>
              <w:rPr>
                <w:rFonts w:ascii="inherit" w:hAnsi="inherit"/>
                <w:sz w:val="17"/>
              </w:rPr>
            </w:pPr>
            <w:r>
              <w:rPr>
                <w:rFonts w:ascii="inherit" w:hAnsi="inherit"/>
                <w:sz w:val="17"/>
              </w:rPr>
              <w:t>4,423</w:t>
            </w:r>
          </w:p>
        </w:tc>
        <w:tc>
          <w:tcPr>
            <w:tcW w:w="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 w:type="dxa"/>
            <w:tcBorders/>
            <w:shd w:fill="CCEEFF" w:val="clear"/>
            <w:vAlign w:val="center"/>
          </w:tcPr>
          <w:p>
            <w:pPr>
              <w:pStyle w:val="TableContents"/>
              <w:spacing w:before="0" w:after="0"/>
              <w:ind w:left="0" w:right="0" w:firstLine="30"/>
              <w:rPr/>
            </w:pPr>
            <w:r>
              <w:rPr/>
              <w:t> </w:t>
            </w:r>
          </w:p>
        </w:tc>
        <w:tc>
          <w:tcPr>
            <w:tcW w:w="586" w:type="dxa"/>
            <w:tcBorders/>
            <w:shd w:fill="CCEEFF" w:val="clear"/>
            <w:vAlign w:val="center"/>
          </w:tcPr>
          <w:p>
            <w:pPr>
              <w:pStyle w:val="TableContents"/>
              <w:spacing w:before="0" w:after="0"/>
              <w:jc w:val="right"/>
              <w:rPr>
                <w:rFonts w:ascii="inherit" w:hAnsi="inherit"/>
                <w:sz w:val="17"/>
              </w:rPr>
            </w:pPr>
            <w:r>
              <w:rPr>
                <w:rFonts w:ascii="inherit" w:hAnsi="inherit"/>
                <w:sz w:val="17"/>
              </w:rPr>
              <w:t>3,489</w:t>
            </w:r>
          </w:p>
        </w:tc>
        <w:tc>
          <w:tcPr>
            <w:tcW w:w="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54" w:type="dxa"/>
            <w:tcBorders/>
            <w:shd w:fill="CCEEFF" w:val="clear"/>
            <w:vAlign w:val="center"/>
          </w:tcPr>
          <w:p>
            <w:pPr>
              <w:pStyle w:val="TableContents"/>
              <w:spacing w:before="0" w:after="0"/>
              <w:jc w:val="right"/>
              <w:rPr>
                <w:rFonts w:ascii="inherit" w:hAnsi="inherit"/>
                <w:sz w:val="17"/>
              </w:rPr>
            </w:pPr>
            <w:r>
              <w:rPr>
                <w:rFonts w:ascii="inherit" w:hAnsi="inherit"/>
                <w:sz w:val="17"/>
              </w:rPr>
              <w:t>934</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90" w:type="dxa"/>
            <w:tcBorders/>
            <w:shd w:fill="CCEEFF" w:val="clear"/>
            <w:vAlign w:val="center"/>
          </w:tcPr>
          <w:p>
            <w:pPr>
              <w:pStyle w:val="TableContents"/>
              <w:spacing w:before="0" w:after="0"/>
              <w:jc w:val="right"/>
              <w:rPr>
                <w:rFonts w:ascii="inherit" w:hAnsi="inherit"/>
                <w:sz w:val="17"/>
              </w:rPr>
            </w:pPr>
            <w:r>
              <w:rPr>
                <w:rFonts w:ascii="inherit" w:hAnsi="inherit"/>
                <w:sz w:val="17"/>
              </w:rPr>
              <w:t>27</w:t>
            </w:r>
          </w:p>
        </w:tc>
        <w:tc>
          <w:tcPr>
            <w:tcW w:w="275" w:type="dxa"/>
            <w:tcBorders/>
            <w:shd w:fill="CCEEFF" w:val="clear"/>
            <w:vAlign w:val="center"/>
          </w:tcPr>
          <w:p>
            <w:pPr>
              <w:pStyle w:val="TableContents"/>
              <w:spacing w:before="0" w:after="0"/>
              <w:ind w:left="0" w:right="0" w:firstLine="30"/>
              <w:jc w:val="left"/>
              <w:rPr/>
            </w:pPr>
            <w:r>
              <w:rPr/>
              <w:t> </w:t>
            </w:r>
            <w:r>
              <w:rPr>
                <w:rFonts w:ascii="inherit" w:hAnsi="inherit"/>
                <w:sz w:val="17"/>
              </w:rPr>
              <w:t>%</w:t>
            </w:r>
          </w:p>
        </w:tc>
      </w:tr>
      <w:tr>
        <w:trPr/>
        <w:tc>
          <w:tcPr>
            <w:tcW w:w="3275" w:type="dxa"/>
            <w:tcBorders/>
            <w:shd w:fill="auto" w:val="clear"/>
            <w:vAlign w:val="center"/>
          </w:tcPr>
          <w:p>
            <w:pPr>
              <w:pStyle w:val="TableContents"/>
              <w:spacing w:lineRule="auto" w:line="288" w:before="0" w:after="0"/>
              <w:ind w:left="0" w:right="0" w:firstLine="30"/>
              <w:jc w:val="left"/>
              <w:rPr>
                <w:sz w:val="17"/>
              </w:rPr>
            </w:pPr>
            <w:r>
              <w:rPr>
                <w:rFonts w:ascii="inherit" w:hAnsi="inherit"/>
                <w:sz w:val="17"/>
              </w:rPr>
              <w:t xml:space="preserve">South Texas / Eagle Ford </w:t>
            </w:r>
            <w:r>
              <w:rPr>
                <w:rFonts w:ascii="inherit" w:hAnsi="inherit"/>
                <w:sz w:val="12"/>
              </w:rPr>
              <w:t>(5)</w:t>
            </w:r>
          </w:p>
        </w:tc>
        <w:tc>
          <w:tcPr>
            <w:tcW w:w="90" w:type="dxa"/>
            <w:tcBorders/>
            <w:shd w:fill="auto" w:val="clear"/>
            <w:vAlign w:val="center"/>
          </w:tcPr>
          <w:p>
            <w:pPr>
              <w:pStyle w:val="TableContents"/>
              <w:spacing w:before="0" w:after="0"/>
              <w:ind w:left="0" w:right="0" w:firstLine="30"/>
              <w:rPr/>
            </w:pPr>
            <w:r>
              <w:rPr/>
              <w:t> </w:t>
            </w:r>
          </w:p>
        </w:tc>
        <w:tc>
          <w:tcPr>
            <w:tcW w:w="671" w:type="dxa"/>
            <w:tcBorders/>
            <w:shd w:fill="auto" w:val="clear"/>
            <w:vAlign w:val="center"/>
          </w:tcPr>
          <w:p>
            <w:pPr>
              <w:pStyle w:val="TableContents"/>
              <w:spacing w:before="0" w:after="0"/>
              <w:jc w:val="right"/>
              <w:rPr>
                <w:rFonts w:ascii="inherit" w:hAnsi="inherit"/>
                <w:sz w:val="17"/>
              </w:rPr>
            </w:pPr>
            <w:r>
              <w:rPr>
                <w:rFonts w:ascii="inherit" w:hAnsi="inherit"/>
                <w:sz w:val="17"/>
              </w:rPr>
              <w:t>448</w:t>
            </w:r>
          </w:p>
        </w:tc>
        <w:tc>
          <w:tcPr>
            <w:tcW w:w="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671" w:type="dxa"/>
            <w:tcBorders/>
            <w:shd w:fill="auto" w:val="clear"/>
            <w:vAlign w:val="center"/>
          </w:tcPr>
          <w:p>
            <w:pPr>
              <w:pStyle w:val="TableContents"/>
              <w:spacing w:before="0" w:after="0"/>
              <w:jc w:val="right"/>
              <w:rPr>
                <w:rFonts w:ascii="inherit" w:hAnsi="inherit"/>
                <w:sz w:val="17"/>
              </w:rPr>
            </w:pPr>
            <w:r>
              <w:rPr>
                <w:rFonts w:ascii="inherit" w:hAnsi="inherit"/>
                <w:sz w:val="17"/>
              </w:rPr>
              <w:t>434</w:t>
            </w:r>
          </w:p>
        </w:tc>
        <w:tc>
          <w:tcPr>
            <w:tcW w:w="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11" w:type="dxa"/>
            <w:tcBorders/>
            <w:shd w:fill="auto" w:val="clear"/>
            <w:vAlign w:val="center"/>
          </w:tcPr>
          <w:p>
            <w:pPr>
              <w:pStyle w:val="TableContents"/>
              <w:spacing w:before="0" w:after="0"/>
              <w:jc w:val="right"/>
              <w:rPr>
                <w:rFonts w:ascii="inherit" w:hAnsi="inherit"/>
                <w:sz w:val="17"/>
              </w:rPr>
            </w:pPr>
            <w:r>
              <w:rPr>
                <w:rFonts w:ascii="inherit" w:hAnsi="inherit"/>
                <w:sz w:val="17"/>
              </w:rPr>
              <w:t>14</w:t>
            </w:r>
          </w:p>
        </w:tc>
        <w:tc>
          <w:tcPr>
            <w:tcW w:w="1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90" w:type="dxa"/>
            <w:tcBorders/>
            <w:shd w:fill="auto" w:val="clear"/>
            <w:vAlign w:val="center"/>
          </w:tcPr>
          <w:p>
            <w:pPr>
              <w:pStyle w:val="TableContents"/>
              <w:spacing w:before="0" w:after="0"/>
              <w:jc w:val="right"/>
              <w:rPr>
                <w:rFonts w:ascii="inherit" w:hAnsi="inherit"/>
                <w:sz w:val="17"/>
              </w:rPr>
            </w:pPr>
            <w:r>
              <w:rPr>
                <w:rFonts w:ascii="inherit" w:hAnsi="inherit"/>
                <w:sz w:val="17"/>
              </w:rPr>
              <w:t>3</w:t>
            </w:r>
          </w:p>
        </w:tc>
        <w:tc>
          <w:tcPr>
            <w:tcW w:w="260" w:type="dxa"/>
            <w:tcBorders/>
            <w:shd w:fill="auto" w:val="clear"/>
            <w:vAlign w:val="center"/>
          </w:tcPr>
          <w:p>
            <w:pPr>
              <w:pStyle w:val="TableContents"/>
              <w:spacing w:before="0" w:after="0"/>
              <w:ind w:left="0" w:right="0" w:firstLine="30"/>
              <w:jc w:val="left"/>
              <w:rPr/>
            </w:pPr>
            <w:r>
              <w:rPr/>
              <w:t> </w:t>
            </w: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586" w:type="dxa"/>
            <w:tcBorders/>
            <w:shd w:fill="auto" w:val="clear"/>
            <w:vAlign w:val="center"/>
          </w:tcPr>
          <w:p>
            <w:pPr>
              <w:pStyle w:val="TableContents"/>
              <w:spacing w:before="0" w:after="0"/>
              <w:jc w:val="right"/>
              <w:rPr>
                <w:rFonts w:ascii="inherit" w:hAnsi="inherit"/>
                <w:sz w:val="17"/>
              </w:rPr>
            </w:pPr>
            <w:r>
              <w:rPr>
                <w:rFonts w:ascii="inherit" w:hAnsi="inherit"/>
                <w:sz w:val="17"/>
              </w:rPr>
              <w:t>454</w:t>
            </w:r>
          </w:p>
        </w:tc>
        <w:tc>
          <w:tcPr>
            <w:tcW w:w="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 w:type="dxa"/>
            <w:tcBorders/>
            <w:shd w:fill="auto" w:val="clear"/>
            <w:vAlign w:val="center"/>
          </w:tcPr>
          <w:p>
            <w:pPr>
              <w:pStyle w:val="TableContents"/>
              <w:spacing w:before="0" w:after="0"/>
              <w:ind w:left="0" w:right="0" w:firstLine="30"/>
              <w:rPr/>
            </w:pPr>
            <w:r>
              <w:rPr/>
              <w:t> </w:t>
            </w:r>
          </w:p>
        </w:tc>
        <w:tc>
          <w:tcPr>
            <w:tcW w:w="586" w:type="dxa"/>
            <w:tcBorders/>
            <w:shd w:fill="auto" w:val="clear"/>
            <w:vAlign w:val="center"/>
          </w:tcPr>
          <w:p>
            <w:pPr>
              <w:pStyle w:val="TableContents"/>
              <w:spacing w:before="0" w:after="0"/>
              <w:jc w:val="right"/>
              <w:rPr>
                <w:rFonts w:ascii="inherit" w:hAnsi="inherit"/>
                <w:sz w:val="17"/>
              </w:rPr>
            </w:pPr>
            <w:r>
              <w:rPr>
                <w:rFonts w:ascii="inherit" w:hAnsi="inherit"/>
                <w:sz w:val="17"/>
              </w:rPr>
              <w:t>428</w:t>
            </w:r>
          </w:p>
        </w:tc>
        <w:tc>
          <w:tcPr>
            <w:tcW w:w="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54" w:type="dxa"/>
            <w:tcBorders/>
            <w:shd w:fill="auto" w:val="clear"/>
            <w:vAlign w:val="center"/>
          </w:tcPr>
          <w:p>
            <w:pPr>
              <w:pStyle w:val="TableContents"/>
              <w:spacing w:before="0" w:after="0"/>
              <w:jc w:val="right"/>
              <w:rPr>
                <w:rFonts w:ascii="inherit" w:hAnsi="inherit"/>
                <w:sz w:val="17"/>
              </w:rPr>
            </w:pPr>
            <w:r>
              <w:rPr>
                <w:rFonts w:ascii="inherit" w:hAnsi="inherit"/>
                <w:sz w:val="17"/>
              </w:rPr>
              <w:t>26</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90" w:type="dxa"/>
            <w:tcBorders/>
            <w:shd w:fill="auto" w:val="clear"/>
            <w:vAlign w:val="center"/>
          </w:tcPr>
          <w:p>
            <w:pPr>
              <w:pStyle w:val="TableContents"/>
              <w:spacing w:before="0" w:after="0"/>
              <w:jc w:val="right"/>
              <w:rPr>
                <w:rFonts w:ascii="inherit" w:hAnsi="inherit"/>
                <w:sz w:val="17"/>
              </w:rPr>
            </w:pPr>
            <w:r>
              <w:rPr>
                <w:rFonts w:ascii="inherit" w:hAnsi="inherit"/>
                <w:sz w:val="17"/>
              </w:rPr>
              <w:t>6</w:t>
            </w:r>
          </w:p>
        </w:tc>
        <w:tc>
          <w:tcPr>
            <w:tcW w:w="275" w:type="dxa"/>
            <w:tcBorders/>
            <w:shd w:fill="auto" w:val="clear"/>
            <w:vAlign w:val="center"/>
          </w:tcPr>
          <w:p>
            <w:pPr>
              <w:pStyle w:val="TableContents"/>
              <w:spacing w:before="0" w:after="0"/>
              <w:ind w:left="0" w:right="0" w:firstLine="30"/>
              <w:jc w:val="left"/>
              <w:rPr/>
            </w:pPr>
            <w:r>
              <w:rPr/>
              <w:t> </w:t>
            </w:r>
            <w:r>
              <w:rPr>
                <w:rFonts w:ascii="inherit" w:hAnsi="inherit"/>
                <w:sz w:val="17"/>
              </w:rPr>
              <w:t>%</w:t>
            </w:r>
          </w:p>
        </w:tc>
      </w:tr>
      <w:tr>
        <w:trPr/>
        <w:tc>
          <w:tcPr>
            <w:tcW w:w="3275" w:type="dxa"/>
            <w:tcBorders/>
            <w:shd w:fill="CCEEFF" w:val="clear"/>
            <w:vAlign w:val="center"/>
          </w:tcPr>
          <w:p>
            <w:pPr>
              <w:pStyle w:val="TableContents"/>
              <w:spacing w:lineRule="auto" w:line="288" w:before="0" w:after="0"/>
              <w:ind w:left="0" w:right="0" w:firstLine="30"/>
              <w:jc w:val="left"/>
              <w:rPr>
                <w:sz w:val="17"/>
              </w:rPr>
            </w:pPr>
            <w:r>
              <w:rPr>
                <w:rFonts w:ascii="inherit" w:hAnsi="inherit"/>
                <w:sz w:val="17"/>
              </w:rPr>
              <w:t xml:space="preserve">Central </w:t>
            </w:r>
            <w:r>
              <w:rPr>
                <w:rFonts w:ascii="inherit" w:hAnsi="inherit"/>
                <w:sz w:val="12"/>
              </w:rPr>
              <w:t>(5)</w:t>
            </w:r>
          </w:p>
        </w:tc>
        <w:tc>
          <w:tcPr>
            <w:tcW w:w="90" w:type="dxa"/>
            <w:tcBorders/>
            <w:shd w:fill="CCEEFF" w:val="clear"/>
            <w:vAlign w:val="center"/>
          </w:tcPr>
          <w:p>
            <w:pPr>
              <w:pStyle w:val="TableContents"/>
              <w:spacing w:before="0" w:after="0"/>
              <w:ind w:left="0" w:right="0" w:firstLine="30"/>
              <w:rPr/>
            </w:pPr>
            <w:r>
              <w:rPr/>
              <w:t> </w:t>
            </w:r>
          </w:p>
        </w:tc>
        <w:tc>
          <w:tcPr>
            <w:tcW w:w="671" w:type="dxa"/>
            <w:tcBorders/>
            <w:shd w:fill="CCEEFF" w:val="clear"/>
            <w:vAlign w:val="center"/>
          </w:tcPr>
          <w:p>
            <w:pPr>
              <w:pStyle w:val="TableContents"/>
              <w:spacing w:before="0" w:after="0"/>
              <w:jc w:val="right"/>
              <w:rPr>
                <w:rFonts w:ascii="inherit" w:hAnsi="inherit"/>
                <w:sz w:val="17"/>
              </w:rPr>
            </w:pPr>
            <w:r>
              <w:rPr>
                <w:rFonts w:ascii="inherit" w:hAnsi="inherit"/>
                <w:sz w:val="17"/>
              </w:rPr>
              <w:t>525</w:t>
            </w:r>
          </w:p>
        </w:tc>
        <w:tc>
          <w:tcPr>
            <w:tcW w:w="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671" w:type="dxa"/>
            <w:tcBorders/>
            <w:shd w:fill="CCEEFF" w:val="clear"/>
            <w:vAlign w:val="center"/>
          </w:tcPr>
          <w:p>
            <w:pPr>
              <w:pStyle w:val="TableContents"/>
              <w:spacing w:before="0" w:after="0"/>
              <w:jc w:val="right"/>
              <w:rPr>
                <w:rFonts w:ascii="inherit" w:hAnsi="inherit"/>
                <w:sz w:val="17"/>
              </w:rPr>
            </w:pPr>
            <w:r>
              <w:rPr>
                <w:rFonts w:ascii="inherit" w:hAnsi="inherit"/>
                <w:sz w:val="17"/>
              </w:rPr>
              <w:t>448</w:t>
            </w:r>
          </w:p>
        </w:tc>
        <w:tc>
          <w:tcPr>
            <w:tcW w:w="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11" w:type="dxa"/>
            <w:tcBorders/>
            <w:shd w:fill="CCEEFF" w:val="clear"/>
            <w:vAlign w:val="center"/>
          </w:tcPr>
          <w:p>
            <w:pPr>
              <w:pStyle w:val="TableContents"/>
              <w:spacing w:before="0" w:after="0"/>
              <w:jc w:val="right"/>
              <w:rPr>
                <w:rFonts w:ascii="inherit" w:hAnsi="inherit"/>
                <w:sz w:val="17"/>
              </w:rPr>
            </w:pPr>
            <w:r>
              <w:rPr>
                <w:rFonts w:ascii="inherit" w:hAnsi="inherit"/>
                <w:sz w:val="17"/>
              </w:rPr>
              <w:t>77</w:t>
            </w:r>
          </w:p>
        </w:tc>
        <w:tc>
          <w:tcPr>
            <w:tcW w:w="16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90" w:type="dxa"/>
            <w:tcBorders/>
            <w:shd w:fill="CCEEFF" w:val="clear"/>
            <w:vAlign w:val="center"/>
          </w:tcPr>
          <w:p>
            <w:pPr>
              <w:pStyle w:val="TableContents"/>
              <w:spacing w:before="0" w:after="0"/>
              <w:jc w:val="right"/>
              <w:rPr>
                <w:rFonts w:ascii="inherit" w:hAnsi="inherit"/>
                <w:sz w:val="17"/>
              </w:rPr>
            </w:pPr>
            <w:r>
              <w:rPr>
                <w:rFonts w:ascii="inherit" w:hAnsi="inherit"/>
                <w:sz w:val="17"/>
              </w:rPr>
              <w:t>17</w:t>
            </w:r>
          </w:p>
        </w:tc>
        <w:tc>
          <w:tcPr>
            <w:tcW w:w="260" w:type="dxa"/>
            <w:tcBorders/>
            <w:shd w:fill="CCEEFF" w:val="clear"/>
            <w:vAlign w:val="center"/>
          </w:tcPr>
          <w:p>
            <w:pPr>
              <w:pStyle w:val="TableContents"/>
              <w:spacing w:before="0" w:after="0"/>
              <w:ind w:left="0" w:right="0" w:firstLine="30"/>
              <w:jc w:val="left"/>
              <w:rPr/>
            </w:pPr>
            <w:r>
              <w:rPr/>
              <w:t> </w:t>
            </w: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586" w:type="dxa"/>
            <w:tcBorders/>
            <w:shd w:fill="CCEEFF" w:val="clear"/>
            <w:vAlign w:val="center"/>
          </w:tcPr>
          <w:p>
            <w:pPr>
              <w:pStyle w:val="TableContents"/>
              <w:spacing w:before="0" w:after="0"/>
              <w:jc w:val="right"/>
              <w:rPr>
                <w:rFonts w:ascii="inherit" w:hAnsi="inherit"/>
                <w:sz w:val="17"/>
              </w:rPr>
            </w:pPr>
            <w:r>
              <w:rPr>
                <w:rFonts w:ascii="inherit" w:hAnsi="inherit"/>
                <w:sz w:val="17"/>
              </w:rPr>
              <w:t>517</w:t>
            </w:r>
          </w:p>
        </w:tc>
        <w:tc>
          <w:tcPr>
            <w:tcW w:w="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 w:type="dxa"/>
            <w:tcBorders/>
            <w:shd w:fill="CCEEFF" w:val="clear"/>
            <w:vAlign w:val="center"/>
          </w:tcPr>
          <w:p>
            <w:pPr>
              <w:pStyle w:val="TableContents"/>
              <w:spacing w:before="0" w:after="0"/>
              <w:ind w:left="0" w:right="0" w:firstLine="30"/>
              <w:rPr/>
            </w:pPr>
            <w:r>
              <w:rPr/>
              <w:t> </w:t>
            </w:r>
          </w:p>
        </w:tc>
        <w:tc>
          <w:tcPr>
            <w:tcW w:w="586" w:type="dxa"/>
            <w:tcBorders/>
            <w:shd w:fill="CCEEFF" w:val="clear"/>
            <w:vAlign w:val="center"/>
          </w:tcPr>
          <w:p>
            <w:pPr>
              <w:pStyle w:val="TableContents"/>
              <w:spacing w:before="0" w:after="0"/>
              <w:jc w:val="right"/>
              <w:rPr>
                <w:rFonts w:ascii="inherit" w:hAnsi="inherit"/>
                <w:sz w:val="17"/>
              </w:rPr>
            </w:pPr>
            <w:r>
              <w:rPr>
                <w:rFonts w:ascii="inherit" w:hAnsi="inherit"/>
                <w:sz w:val="17"/>
              </w:rPr>
              <w:t>445</w:t>
            </w:r>
          </w:p>
        </w:tc>
        <w:tc>
          <w:tcPr>
            <w:tcW w:w="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54" w:type="dxa"/>
            <w:tcBorders/>
            <w:shd w:fill="CCEEFF" w:val="clear"/>
            <w:vAlign w:val="center"/>
          </w:tcPr>
          <w:p>
            <w:pPr>
              <w:pStyle w:val="TableContents"/>
              <w:spacing w:before="0" w:after="0"/>
              <w:jc w:val="right"/>
              <w:rPr>
                <w:rFonts w:ascii="inherit" w:hAnsi="inherit"/>
                <w:sz w:val="17"/>
              </w:rPr>
            </w:pPr>
            <w:r>
              <w:rPr>
                <w:rFonts w:ascii="inherit" w:hAnsi="inherit"/>
                <w:sz w:val="17"/>
              </w:rPr>
              <w:t>72</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90" w:type="dxa"/>
            <w:tcBorders/>
            <w:shd w:fill="CCEEFF" w:val="clear"/>
            <w:vAlign w:val="center"/>
          </w:tcPr>
          <w:p>
            <w:pPr>
              <w:pStyle w:val="TableContents"/>
              <w:spacing w:before="0" w:after="0"/>
              <w:jc w:val="right"/>
              <w:rPr>
                <w:rFonts w:ascii="inherit" w:hAnsi="inherit"/>
                <w:sz w:val="17"/>
              </w:rPr>
            </w:pPr>
            <w:r>
              <w:rPr>
                <w:rFonts w:ascii="inherit" w:hAnsi="inherit"/>
                <w:sz w:val="17"/>
              </w:rPr>
              <w:t>16</w:t>
            </w:r>
          </w:p>
        </w:tc>
        <w:tc>
          <w:tcPr>
            <w:tcW w:w="275" w:type="dxa"/>
            <w:tcBorders/>
            <w:shd w:fill="CCEEFF" w:val="clear"/>
            <w:vAlign w:val="center"/>
          </w:tcPr>
          <w:p>
            <w:pPr>
              <w:pStyle w:val="TableContents"/>
              <w:spacing w:before="0" w:after="0"/>
              <w:ind w:left="0" w:right="0" w:firstLine="30"/>
              <w:jc w:val="left"/>
              <w:rPr/>
            </w:pPr>
            <w:r>
              <w:rPr/>
              <w:t> </w:t>
            </w:r>
            <w:r>
              <w:rPr>
                <w:rFonts w:ascii="inherit" w:hAnsi="inherit"/>
                <w:sz w:val="17"/>
              </w:rPr>
              <w:t>%</w:t>
            </w:r>
          </w:p>
        </w:tc>
      </w:tr>
      <w:tr>
        <w:trPr/>
        <w:tc>
          <w:tcPr>
            <w:tcW w:w="32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Gulf Coast</w:t>
            </w:r>
          </w:p>
        </w:tc>
        <w:tc>
          <w:tcPr>
            <w:tcW w:w="90" w:type="dxa"/>
            <w:tcBorders/>
            <w:shd w:fill="auto" w:val="clear"/>
            <w:vAlign w:val="center"/>
          </w:tcPr>
          <w:p>
            <w:pPr>
              <w:pStyle w:val="TableContents"/>
              <w:spacing w:before="0" w:after="0"/>
              <w:ind w:left="0" w:right="0" w:firstLine="30"/>
              <w:rPr/>
            </w:pPr>
            <w:r>
              <w:rPr/>
              <w:t> </w:t>
            </w:r>
          </w:p>
        </w:tc>
        <w:tc>
          <w:tcPr>
            <w:tcW w:w="671" w:type="dxa"/>
            <w:tcBorders/>
            <w:shd w:fill="auto" w:val="clear"/>
            <w:vAlign w:val="center"/>
          </w:tcPr>
          <w:p>
            <w:pPr>
              <w:pStyle w:val="TableContents"/>
              <w:spacing w:before="0" w:after="0"/>
              <w:jc w:val="right"/>
              <w:rPr>
                <w:rFonts w:ascii="inherit" w:hAnsi="inherit"/>
                <w:sz w:val="17"/>
              </w:rPr>
            </w:pPr>
            <w:r>
              <w:rPr>
                <w:rFonts w:ascii="inherit" w:hAnsi="inherit"/>
                <w:sz w:val="17"/>
              </w:rPr>
              <w:t>147</w:t>
            </w:r>
          </w:p>
        </w:tc>
        <w:tc>
          <w:tcPr>
            <w:tcW w:w="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671" w:type="dxa"/>
            <w:tcBorders/>
            <w:shd w:fill="auto" w:val="clear"/>
            <w:vAlign w:val="center"/>
          </w:tcPr>
          <w:p>
            <w:pPr>
              <w:pStyle w:val="TableContents"/>
              <w:spacing w:before="0" w:after="0"/>
              <w:jc w:val="right"/>
              <w:rPr>
                <w:rFonts w:ascii="inherit" w:hAnsi="inherit"/>
                <w:sz w:val="17"/>
              </w:rPr>
            </w:pPr>
            <w:r>
              <w:rPr>
                <w:rFonts w:ascii="inherit" w:hAnsi="inherit"/>
                <w:sz w:val="17"/>
              </w:rPr>
              <w:t>170</w:t>
            </w:r>
          </w:p>
        </w:tc>
        <w:tc>
          <w:tcPr>
            <w:tcW w:w="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11" w:type="dxa"/>
            <w:tcBorders/>
            <w:shd w:fill="auto" w:val="clear"/>
            <w:vAlign w:val="center"/>
          </w:tcPr>
          <w:p>
            <w:pPr>
              <w:pStyle w:val="TableContents"/>
              <w:spacing w:before="0" w:after="0"/>
              <w:jc w:val="right"/>
              <w:rPr>
                <w:rFonts w:ascii="inherit" w:hAnsi="inherit"/>
                <w:sz w:val="17"/>
              </w:rPr>
            </w:pPr>
            <w:r>
              <w:rPr>
                <w:rFonts w:ascii="inherit" w:hAnsi="inherit"/>
                <w:sz w:val="17"/>
              </w:rPr>
              <w:t>(23</w:t>
            </w:r>
          </w:p>
        </w:tc>
        <w:tc>
          <w:tcPr>
            <w:tcW w:w="1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290" w:type="dxa"/>
            <w:tcBorders/>
            <w:shd w:fill="auto" w:val="clear"/>
            <w:vAlign w:val="center"/>
          </w:tcPr>
          <w:p>
            <w:pPr>
              <w:pStyle w:val="TableContents"/>
              <w:spacing w:before="0" w:after="0"/>
              <w:jc w:val="right"/>
              <w:rPr>
                <w:rFonts w:ascii="inherit" w:hAnsi="inherit"/>
                <w:sz w:val="17"/>
              </w:rPr>
            </w:pPr>
            <w:r>
              <w:rPr>
                <w:rFonts w:ascii="inherit" w:hAnsi="inherit"/>
                <w:sz w:val="17"/>
              </w:rPr>
              <w:t>(14</w:t>
            </w:r>
          </w:p>
        </w:tc>
        <w:tc>
          <w:tcPr>
            <w:tcW w:w="2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586" w:type="dxa"/>
            <w:tcBorders/>
            <w:shd w:fill="auto" w:val="clear"/>
            <w:vAlign w:val="center"/>
          </w:tcPr>
          <w:p>
            <w:pPr>
              <w:pStyle w:val="TableContents"/>
              <w:spacing w:before="0" w:after="0"/>
              <w:jc w:val="right"/>
              <w:rPr>
                <w:rFonts w:ascii="inherit" w:hAnsi="inherit"/>
                <w:sz w:val="17"/>
              </w:rPr>
            </w:pPr>
            <w:r>
              <w:rPr>
                <w:rFonts w:ascii="inherit" w:hAnsi="inherit"/>
                <w:sz w:val="17"/>
              </w:rPr>
              <w:t>152</w:t>
            </w:r>
          </w:p>
        </w:tc>
        <w:tc>
          <w:tcPr>
            <w:tcW w:w="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 w:type="dxa"/>
            <w:tcBorders/>
            <w:shd w:fill="auto" w:val="clear"/>
            <w:vAlign w:val="center"/>
          </w:tcPr>
          <w:p>
            <w:pPr>
              <w:pStyle w:val="TableContents"/>
              <w:spacing w:before="0" w:after="0"/>
              <w:ind w:left="0" w:right="0" w:firstLine="30"/>
              <w:rPr/>
            </w:pPr>
            <w:r>
              <w:rPr/>
              <w:t> </w:t>
            </w:r>
          </w:p>
        </w:tc>
        <w:tc>
          <w:tcPr>
            <w:tcW w:w="586" w:type="dxa"/>
            <w:tcBorders/>
            <w:shd w:fill="auto" w:val="clear"/>
            <w:vAlign w:val="center"/>
          </w:tcPr>
          <w:p>
            <w:pPr>
              <w:pStyle w:val="TableContents"/>
              <w:spacing w:before="0" w:after="0"/>
              <w:jc w:val="right"/>
              <w:rPr>
                <w:rFonts w:ascii="inherit" w:hAnsi="inherit"/>
                <w:sz w:val="17"/>
              </w:rPr>
            </w:pPr>
            <w:r>
              <w:rPr>
                <w:rFonts w:ascii="inherit" w:hAnsi="inherit"/>
                <w:sz w:val="17"/>
              </w:rPr>
              <w:t>187</w:t>
            </w:r>
          </w:p>
        </w:tc>
        <w:tc>
          <w:tcPr>
            <w:tcW w:w="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54" w:type="dxa"/>
            <w:tcBorders/>
            <w:shd w:fill="auto" w:val="clear"/>
            <w:vAlign w:val="center"/>
          </w:tcPr>
          <w:p>
            <w:pPr>
              <w:pStyle w:val="TableContents"/>
              <w:spacing w:before="0" w:after="0"/>
              <w:jc w:val="right"/>
              <w:rPr>
                <w:rFonts w:ascii="inherit" w:hAnsi="inherit"/>
                <w:sz w:val="17"/>
              </w:rPr>
            </w:pPr>
            <w:r>
              <w:rPr>
                <w:rFonts w:ascii="inherit" w:hAnsi="inherit"/>
                <w:sz w:val="17"/>
              </w:rPr>
              <w:t>(35</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290" w:type="dxa"/>
            <w:tcBorders/>
            <w:shd w:fill="auto" w:val="clear"/>
            <w:vAlign w:val="center"/>
          </w:tcPr>
          <w:p>
            <w:pPr>
              <w:pStyle w:val="TableContents"/>
              <w:spacing w:before="0" w:after="0"/>
              <w:jc w:val="right"/>
              <w:rPr>
                <w:rFonts w:ascii="inherit" w:hAnsi="inherit"/>
                <w:sz w:val="17"/>
              </w:rPr>
            </w:pPr>
            <w:r>
              <w:rPr>
                <w:rFonts w:ascii="inherit" w:hAnsi="inherit"/>
                <w:sz w:val="17"/>
              </w:rPr>
              <w:t>(19</w:t>
            </w:r>
          </w:p>
        </w:tc>
        <w:tc>
          <w:tcPr>
            <w:tcW w:w="2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275" w:type="dxa"/>
            <w:tcBorders/>
            <w:shd w:fill="CCEEFF" w:val="clear"/>
            <w:vAlign w:val="center"/>
          </w:tcPr>
          <w:p>
            <w:pPr>
              <w:pStyle w:val="TableContents"/>
              <w:spacing w:lineRule="auto" w:line="288" w:before="0" w:after="0"/>
              <w:ind w:left="0" w:right="0" w:firstLine="30"/>
              <w:jc w:val="left"/>
              <w:rPr>
                <w:sz w:val="17"/>
              </w:rPr>
            </w:pPr>
            <w:r>
              <w:rPr>
                <w:rFonts w:ascii="inherit" w:hAnsi="inherit"/>
                <w:sz w:val="17"/>
              </w:rPr>
              <w:t xml:space="preserve">Rocky Mountain </w:t>
            </w:r>
            <w:r>
              <w:rPr>
                <w:rFonts w:ascii="inherit" w:hAnsi="inherit"/>
                <w:sz w:val="12"/>
              </w:rPr>
              <w:t>(5)</w:t>
            </w:r>
          </w:p>
        </w:tc>
        <w:tc>
          <w:tcPr>
            <w:tcW w:w="90" w:type="dxa"/>
            <w:tcBorders/>
            <w:shd w:fill="CCEEFF" w:val="clear"/>
            <w:vAlign w:val="center"/>
          </w:tcPr>
          <w:p>
            <w:pPr>
              <w:pStyle w:val="TableContents"/>
              <w:spacing w:before="0" w:after="0"/>
              <w:ind w:left="0" w:right="0" w:firstLine="30"/>
              <w:rPr/>
            </w:pPr>
            <w:r>
              <w:rPr/>
              <w:t> </w:t>
            </w:r>
          </w:p>
        </w:tc>
        <w:tc>
          <w:tcPr>
            <w:tcW w:w="671" w:type="dxa"/>
            <w:tcBorders/>
            <w:shd w:fill="CCEEFF" w:val="clear"/>
            <w:vAlign w:val="center"/>
          </w:tcPr>
          <w:p>
            <w:pPr>
              <w:pStyle w:val="TableContents"/>
              <w:spacing w:before="0" w:after="0"/>
              <w:jc w:val="right"/>
              <w:rPr>
                <w:rFonts w:ascii="inherit" w:hAnsi="inherit"/>
                <w:sz w:val="17"/>
              </w:rPr>
            </w:pPr>
            <w:r>
              <w:rPr>
                <w:rFonts w:ascii="inherit" w:hAnsi="inherit"/>
                <w:sz w:val="17"/>
              </w:rPr>
              <w:t>313</w:t>
            </w:r>
          </w:p>
        </w:tc>
        <w:tc>
          <w:tcPr>
            <w:tcW w:w="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671" w:type="dxa"/>
            <w:tcBorders/>
            <w:shd w:fill="CCEEFF" w:val="clear"/>
            <w:vAlign w:val="center"/>
          </w:tcPr>
          <w:p>
            <w:pPr>
              <w:pStyle w:val="TableContents"/>
              <w:spacing w:before="0" w:after="0"/>
              <w:jc w:val="right"/>
              <w:rPr>
                <w:rFonts w:ascii="inherit" w:hAnsi="inherit"/>
                <w:sz w:val="17"/>
              </w:rPr>
            </w:pPr>
            <w:r>
              <w:rPr>
                <w:rFonts w:ascii="inherit" w:hAnsi="inherit"/>
                <w:sz w:val="17"/>
              </w:rPr>
              <w:t>270</w:t>
            </w:r>
          </w:p>
        </w:tc>
        <w:tc>
          <w:tcPr>
            <w:tcW w:w="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11" w:type="dxa"/>
            <w:tcBorders/>
            <w:shd w:fill="CCEEFF" w:val="clear"/>
            <w:vAlign w:val="center"/>
          </w:tcPr>
          <w:p>
            <w:pPr>
              <w:pStyle w:val="TableContents"/>
              <w:spacing w:before="0" w:after="0"/>
              <w:jc w:val="right"/>
              <w:rPr>
                <w:rFonts w:ascii="inherit" w:hAnsi="inherit"/>
                <w:sz w:val="17"/>
              </w:rPr>
            </w:pPr>
            <w:r>
              <w:rPr>
                <w:rFonts w:ascii="inherit" w:hAnsi="inherit"/>
                <w:sz w:val="17"/>
              </w:rPr>
              <w:t>43</w:t>
            </w:r>
          </w:p>
        </w:tc>
        <w:tc>
          <w:tcPr>
            <w:tcW w:w="16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90" w:type="dxa"/>
            <w:tcBorders/>
            <w:shd w:fill="CCEEFF" w:val="clear"/>
            <w:vAlign w:val="center"/>
          </w:tcPr>
          <w:p>
            <w:pPr>
              <w:pStyle w:val="TableContents"/>
              <w:spacing w:before="0" w:after="0"/>
              <w:jc w:val="right"/>
              <w:rPr>
                <w:rFonts w:ascii="inherit" w:hAnsi="inherit"/>
                <w:sz w:val="17"/>
              </w:rPr>
            </w:pPr>
            <w:r>
              <w:rPr>
                <w:rFonts w:ascii="inherit" w:hAnsi="inherit"/>
                <w:sz w:val="17"/>
              </w:rPr>
              <w:t>16</w:t>
            </w:r>
          </w:p>
        </w:tc>
        <w:tc>
          <w:tcPr>
            <w:tcW w:w="260" w:type="dxa"/>
            <w:tcBorders/>
            <w:shd w:fill="CCEEFF" w:val="clear"/>
            <w:vAlign w:val="center"/>
          </w:tcPr>
          <w:p>
            <w:pPr>
              <w:pStyle w:val="TableContents"/>
              <w:spacing w:before="0" w:after="0"/>
              <w:ind w:left="0" w:right="0" w:firstLine="30"/>
              <w:jc w:val="left"/>
              <w:rPr/>
            </w:pPr>
            <w:r>
              <w:rPr/>
              <w:t> </w:t>
            </w: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586" w:type="dxa"/>
            <w:tcBorders/>
            <w:shd w:fill="CCEEFF" w:val="clear"/>
            <w:vAlign w:val="center"/>
          </w:tcPr>
          <w:p>
            <w:pPr>
              <w:pStyle w:val="TableContents"/>
              <w:spacing w:before="0" w:after="0"/>
              <w:jc w:val="right"/>
              <w:rPr>
                <w:rFonts w:ascii="inherit" w:hAnsi="inherit"/>
                <w:sz w:val="17"/>
              </w:rPr>
            </w:pPr>
            <w:r>
              <w:rPr>
                <w:rFonts w:ascii="inherit" w:hAnsi="inherit"/>
                <w:sz w:val="17"/>
              </w:rPr>
              <w:t>307</w:t>
            </w:r>
          </w:p>
        </w:tc>
        <w:tc>
          <w:tcPr>
            <w:tcW w:w="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 w:type="dxa"/>
            <w:tcBorders/>
            <w:shd w:fill="CCEEFF" w:val="clear"/>
            <w:vAlign w:val="center"/>
          </w:tcPr>
          <w:p>
            <w:pPr>
              <w:pStyle w:val="TableContents"/>
              <w:spacing w:before="0" w:after="0"/>
              <w:ind w:left="0" w:right="0" w:firstLine="30"/>
              <w:rPr/>
            </w:pPr>
            <w:r>
              <w:rPr/>
              <w:t> </w:t>
            </w:r>
          </w:p>
        </w:tc>
        <w:tc>
          <w:tcPr>
            <w:tcW w:w="586" w:type="dxa"/>
            <w:tcBorders/>
            <w:shd w:fill="CCEEFF" w:val="clear"/>
            <w:vAlign w:val="center"/>
          </w:tcPr>
          <w:p>
            <w:pPr>
              <w:pStyle w:val="TableContents"/>
              <w:spacing w:before="0" w:after="0"/>
              <w:jc w:val="right"/>
              <w:rPr>
                <w:rFonts w:ascii="inherit" w:hAnsi="inherit"/>
                <w:sz w:val="17"/>
              </w:rPr>
            </w:pPr>
            <w:r>
              <w:rPr>
                <w:rFonts w:ascii="inherit" w:hAnsi="inherit"/>
                <w:sz w:val="17"/>
              </w:rPr>
              <w:t>263</w:t>
            </w:r>
          </w:p>
        </w:tc>
        <w:tc>
          <w:tcPr>
            <w:tcW w:w="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54" w:type="dxa"/>
            <w:tcBorders/>
            <w:shd w:fill="CCEEFF" w:val="clear"/>
            <w:vAlign w:val="center"/>
          </w:tcPr>
          <w:p>
            <w:pPr>
              <w:pStyle w:val="TableContents"/>
              <w:spacing w:before="0" w:after="0"/>
              <w:jc w:val="right"/>
              <w:rPr>
                <w:rFonts w:ascii="inherit" w:hAnsi="inherit"/>
                <w:sz w:val="17"/>
              </w:rPr>
            </w:pPr>
            <w:r>
              <w:rPr>
                <w:rFonts w:ascii="inherit" w:hAnsi="inherit"/>
                <w:sz w:val="17"/>
              </w:rPr>
              <w:t>44</w:t>
            </w:r>
          </w:p>
        </w:tc>
        <w:tc>
          <w:tcPr>
            <w:tcW w:w="1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90" w:type="dxa"/>
            <w:tcBorders/>
            <w:shd w:fill="CCEEFF" w:val="clear"/>
            <w:vAlign w:val="center"/>
          </w:tcPr>
          <w:p>
            <w:pPr>
              <w:pStyle w:val="TableContents"/>
              <w:spacing w:before="0" w:after="0"/>
              <w:jc w:val="right"/>
              <w:rPr>
                <w:rFonts w:ascii="inherit" w:hAnsi="inherit"/>
                <w:sz w:val="17"/>
              </w:rPr>
            </w:pPr>
            <w:r>
              <w:rPr>
                <w:rFonts w:ascii="inherit" w:hAnsi="inherit"/>
                <w:sz w:val="17"/>
              </w:rPr>
              <w:t>17</w:t>
            </w:r>
          </w:p>
        </w:tc>
        <w:tc>
          <w:tcPr>
            <w:tcW w:w="275" w:type="dxa"/>
            <w:tcBorders/>
            <w:shd w:fill="CCEEFF" w:val="clear"/>
            <w:vAlign w:val="center"/>
          </w:tcPr>
          <w:p>
            <w:pPr>
              <w:pStyle w:val="TableContents"/>
              <w:spacing w:before="0" w:after="0"/>
              <w:ind w:left="0" w:right="0" w:firstLine="30"/>
              <w:jc w:val="left"/>
              <w:rPr/>
            </w:pPr>
            <w:r>
              <w:rPr/>
              <w:t> </w:t>
            </w:r>
            <w:r>
              <w:rPr>
                <w:rFonts w:ascii="inherit" w:hAnsi="inherit"/>
                <w:sz w:val="17"/>
              </w:rPr>
              <w:t>%</w:t>
            </w:r>
          </w:p>
        </w:tc>
      </w:tr>
      <w:tr>
        <w:trPr/>
        <w:tc>
          <w:tcPr>
            <w:tcW w:w="32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Western</w:t>
            </w:r>
          </w:p>
        </w:tc>
        <w:tc>
          <w:tcPr>
            <w:tcW w:w="90" w:type="dxa"/>
            <w:tcBorders/>
            <w:shd w:fill="auto" w:val="clear"/>
            <w:vAlign w:val="center"/>
          </w:tcPr>
          <w:p>
            <w:pPr>
              <w:pStyle w:val="TableContents"/>
              <w:spacing w:before="0" w:after="0"/>
              <w:ind w:left="0" w:right="0" w:firstLine="30"/>
              <w:rPr/>
            </w:pPr>
            <w:r>
              <w:rPr/>
              <w:t> </w:t>
            </w:r>
          </w:p>
        </w:tc>
        <w:tc>
          <w:tcPr>
            <w:tcW w:w="671" w:type="dxa"/>
            <w:tcBorders/>
            <w:shd w:fill="auto" w:val="clear"/>
            <w:vAlign w:val="center"/>
          </w:tcPr>
          <w:p>
            <w:pPr>
              <w:pStyle w:val="TableContents"/>
              <w:spacing w:before="0" w:after="0"/>
              <w:jc w:val="right"/>
              <w:rPr>
                <w:rFonts w:ascii="inherit" w:hAnsi="inherit"/>
                <w:sz w:val="17"/>
              </w:rPr>
            </w:pPr>
            <w:r>
              <w:rPr>
                <w:rFonts w:ascii="inherit" w:hAnsi="inherit"/>
                <w:sz w:val="17"/>
              </w:rPr>
              <w:t>195</w:t>
            </w:r>
          </w:p>
        </w:tc>
        <w:tc>
          <w:tcPr>
            <w:tcW w:w="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671" w:type="dxa"/>
            <w:tcBorders/>
            <w:shd w:fill="auto" w:val="clear"/>
            <w:vAlign w:val="center"/>
          </w:tcPr>
          <w:p>
            <w:pPr>
              <w:pStyle w:val="TableContents"/>
              <w:spacing w:before="0" w:after="0"/>
              <w:jc w:val="right"/>
              <w:rPr>
                <w:rFonts w:ascii="inherit" w:hAnsi="inherit"/>
                <w:sz w:val="17"/>
              </w:rPr>
            </w:pPr>
            <w:r>
              <w:rPr>
                <w:rFonts w:ascii="inherit" w:hAnsi="inherit"/>
                <w:sz w:val="17"/>
              </w:rPr>
              <w:t>181</w:t>
            </w:r>
          </w:p>
        </w:tc>
        <w:tc>
          <w:tcPr>
            <w:tcW w:w="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11" w:type="dxa"/>
            <w:tcBorders/>
            <w:shd w:fill="auto" w:val="clear"/>
            <w:vAlign w:val="center"/>
          </w:tcPr>
          <w:p>
            <w:pPr>
              <w:pStyle w:val="TableContents"/>
              <w:spacing w:before="0" w:after="0"/>
              <w:jc w:val="right"/>
              <w:rPr>
                <w:rFonts w:ascii="inherit" w:hAnsi="inherit"/>
                <w:sz w:val="17"/>
              </w:rPr>
            </w:pPr>
            <w:r>
              <w:rPr>
                <w:rFonts w:ascii="inherit" w:hAnsi="inherit"/>
                <w:sz w:val="17"/>
              </w:rPr>
              <w:t>14</w:t>
            </w:r>
          </w:p>
        </w:tc>
        <w:tc>
          <w:tcPr>
            <w:tcW w:w="1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90" w:type="dxa"/>
            <w:tcBorders/>
            <w:shd w:fill="auto" w:val="clear"/>
            <w:vAlign w:val="center"/>
          </w:tcPr>
          <w:p>
            <w:pPr>
              <w:pStyle w:val="TableContents"/>
              <w:spacing w:before="0" w:after="0"/>
              <w:jc w:val="right"/>
              <w:rPr>
                <w:rFonts w:ascii="inherit" w:hAnsi="inherit"/>
                <w:sz w:val="17"/>
              </w:rPr>
            </w:pPr>
            <w:r>
              <w:rPr>
                <w:rFonts w:ascii="inherit" w:hAnsi="inherit"/>
                <w:sz w:val="17"/>
              </w:rPr>
              <w:t>8</w:t>
            </w:r>
          </w:p>
        </w:tc>
        <w:tc>
          <w:tcPr>
            <w:tcW w:w="260" w:type="dxa"/>
            <w:tcBorders/>
            <w:shd w:fill="auto" w:val="clear"/>
            <w:vAlign w:val="center"/>
          </w:tcPr>
          <w:p>
            <w:pPr>
              <w:pStyle w:val="TableContents"/>
              <w:spacing w:before="0" w:after="0"/>
              <w:ind w:left="0" w:right="0" w:firstLine="30"/>
              <w:jc w:val="left"/>
              <w:rPr/>
            </w:pPr>
            <w:r>
              <w:rPr/>
              <w:t> </w:t>
            </w: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586" w:type="dxa"/>
            <w:tcBorders/>
            <w:shd w:fill="auto" w:val="clear"/>
            <w:vAlign w:val="center"/>
          </w:tcPr>
          <w:p>
            <w:pPr>
              <w:pStyle w:val="TableContents"/>
              <w:spacing w:before="0" w:after="0"/>
              <w:jc w:val="right"/>
              <w:rPr>
                <w:rFonts w:ascii="inherit" w:hAnsi="inherit"/>
                <w:sz w:val="17"/>
              </w:rPr>
            </w:pPr>
            <w:r>
              <w:rPr>
                <w:rFonts w:ascii="inherit" w:hAnsi="inherit"/>
                <w:sz w:val="17"/>
              </w:rPr>
              <w:t>188</w:t>
            </w:r>
          </w:p>
        </w:tc>
        <w:tc>
          <w:tcPr>
            <w:tcW w:w="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 w:type="dxa"/>
            <w:tcBorders/>
            <w:shd w:fill="auto" w:val="clear"/>
            <w:vAlign w:val="center"/>
          </w:tcPr>
          <w:p>
            <w:pPr>
              <w:pStyle w:val="TableContents"/>
              <w:spacing w:before="0" w:after="0"/>
              <w:ind w:left="0" w:right="0" w:firstLine="30"/>
              <w:rPr/>
            </w:pPr>
            <w:r>
              <w:rPr/>
              <w:t> </w:t>
            </w:r>
          </w:p>
        </w:tc>
        <w:tc>
          <w:tcPr>
            <w:tcW w:w="586" w:type="dxa"/>
            <w:tcBorders/>
            <w:shd w:fill="auto" w:val="clear"/>
            <w:vAlign w:val="center"/>
          </w:tcPr>
          <w:p>
            <w:pPr>
              <w:pStyle w:val="TableContents"/>
              <w:spacing w:before="0" w:after="0"/>
              <w:jc w:val="right"/>
              <w:rPr>
                <w:rFonts w:ascii="inherit" w:hAnsi="inherit"/>
                <w:sz w:val="17"/>
              </w:rPr>
            </w:pPr>
            <w:r>
              <w:rPr>
                <w:rFonts w:ascii="inherit" w:hAnsi="inherit"/>
                <w:sz w:val="17"/>
              </w:rPr>
              <w:t>177</w:t>
            </w:r>
          </w:p>
        </w:tc>
        <w:tc>
          <w:tcPr>
            <w:tcW w:w="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54" w:type="dxa"/>
            <w:tcBorders/>
            <w:shd w:fill="auto" w:val="clear"/>
            <w:vAlign w:val="center"/>
          </w:tcPr>
          <w:p>
            <w:pPr>
              <w:pStyle w:val="TableContents"/>
              <w:spacing w:before="0" w:after="0"/>
              <w:jc w:val="right"/>
              <w:rPr>
                <w:rFonts w:ascii="inherit" w:hAnsi="inherit"/>
                <w:sz w:val="17"/>
              </w:rPr>
            </w:pPr>
            <w:r>
              <w:rPr>
                <w:rFonts w:ascii="inherit" w:hAnsi="inherit"/>
                <w:sz w:val="17"/>
              </w:rPr>
              <w:t>11</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90" w:type="dxa"/>
            <w:tcBorders/>
            <w:shd w:fill="auto" w:val="clear"/>
            <w:vAlign w:val="center"/>
          </w:tcPr>
          <w:p>
            <w:pPr>
              <w:pStyle w:val="TableContents"/>
              <w:spacing w:before="0" w:after="0"/>
              <w:jc w:val="right"/>
              <w:rPr>
                <w:rFonts w:ascii="inherit" w:hAnsi="inherit"/>
                <w:sz w:val="17"/>
              </w:rPr>
            </w:pPr>
            <w:r>
              <w:rPr>
                <w:rFonts w:ascii="inherit" w:hAnsi="inherit"/>
                <w:sz w:val="17"/>
              </w:rPr>
              <w:t>6</w:t>
            </w:r>
          </w:p>
        </w:tc>
        <w:tc>
          <w:tcPr>
            <w:tcW w:w="275" w:type="dxa"/>
            <w:tcBorders/>
            <w:shd w:fill="auto" w:val="clear"/>
            <w:vAlign w:val="center"/>
          </w:tcPr>
          <w:p>
            <w:pPr>
              <w:pStyle w:val="TableContents"/>
              <w:spacing w:before="0" w:after="0"/>
              <w:ind w:left="0" w:right="0" w:firstLine="30"/>
              <w:jc w:val="left"/>
              <w:rPr/>
            </w:pPr>
            <w:r>
              <w:rPr/>
              <w:t> </w:t>
            </w:r>
            <w:r>
              <w:rPr>
                <w:rFonts w:ascii="inherit" w:hAnsi="inherit"/>
                <w:sz w:val="17"/>
              </w:rPr>
              <w:t>%</w:t>
            </w:r>
          </w:p>
        </w:tc>
      </w:tr>
      <w:tr>
        <w:trPr/>
        <w:tc>
          <w:tcPr>
            <w:tcW w:w="32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Canada</w:t>
            </w:r>
          </w:p>
        </w:tc>
        <w:tc>
          <w:tcPr>
            <w:tcW w:w="90" w:type="dxa"/>
            <w:tcBorders/>
            <w:shd w:fill="CCEEFF" w:val="clear"/>
            <w:vAlign w:val="center"/>
          </w:tcPr>
          <w:p>
            <w:pPr>
              <w:pStyle w:val="TableContents"/>
              <w:spacing w:before="0" w:after="0"/>
              <w:ind w:left="0" w:right="0" w:firstLine="30"/>
              <w:rPr/>
            </w:pPr>
            <w:r>
              <w:rPr/>
              <w:t> </w:t>
            </w:r>
          </w:p>
        </w:tc>
        <w:tc>
          <w:tcPr>
            <w:tcW w:w="671"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319</w:t>
            </w:r>
          </w:p>
        </w:tc>
        <w:tc>
          <w:tcPr>
            <w:tcW w:w="4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671"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298</w:t>
            </w:r>
          </w:p>
        </w:tc>
        <w:tc>
          <w:tcPr>
            <w:tcW w:w="4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11"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21</w:t>
            </w:r>
          </w:p>
        </w:tc>
        <w:tc>
          <w:tcPr>
            <w:tcW w:w="16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90"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w:t>
            </w:r>
          </w:p>
        </w:tc>
        <w:tc>
          <w:tcPr>
            <w:tcW w:w="260" w:type="dxa"/>
            <w:tcBorders>
              <w:bottom w:val="single" w:sz="2" w:space="0" w:color="000000"/>
            </w:tcBorders>
            <w:shd w:fill="CCEEFF" w:val="clear"/>
            <w:tcMar>
              <w:bottom w:w="30" w:type="dxa"/>
            </w:tcMar>
            <w:vAlign w:val="center"/>
          </w:tcPr>
          <w:p>
            <w:pPr>
              <w:pStyle w:val="TableContents"/>
              <w:spacing w:before="0" w:after="0"/>
              <w:ind w:left="0" w:right="0" w:firstLine="30"/>
              <w:jc w:val="left"/>
              <w:rPr/>
            </w:pPr>
            <w:r>
              <w:rPr/>
              <w:t> </w:t>
            </w: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586"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321</w:t>
            </w:r>
          </w:p>
        </w:tc>
        <w:tc>
          <w:tcPr>
            <w:tcW w:w="3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 w:type="dxa"/>
            <w:tcBorders/>
            <w:shd w:fill="CCEEFF" w:val="clear"/>
            <w:vAlign w:val="center"/>
          </w:tcPr>
          <w:p>
            <w:pPr>
              <w:pStyle w:val="TableContents"/>
              <w:spacing w:before="0" w:after="0"/>
              <w:ind w:left="0" w:right="0" w:firstLine="30"/>
              <w:rPr/>
            </w:pPr>
            <w:r>
              <w:rPr/>
              <w:t> </w:t>
            </w:r>
          </w:p>
        </w:tc>
        <w:tc>
          <w:tcPr>
            <w:tcW w:w="586"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308</w:t>
            </w:r>
          </w:p>
        </w:tc>
        <w:tc>
          <w:tcPr>
            <w:tcW w:w="3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54"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w:t>
            </w:r>
          </w:p>
        </w:tc>
        <w:tc>
          <w:tcPr>
            <w:tcW w:w="12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90"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w:t>
            </w:r>
          </w:p>
        </w:tc>
        <w:tc>
          <w:tcPr>
            <w:tcW w:w="275" w:type="dxa"/>
            <w:tcBorders>
              <w:bottom w:val="single" w:sz="2" w:space="0" w:color="000000"/>
            </w:tcBorders>
            <w:shd w:fill="CCEEFF" w:val="clear"/>
            <w:tcMar>
              <w:bottom w:w="30" w:type="dxa"/>
            </w:tcMar>
            <w:vAlign w:val="center"/>
          </w:tcPr>
          <w:p>
            <w:pPr>
              <w:pStyle w:val="TableContents"/>
              <w:spacing w:before="0" w:after="0"/>
              <w:ind w:left="0" w:right="0" w:firstLine="30"/>
              <w:jc w:val="left"/>
              <w:rPr/>
            </w:pPr>
            <w:r>
              <w:rPr/>
              <w:t> </w:t>
            </w:r>
            <w:r>
              <w:rPr>
                <w:rFonts w:ascii="inherit" w:hAnsi="inherit"/>
                <w:sz w:val="17"/>
              </w:rPr>
              <w:t>%</w:t>
            </w:r>
          </w:p>
        </w:tc>
      </w:tr>
      <w:tr>
        <w:trPr/>
        <w:tc>
          <w:tcPr>
            <w:tcW w:w="32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Crude oil pipelines</w:t>
            </w:r>
          </w:p>
        </w:tc>
        <w:tc>
          <w:tcPr>
            <w:tcW w:w="90" w:type="dxa"/>
            <w:tcBorders/>
            <w:shd w:fill="auto" w:val="clear"/>
            <w:vAlign w:val="center"/>
          </w:tcPr>
          <w:p>
            <w:pPr>
              <w:pStyle w:val="TableContents"/>
              <w:spacing w:before="0" w:after="0"/>
              <w:ind w:left="0" w:right="0" w:firstLine="30"/>
              <w:rPr/>
            </w:pPr>
            <w:r>
              <w:rPr/>
              <w:t> </w:t>
            </w:r>
          </w:p>
        </w:tc>
        <w:tc>
          <w:tcPr>
            <w:tcW w:w="671" w:type="dxa"/>
            <w:tcBorders/>
            <w:shd w:fill="auto" w:val="clear"/>
            <w:vAlign w:val="center"/>
          </w:tcPr>
          <w:p>
            <w:pPr>
              <w:pStyle w:val="TableContents"/>
              <w:spacing w:before="0" w:after="0"/>
              <w:jc w:val="right"/>
              <w:rPr>
                <w:rFonts w:ascii="inherit" w:hAnsi="inherit"/>
                <w:sz w:val="17"/>
              </w:rPr>
            </w:pPr>
            <w:r>
              <w:rPr>
                <w:rFonts w:ascii="inherit" w:hAnsi="inherit"/>
                <w:sz w:val="17"/>
              </w:rPr>
              <w:t>6,522</w:t>
            </w:r>
          </w:p>
        </w:tc>
        <w:tc>
          <w:tcPr>
            <w:tcW w:w="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671" w:type="dxa"/>
            <w:tcBorders/>
            <w:shd w:fill="auto" w:val="clear"/>
            <w:vAlign w:val="center"/>
          </w:tcPr>
          <w:p>
            <w:pPr>
              <w:pStyle w:val="TableContents"/>
              <w:spacing w:before="0" w:after="0"/>
              <w:jc w:val="right"/>
              <w:rPr>
                <w:rFonts w:ascii="inherit" w:hAnsi="inherit"/>
                <w:sz w:val="17"/>
              </w:rPr>
            </w:pPr>
            <w:r>
              <w:rPr>
                <w:rFonts w:ascii="inherit" w:hAnsi="inherit"/>
                <w:sz w:val="17"/>
              </w:rPr>
              <w:t>5,535</w:t>
            </w:r>
          </w:p>
        </w:tc>
        <w:tc>
          <w:tcPr>
            <w:tcW w:w="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11" w:type="dxa"/>
            <w:tcBorders/>
            <w:shd w:fill="auto" w:val="clear"/>
            <w:vAlign w:val="center"/>
          </w:tcPr>
          <w:p>
            <w:pPr>
              <w:pStyle w:val="TableContents"/>
              <w:spacing w:before="0" w:after="0"/>
              <w:jc w:val="right"/>
              <w:rPr>
                <w:rFonts w:ascii="inherit" w:hAnsi="inherit"/>
                <w:sz w:val="17"/>
              </w:rPr>
            </w:pPr>
            <w:r>
              <w:rPr>
                <w:rFonts w:ascii="inherit" w:hAnsi="inherit"/>
                <w:sz w:val="17"/>
              </w:rPr>
              <w:t>987</w:t>
            </w:r>
          </w:p>
        </w:tc>
        <w:tc>
          <w:tcPr>
            <w:tcW w:w="1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90" w:type="dxa"/>
            <w:tcBorders/>
            <w:shd w:fill="auto" w:val="clear"/>
            <w:vAlign w:val="center"/>
          </w:tcPr>
          <w:p>
            <w:pPr>
              <w:pStyle w:val="TableContents"/>
              <w:spacing w:before="0" w:after="0"/>
              <w:jc w:val="right"/>
              <w:rPr>
                <w:rFonts w:ascii="inherit" w:hAnsi="inherit"/>
                <w:sz w:val="17"/>
              </w:rPr>
            </w:pPr>
            <w:r>
              <w:rPr>
                <w:rFonts w:ascii="inherit" w:hAnsi="inherit"/>
                <w:sz w:val="17"/>
              </w:rPr>
              <w:t>18</w:t>
            </w:r>
          </w:p>
        </w:tc>
        <w:tc>
          <w:tcPr>
            <w:tcW w:w="260" w:type="dxa"/>
            <w:tcBorders/>
            <w:shd w:fill="auto" w:val="clear"/>
            <w:vAlign w:val="center"/>
          </w:tcPr>
          <w:p>
            <w:pPr>
              <w:pStyle w:val="TableContents"/>
              <w:spacing w:before="0" w:after="0"/>
              <w:ind w:left="0" w:right="0" w:firstLine="30"/>
              <w:jc w:val="left"/>
              <w:rPr/>
            </w:pPr>
            <w:r>
              <w:rPr/>
              <w:t> </w:t>
            </w: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586" w:type="dxa"/>
            <w:tcBorders/>
            <w:shd w:fill="auto" w:val="clear"/>
            <w:vAlign w:val="center"/>
          </w:tcPr>
          <w:p>
            <w:pPr>
              <w:pStyle w:val="TableContents"/>
              <w:spacing w:before="0" w:after="0"/>
              <w:jc w:val="right"/>
              <w:rPr>
                <w:rFonts w:ascii="inherit" w:hAnsi="inherit"/>
                <w:sz w:val="17"/>
              </w:rPr>
            </w:pPr>
            <w:r>
              <w:rPr>
                <w:rFonts w:ascii="inherit" w:hAnsi="inherit"/>
                <w:sz w:val="17"/>
              </w:rPr>
              <w:t>6,362</w:t>
            </w:r>
          </w:p>
        </w:tc>
        <w:tc>
          <w:tcPr>
            <w:tcW w:w="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 w:type="dxa"/>
            <w:tcBorders/>
            <w:shd w:fill="auto" w:val="clear"/>
            <w:vAlign w:val="center"/>
          </w:tcPr>
          <w:p>
            <w:pPr>
              <w:pStyle w:val="TableContents"/>
              <w:spacing w:before="0" w:after="0"/>
              <w:ind w:left="0" w:right="0" w:firstLine="30"/>
              <w:rPr/>
            </w:pPr>
            <w:r>
              <w:rPr/>
              <w:t> </w:t>
            </w:r>
          </w:p>
        </w:tc>
        <w:tc>
          <w:tcPr>
            <w:tcW w:w="586" w:type="dxa"/>
            <w:tcBorders/>
            <w:shd w:fill="auto" w:val="clear"/>
            <w:vAlign w:val="center"/>
          </w:tcPr>
          <w:p>
            <w:pPr>
              <w:pStyle w:val="TableContents"/>
              <w:spacing w:before="0" w:after="0"/>
              <w:jc w:val="right"/>
              <w:rPr>
                <w:rFonts w:ascii="inherit" w:hAnsi="inherit"/>
                <w:sz w:val="17"/>
              </w:rPr>
            </w:pPr>
            <w:r>
              <w:rPr>
                <w:rFonts w:ascii="inherit" w:hAnsi="inherit"/>
                <w:sz w:val="17"/>
              </w:rPr>
              <w:t>5,297</w:t>
            </w:r>
          </w:p>
        </w:tc>
        <w:tc>
          <w:tcPr>
            <w:tcW w:w="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54" w:type="dxa"/>
            <w:tcBorders/>
            <w:shd w:fill="auto" w:val="clear"/>
            <w:vAlign w:val="center"/>
          </w:tcPr>
          <w:p>
            <w:pPr>
              <w:pStyle w:val="TableContents"/>
              <w:spacing w:before="0" w:after="0"/>
              <w:jc w:val="right"/>
              <w:rPr>
                <w:rFonts w:ascii="inherit" w:hAnsi="inherit"/>
                <w:sz w:val="17"/>
              </w:rPr>
            </w:pPr>
            <w:r>
              <w:rPr>
                <w:rFonts w:ascii="inherit" w:hAnsi="inherit"/>
                <w:sz w:val="17"/>
              </w:rPr>
              <w:t>1,065</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90" w:type="dxa"/>
            <w:tcBorders/>
            <w:shd w:fill="auto" w:val="clear"/>
            <w:vAlign w:val="center"/>
          </w:tcPr>
          <w:p>
            <w:pPr>
              <w:pStyle w:val="TableContents"/>
              <w:spacing w:before="0" w:after="0"/>
              <w:jc w:val="right"/>
              <w:rPr>
                <w:rFonts w:ascii="inherit" w:hAnsi="inherit"/>
                <w:sz w:val="17"/>
              </w:rPr>
            </w:pPr>
            <w:r>
              <w:rPr>
                <w:rFonts w:ascii="inherit" w:hAnsi="inherit"/>
                <w:sz w:val="17"/>
              </w:rPr>
              <w:t>20</w:t>
            </w:r>
          </w:p>
        </w:tc>
        <w:tc>
          <w:tcPr>
            <w:tcW w:w="275" w:type="dxa"/>
            <w:tcBorders/>
            <w:shd w:fill="auto" w:val="clear"/>
            <w:vAlign w:val="center"/>
          </w:tcPr>
          <w:p>
            <w:pPr>
              <w:pStyle w:val="TableContents"/>
              <w:spacing w:before="0" w:after="0"/>
              <w:ind w:left="0" w:right="0" w:firstLine="30"/>
              <w:jc w:val="left"/>
              <w:rPr/>
            </w:pPr>
            <w:r>
              <w:rPr/>
              <w:t> </w:t>
            </w:r>
            <w:r>
              <w:rPr>
                <w:rFonts w:ascii="inherit" w:hAnsi="inherit"/>
                <w:sz w:val="17"/>
              </w:rPr>
              <w:t>%</w:t>
            </w:r>
          </w:p>
        </w:tc>
      </w:tr>
      <w:tr>
        <w:trPr/>
        <w:tc>
          <w:tcPr>
            <w:tcW w:w="32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NGL pipelines</w:t>
            </w:r>
          </w:p>
        </w:tc>
        <w:tc>
          <w:tcPr>
            <w:tcW w:w="90" w:type="dxa"/>
            <w:tcBorders/>
            <w:shd w:fill="CCEEFF" w:val="clear"/>
            <w:vAlign w:val="center"/>
          </w:tcPr>
          <w:p>
            <w:pPr>
              <w:pStyle w:val="TableContents"/>
              <w:spacing w:before="0" w:after="0"/>
              <w:ind w:left="0" w:right="0" w:firstLine="30"/>
              <w:rPr/>
            </w:pPr>
            <w:r>
              <w:rPr/>
              <w:t> </w:t>
            </w:r>
          </w:p>
        </w:tc>
        <w:tc>
          <w:tcPr>
            <w:tcW w:w="671"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182</w:t>
            </w:r>
          </w:p>
        </w:tc>
        <w:tc>
          <w:tcPr>
            <w:tcW w:w="4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671"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171</w:t>
            </w:r>
          </w:p>
        </w:tc>
        <w:tc>
          <w:tcPr>
            <w:tcW w:w="4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11"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w:t>
            </w:r>
          </w:p>
        </w:tc>
        <w:tc>
          <w:tcPr>
            <w:tcW w:w="16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90"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w:t>
            </w:r>
          </w:p>
        </w:tc>
        <w:tc>
          <w:tcPr>
            <w:tcW w:w="260" w:type="dxa"/>
            <w:tcBorders>
              <w:bottom w:val="single" w:sz="2" w:space="0" w:color="000000"/>
            </w:tcBorders>
            <w:shd w:fill="CCEEFF" w:val="clear"/>
            <w:tcMar>
              <w:bottom w:w="30" w:type="dxa"/>
            </w:tcMar>
            <w:vAlign w:val="center"/>
          </w:tcPr>
          <w:p>
            <w:pPr>
              <w:pStyle w:val="TableContents"/>
              <w:spacing w:before="0" w:after="0"/>
              <w:ind w:left="0" w:right="0" w:firstLine="30"/>
              <w:jc w:val="left"/>
              <w:rPr/>
            </w:pPr>
            <w:r>
              <w:rPr/>
              <w:t> </w:t>
            </w: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586"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196</w:t>
            </w:r>
          </w:p>
        </w:tc>
        <w:tc>
          <w:tcPr>
            <w:tcW w:w="3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 w:type="dxa"/>
            <w:tcBorders/>
            <w:shd w:fill="CCEEFF" w:val="clear"/>
            <w:vAlign w:val="center"/>
          </w:tcPr>
          <w:p>
            <w:pPr>
              <w:pStyle w:val="TableContents"/>
              <w:spacing w:before="0" w:after="0"/>
              <w:ind w:left="0" w:right="0" w:firstLine="30"/>
              <w:rPr/>
            </w:pPr>
            <w:r>
              <w:rPr/>
              <w:t> </w:t>
            </w:r>
          </w:p>
        </w:tc>
        <w:tc>
          <w:tcPr>
            <w:tcW w:w="586"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172</w:t>
            </w:r>
          </w:p>
        </w:tc>
        <w:tc>
          <w:tcPr>
            <w:tcW w:w="3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54"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24</w:t>
            </w:r>
          </w:p>
        </w:tc>
        <w:tc>
          <w:tcPr>
            <w:tcW w:w="12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90"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14</w:t>
            </w:r>
          </w:p>
        </w:tc>
        <w:tc>
          <w:tcPr>
            <w:tcW w:w="275" w:type="dxa"/>
            <w:tcBorders>
              <w:bottom w:val="single" w:sz="2" w:space="0" w:color="000000"/>
            </w:tcBorders>
            <w:shd w:fill="CCEEFF" w:val="clear"/>
            <w:tcMar>
              <w:bottom w:w="30" w:type="dxa"/>
            </w:tcMar>
            <w:vAlign w:val="center"/>
          </w:tcPr>
          <w:p>
            <w:pPr>
              <w:pStyle w:val="TableContents"/>
              <w:spacing w:before="0" w:after="0"/>
              <w:ind w:left="0" w:right="0" w:firstLine="30"/>
              <w:jc w:val="left"/>
              <w:rPr/>
            </w:pPr>
            <w:r>
              <w:rPr/>
              <w:t> </w:t>
            </w:r>
            <w:r>
              <w:rPr>
                <w:rFonts w:ascii="inherit" w:hAnsi="inherit"/>
                <w:sz w:val="17"/>
              </w:rPr>
              <w:t>%</w:t>
            </w:r>
          </w:p>
        </w:tc>
      </w:tr>
      <w:tr>
        <w:trPr/>
        <w:tc>
          <w:tcPr>
            <w:tcW w:w="32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Tariff activities total volumes</w:t>
            </w:r>
          </w:p>
        </w:tc>
        <w:tc>
          <w:tcPr>
            <w:tcW w:w="90" w:type="dxa"/>
            <w:tcBorders/>
            <w:shd w:fill="auto" w:val="clear"/>
            <w:vAlign w:val="center"/>
          </w:tcPr>
          <w:p>
            <w:pPr>
              <w:pStyle w:val="TableContents"/>
              <w:spacing w:before="0" w:after="0"/>
              <w:ind w:left="0" w:right="0" w:firstLine="30"/>
              <w:rPr/>
            </w:pPr>
            <w:r>
              <w:rPr/>
              <w:t> </w:t>
            </w:r>
          </w:p>
        </w:tc>
        <w:tc>
          <w:tcPr>
            <w:tcW w:w="671" w:type="dxa"/>
            <w:tcBorders/>
            <w:shd w:fill="auto" w:val="clear"/>
            <w:vAlign w:val="center"/>
          </w:tcPr>
          <w:p>
            <w:pPr>
              <w:pStyle w:val="TableContents"/>
              <w:spacing w:before="0" w:after="0"/>
              <w:jc w:val="right"/>
              <w:rPr>
                <w:rFonts w:ascii="inherit" w:hAnsi="inherit"/>
                <w:sz w:val="17"/>
              </w:rPr>
            </w:pPr>
            <w:r>
              <w:rPr>
                <w:rFonts w:ascii="inherit" w:hAnsi="inherit"/>
                <w:sz w:val="17"/>
              </w:rPr>
              <w:t>6,704</w:t>
            </w:r>
          </w:p>
        </w:tc>
        <w:tc>
          <w:tcPr>
            <w:tcW w:w="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671" w:type="dxa"/>
            <w:tcBorders/>
            <w:shd w:fill="auto" w:val="clear"/>
            <w:vAlign w:val="center"/>
          </w:tcPr>
          <w:p>
            <w:pPr>
              <w:pStyle w:val="TableContents"/>
              <w:spacing w:before="0" w:after="0"/>
              <w:jc w:val="right"/>
              <w:rPr>
                <w:rFonts w:ascii="inherit" w:hAnsi="inherit"/>
                <w:sz w:val="17"/>
              </w:rPr>
            </w:pPr>
            <w:r>
              <w:rPr>
                <w:rFonts w:ascii="inherit" w:hAnsi="inherit"/>
                <w:sz w:val="17"/>
              </w:rPr>
              <w:t>5,706</w:t>
            </w:r>
          </w:p>
        </w:tc>
        <w:tc>
          <w:tcPr>
            <w:tcW w:w="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11" w:type="dxa"/>
            <w:tcBorders/>
            <w:shd w:fill="auto" w:val="clear"/>
            <w:vAlign w:val="center"/>
          </w:tcPr>
          <w:p>
            <w:pPr>
              <w:pStyle w:val="TableContents"/>
              <w:spacing w:before="0" w:after="0"/>
              <w:jc w:val="right"/>
              <w:rPr>
                <w:rFonts w:ascii="inherit" w:hAnsi="inherit"/>
                <w:sz w:val="17"/>
              </w:rPr>
            </w:pPr>
            <w:r>
              <w:rPr>
                <w:rFonts w:ascii="inherit" w:hAnsi="inherit"/>
                <w:sz w:val="17"/>
              </w:rPr>
              <w:t>998</w:t>
            </w:r>
          </w:p>
        </w:tc>
        <w:tc>
          <w:tcPr>
            <w:tcW w:w="1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90" w:type="dxa"/>
            <w:tcBorders/>
            <w:shd w:fill="auto" w:val="clear"/>
            <w:vAlign w:val="center"/>
          </w:tcPr>
          <w:p>
            <w:pPr>
              <w:pStyle w:val="TableContents"/>
              <w:spacing w:before="0" w:after="0"/>
              <w:jc w:val="right"/>
              <w:rPr>
                <w:rFonts w:ascii="inherit" w:hAnsi="inherit"/>
                <w:sz w:val="17"/>
              </w:rPr>
            </w:pPr>
            <w:r>
              <w:rPr>
                <w:rFonts w:ascii="inherit" w:hAnsi="inherit"/>
                <w:sz w:val="17"/>
              </w:rPr>
              <w:t>17</w:t>
            </w:r>
          </w:p>
        </w:tc>
        <w:tc>
          <w:tcPr>
            <w:tcW w:w="260" w:type="dxa"/>
            <w:tcBorders/>
            <w:shd w:fill="auto" w:val="clear"/>
            <w:vAlign w:val="center"/>
          </w:tcPr>
          <w:p>
            <w:pPr>
              <w:pStyle w:val="TableContents"/>
              <w:spacing w:before="0" w:after="0"/>
              <w:ind w:left="0" w:right="0" w:firstLine="30"/>
              <w:jc w:val="left"/>
              <w:rPr/>
            </w:pPr>
            <w:r>
              <w:rPr/>
              <w:t> </w:t>
            </w: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586" w:type="dxa"/>
            <w:tcBorders/>
            <w:shd w:fill="auto" w:val="clear"/>
            <w:vAlign w:val="center"/>
          </w:tcPr>
          <w:p>
            <w:pPr>
              <w:pStyle w:val="TableContents"/>
              <w:spacing w:before="0" w:after="0"/>
              <w:jc w:val="right"/>
              <w:rPr>
                <w:rFonts w:ascii="inherit" w:hAnsi="inherit"/>
                <w:sz w:val="17"/>
              </w:rPr>
            </w:pPr>
            <w:r>
              <w:rPr>
                <w:rFonts w:ascii="inherit" w:hAnsi="inherit"/>
                <w:sz w:val="17"/>
              </w:rPr>
              <w:t>6,558</w:t>
            </w:r>
          </w:p>
        </w:tc>
        <w:tc>
          <w:tcPr>
            <w:tcW w:w="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 w:type="dxa"/>
            <w:tcBorders/>
            <w:shd w:fill="auto" w:val="clear"/>
            <w:vAlign w:val="center"/>
          </w:tcPr>
          <w:p>
            <w:pPr>
              <w:pStyle w:val="TableContents"/>
              <w:spacing w:before="0" w:after="0"/>
              <w:ind w:left="0" w:right="0" w:firstLine="30"/>
              <w:rPr/>
            </w:pPr>
            <w:r>
              <w:rPr/>
              <w:t> </w:t>
            </w:r>
          </w:p>
        </w:tc>
        <w:tc>
          <w:tcPr>
            <w:tcW w:w="586" w:type="dxa"/>
            <w:tcBorders/>
            <w:shd w:fill="auto" w:val="clear"/>
            <w:vAlign w:val="center"/>
          </w:tcPr>
          <w:p>
            <w:pPr>
              <w:pStyle w:val="TableContents"/>
              <w:spacing w:before="0" w:after="0"/>
              <w:jc w:val="right"/>
              <w:rPr>
                <w:rFonts w:ascii="inherit" w:hAnsi="inherit"/>
                <w:sz w:val="17"/>
              </w:rPr>
            </w:pPr>
            <w:r>
              <w:rPr>
                <w:rFonts w:ascii="inherit" w:hAnsi="inherit"/>
                <w:sz w:val="17"/>
              </w:rPr>
              <w:t>5,469</w:t>
            </w:r>
          </w:p>
        </w:tc>
        <w:tc>
          <w:tcPr>
            <w:tcW w:w="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54" w:type="dxa"/>
            <w:tcBorders/>
            <w:shd w:fill="auto" w:val="clear"/>
            <w:vAlign w:val="center"/>
          </w:tcPr>
          <w:p>
            <w:pPr>
              <w:pStyle w:val="TableContents"/>
              <w:spacing w:before="0" w:after="0"/>
              <w:jc w:val="right"/>
              <w:rPr>
                <w:rFonts w:ascii="inherit" w:hAnsi="inherit"/>
                <w:sz w:val="17"/>
              </w:rPr>
            </w:pPr>
            <w:r>
              <w:rPr>
                <w:rFonts w:ascii="inherit" w:hAnsi="inherit"/>
                <w:sz w:val="17"/>
              </w:rPr>
              <w:t>1,089</w:t>
            </w:r>
          </w:p>
        </w:tc>
        <w:tc>
          <w:tcPr>
            <w:tcW w:w="1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90" w:type="dxa"/>
            <w:tcBorders/>
            <w:shd w:fill="auto" w:val="clear"/>
            <w:vAlign w:val="center"/>
          </w:tcPr>
          <w:p>
            <w:pPr>
              <w:pStyle w:val="TableContents"/>
              <w:spacing w:before="0" w:after="0"/>
              <w:jc w:val="right"/>
              <w:rPr>
                <w:rFonts w:ascii="inherit" w:hAnsi="inherit"/>
                <w:sz w:val="17"/>
              </w:rPr>
            </w:pPr>
            <w:r>
              <w:rPr>
                <w:rFonts w:ascii="inherit" w:hAnsi="inherit"/>
                <w:sz w:val="17"/>
              </w:rPr>
              <w:t>20</w:t>
            </w:r>
          </w:p>
        </w:tc>
        <w:tc>
          <w:tcPr>
            <w:tcW w:w="275" w:type="dxa"/>
            <w:tcBorders/>
            <w:shd w:fill="auto" w:val="clear"/>
            <w:vAlign w:val="center"/>
          </w:tcPr>
          <w:p>
            <w:pPr>
              <w:pStyle w:val="TableContents"/>
              <w:spacing w:before="0" w:after="0"/>
              <w:ind w:left="0" w:right="0" w:firstLine="30"/>
              <w:jc w:val="left"/>
              <w:rPr/>
            </w:pPr>
            <w:r>
              <w:rPr/>
              <w:t> </w:t>
            </w:r>
            <w:r>
              <w:rPr>
                <w:rFonts w:ascii="inherit" w:hAnsi="inherit"/>
                <w:sz w:val="17"/>
              </w:rPr>
              <w:t>%</w:t>
            </w:r>
          </w:p>
        </w:tc>
      </w:tr>
      <w:tr>
        <w:trPr/>
        <w:tc>
          <w:tcPr>
            <w:tcW w:w="32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Trucking volumes</w:t>
            </w:r>
          </w:p>
        </w:tc>
        <w:tc>
          <w:tcPr>
            <w:tcW w:w="90" w:type="dxa"/>
            <w:tcBorders/>
            <w:shd w:fill="CCEEFF" w:val="clear"/>
            <w:vAlign w:val="center"/>
          </w:tcPr>
          <w:p>
            <w:pPr>
              <w:pStyle w:val="TableContents"/>
              <w:spacing w:before="0" w:after="0"/>
              <w:ind w:left="0" w:right="0" w:firstLine="30"/>
              <w:rPr/>
            </w:pPr>
            <w:r>
              <w:rPr/>
              <w:t> </w:t>
            </w:r>
          </w:p>
        </w:tc>
        <w:tc>
          <w:tcPr>
            <w:tcW w:w="671"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83</w:t>
            </w:r>
          </w:p>
        </w:tc>
        <w:tc>
          <w:tcPr>
            <w:tcW w:w="4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671"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91</w:t>
            </w:r>
          </w:p>
        </w:tc>
        <w:tc>
          <w:tcPr>
            <w:tcW w:w="4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11"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w:t>
            </w:r>
          </w:p>
        </w:tc>
        <w:tc>
          <w:tcPr>
            <w:tcW w:w="169"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290"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w:t>
            </w:r>
          </w:p>
        </w:tc>
        <w:tc>
          <w:tcPr>
            <w:tcW w:w="26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586"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88</w:t>
            </w:r>
          </w:p>
        </w:tc>
        <w:tc>
          <w:tcPr>
            <w:tcW w:w="3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 w:type="dxa"/>
            <w:tcBorders/>
            <w:shd w:fill="CCEEFF" w:val="clear"/>
            <w:vAlign w:val="center"/>
          </w:tcPr>
          <w:p>
            <w:pPr>
              <w:pStyle w:val="TableContents"/>
              <w:spacing w:before="0" w:after="0"/>
              <w:ind w:left="0" w:right="0" w:firstLine="30"/>
              <w:rPr/>
            </w:pPr>
            <w:r>
              <w:rPr/>
              <w:t> </w:t>
            </w:r>
          </w:p>
        </w:tc>
        <w:tc>
          <w:tcPr>
            <w:tcW w:w="586"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95</w:t>
            </w:r>
          </w:p>
        </w:tc>
        <w:tc>
          <w:tcPr>
            <w:tcW w:w="3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54"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w:t>
            </w:r>
          </w:p>
        </w:tc>
        <w:tc>
          <w:tcPr>
            <w:tcW w:w="126"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290"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w:t>
            </w:r>
          </w:p>
        </w:tc>
        <w:tc>
          <w:tcPr>
            <w:tcW w:w="27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2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Transportation segment total volumes</w:t>
            </w:r>
          </w:p>
        </w:tc>
        <w:tc>
          <w:tcPr>
            <w:tcW w:w="90" w:type="dxa"/>
            <w:tcBorders/>
            <w:shd w:fill="auto" w:val="clear"/>
            <w:vAlign w:val="center"/>
          </w:tcPr>
          <w:p>
            <w:pPr>
              <w:pStyle w:val="TableContents"/>
              <w:spacing w:before="0" w:after="0"/>
              <w:ind w:left="0" w:right="0" w:firstLine="30"/>
              <w:rPr/>
            </w:pPr>
            <w:r>
              <w:rPr/>
              <w:t> </w:t>
            </w:r>
          </w:p>
        </w:tc>
        <w:tc>
          <w:tcPr>
            <w:tcW w:w="67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6,787</w:t>
            </w:r>
          </w:p>
        </w:tc>
        <w:tc>
          <w:tcPr>
            <w:tcW w:w="41"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67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5,797</w:t>
            </w:r>
          </w:p>
        </w:tc>
        <w:tc>
          <w:tcPr>
            <w:tcW w:w="41"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1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990</w:t>
            </w:r>
          </w:p>
        </w:tc>
        <w:tc>
          <w:tcPr>
            <w:tcW w:w="169"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9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17</w:t>
            </w:r>
          </w:p>
        </w:tc>
        <w:tc>
          <w:tcPr>
            <w:tcW w:w="260" w:type="dxa"/>
            <w:tcBorders>
              <w:bottom w:val="double" w:sz="6" w:space="0" w:color="000000"/>
            </w:tcBorders>
            <w:shd w:fill="auto" w:val="clear"/>
            <w:tcMar>
              <w:bottom w:w="30" w:type="dxa"/>
            </w:tcMar>
            <w:vAlign w:val="center"/>
          </w:tcPr>
          <w:p>
            <w:pPr>
              <w:pStyle w:val="TableContents"/>
              <w:spacing w:before="0" w:after="0"/>
              <w:ind w:left="0" w:right="0" w:firstLine="30"/>
              <w:jc w:val="left"/>
              <w:rPr/>
            </w:pPr>
            <w:r>
              <w:rPr/>
              <w:t> </w:t>
            </w: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586"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6,646</w:t>
            </w:r>
          </w:p>
        </w:tc>
        <w:tc>
          <w:tcPr>
            <w:tcW w:w="36"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 w:type="dxa"/>
            <w:tcBorders/>
            <w:shd w:fill="auto" w:val="clear"/>
            <w:vAlign w:val="center"/>
          </w:tcPr>
          <w:p>
            <w:pPr>
              <w:pStyle w:val="TableContents"/>
              <w:spacing w:before="0" w:after="0"/>
              <w:ind w:left="0" w:right="0" w:firstLine="30"/>
              <w:rPr/>
            </w:pPr>
            <w:r>
              <w:rPr/>
              <w:t> </w:t>
            </w:r>
          </w:p>
        </w:tc>
        <w:tc>
          <w:tcPr>
            <w:tcW w:w="586"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5,564</w:t>
            </w:r>
          </w:p>
        </w:tc>
        <w:tc>
          <w:tcPr>
            <w:tcW w:w="36"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54"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1,082</w:t>
            </w:r>
          </w:p>
        </w:tc>
        <w:tc>
          <w:tcPr>
            <w:tcW w:w="126"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9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19</w:t>
            </w:r>
          </w:p>
        </w:tc>
        <w:tc>
          <w:tcPr>
            <w:tcW w:w="275" w:type="dxa"/>
            <w:tcBorders>
              <w:bottom w:val="double" w:sz="6" w:space="0" w:color="000000"/>
            </w:tcBorders>
            <w:shd w:fill="auto" w:val="clear"/>
            <w:tcMar>
              <w:bottom w:w="30" w:type="dxa"/>
            </w:tcMar>
            <w:vAlign w:val="center"/>
          </w:tcPr>
          <w:p>
            <w:pPr>
              <w:pStyle w:val="TableContents"/>
              <w:spacing w:before="0" w:after="0"/>
              <w:jc w:val="left"/>
              <w:rPr/>
            </w:pPr>
            <w:r>
              <w:rPr/>
              <w:t> </w:t>
            </w:r>
            <w:r>
              <w:rPr>
                <w:rFonts w:ascii="inherit" w:hAnsi="inherit"/>
                <w:sz w:val="17"/>
              </w:rPr>
              <w:t>%</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sz w:val="4"/>
                <w:szCs w:val="4"/>
              </w:rPr>
            </w:pPr>
            <w:r>
              <w:rPr>
                <w:sz w:val="4"/>
                <w:szCs w:val="4"/>
              </w:rPr>
            </w:r>
          </w:p>
        </w:tc>
      </w:tr>
      <w:tr>
        <w:trPr/>
        <w:tc>
          <w:tcPr>
            <w:tcW w:w="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 w:type="dxa"/>
            <w:tcBorders>
              <w:bottom w:val="single" w:sz="2" w:space="0" w:color="000000"/>
            </w:tcBorders>
            <w:shd w:fill="auto" w:val="clear"/>
            <w:tcMar>
              <w:bottom w:w="30" w:type="dxa"/>
            </w:tcMar>
            <w:vAlign w:val="center"/>
          </w:tcPr>
          <w:p>
            <w:pPr>
              <w:pStyle w:val="TableContents"/>
              <w:spacing w:before="0" w:after="0"/>
              <w:rPr/>
            </w:pPr>
            <w:r>
              <w:rPr/>
              <w:t> </w:t>
            </w:r>
          </w:p>
        </w:tc>
      </w:tr>
    </w:tbl>
    <w:tbl>
      <w:tblPr>
        <w:tblW w:w="5065" w:type="dxa"/>
        <w:jc w:val="left"/>
        <w:tblInd w:w="0" w:type="dxa"/>
        <w:tblCellMar>
          <w:top w:w="0" w:type="dxa"/>
          <w:left w:w="0" w:type="dxa"/>
          <w:bottom w:w="0" w:type="dxa"/>
          <w:right w:w="0" w:type="dxa"/>
        </w:tblCellMar>
      </w:tblPr>
      <w:tblGrid>
        <w:gridCol w:w="200"/>
        <w:gridCol w:w="4865"/>
      </w:tblGrid>
      <w:tr>
        <w:trPr/>
        <w:tc>
          <w:tcPr>
            <w:tcW w:w="200" w:type="dxa"/>
            <w:tcBorders/>
            <w:shd w:fill="auto" w:val="clear"/>
            <w:vAlign w:val="center"/>
          </w:tcPr>
          <w:p>
            <w:pPr>
              <w:pStyle w:val="TableContents"/>
              <w:spacing w:before="0" w:after="283"/>
              <w:rPr>
                <w:sz w:val="4"/>
                <w:szCs w:val="4"/>
              </w:rPr>
            </w:pPr>
            <w:r>
              <w:rPr>
                <w:sz w:val="4"/>
                <w:szCs w:val="4"/>
              </w:rPr>
            </w:r>
          </w:p>
        </w:tc>
        <w:tc>
          <w:tcPr>
            <w:tcW w:w="4865" w:type="dxa"/>
            <w:tcBorders/>
            <w:shd w:fill="auto" w:val="clear"/>
            <w:vAlign w:val="center"/>
          </w:tcPr>
          <w:p>
            <w:pPr>
              <w:pStyle w:val="TableContents"/>
              <w:spacing w:before="0" w:after="283"/>
              <w:rPr>
                <w:sz w:val="4"/>
                <w:szCs w:val="4"/>
              </w:rPr>
            </w:pPr>
            <w:r>
              <w:rPr>
                <w:sz w:val="4"/>
                <w:szCs w:val="4"/>
              </w:rPr>
            </w:r>
          </w:p>
        </w:tc>
      </w:tr>
      <w:tr>
        <w:trPr/>
        <w:tc>
          <w:tcPr>
            <w:tcW w:w="200"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w:t>
            </w:r>
            <w:r>
              <w:rPr>
                <w:rFonts w:ascii="inherit" w:hAnsi="inherit"/>
                <w:sz w:val="17"/>
              </w:rPr>
              <w:t> </w:t>
            </w:r>
          </w:p>
        </w:tc>
        <w:tc>
          <w:tcPr>
            <w:tcW w:w="4865" w:type="dxa"/>
            <w:tcBorders/>
            <w:shd w:fill="auto" w:val="clear"/>
            <w:vAlign w:val="center"/>
          </w:tcPr>
          <w:p>
            <w:pPr>
              <w:pStyle w:val="TableContents"/>
              <w:spacing w:lineRule="auto" w:line="288" w:before="0" w:after="0"/>
              <w:rPr>
                <w:rFonts w:ascii="inherit" w:hAnsi="inherit"/>
                <w:sz w:val="17"/>
              </w:rPr>
            </w:pPr>
            <w:r>
              <w:rPr>
                <w:rFonts w:ascii="inherit" w:hAnsi="inherit"/>
                <w:sz w:val="17"/>
              </w:rPr>
              <w:t>Indicates that variance as a percentage is not meaningful.</w:t>
            </w:r>
          </w:p>
        </w:tc>
      </w:tr>
    </w:tbl>
    <w:tbl>
      <w:tblPr>
        <w:tblW w:w="5860" w:type="dxa"/>
        <w:jc w:val="left"/>
        <w:tblInd w:w="0" w:type="dxa"/>
        <w:tblCellMar>
          <w:top w:w="0" w:type="dxa"/>
          <w:left w:w="0" w:type="dxa"/>
          <w:bottom w:w="0" w:type="dxa"/>
          <w:right w:w="0" w:type="dxa"/>
        </w:tblCellMar>
      </w:tblPr>
      <w:tblGrid>
        <w:gridCol w:w="245"/>
        <w:gridCol w:w="5615"/>
      </w:tblGrid>
      <w:tr>
        <w:trPr/>
        <w:tc>
          <w:tcPr>
            <w:tcW w:w="245" w:type="dxa"/>
            <w:tcBorders/>
            <w:shd w:fill="auto" w:val="clear"/>
            <w:vAlign w:val="center"/>
          </w:tcPr>
          <w:p>
            <w:pPr>
              <w:pStyle w:val="TableContents"/>
              <w:spacing w:before="0" w:after="283"/>
              <w:rPr>
                <w:sz w:val="4"/>
                <w:szCs w:val="4"/>
              </w:rPr>
            </w:pPr>
            <w:r>
              <w:rPr>
                <w:sz w:val="4"/>
                <w:szCs w:val="4"/>
              </w:rPr>
            </w:r>
          </w:p>
        </w:tc>
        <w:tc>
          <w:tcPr>
            <w:tcW w:w="5615"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(1)</w:t>
            </w:r>
            <w:r>
              <w:rPr>
                <w:rFonts w:ascii="inherit" w:hAnsi="inherit"/>
                <w:sz w:val="17"/>
              </w:rPr>
              <w:t> </w:t>
            </w:r>
          </w:p>
        </w:tc>
        <w:tc>
          <w:tcPr>
            <w:tcW w:w="5615" w:type="dxa"/>
            <w:tcBorders/>
            <w:shd w:fill="auto" w:val="clear"/>
            <w:vAlign w:val="center"/>
          </w:tcPr>
          <w:p>
            <w:pPr>
              <w:pStyle w:val="TableContents"/>
              <w:spacing w:lineRule="auto" w:line="288" w:before="0" w:after="0"/>
              <w:rPr>
                <w:rFonts w:ascii="inherit" w:hAnsi="inherit"/>
                <w:sz w:val="17"/>
              </w:rPr>
            </w:pPr>
            <w:r>
              <w:rPr>
                <w:rFonts w:ascii="inherit" w:hAnsi="inherit"/>
                <w:sz w:val="17"/>
              </w:rPr>
              <w:t>Revenues and costs and expenses include intersegment amounts. </w:t>
            </w:r>
          </w:p>
        </w:tc>
      </w:tr>
    </w:tbl>
    <w:tbl>
      <w:tblPr>
        <w:tblW w:w="10205" w:type="dxa"/>
        <w:jc w:val="left"/>
        <w:tblInd w:w="0" w:type="dxa"/>
        <w:tblCellMar>
          <w:top w:w="0" w:type="dxa"/>
          <w:left w:w="0" w:type="dxa"/>
          <w:bottom w:w="0" w:type="dxa"/>
          <w:right w:w="0" w:type="dxa"/>
        </w:tblCellMar>
      </w:tblPr>
      <w:tblGrid>
        <w:gridCol w:w="188"/>
        <w:gridCol w:w="10017"/>
      </w:tblGrid>
      <w:tr>
        <w:trPr/>
        <w:tc>
          <w:tcPr>
            <w:tcW w:w="188" w:type="dxa"/>
            <w:tcBorders/>
            <w:shd w:fill="auto" w:val="clear"/>
            <w:vAlign w:val="center"/>
          </w:tcPr>
          <w:p>
            <w:pPr>
              <w:pStyle w:val="TableContents"/>
              <w:spacing w:before="0" w:after="283"/>
              <w:rPr>
                <w:sz w:val="4"/>
                <w:szCs w:val="4"/>
              </w:rPr>
            </w:pPr>
            <w:r>
              <w:rPr>
                <w:sz w:val="4"/>
                <w:szCs w:val="4"/>
              </w:rPr>
            </w:r>
          </w:p>
        </w:tc>
        <w:tc>
          <w:tcPr>
            <w:tcW w:w="10017" w:type="dxa"/>
            <w:tcBorders/>
            <w:shd w:fill="auto" w:val="clear"/>
            <w:vAlign w:val="center"/>
          </w:tcPr>
          <w:p>
            <w:pPr>
              <w:pStyle w:val="TableContents"/>
              <w:spacing w:before="0" w:after="283"/>
              <w:rPr>
                <w:sz w:val="4"/>
                <w:szCs w:val="4"/>
              </w:rPr>
            </w:pPr>
            <w:r>
              <w:rPr>
                <w:sz w:val="4"/>
                <w:szCs w:val="4"/>
              </w:rPr>
            </w:r>
          </w:p>
        </w:tc>
      </w:tr>
      <w:tr>
        <w:trPr/>
        <w:tc>
          <w:tcPr>
            <w:tcW w:w="188"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(2)</w:t>
            </w:r>
            <w:r>
              <w:rPr>
                <w:rFonts w:ascii="inherit" w:hAnsi="inherit"/>
                <w:sz w:val="17"/>
              </w:rPr>
              <w:t> </w:t>
            </w:r>
          </w:p>
        </w:tc>
        <w:tc>
          <w:tcPr>
            <w:tcW w:w="10017" w:type="dxa"/>
            <w:tcBorders/>
            <w:shd w:fill="auto" w:val="clear"/>
            <w:vAlign w:val="center"/>
          </w:tcPr>
          <w:p>
            <w:pPr>
              <w:pStyle w:val="TableContents"/>
              <w:spacing w:lineRule="auto" w:line="288" w:before="0" w:after="0"/>
              <w:rPr>
                <w:rFonts w:ascii="inherit" w:hAnsi="inherit"/>
                <w:sz w:val="17"/>
              </w:rPr>
            </w:pPr>
            <w:r>
              <w:rPr>
                <w:rFonts w:ascii="inherit" w:hAnsi="inherit"/>
                <w:sz w:val="17"/>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tc>
      </w:tr>
    </w:tbl>
    <w:tbl>
      <w:tblPr>
        <w:tblW w:w="10205" w:type="dxa"/>
        <w:jc w:val="left"/>
        <w:tblInd w:w="0" w:type="dxa"/>
        <w:tblCellMar>
          <w:top w:w="0" w:type="dxa"/>
          <w:left w:w="0" w:type="dxa"/>
          <w:bottom w:w="0" w:type="dxa"/>
          <w:right w:w="0" w:type="dxa"/>
        </w:tblCellMar>
      </w:tblPr>
      <w:tblGrid>
        <w:gridCol w:w="198"/>
        <w:gridCol w:w="10007"/>
      </w:tblGrid>
      <w:tr>
        <w:trPr/>
        <w:tc>
          <w:tcPr>
            <w:tcW w:w="198" w:type="dxa"/>
            <w:tcBorders/>
            <w:shd w:fill="auto" w:val="clear"/>
            <w:vAlign w:val="center"/>
          </w:tcPr>
          <w:p>
            <w:pPr>
              <w:pStyle w:val="TableContents"/>
              <w:spacing w:before="0" w:after="283"/>
              <w:rPr>
                <w:sz w:val="4"/>
                <w:szCs w:val="4"/>
              </w:rPr>
            </w:pPr>
            <w:r>
              <w:rPr>
                <w:sz w:val="4"/>
                <w:szCs w:val="4"/>
              </w:rPr>
            </w:r>
          </w:p>
        </w:tc>
        <w:tc>
          <w:tcPr>
            <w:tcW w:w="10007" w:type="dxa"/>
            <w:tcBorders/>
            <w:shd w:fill="auto" w:val="clear"/>
            <w:vAlign w:val="center"/>
          </w:tcPr>
          <w:p>
            <w:pPr>
              <w:pStyle w:val="TableContents"/>
              <w:spacing w:before="0" w:after="283"/>
              <w:rPr>
                <w:sz w:val="4"/>
                <w:szCs w:val="4"/>
              </w:rPr>
            </w:pPr>
            <w:r>
              <w:rPr>
                <w:sz w:val="4"/>
                <w:szCs w:val="4"/>
              </w:rPr>
            </w:r>
          </w:p>
        </w:tc>
      </w:tr>
      <w:tr>
        <w:trPr/>
        <w:tc>
          <w:tcPr>
            <w:tcW w:w="198"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(3)</w:t>
            </w:r>
            <w:r>
              <w:rPr>
                <w:rFonts w:ascii="inherit" w:hAnsi="inherit"/>
                <w:sz w:val="17"/>
              </w:rPr>
              <w:t> </w:t>
            </w:r>
          </w:p>
        </w:tc>
        <w:tc>
          <w:tcPr>
            <w:tcW w:w="10007" w:type="dxa"/>
            <w:tcBorders/>
            <w:shd w:fill="auto" w:val="clear"/>
            <w:vAlign w:val="center"/>
          </w:tcPr>
          <w:p>
            <w:pPr>
              <w:pStyle w:val="TableContents"/>
              <w:spacing w:lineRule="auto" w:line="288" w:before="0" w:after="0"/>
              <w:rPr>
                <w:sz w:val="17"/>
              </w:rPr>
            </w:pPr>
            <w:r>
              <w:rPr>
                <w:rFonts w:ascii="inherit" w:hAnsi="inherit"/>
                <w:sz w:val="17"/>
              </w:rPr>
              <w:t xml:space="preserve">Represents adjustments included in the performance measure utilized by our CODM in the evaluation of segment results. See </w:t>
            </w:r>
            <w:r>
              <w:rPr>
                <w:b w:val="false"/>
                <w:sz w:val="17"/>
              </w:rPr>
              <w:t>Note 14</w:t>
            </w:r>
            <w:r>
              <w:rPr>
                <w:sz w:val="17"/>
              </w:rPr>
              <w:t xml:space="preserve"> </w:t>
            </w:r>
            <w:r>
              <w:rPr>
                <w:rFonts w:ascii="inherit" w:hAnsi="inherit"/>
                <w:sz w:val="17"/>
              </w:rPr>
              <w:t>to our Condensed Consolidated Financial Statements for additional discussion of such adjustments.</w:t>
            </w:r>
          </w:p>
        </w:tc>
      </w:tr>
    </w:tbl>
    <w:tbl>
      <w:tblPr>
        <w:tblW w:w="10205" w:type="dxa"/>
        <w:jc w:val="left"/>
        <w:tblInd w:w="0" w:type="dxa"/>
        <w:tblCellMar>
          <w:top w:w="0" w:type="dxa"/>
          <w:left w:w="0" w:type="dxa"/>
          <w:bottom w:w="0" w:type="dxa"/>
          <w:right w:w="0" w:type="dxa"/>
        </w:tblCellMar>
      </w:tblPr>
      <w:tblGrid>
        <w:gridCol w:w="226"/>
        <w:gridCol w:w="9979"/>
      </w:tblGrid>
      <w:tr>
        <w:trPr/>
        <w:tc>
          <w:tcPr>
            <w:tcW w:w="226" w:type="dxa"/>
            <w:tcBorders/>
            <w:shd w:fill="auto" w:val="clear"/>
            <w:vAlign w:val="center"/>
          </w:tcPr>
          <w:p>
            <w:pPr>
              <w:pStyle w:val="TableContents"/>
              <w:spacing w:before="0" w:after="283"/>
              <w:rPr>
                <w:sz w:val="4"/>
                <w:szCs w:val="4"/>
              </w:rPr>
            </w:pPr>
            <w:r>
              <w:rPr>
                <w:sz w:val="4"/>
                <w:szCs w:val="4"/>
              </w:rPr>
            </w:r>
          </w:p>
        </w:tc>
        <w:tc>
          <w:tcPr>
            <w:tcW w:w="9979" w:type="dxa"/>
            <w:tcBorders/>
            <w:shd w:fill="auto" w:val="clear"/>
            <w:vAlign w:val="center"/>
          </w:tcPr>
          <w:p>
            <w:pPr>
              <w:pStyle w:val="TableContents"/>
              <w:spacing w:before="0" w:after="283"/>
              <w:rPr>
                <w:sz w:val="4"/>
                <w:szCs w:val="4"/>
              </w:rPr>
            </w:pPr>
            <w:r>
              <w:rPr>
                <w:sz w:val="4"/>
                <w:szCs w:val="4"/>
              </w:rPr>
            </w:r>
          </w:p>
        </w:tc>
      </w:tr>
      <w:tr>
        <w:trPr/>
        <w:tc>
          <w:tcPr>
            <w:tcW w:w="226"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(4)</w:t>
            </w:r>
            <w:r>
              <w:rPr>
                <w:rFonts w:ascii="inherit" w:hAnsi="inherit"/>
                <w:sz w:val="17"/>
              </w:rPr>
              <w:t> </w:t>
            </w:r>
          </w:p>
        </w:tc>
        <w:tc>
          <w:tcPr>
            <w:tcW w:w="9979" w:type="dxa"/>
            <w:tcBorders/>
            <w:shd w:fill="auto" w:val="clear"/>
            <w:vAlign w:val="center"/>
          </w:tcPr>
          <w:p>
            <w:pPr>
              <w:pStyle w:val="TableContents"/>
              <w:spacing w:lineRule="auto" w:line="288" w:before="0" w:after="0"/>
              <w:rPr>
                <w:rFonts w:ascii="inherit" w:hAnsi="inherit"/>
                <w:sz w:val="17"/>
              </w:rPr>
            </w:pPr>
            <w:r>
              <w:rPr>
                <w:rFonts w:ascii="inherit" w:hAnsi="inherit"/>
                <w:sz w:val="17"/>
              </w:rPr>
              <w:t>Average daily volumes are calculated as the total volumes (attributable to our interest) for the period divided by the number of days in the period. </w:t>
            </w:r>
          </w:p>
        </w:tc>
      </w:tr>
    </w:tbl>
    <w:tbl>
      <w:tblPr>
        <w:tblW w:w="8905" w:type="dxa"/>
        <w:jc w:val="left"/>
        <w:tblInd w:w="0" w:type="dxa"/>
        <w:tblCellMar>
          <w:top w:w="0" w:type="dxa"/>
          <w:left w:w="0" w:type="dxa"/>
          <w:bottom w:w="0" w:type="dxa"/>
          <w:right w:w="0" w:type="dxa"/>
        </w:tblCellMar>
      </w:tblPr>
      <w:tblGrid>
        <w:gridCol w:w="290"/>
        <w:gridCol w:w="8615"/>
      </w:tblGrid>
      <w:tr>
        <w:trPr/>
        <w:tc>
          <w:tcPr>
            <w:tcW w:w="290" w:type="dxa"/>
            <w:tcBorders/>
            <w:shd w:fill="auto" w:val="clear"/>
            <w:vAlign w:val="center"/>
          </w:tcPr>
          <w:p>
            <w:pPr>
              <w:pStyle w:val="TableContents"/>
              <w:spacing w:before="0" w:after="283"/>
              <w:rPr>
                <w:sz w:val="4"/>
                <w:szCs w:val="4"/>
              </w:rPr>
            </w:pPr>
            <w:r>
              <w:rPr>
                <w:sz w:val="4"/>
                <w:szCs w:val="4"/>
              </w:rPr>
            </w:r>
          </w:p>
        </w:tc>
        <w:tc>
          <w:tcPr>
            <w:tcW w:w="8615" w:type="dxa"/>
            <w:tcBorders/>
            <w:shd w:fill="auto" w:val="clear"/>
            <w:vAlign w:val="center"/>
          </w:tcPr>
          <w:p>
            <w:pPr>
              <w:pStyle w:val="TableContents"/>
              <w:spacing w:before="0" w:after="283"/>
              <w:rPr>
                <w:sz w:val="4"/>
                <w:szCs w:val="4"/>
              </w:rPr>
            </w:pPr>
            <w:r>
              <w:rPr>
                <w:sz w:val="4"/>
                <w:szCs w:val="4"/>
              </w:rPr>
            </w:r>
          </w:p>
        </w:tc>
      </w:tr>
      <w:tr>
        <w:trPr/>
        <w:tc>
          <w:tcPr>
            <w:tcW w:w="290"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(5) </w:t>
            </w:r>
            <w:r>
              <w:rPr>
                <w:rFonts w:ascii="inherit" w:hAnsi="inherit"/>
                <w:sz w:val="17"/>
              </w:rPr>
              <w:t> </w:t>
            </w:r>
          </w:p>
        </w:tc>
        <w:tc>
          <w:tcPr>
            <w:tcW w:w="8615" w:type="dxa"/>
            <w:tcBorders/>
            <w:shd w:fill="auto" w:val="clear"/>
            <w:vAlign w:val="center"/>
          </w:tcPr>
          <w:p>
            <w:pPr>
              <w:pStyle w:val="TableContents"/>
              <w:spacing w:lineRule="auto" w:line="288" w:before="0" w:after="0"/>
              <w:rPr>
                <w:rFonts w:ascii="inherit" w:hAnsi="inherit"/>
                <w:sz w:val="17"/>
              </w:rPr>
            </w:pPr>
            <w:r>
              <w:rPr>
                <w:rFonts w:ascii="inherit" w:hAnsi="inherit"/>
                <w:sz w:val="17"/>
              </w:rPr>
              <w:t>Region includes volumes (attributable to our interest) from pipelines owned by unconsolidated entities.</w:t>
            </w:r>
          </w:p>
        </w:tc>
      </w:tr>
    </w:tbl>
    <w:p>
      <w:pPr>
        <w:pStyle w:val="TextBody"/>
        <w:spacing w:lineRule="auto" w:line="288" w:before="0" w:after="0"/>
        <w:rPr/>
      </w:pPr>
      <w:r>
        <w:rPr/>
        <w:t> </w:t>
      </w:r>
    </w:p>
    <w:p>
      <w:pPr>
        <w:pStyle w:val="TextBody"/>
        <w:spacing w:lineRule="auto" w:line="288" w:before="0" w:after="0"/>
        <w:ind w:left="0" w:right="0" w:firstLine="720"/>
        <w:rPr>
          <w:sz w:val="17"/>
        </w:rPr>
      </w:pPr>
      <w:r>
        <w:rPr>
          <w:rFonts w:ascii="inherit" w:hAnsi="inherit"/>
          <w:sz w:val="17"/>
        </w:rPr>
        <w:t>The following is a discussion of items impacting Transportation segment operating results for the periods indicated.</w:t>
      </w:r>
      <w:r>
        <w:rPr>
          <w:sz w:val="17"/>
        </w:rPr>
        <w:t xml:space="preserve"> </w:t>
      </w:r>
    </w:p>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52</w:t>
      </w:r>
      <w:r>
        <w:br w:type="page"/>
      </w:r>
    </w:p>
    <w:p>
      <w:pPr>
        <w:pStyle w:val="TextBody"/>
        <w:spacing w:lineRule="auto" w:line="288" w:before="0" w:after="0"/>
        <w:rPr/>
      </w:pPr>
      <w:hyperlink w:anchor="s3336AD8A685850CC9B7F2572CB2C0BC3">
        <w:r>
          <w:rPr>
            <w:rStyle w:val="InternetLink"/>
            <w:rFonts w:ascii="inherit" w:hAnsi="inherit"/>
            <w:sz w:val="17"/>
          </w:rPr>
          <w:t>Table of Contents</w:t>
        </w:r>
      </w:hyperlink>
      <w:r>
        <w:rPr>
          <w:sz w:val="17"/>
        </w:rPr>
        <w:t xml:space="preserve"> </w:t>
      </w:r>
    </w:p>
    <w:p>
      <w:pPr>
        <w:pStyle w:val="TextBody"/>
        <w:spacing w:before="0" w:after="0"/>
        <w:rPr/>
      </w:pPr>
      <w:r>
        <w:rPr/>
      </w:r>
    </w:p>
    <w:p>
      <w:pPr>
        <w:pStyle w:val="TextBody"/>
        <w:spacing w:lineRule="auto" w:line="288" w:before="0" w:after="0"/>
        <w:ind w:left="0" w:right="0" w:firstLine="720"/>
        <w:rPr/>
      </w:pPr>
      <w:r>
        <w:rPr/>
        <w:t> </w:t>
      </w:r>
      <w:r>
        <w:rPr>
          <w:rFonts w:ascii="inherit" w:hAnsi="inherit"/>
          <w:i/>
          <w:sz w:val="17"/>
        </w:rPr>
        <w:t>Revenues, Purchases and Related Costs, Equity Earnings in Unconsolidated Entities and Volumes.</w:t>
      </w:r>
      <w:r>
        <w:rPr>
          <w:sz w:val="17"/>
        </w:rPr>
        <w:t xml:space="preserve"> </w:t>
      </w:r>
      <w:r>
        <w:rPr>
          <w:rFonts w:ascii="inherit" w:hAnsi="inherit"/>
          <w:sz w:val="17"/>
        </w:rPr>
        <w:t>The following table presents variances in revenues, purchases and related costs and equity earnings in unconsolidated entities by region for the comparative periods presented: </w:t>
      </w:r>
    </w:p>
    <w:tbl>
      <w:tblPr>
        <w:tblW w:w="10205" w:type="dxa"/>
        <w:jc w:val="left"/>
        <w:tblInd w:w="0" w:type="dxa"/>
        <w:tblCellMar>
          <w:top w:w="0" w:type="dxa"/>
          <w:left w:w="0" w:type="dxa"/>
          <w:bottom w:w="0" w:type="dxa"/>
          <w:right w:w="0" w:type="dxa"/>
        </w:tblCellMar>
      </w:tblPr>
      <w:tblGrid>
        <w:gridCol w:w="4140"/>
        <w:gridCol w:w="90"/>
        <w:gridCol w:w="207"/>
        <w:gridCol w:w="381"/>
        <w:gridCol w:w="182"/>
        <w:gridCol w:w="132"/>
        <w:gridCol w:w="310"/>
        <w:gridCol w:w="459"/>
        <w:gridCol w:w="273"/>
        <w:gridCol w:w="132"/>
        <w:gridCol w:w="199"/>
        <w:gridCol w:w="438"/>
        <w:gridCol w:w="170"/>
        <w:gridCol w:w="90"/>
        <w:gridCol w:w="90"/>
        <w:gridCol w:w="185"/>
        <w:gridCol w:w="492"/>
        <w:gridCol w:w="152"/>
        <w:gridCol w:w="124"/>
        <w:gridCol w:w="309"/>
        <w:gridCol w:w="460"/>
        <w:gridCol w:w="273"/>
        <w:gridCol w:w="124"/>
        <w:gridCol w:w="185"/>
        <w:gridCol w:w="420"/>
        <w:gridCol w:w="188"/>
      </w:tblGrid>
      <w:tr>
        <w:trPr/>
        <w:tc>
          <w:tcPr>
            <w:tcW w:w="10205" w:type="dxa"/>
            <w:gridSpan w:val="26"/>
            <w:tcBorders/>
            <w:shd w:fill="auto" w:val="clear"/>
            <w:vAlign w:val="center"/>
          </w:tcPr>
          <w:p>
            <w:pPr>
              <w:pStyle w:val="TableContents"/>
              <w:spacing w:before="0" w:after="283"/>
              <w:rPr>
                <w:sz w:val="4"/>
                <w:szCs w:val="4"/>
              </w:rPr>
            </w:pPr>
            <w:r>
              <w:rPr>
                <w:sz w:val="4"/>
                <w:szCs w:val="4"/>
              </w:rPr>
            </w:r>
          </w:p>
        </w:tc>
      </w:tr>
      <w:tr>
        <w:trPr/>
        <w:tc>
          <w:tcPr>
            <w:tcW w:w="414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14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883"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Favorable/(Unfavorable) Variance</w:t>
              <w:br/>
              <w:t>Three Months Ended June 30,</w:t>
              <w:br/>
              <w:t>2019-2018</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2912"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Favorable/(Unfavorable) Variance</w:t>
              <w:br/>
              <w:t>Six Months Ended June 30,</w:t>
              <w:br/>
              <w:t>2019-2018</w:t>
            </w:r>
          </w:p>
        </w:tc>
      </w:tr>
      <w:tr>
        <w:trPr/>
        <w:tc>
          <w:tcPr>
            <w:tcW w:w="4140" w:type="dxa"/>
            <w:tcBorders>
              <w:bottom w:val="single" w:sz="2" w:space="0" w:color="000000"/>
            </w:tcBorders>
            <w:shd w:fill="auto" w:val="clear"/>
            <w:tcMar>
              <w:bottom w:w="30" w:type="dxa"/>
            </w:tcMar>
            <w:vAlign w:val="center"/>
          </w:tcPr>
          <w:p>
            <w:pPr>
              <w:pStyle w:val="TableContents"/>
              <w:spacing w:before="0" w:after="0"/>
              <w:ind w:left="0" w:right="0" w:firstLine="30"/>
              <w:rPr>
                <w:rFonts w:ascii="inherit" w:hAnsi="inherit"/>
                <w:b/>
                <w:sz w:val="13"/>
              </w:rPr>
            </w:pPr>
            <w:r>
              <w:rPr>
                <w:rFonts w:ascii="inherit" w:hAnsi="inherit"/>
                <w:b/>
                <w:sz w:val="13"/>
              </w:rPr>
              <w:t>(in millions)</w:t>
            </w:r>
          </w:p>
        </w:tc>
        <w:tc>
          <w:tcPr>
            <w:tcW w:w="90" w:type="dxa"/>
            <w:tcBorders/>
            <w:shd w:fill="auto" w:val="clear"/>
            <w:vAlign w:val="center"/>
          </w:tcPr>
          <w:p>
            <w:pPr>
              <w:pStyle w:val="TableContents"/>
              <w:spacing w:before="0" w:after="0"/>
              <w:ind w:left="0" w:right="0" w:firstLine="30"/>
              <w:rPr/>
            </w:pPr>
            <w:r>
              <w:rPr/>
              <w:t> </w:t>
            </w:r>
          </w:p>
        </w:tc>
        <w:tc>
          <w:tcPr>
            <w:tcW w:w="77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Revenues</w:t>
            </w:r>
          </w:p>
        </w:tc>
        <w:tc>
          <w:tcPr>
            <w:tcW w:w="132" w:type="dxa"/>
            <w:tcBorders/>
            <w:shd w:fill="auto" w:val="clear"/>
            <w:vAlign w:val="center"/>
          </w:tcPr>
          <w:p>
            <w:pPr>
              <w:pStyle w:val="TableContents"/>
              <w:spacing w:before="0" w:after="0"/>
              <w:ind w:left="0" w:right="0" w:firstLine="30"/>
              <w:rPr/>
            </w:pPr>
            <w:r>
              <w:rPr/>
              <w:t> </w:t>
            </w:r>
          </w:p>
        </w:tc>
        <w:tc>
          <w:tcPr>
            <w:tcW w:w="1042"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Purchases and</w:t>
              <w:br/>
              <w:t>Related Costs</w:t>
            </w:r>
          </w:p>
        </w:tc>
        <w:tc>
          <w:tcPr>
            <w:tcW w:w="132" w:type="dxa"/>
            <w:tcBorders/>
            <w:shd w:fill="auto" w:val="clear"/>
            <w:vAlign w:val="center"/>
          </w:tcPr>
          <w:p>
            <w:pPr>
              <w:pStyle w:val="TableContents"/>
              <w:spacing w:before="0" w:after="0"/>
              <w:ind w:left="0" w:right="0" w:firstLine="30"/>
              <w:rPr/>
            </w:pPr>
            <w:r>
              <w:rPr/>
              <w:t> </w:t>
            </w:r>
          </w:p>
        </w:tc>
        <w:tc>
          <w:tcPr>
            <w:tcW w:w="80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Equity</w:t>
              <w:br/>
              <w:t>Earnings</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2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Revenues</w:t>
            </w:r>
          </w:p>
        </w:tc>
        <w:tc>
          <w:tcPr>
            <w:tcW w:w="124" w:type="dxa"/>
            <w:tcBorders/>
            <w:shd w:fill="auto" w:val="clear"/>
            <w:vAlign w:val="center"/>
          </w:tcPr>
          <w:p>
            <w:pPr>
              <w:pStyle w:val="TableContents"/>
              <w:spacing w:before="0" w:after="0"/>
              <w:ind w:left="0" w:right="0" w:firstLine="30"/>
              <w:rPr/>
            </w:pPr>
            <w:r>
              <w:rPr/>
              <w:t> </w:t>
            </w:r>
          </w:p>
        </w:tc>
        <w:tc>
          <w:tcPr>
            <w:tcW w:w="1042"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Purchases and</w:t>
              <w:br/>
              <w:t>Related Costs</w:t>
            </w:r>
          </w:p>
        </w:tc>
        <w:tc>
          <w:tcPr>
            <w:tcW w:w="124" w:type="dxa"/>
            <w:tcBorders/>
            <w:shd w:fill="auto" w:val="clear"/>
            <w:vAlign w:val="center"/>
          </w:tcPr>
          <w:p>
            <w:pPr>
              <w:pStyle w:val="TableContents"/>
              <w:spacing w:before="0" w:after="0"/>
              <w:ind w:left="0" w:right="0" w:firstLine="30"/>
              <w:rPr/>
            </w:pPr>
            <w:r>
              <w:rPr/>
              <w:t> </w:t>
            </w:r>
          </w:p>
        </w:tc>
        <w:tc>
          <w:tcPr>
            <w:tcW w:w="79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Equity</w:t>
              <w:br/>
              <w:t>Earnings</w:t>
            </w:r>
          </w:p>
        </w:tc>
      </w:tr>
      <w:tr>
        <w:trPr/>
        <w:tc>
          <w:tcPr>
            <w:tcW w:w="4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Permian Basin region</w:t>
            </w:r>
          </w:p>
        </w:tc>
        <w:tc>
          <w:tcPr>
            <w:tcW w:w="90" w:type="dxa"/>
            <w:tcBorders/>
            <w:shd w:fill="CCEEFF" w:val="clear"/>
            <w:vAlign w:val="center"/>
          </w:tcPr>
          <w:p>
            <w:pPr>
              <w:pStyle w:val="TableContents"/>
              <w:spacing w:before="0" w:after="0"/>
              <w:ind w:left="0" w:right="0" w:firstLine="30"/>
              <w:rPr/>
            </w:pPr>
            <w:r>
              <w:rPr/>
              <w:t> </w:t>
            </w:r>
          </w:p>
        </w:tc>
        <w:tc>
          <w:tcPr>
            <w:tcW w:w="20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381" w:type="dxa"/>
            <w:tcBorders/>
            <w:shd w:fill="CCEEFF" w:val="clear"/>
            <w:vAlign w:val="center"/>
          </w:tcPr>
          <w:p>
            <w:pPr>
              <w:pStyle w:val="TableContents"/>
              <w:spacing w:before="0" w:after="0"/>
              <w:jc w:val="right"/>
              <w:rPr>
                <w:rFonts w:ascii="inherit" w:hAnsi="inherit"/>
                <w:sz w:val="17"/>
              </w:rPr>
            </w:pPr>
            <w:r>
              <w:rPr>
                <w:rFonts w:ascii="inherit" w:hAnsi="inherit"/>
                <w:sz w:val="17"/>
              </w:rPr>
              <w:t>54</w:t>
            </w:r>
          </w:p>
        </w:tc>
        <w:tc>
          <w:tcPr>
            <w:tcW w:w="1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31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59" w:type="dxa"/>
            <w:tcBorders/>
            <w:shd w:fill="CCEEFF" w:val="clear"/>
            <w:vAlign w:val="center"/>
          </w:tcPr>
          <w:p>
            <w:pPr>
              <w:pStyle w:val="TableContents"/>
              <w:spacing w:before="0" w:after="0"/>
              <w:jc w:val="right"/>
              <w:rPr>
                <w:rFonts w:ascii="inherit" w:hAnsi="inherit"/>
                <w:sz w:val="17"/>
              </w:rPr>
            </w:pPr>
            <w:r>
              <w:rPr>
                <w:rFonts w:ascii="inherit" w:hAnsi="inherit"/>
                <w:sz w:val="17"/>
              </w:rPr>
              <w:t>(1</w:t>
            </w:r>
          </w:p>
        </w:tc>
        <w:tc>
          <w:tcPr>
            <w:tcW w:w="2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2" w:type="dxa"/>
            <w:tcBorders/>
            <w:shd w:fill="CCEEFF" w:val="clear"/>
            <w:vAlign w:val="center"/>
          </w:tcPr>
          <w:p>
            <w:pPr>
              <w:pStyle w:val="TableContents"/>
              <w:spacing w:before="0" w:after="0"/>
              <w:ind w:left="0" w:right="0" w:firstLine="30"/>
              <w:rPr/>
            </w:pPr>
            <w:r>
              <w:rPr/>
              <w:t> </w:t>
            </w:r>
          </w:p>
        </w:tc>
        <w:tc>
          <w:tcPr>
            <w:tcW w:w="19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38" w:type="dxa"/>
            <w:tcBorders/>
            <w:shd w:fill="CCEEFF" w:val="clear"/>
            <w:vAlign w:val="center"/>
          </w:tcPr>
          <w:p>
            <w:pPr>
              <w:pStyle w:val="TableContents"/>
              <w:spacing w:before="0" w:after="0"/>
              <w:jc w:val="right"/>
              <w:rPr>
                <w:rFonts w:ascii="inherit" w:hAnsi="inherit"/>
                <w:sz w:val="17"/>
              </w:rPr>
            </w:pPr>
            <w:r>
              <w:rPr>
                <w:rFonts w:ascii="inherit" w:hAnsi="inherit"/>
                <w:sz w:val="17"/>
              </w:rPr>
              <w:t>(18</w:t>
            </w:r>
          </w:p>
        </w:tc>
        <w:tc>
          <w:tcPr>
            <w:tcW w:w="1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18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92" w:type="dxa"/>
            <w:tcBorders/>
            <w:shd w:fill="CCEEFF" w:val="clear"/>
            <w:vAlign w:val="center"/>
          </w:tcPr>
          <w:p>
            <w:pPr>
              <w:pStyle w:val="TableContents"/>
              <w:spacing w:before="0" w:after="0"/>
              <w:jc w:val="right"/>
              <w:rPr>
                <w:rFonts w:ascii="inherit" w:hAnsi="inherit"/>
                <w:sz w:val="17"/>
              </w:rPr>
            </w:pPr>
            <w:r>
              <w:rPr>
                <w:rFonts w:ascii="inherit" w:hAnsi="inherit"/>
                <w:sz w:val="17"/>
              </w:rPr>
              <w:t>120</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30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60" w:type="dxa"/>
            <w:tcBorders/>
            <w:shd w:fill="CCEEFF" w:val="clear"/>
            <w:vAlign w:val="center"/>
          </w:tcPr>
          <w:p>
            <w:pPr>
              <w:pStyle w:val="TableContents"/>
              <w:spacing w:before="0" w:after="0"/>
              <w:jc w:val="right"/>
              <w:rPr>
                <w:rFonts w:ascii="inherit" w:hAnsi="inherit"/>
                <w:sz w:val="17"/>
              </w:rPr>
            </w:pPr>
            <w:r>
              <w:rPr>
                <w:rFonts w:ascii="inherit" w:hAnsi="inherit"/>
                <w:sz w:val="17"/>
              </w:rPr>
              <w:t>(3</w:t>
            </w:r>
          </w:p>
        </w:tc>
        <w:tc>
          <w:tcPr>
            <w:tcW w:w="2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CCEEFF" w:val="clear"/>
            <w:vAlign w:val="center"/>
          </w:tcPr>
          <w:p>
            <w:pPr>
              <w:pStyle w:val="TableContents"/>
              <w:spacing w:before="0" w:after="0"/>
              <w:ind w:left="0" w:right="0" w:firstLine="30"/>
              <w:rPr/>
            </w:pPr>
            <w:r>
              <w:rPr/>
              <w:t> </w:t>
            </w:r>
          </w:p>
        </w:tc>
        <w:tc>
          <w:tcPr>
            <w:tcW w:w="18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20" w:type="dxa"/>
            <w:tcBorders/>
            <w:shd w:fill="CCEEFF" w:val="clear"/>
            <w:vAlign w:val="center"/>
          </w:tcPr>
          <w:p>
            <w:pPr>
              <w:pStyle w:val="TableContents"/>
              <w:spacing w:before="0" w:after="0"/>
              <w:jc w:val="right"/>
              <w:rPr>
                <w:rFonts w:ascii="inherit" w:hAnsi="inherit"/>
                <w:sz w:val="17"/>
              </w:rPr>
            </w:pPr>
            <w:r>
              <w:rPr>
                <w:rFonts w:ascii="inherit" w:hAnsi="inherit"/>
                <w:sz w:val="17"/>
              </w:rPr>
              <w:t>(30</w:t>
            </w:r>
          </w:p>
        </w:tc>
        <w:tc>
          <w:tcPr>
            <w:tcW w:w="18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South Texas / Eagle Ford region</w:t>
            </w:r>
          </w:p>
        </w:tc>
        <w:tc>
          <w:tcPr>
            <w:tcW w:w="90" w:type="dxa"/>
            <w:tcBorders/>
            <w:shd w:fill="auto" w:val="clear"/>
            <w:vAlign w:val="center"/>
          </w:tcPr>
          <w:p>
            <w:pPr>
              <w:pStyle w:val="TableContents"/>
              <w:spacing w:before="0" w:after="0"/>
              <w:ind w:left="0" w:right="0" w:firstLine="30"/>
              <w:rPr/>
            </w:pPr>
            <w:r>
              <w:rPr/>
              <w:t> </w:t>
            </w:r>
          </w:p>
        </w:tc>
        <w:tc>
          <w:tcPr>
            <w:tcW w:w="58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w:t>
            </w:r>
          </w:p>
        </w:tc>
        <w:tc>
          <w:tcPr>
            <w:tcW w:w="1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2" w:type="dxa"/>
            <w:tcBorders/>
            <w:shd w:fill="auto" w:val="clear"/>
            <w:vAlign w:val="center"/>
          </w:tcPr>
          <w:p>
            <w:pPr>
              <w:pStyle w:val="TableContents"/>
              <w:spacing w:before="0" w:after="0"/>
              <w:ind w:left="0" w:right="0" w:firstLine="30"/>
              <w:rPr/>
            </w:pPr>
            <w:r>
              <w:rPr/>
              <w:t> </w:t>
            </w:r>
          </w:p>
        </w:tc>
        <w:tc>
          <w:tcPr>
            <w:tcW w:w="769" w:type="dxa"/>
            <w:gridSpan w:val="2"/>
            <w:tcBorders/>
            <w:shd w:fill="auto" w:val="clear"/>
            <w:vAlign w:val="center"/>
          </w:tcPr>
          <w:p>
            <w:pPr>
              <w:pStyle w:val="TableContents"/>
              <w:spacing w:before="0" w:after="0"/>
              <w:jc w:val="right"/>
              <w:rPr/>
            </w:pPr>
            <w:r>
              <w:rPr/>
              <w:t>—</w:t>
            </w:r>
          </w:p>
        </w:tc>
        <w:tc>
          <w:tcPr>
            <w:tcW w:w="2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63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w:t>
            </w:r>
          </w:p>
        </w:tc>
        <w:tc>
          <w:tcPr>
            <w:tcW w:w="1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6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auto" w:val="clear"/>
            <w:vAlign w:val="center"/>
          </w:tcPr>
          <w:p>
            <w:pPr>
              <w:pStyle w:val="TableContents"/>
              <w:spacing w:before="0" w:after="0"/>
              <w:ind w:left="0" w:right="0" w:firstLine="30"/>
              <w:rPr/>
            </w:pPr>
            <w:r>
              <w:rPr/>
              <w:t> </w:t>
            </w:r>
          </w:p>
        </w:tc>
        <w:tc>
          <w:tcPr>
            <w:tcW w:w="769" w:type="dxa"/>
            <w:gridSpan w:val="2"/>
            <w:tcBorders/>
            <w:shd w:fill="auto" w:val="clear"/>
            <w:vAlign w:val="center"/>
          </w:tcPr>
          <w:p>
            <w:pPr>
              <w:pStyle w:val="TableContents"/>
              <w:spacing w:before="0" w:after="0"/>
              <w:jc w:val="right"/>
              <w:rPr/>
            </w:pPr>
            <w:r>
              <w:rPr/>
              <w:t>—</w:t>
            </w:r>
          </w:p>
        </w:tc>
        <w:tc>
          <w:tcPr>
            <w:tcW w:w="2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60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w:t>
            </w:r>
          </w:p>
        </w:tc>
        <w:tc>
          <w:tcPr>
            <w:tcW w:w="1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Central region</w:t>
            </w:r>
          </w:p>
        </w:tc>
        <w:tc>
          <w:tcPr>
            <w:tcW w:w="90" w:type="dxa"/>
            <w:tcBorders/>
            <w:shd w:fill="CCEEFF" w:val="clear"/>
            <w:vAlign w:val="center"/>
          </w:tcPr>
          <w:p>
            <w:pPr>
              <w:pStyle w:val="TableContents"/>
              <w:spacing w:before="0" w:after="0"/>
              <w:ind w:left="0" w:right="0" w:firstLine="30"/>
              <w:rPr/>
            </w:pPr>
            <w:r>
              <w:rPr/>
              <w:t> </w:t>
            </w:r>
          </w:p>
        </w:tc>
        <w:tc>
          <w:tcPr>
            <w:tcW w:w="58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w:t>
            </w:r>
          </w:p>
        </w:tc>
        <w:tc>
          <w:tcPr>
            <w:tcW w:w="1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769" w:type="dxa"/>
            <w:gridSpan w:val="2"/>
            <w:tcBorders/>
            <w:shd w:fill="CCEEFF" w:val="clear"/>
            <w:vAlign w:val="center"/>
          </w:tcPr>
          <w:p>
            <w:pPr>
              <w:pStyle w:val="TableContents"/>
              <w:spacing w:before="0" w:after="0"/>
              <w:jc w:val="right"/>
              <w:rPr/>
            </w:pPr>
            <w:r>
              <w:rPr/>
              <w:t>—</w:t>
            </w:r>
          </w:p>
        </w:tc>
        <w:tc>
          <w:tcPr>
            <w:tcW w:w="2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63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w:t>
            </w:r>
          </w:p>
        </w:tc>
        <w:tc>
          <w:tcPr>
            <w:tcW w:w="1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6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769" w:type="dxa"/>
            <w:gridSpan w:val="2"/>
            <w:tcBorders/>
            <w:shd w:fill="CCEEFF" w:val="clear"/>
            <w:vAlign w:val="center"/>
          </w:tcPr>
          <w:p>
            <w:pPr>
              <w:pStyle w:val="TableContents"/>
              <w:spacing w:before="0" w:after="0"/>
              <w:jc w:val="right"/>
              <w:rPr/>
            </w:pPr>
            <w:r>
              <w:rPr/>
              <w:t>—</w:t>
            </w:r>
          </w:p>
        </w:tc>
        <w:tc>
          <w:tcPr>
            <w:tcW w:w="2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60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w:t>
            </w:r>
          </w:p>
        </w:tc>
        <w:tc>
          <w:tcPr>
            <w:tcW w:w="18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Gulf Coast region</w:t>
            </w:r>
          </w:p>
        </w:tc>
        <w:tc>
          <w:tcPr>
            <w:tcW w:w="90" w:type="dxa"/>
            <w:tcBorders/>
            <w:shd w:fill="auto" w:val="clear"/>
            <w:vAlign w:val="center"/>
          </w:tcPr>
          <w:p>
            <w:pPr>
              <w:pStyle w:val="TableContents"/>
              <w:spacing w:before="0" w:after="0"/>
              <w:ind w:left="0" w:right="0" w:firstLine="30"/>
              <w:rPr/>
            </w:pPr>
            <w:r>
              <w:rPr/>
              <w:t> </w:t>
            </w:r>
          </w:p>
        </w:tc>
        <w:tc>
          <w:tcPr>
            <w:tcW w:w="58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1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769" w:type="dxa"/>
            <w:gridSpan w:val="2"/>
            <w:tcBorders/>
            <w:shd w:fill="auto" w:val="clear"/>
            <w:vAlign w:val="center"/>
          </w:tcPr>
          <w:p>
            <w:pPr>
              <w:pStyle w:val="TableContents"/>
              <w:spacing w:before="0" w:after="0"/>
              <w:jc w:val="right"/>
              <w:rPr/>
            </w:pPr>
            <w:r>
              <w:rPr/>
              <w:t>—</w:t>
            </w:r>
          </w:p>
        </w:tc>
        <w:tc>
          <w:tcPr>
            <w:tcW w:w="2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63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w:t>
            </w:r>
          </w:p>
        </w:tc>
        <w:tc>
          <w:tcPr>
            <w:tcW w:w="1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677" w:type="dxa"/>
            <w:gridSpan w:val="2"/>
            <w:tcBorders/>
            <w:shd w:fill="auto" w:val="clear"/>
            <w:vAlign w:val="center"/>
          </w:tcPr>
          <w:p>
            <w:pPr>
              <w:pStyle w:val="TableContents"/>
              <w:spacing w:before="0" w:after="0"/>
              <w:jc w:val="right"/>
              <w:rPr/>
            </w:pPr>
            <w:r>
              <w:rPr/>
              <w:t>—</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769" w:type="dxa"/>
            <w:gridSpan w:val="2"/>
            <w:tcBorders/>
            <w:shd w:fill="auto" w:val="clear"/>
            <w:vAlign w:val="center"/>
          </w:tcPr>
          <w:p>
            <w:pPr>
              <w:pStyle w:val="TableContents"/>
              <w:spacing w:before="0" w:after="0"/>
              <w:jc w:val="right"/>
              <w:rPr/>
            </w:pPr>
            <w:r>
              <w:rPr/>
              <w:t>—</w:t>
            </w:r>
          </w:p>
        </w:tc>
        <w:tc>
          <w:tcPr>
            <w:tcW w:w="2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60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w:t>
            </w:r>
          </w:p>
        </w:tc>
        <w:tc>
          <w:tcPr>
            <w:tcW w:w="1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Rocky Mountain region</w:t>
            </w:r>
          </w:p>
        </w:tc>
        <w:tc>
          <w:tcPr>
            <w:tcW w:w="90" w:type="dxa"/>
            <w:tcBorders/>
            <w:shd w:fill="CCEEFF" w:val="clear"/>
            <w:vAlign w:val="center"/>
          </w:tcPr>
          <w:p>
            <w:pPr>
              <w:pStyle w:val="TableContents"/>
              <w:spacing w:before="0" w:after="0"/>
              <w:ind w:left="0" w:right="0" w:firstLine="30"/>
              <w:rPr/>
            </w:pPr>
            <w:r>
              <w:rPr/>
              <w:t> </w:t>
            </w:r>
          </w:p>
        </w:tc>
        <w:tc>
          <w:tcPr>
            <w:tcW w:w="58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w:t>
            </w:r>
          </w:p>
        </w:tc>
        <w:tc>
          <w:tcPr>
            <w:tcW w:w="18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2" w:type="dxa"/>
            <w:tcBorders/>
            <w:shd w:fill="CCEEFF" w:val="clear"/>
            <w:vAlign w:val="center"/>
          </w:tcPr>
          <w:p>
            <w:pPr>
              <w:pStyle w:val="TableContents"/>
              <w:spacing w:before="0" w:after="0"/>
              <w:ind w:left="0" w:right="0" w:firstLine="30"/>
              <w:rPr/>
            </w:pPr>
            <w:r>
              <w:rPr/>
              <w:t> </w:t>
            </w:r>
          </w:p>
        </w:tc>
        <w:tc>
          <w:tcPr>
            <w:tcW w:w="769" w:type="dxa"/>
            <w:gridSpan w:val="2"/>
            <w:tcBorders/>
            <w:shd w:fill="CCEEFF" w:val="clear"/>
            <w:vAlign w:val="center"/>
          </w:tcPr>
          <w:p>
            <w:pPr>
              <w:pStyle w:val="TableContents"/>
              <w:spacing w:before="0" w:after="0"/>
              <w:jc w:val="right"/>
              <w:rPr/>
            </w:pPr>
            <w:r>
              <w:rPr/>
              <w:t>—</w:t>
            </w:r>
          </w:p>
        </w:tc>
        <w:tc>
          <w:tcPr>
            <w:tcW w:w="2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63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w:t>
            </w:r>
          </w:p>
        </w:tc>
        <w:tc>
          <w:tcPr>
            <w:tcW w:w="1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6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CCEEFF" w:val="clear"/>
            <w:vAlign w:val="center"/>
          </w:tcPr>
          <w:p>
            <w:pPr>
              <w:pStyle w:val="TableContents"/>
              <w:spacing w:before="0" w:after="0"/>
              <w:ind w:left="0" w:right="0" w:firstLine="30"/>
              <w:rPr/>
            </w:pPr>
            <w:r>
              <w:rPr/>
              <w:t> </w:t>
            </w:r>
          </w:p>
        </w:tc>
        <w:tc>
          <w:tcPr>
            <w:tcW w:w="769" w:type="dxa"/>
            <w:gridSpan w:val="2"/>
            <w:tcBorders/>
            <w:shd w:fill="CCEEFF" w:val="clear"/>
            <w:vAlign w:val="center"/>
          </w:tcPr>
          <w:p>
            <w:pPr>
              <w:pStyle w:val="TableContents"/>
              <w:spacing w:before="0" w:after="0"/>
              <w:jc w:val="right"/>
              <w:rPr/>
            </w:pPr>
            <w:r>
              <w:rPr/>
              <w:t>—</w:t>
            </w:r>
          </w:p>
        </w:tc>
        <w:tc>
          <w:tcPr>
            <w:tcW w:w="2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60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w:t>
            </w:r>
          </w:p>
        </w:tc>
        <w:tc>
          <w:tcPr>
            <w:tcW w:w="18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Canada region</w:t>
            </w:r>
          </w:p>
        </w:tc>
        <w:tc>
          <w:tcPr>
            <w:tcW w:w="90" w:type="dxa"/>
            <w:tcBorders/>
            <w:shd w:fill="auto" w:val="clear"/>
            <w:vAlign w:val="center"/>
          </w:tcPr>
          <w:p>
            <w:pPr>
              <w:pStyle w:val="TableContents"/>
              <w:spacing w:before="0" w:after="0"/>
              <w:ind w:left="0" w:right="0" w:firstLine="30"/>
              <w:rPr/>
            </w:pPr>
            <w:r>
              <w:rPr/>
              <w:t> </w:t>
            </w:r>
          </w:p>
        </w:tc>
        <w:tc>
          <w:tcPr>
            <w:tcW w:w="58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w:t>
            </w:r>
          </w:p>
        </w:tc>
        <w:tc>
          <w:tcPr>
            <w:tcW w:w="18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769" w:type="dxa"/>
            <w:gridSpan w:val="2"/>
            <w:tcBorders/>
            <w:shd w:fill="auto" w:val="clear"/>
            <w:vAlign w:val="center"/>
          </w:tcPr>
          <w:p>
            <w:pPr>
              <w:pStyle w:val="TableContents"/>
              <w:spacing w:before="0" w:after="0"/>
              <w:jc w:val="right"/>
              <w:rPr/>
            </w:pPr>
            <w:r>
              <w:rPr/>
              <w:t>—</w:t>
            </w:r>
          </w:p>
        </w:tc>
        <w:tc>
          <w:tcPr>
            <w:tcW w:w="2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637" w:type="dxa"/>
            <w:gridSpan w:val="2"/>
            <w:tcBorders/>
            <w:shd w:fill="auto" w:val="clear"/>
            <w:vAlign w:val="center"/>
          </w:tcPr>
          <w:p>
            <w:pPr>
              <w:pStyle w:val="TableContents"/>
              <w:spacing w:before="0" w:after="0"/>
              <w:jc w:val="right"/>
              <w:rPr/>
            </w:pPr>
            <w:r>
              <w:rPr/>
              <w:t>—</w:t>
            </w:r>
          </w:p>
        </w:tc>
        <w:tc>
          <w:tcPr>
            <w:tcW w:w="1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6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769" w:type="dxa"/>
            <w:gridSpan w:val="2"/>
            <w:tcBorders/>
            <w:shd w:fill="auto" w:val="clear"/>
            <w:vAlign w:val="center"/>
          </w:tcPr>
          <w:p>
            <w:pPr>
              <w:pStyle w:val="TableContents"/>
              <w:spacing w:before="0" w:after="0"/>
              <w:jc w:val="right"/>
              <w:rPr/>
            </w:pPr>
            <w:r>
              <w:rPr/>
              <w:t>—</w:t>
            </w:r>
          </w:p>
        </w:tc>
        <w:tc>
          <w:tcPr>
            <w:tcW w:w="2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605" w:type="dxa"/>
            <w:gridSpan w:val="2"/>
            <w:tcBorders/>
            <w:shd w:fill="auto" w:val="clear"/>
            <w:vAlign w:val="center"/>
          </w:tcPr>
          <w:p>
            <w:pPr>
              <w:pStyle w:val="TableContents"/>
              <w:spacing w:before="0" w:after="0"/>
              <w:jc w:val="right"/>
              <w:rPr/>
            </w:pPr>
            <w:r>
              <w:rPr/>
              <w:t>—</w:t>
            </w:r>
          </w:p>
        </w:tc>
        <w:tc>
          <w:tcPr>
            <w:tcW w:w="1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regions, trucking and pipeline loss allowance revenue</w:t>
            </w:r>
          </w:p>
        </w:tc>
        <w:tc>
          <w:tcPr>
            <w:tcW w:w="90" w:type="dxa"/>
            <w:tcBorders/>
            <w:shd w:fill="CCEEFF" w:val="clear"/>
            <w:vAlign w:val="center"/>
          </w:tcPr>
          <w:p>
            <w:pPr>
              <w:pStyle w:val="TableContents"/>
              <w:spacing w:before="0" w:after="0"/>
              <w:ind w:left="0" w:right="0" w:firstLine="30"/>
              <w:rPr/>
            </w:pPr>
            <w:r>
              <w:rPr/>
              <w:t> </w:t>
            </w:r>
          </w:p>
        </w:tc>
        <w:tc>
          <w:tcPr>
            <w:tcW w:w="58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16</w:t>
            </w:r>
          </w:p>
        </w:tc>
        <w:tc>
          <w:tcPr>
            <w:tcW w:w="18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76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w:t>
            </w:r>
          </w:p>
        </w:tc>
        <w:tc>
          <w:tcPr>
            <w:tcW w:w="273"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2" w:type="dxa"/>
            <w:tcBorders/>
            <w:shd w:fill="CCEEFF" w:val="clear"/>
            <w:vAlign w:val="center"/>
          </w:tcPr>
          <w:p>
            <w:pPr>
              <w:pStyle w:val="TableContents"/>
              <w:spacing w:before="0" w:after="0"/>
              <w:ind w:left="0" w:right="0" w:firstLine="30"/>
              <w:rPr/>
            </w:pPr>
            <w:r>
              <w:rPr/>
              <w:t> </w:t>
            </w:r>
          </w:p>
        </w:tc>
        <w:tc>
          <w:tcPr>
            <w:tcW w:w="63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w:t>
            </w:r>
          </w:p>
        </w:tc>
        <w:tc>
          <w:tcPr>
            <w:tcW w:w="17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67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36</w:t>
            </w:r>
          </w:p>
        </w:tc>
        <w:tc>
          <w:tcPr>
            <w:tcW w:w="15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76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w:t>
            </w:r>
          </w:p>
        </w:tc>
        <w:tc>
          <w:tcPr>
            <w:tcW w:w="273"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CCEEFF" w:val="clear"/>
            <w:vAlign w:val="center"/>
          </w:tcPr>
          <w:p>
            <w:pPr>
              <w:pStyle w:val="TableContents"/>
              <w:spacing w:before="0" w:after="0"/>
              <w:ind w:left="0" w:right="0" w:firstLine="30"/>
              <w:rPr/>
            </w:pPr>
            <w:r>
              <w:rPr/>
              <w:t> </w:t>
            </w:r>
          </w:p>
        </w:tc>
        <w:tc>
          <w:tcPr>
            <w:tcW w:w="60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w:t>
            </w:r>
          </w:p>
        </w:tc>
        <w:tc>
          <w:tcPr>
            <w:tcW w:w="18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variance</w:t>
            </w:r>
          </w:p>
        </w:tc>
        <w:tc>
          <w:tcPr>
            <w:tcW w:w="90" w:type="dxa"/>
            <w:tcBorders/>
            <w:shd w:fill="auto" w:val="clear"/>
            <w:vAlign w:val="center"/>
          </w:tcPr>
          <w:p>
            <w:pPr>
              <w:pStyle w:val="TableContents"/>
              <w:spacing w:before="0" w:after="0"/>
              <w:ind w:left="0" w:right="0" w:firstLine="30"/>
              <w:rPr/>
            </w:pPr>
            <w:r>
              <w:rPr/>
              <w:t> </w:t>
            </w:r>
          </w:p>
        </w:tc>
        <w:tc>
          <w:tcPr>
            <w:tcW w:w="207"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8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84</w:t>
            </w:r>
          </w:p>
        </w:tc>
        <w:tc>
          <w:tcPr>
            <w:tcW w:w="182"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31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59"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w:t>
            </w:r>
          </w:p>
        </w:tc>
        <w:tc>
          <w:tcPr>
            <w:tcW w:w="273"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2" w:type="dxa"/>
            <w:tcBorders/>
            <w:shd w:fill="auto" w:val="clear"/>
            <w:vAlign w:val="center"/>
          </w:tcPr>
          <w:p>
            <w:pPr>
              <w:pStyle w:val="TableContents"/>
              <w:spacing w:before="0" w:after="0"/>
              <w:ind w:left="0" w:right="0" w:firstLine="30"/>
              <w:rPr/>
            </w:pPr>
            <w:r>
              <w:rPr/>
              <w:t> </w:t>
            </w:r>
          </w:p>
        </w:tc>
        <w:tc>
          <w:tcPr>
            <w:tcW w:w="199"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38"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(13</w:t>
            </w:r>
          </w:p>
        </w:tc>
        <w:tc>
          <w:tcPr>
            <w:tcW w:w="170"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18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92"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186</w:t>
            </w:r>
          </w:p>
        </w:tc>
        <w:tc>
          <w:tcPr>
            <w:tcW w:w="152"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309"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6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w:t>
            </w:r>
          </w:p>
        </w:tc>
        <w:tc>
          <w:tcPr>
            <w:tcW w:w="273"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4" w:type="dxa"/>
            <w:tcBorders/>
            <w:shd w:fill="auto" w:val="clear"/>
            <w:vAlign w:val="center"/>
          </w:tcPr>
          <w:p>
            <w:pPr>
              <w:pStyle w:val="TableContents"/>
              <w:spacing w:before="0" w:after="0"/>
              <w:ind w:left="0" w:right="0" w:firstLine="30"/>
              <w:rPr/>
            </w:pPr>
            <w:r>
              <w:rPr/>
              <w:t> </w:t>
            </w:r>
          </w:p>
        </w:tc>
        <w:tc>
          <w:tcPr>
            <w:tcW w:w="18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2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w:t>
            </w:r>
          </w:p>
        </w:tc>
        <w:tc>
          <w:tcPr>
            <w:tcW w:w="188"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rPr>
                <w:sz w:val="17"/>
              </w:rPr>
            </w:pPr>
            <w:r>
              <w:rPr>
                <w:rFonts w:ascii="inherit" w:hAnsi="inherit"/>
                <w:i/>
                <w:sz w:val="17"/>
              </w:rPr>
              <w:t>Permian Basin region.</w:t>
            </w:r>
            <w:r>
              <w:rPr>
                <w:sz w:val="17"/>
              </w:rPr>
              <w:t xml:space="preserve"> </w:t>
            </w:r>
            <w:r>
              <w:rPr>
                <w:rFonts w:ascii="inherit" w:hAnsi="inherit"/>
                <w:sz w:val="17"/>
              </w:rPr>
              <w:t>The increase in revenues, net of purchases and related costs, of approximately $53 million and $117 million for the three and six months ended June 30, 2019, respectively, compared to the three and six months ended June 30, 2018 was primarily due to higher volumes from increased production and our recently completed capital expansion projects. These increases for the three and six month comparative periods included (i) higher volumes on our gathering systems of approximately 279,000 and 290,000 barrels per day, respectively, (ii) higher volumes of approximately 390,000 and 450,000 barrels per day, respectively, on our intra-basin pipelines and (iii) a volume increase of approximately 172,000 and 194,000, respectively, on our long-haul pipelines, including our Sunrise II pipeline, which was placed in service in the fourth quarter of 2018.</w:t>
            </w:r>
          </w:p>
        </w:tc>
      </w:tr>
    </w:tbl>
    <w:p>
      <w:pPr>
        <w:pStyle w:val="TextBody"/>
        <w:spacing w:lineRule="auto" w:line="288" w:before="0" w:after="0"/>
        <w:ind w:left="0" w:right="0" w:firstLine="1080"/>
        <w:rPr>
          <w:rFonts w:ascii="inherit" w:hAnsi="inherit"/>
          <w:sz w:val="17"/>
        </w:rPr>
      </w:pPr>
      <w:r>
        <w:rPr>
          <w:rFonts w:ascii="inherit" w:hAnsi="inherit"/>
          <w:sz w:val="17"/>
        </w:rPr>
      </w:r>
    </w:p>
    <w:p>
      <w:pPr>
        <w:pStyle w:val="TextBody"/>
        <w:spacing w:lineRule="auto" w:line="288" w:before="0" w:after="0"/>
        <w:ind w:left="0" w:right="0" w:firstLine="1080"/>
        <w:rPr>
          <w:rFonts w:ascii="inherit" w:hAnsi="inherit"/>
          <w:sz w:val="17"/>
        </w:rPr>
      </w:pPr>
      <w:r>
        <w:rPr>
          <w:rFonts w:ascii="inherit" w:hAnsi="inherit"/>
          <w:sz w:val="17"/>
        </w:rPr>
        <w:t>The decrease in equity earnings for the three and six months ended June 30, 2019 compared to the three and six months ended June 30, 2018 was primarily due to the sale of a 30% interest in BridgeTex Pipeline Company, LLC in the third quarter of 2018.</w:t>
      </w:r>
    </w:p>
    <w:p>
      <w:pPr>
        <w:pStyle w:val="TextBody"/>
        <w:spacing w:lineRule="auto" w:line="288" w:before="0" w:after="0"/>
        <w:ind w:left="0" w:right="0" w:firstLine="108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rPr>
                <w:sz w:val="17"/>
              </w:rPr>
            </w:pPr>
            <w:r>
              <w:rPr>
                <w:rFonts w:ascii="inherit" w:hAnsi="inherit"/>
                <w:i/>
                <w:sz w:val="17"/>
              </w:rPr>
              <w:t xml:space="preserve">South Texas / Eagle Ford region. </w:t>
            </w:r>
            <w:r>
              <w:rPr>
                <w:rFonts w:ascii="inherit" w:hAnsi="inherit"/>
                <w:sz w:val="17"/>
              </w:rPr>
              <w:t>The increase in equity earnings for the three and six months ended June 30, 2019 compared to the three and six months ended June 30, 2018 was from our 50% interest in Eagle Ford Pipeline LLC and was primarily due to higher volumes. The six month comparative period was also favorably impacted by the recognition of revenue associated with deficiencies under minimum volume commitments.</w:t>
            </w:r>
          </w:p>
        </w:tc>
      </w:tr>
    </w:tbl>
    <w:p>
      <w:pPr>
        <w:pStyle w:val="TextBody"/>
        <w:spacing w:lineRule="auto" w:line="288" w:before="0" w:after="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rPr>
                <w:sz w:val="17"/>
              </w:rPr>
            </w:pPr>
            <w:r>
              <w:rPr>
                <w:rFonts w:ascii="inherit" w:hAnsi="inherit"/>
                <w:i/>
                <w:sz w:val="17"/>
              </w:rPr>
              <w:t xml:space="preserve">Central region. </w:t>
            </w:r>
            <w:r>
              <w:rPr>
                <w:rFonts w:ascii="inherit" w:hAnsi="inherit"/>
                <w:sz w:val="17"/>
              </w:rPr>
              <w:t>The increase in revenues for the three and six months ended June 30, 2019 compared to the three and six months ended June 30, 2018 was primarily due to higher volumes on certain of our pipelines in the Central region, including our Red River pipeline. Additionally, the six-month 2019 period was favorably impacted by the recognition of previously deferred revenue in the first quarter of 2019.</w:t>
            </w:r>
          </w:p>
        </w:tc>
      </w:tr>
    </w:tbl>
    <w:p>
      <w:pPr>
        <w:pStyle w:val="TextBody"/>
        <w:spacing w:lineRule="auto" w:line="288" w:before="0" w:after="0"/>
        <w:ind w:left="0" w:right="0" w:firstLine="1080"/>
        <w:rPr>
          <w:rFonts w:ascii="inherit" w:hAnsi="inherit"/>
          <w:sz w:val="17"/>
        </w:rPr>
      </w:pPr>
      <w:r>
        <w:rPr>
          <w:rFonts w:ascii="inherit" w:hAnsi="inherit"/>
          <w:sz w:val="17"/>
        </w:rPr>
      </w:r>
    </w:p>
    <w:p>
      <w:pPr>
        <w:pStyle w:val="TextBody"/>
        <w:spacing w:lineRule="auto" w:line="288" w:before="0" w:after="0"/>
        <w:ind w:left="0" w:right="0" w:firstLine="1080"/>
        <w:rPr>
          <w:rFonts w:ascii="inherit" w:hAnsi="inherit"/>
          <w:sz w:val="17"/>
        </w:rPr>
      </w:pPr>
      <w:r>
        <w:rPr>
          <w:rFonts w:ascii="inherit" w:hAnsi="inherit"/>
          <w:sz w:val="17"/>
        </w:rPr>
        <w:t>The increase in equity earnings for the three and six months ended June 30, 2019 compared to the three and six months ended June 30, 2018 was primarily from our 50% interests in Diamond Pipeline LLC (“Diamond Pipeline”), Caddo Pipeline LLC and Midway Pipeline LLC and was due to higher volumes related to increased refinery demand. Subsequent to June 30, 2019, the owners of Diamond Pipeline sanctioned an expansion and an extension of the pipeline to connect to the Capline pipeline.</w:t>
      </w:r>
    </w:p>
    <w:p>
      <w:pPr>
        <w:pStyle w:val="TextBody"/>
        <w:spacing w:lineRule="auto" w:line="288" w:before="0" w:after="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rPr>
                <w:sz w:val="17"/>
              </w:rPr>
            </w:pPr>
            <w:r>
              <w:rPr>
                <w:rFonts w:ascii="inherit" w:hAnsi="inherit"/>
                <w:i/>
                <w:sz w:val="17"/>
              </w:rPr>
              <w:t>Gulf Coast region.</w:t>
            </w:r>
            <w:r>
              <w:rPr>
                <w:sz w:val="17"/>
              </w:rPr>
              <w:t xml:space="preserve"> </w:t>
            </w:r>
            <w:r>
              <w:rPr>
                <w:rFonts w:ascii="inherit" w:hAnsi="inherit"/>
                <w:sz w:val="17"/>
              </w:rPr>
              <w:t>The decrease in volumes in the Gulf Coast region for the three and six months ended June 30, 2019 compared to the three and six months ended June 30, 2018 were associated with (i) a lower tariff pipeline, which did not result in a significant impact on revenue and (ii) the Capline pipeline being taken out of service in the fourth quarter of 2018. Subsequent to June 30, 2019, the owners of Capline Pipeline Company LLC sanctioned the reversal of the Capline pipeline system and a connection to Diamond Pipeline.</w:t>
            </w:r>
          </w:p>
        </w:tc>
      </w:tr>
    </w:tbl>
    <w:p>
      <w:pPr>
        <w:pStyle w:val="TextBody"/>
        <w:spacing w:lineRule="auto" w:line="288" w:before="0" w:after="0"/>
        <w:ind w:left="0" w:right="0" w:firstLine="108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53</w:t>
      </w:r>
      <w:r>
        <w:br w:type="page"/>
      </w:r>
    </w:p>
    <w:p>
      <w:pPr>
        <w:pStyle w:val="TextBody"/>
        <w:spacing w:lineRule="auto" w:line="288" w:before="0" w:after="0"/>
        <w:rPr/>
      </w:pPr>
      <w:hyperlink w:anchor="s3336AD8A685850CC9B7F2572CB2C0BC3">
        <w:r>
          <w:rPr>
            <w:rStyle w:val="InternetLink"/>
            <w:rFonts w:ascii="inherit" w:hAnsi="inherit"/>
            <w:sz w:val="17"/>
          </w:rPr>
          <w:t>Table of Contents</w:t>
        </w:r>
      </w:hyperlink>
      <w:r>
        <w:rPr>
          <w:sz w:val="17"/>
        </w:rPr>
        <w:t xml:space="preserve"> </w:t>
      </w:r>
    </w:p>
    <w:p>
      <w:pPr>
        <w:pStyle w:val="TextBody"/>
        <w:spacing w:before="0" w:after="0"/>
        <w:rPr/>
      </w:pPr>
      <w:r>
        <w:rPr/>
      </w:r>
    </w:p>
    <w:p>
      <w:pPr>
        <w:pStyle w:val="TextBody"/>
        <w:spacing w:lineRule="auto" w:line="288" w:before="0" w:after="0"/>
        <w:ind w:left="0" w:right="0" w:firstLine="1080"/>
        <w:rPr>
          <w:rFonts w:ascii="inherit" w:hAnsi="inherit"/>
          <w:sz w:val="17"/>
        </w:rPr>
      </w:pPr>
      <w:r>
        <w:rPr>
          <w:rFonts w:ascii="inherit" w:hAnsi="inherit"/>
          <w:sz w:val="17"/>
        </w:rPr>
        <w:t>In the first quarter of 2019, the owners of the Capline pipeline system contributed their undivided joint interests in the system for equity interests in a legal entity. As a result, revenues and expenses from the Capline pipeline system that were previously consolidated are reflected as equity earnings. The unfavorable equity earnings variance for the three and six months ended June 30, 2019 compared to the three and six months ended June 30, 2018 was due to our share of operating costs from our 54.13% interest in Capline Pipeline Company LLC reflected in equity earnings in the 2019 periods, whereas such costs were reflected in field operating costs in the 2018 periods.</w:t>
      </w:r>
    </w:p>
    <w:p>
      <w:pPr>
        <w:pStyle w:val="TextBody"/>
        <w:spacing w:lineRule="auto" w:line="288" w:before="0" w:after="0"/>
        <w:ind w:left="0" w:right="0" w:firstLine="108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rPr>
                <w:sz w:val="17"/>
              </w:rPr>
            </w:pPr>
            <w:r>
              <w:rPr>
                <w:rFonts w:ascii="inherit" w:hAnsi="inherit"/>
                <w:i/>
                <w:sz w:val="17"/>
              </w:rPr>
              <w:t>Rocky Mountain region.</w:t>
            </w:r>
            <w:r>
              <w:rPr>
                <w:sz w:val="17"/>
              </w:rPr>
              <w:t xml:space="preserve"> </w:t>
            </w:r>
            <w:r>
              <w:rPr>
                <w:rFonts w:ascii="inherit" w:hAnsi="inherit"/>
                <w:sz w:val="17"/>
              </w:rPr>
              <w:t xml:space="preserve">The decrease in revenues for the three and six months ended June 30, 2019 compared to the three and six months ended June 30, 2018 was primarily due to the sale of certain of our assets in the Rocky Mountain region in May of 2018. </w:t>
            </w:r>
          </w:p>
        </w:tc>
      </w:tr>
    </w:tbl>
    <w:p>
      <w:pPr>
        <w:pStyle w:val="TextBody"/>
        <w:spacing w:lineRule="auto" w:line="288" w:before="0" w:after="0"/>
        <w:ind w:left="0" w:right="0" w:firstLine="1080"/>
        <w:rPr>
          <w:rFonts w:ascii="inherit" w:hAnsi="inherit"/>
          <w:sz w:val="17"/>
        </w:rPr>
      </w:pPr>
      <w:r>
        <w:rPr>
          <w:rFonts w:ascii="inherit" w:hAnsi="inherit"/>
          <w:sz w:val="17"/>
        </w:rPr>
      </w:r>
    </w:p>
    <w:p>
      <w:pPr>
        <w:pStyle w:val="TextBody"/>
        <w:spacing w:lineRule="auto" w:line="288" w:before="0" w:after="0"/>
        <w:ind w:left="0" w:right="0" w:firstLine="1080"/>
        <w:rPr>
          <w:rFonts w:ascii="inherit" w:hAnsi="inherit"/>
          <w:sz w:val="17"/>
        </w:rPr>
      </w:pPr>
      <w:r>
        <w:rPr>
          <w:rFonts w:ascii="inherit" w:hAnsi="inherit"/>
          <w:sz w:val="17"/>
        </w:rPr>
        <w:t>The increase in equity earnings for the three and six months ended June 30, 2019 compared to the three and six months ended June 30, 2018 was primarily from our 40% interest in Saddlehorn Pipeline Company, LLC and was due to higher volumes from committed shippers.</w:t>
      </w:r>
    </w:p>
    <w:p>
      <w:pPr>
        <w:pStyle w:val="TextBody"/>
        <w:spacing w:lineRule="auto" w:line="288" w:before="0" w:after="0"/>
        <w:ind w:left="0" w:right="0" w:firstLine="108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rPr>
                <w:sz w:val="17"/>
              </w:rPr>
            </w:pPr>
            <w:r>
              <w:rPr>
                <w:rFonts w:ascii="inherit" w:hAnsi="inherit"/>
                <w:i/>
                <w:sz w:val="17"/>
              </w:rPr>
              <w:t xml:space="preserve">Canada region. </w:t>
            </w:r>
            <w:r>
              <w:rPr>
                <w:rFonts w:ascii="inherit" w:hAnsi="inherit"/>
                <w:sz w:val="17"/>
              </w:rPr>
              <w:t>The increase in revenues for the three and six months ended June 30, 2019 compared to the three and six months ended June 30, 2018 was primarily due to higher tariffs on certain of our Canadian crude oil pipelines and related system assets, partially offset by unfavorable foreign exchange impacts.</w:t>
            </w:r>
          </w:p>
        </w:tc>
      </w:tr>
    </w:tbl>
    <w:p>
      <w:pPr>
        <w:pStyle w:val="TextBody"/>
        <w:spacing w:lineRule="auto" w:line="288" w:before="0" w:after="0"/>
        <w:ind w:left="0" w:right="0" w:firstLine="72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rPr>
                <w:sz w:val="17"/>
              </w:rPr>
            </w:pPr>
            <w:r>
              <w:rPr>
                <w:rFonts w:ascii="inherit" w:hAnsi="inherit"/>
                <w:i/>
                <w:sz w:val="17"/>
              </w:rPr>
              <w:t xml:space="preserve">Other regions, trucking and pipeline loss allowance revenue. </w:t>
            </w:r>
            <w:r>
              <w:rPr>
                <w:rFonts w:ascii="inherit" w:hAnsi="inherit"/>
                <w:sz w:val="17"/>
              </w:rPr>
              <w:t>The increase in other net revenues for the three and six months ended June 30, 2019 compared to the three and six months ended June 30, 2018 was primarily due to greater loss allowance revenue in the 2019 periods driven by higher volumes.</w:t>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ind w:left="0" w:right="0" w:firstLine="720"/>
        <w:rPr>
          <w:sz w:val="17"/>
        </w:rPr>
      </w:pPr>
      <w:r>
        <w:rPr>
          <w:rFonts w:ascii="inherit" w:hAnsi="inherit"/>
          <w:i/>
          <w:sz w:val="17"/>
        </w:rPr>
        <w:t>Adjustments: Deficiencies under minimum volume commitments, net</w:t>
      </w:r>
      <w:r>
        <w:rPr>
          <w:rFonts w:ascii="inherit" w:hAnsi="inherit"/>
          <w:sz w:val="17"/>
        </w:rPr>
        <w:t>. Many industry infrastructure projects developed and completed over the last several years were underpinned by long-term minimum volume commitment contracts whereby the shipper agreed to either: (i) ship and pay for certain stated volumes or (ii) pay the agreed upon price for a minimum contract quantity. Some of these agreements include make-up rights if the minimum volume is not met. If a counterparty has a make-up right associated with a deficiency, we bill the counterparty and defer the revenue attributable to the counterparty’s make-up right but record an adjustment to reflect such amount associated with the current period activity in Segment Adjusted EBITDA. We subsequently recognize the revenue, and record a corresponding reversal of the adjustment, at the earlier of when the deficiency volume is delivered or shipped, when the make-up right expires or when it is determined that the counterparty’s ability to utilize the make-up right is remote.</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ind w:left="0" w:right="0" w:firstLine="720"/>
        <w:rPr>
          <w:rFonts w:ascii="inherit" w:hAnsi="inherit"/>
          <w:sz w:val="17"/>
        </w:rPr>
      </w:pPr>
      <w:r>
        <w:rPr>
          <w:rFonts w:ascii="inherit" w:hAnsi="inherit"/>
          <w:sz w:val="17"/>
        </w:rPr>
        <w:t xml:space="preserve">For the three months ended June 30, 2019 and the three and six months ended June 30, 2018, amounts billed to counterparties exceeded revenue recognized during the period that was previously deferred. For the six months ended June 30, 2019, the recognition of previously deferred revenue exceeded amounts billed to counterparties associated with deficiencies under minimum volume commitments. </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ind w:left="0" w:right="0" w:firstLine="720"/>
        <w:rPr>
          <w:sz w:val="17"/>
        </w:rPr>
      </w:pPr>
      <w:r>
        <w:rPr>
          <w:rFonts w:ascii="inherit" w:hAnsi="inherit"/>
          <w:i/>
          <w:sz w:val="17"/>
        </w:rPr>
        <w:t>Field Operating Costs.</w:t>
      </w:r>
      <w:r>
        <w:rPr>
          <w:sz w:val="17"/>
        </w:rPr>
        <w:t xml:space="preserve"> </w:t>
      </w:r>
      <w:r>
        <w:rPr>
          <w:rFonts w:ascii="inherit" w:hAnsi="inherit"/>
          <w:sz w:val="17"/>
        </w:rPr>
        <w:t xml:space="preserve">The increase in field operating costs for the three and six months ended June 30, 2019 compared to the three and six months ended June 30, 2018 was primarily due to (i) the impact of an increase of estimated costs recognized in the second quarter of 2019 associated with the Line 901 incident (which impact our field operating costs but are excluded from Segment Adjusted EBITDA and thus are reflected as an “Adjustment” in the table above) (see </w:t>
      </w:r>
      <w:r>
        <w:rPr>
          <w:b w:val="false"/>
          <w:sz w:val="17"/>
        </w:rPr>
        <w:t>Note 13</w:t>
      </w:r>
      <w:r>
        <w:rPr>
          <w:sz w:val="17"/>
        </w:rPr>
        <w:t xml:space="preserve"> </w:t>
      </w:r>
      <w:r>
        <w:rPr>
          <w:rFonts w:ascii="inherit" w:hAnsi="inherit"/>
          <w:sz w:val="17"/>
        </w:rPr>
        <w:t>to our Condensed Consolidated Financial Statements for additional information regarding the Line 901 incident), (ii) an increase in power related costs, resulting from higher volumes and (iii) an increase in property taxes related to new assets placed in service and (iv) an increase in performance-based compensation costs. Overall increases in field operating costs also resulted from expansion projects placed in service since June 30, 2018, including our Sunrise II pipeline expansion within the Permian Basin region, which was placed in service in late 2018. The increase in field operating costs for the three and six months ended June 30, 2019 compared to the three and six months ended June 30, 2018 was partially offset by the favorable impact of reflecting operating costs associated with the Capline pipeline system in equity earnings for the 2019 periods that were included in field operating costs for the 2018 periods, as discussed above.</w:t>
      </w:r>
    </w:p>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54</w:t>
      </w:r>
      <w:r>
        <w:br w:type="page"/>
      </w:r>
    </w:p>
    <w:p>
      <w:pPr>
        <w:pStyle w:val="TextBody"/>
        <w:spacing w:lineRule="auto" w:line="288" w:before="0" w:after="0"/>
        <w:rPr/>
      </w:pPr>
      <w:hyperlink w:anchor="s3336AD8A685850CC9B7F2572CB2C0BC3">
        <w:r>
          <w:rPr>
            <w:rStyle w:val="InternetLink"/>
            <w:rFonts w:ascii="inherit" w:hAnsi="inherit"/>
            <w:sz w:val="17"/>
          </w:rPr>
          <w:t>Table of Contents</w:t>
        </w:r>
      </w:hyperlink>
      <w:r>
        <w:rPr>
          <w:sz w:val="17"/>
        </w:rPr>
        <w:t xml:space="preserve"> </w:t>
      </w:r>
    </w:p>
    <w:p>
      <w:pPr>
        <w:pStyle w:val="TextBody"/>
        <w:spacing w:before="0" w:after="0"/>
        <w:rPr/>
      </w:pPr>
      <w:r>
        <w:rPr/>
      </w:r>
    </w:p>
    <w:p>
      <w:pPr>
        <w:pStyle w:val="TextBody"/>
        <w:spacing w:lineRule="auto" w:line="288" w:before="0" w:after="0"/>
        <w:ind w:left="0" w:right="0" w:firstLine="720"/>
        <w:rPr>
          <w:sz w:val="17"/>
        </w:rPr>
      </w:pPr>
      <w:r>
        <w:rPr>
          <w:rFonts w:ascii="inherit" w:hAnsi="inherit"/>
          <w:i/>
          <w:sz w:val="17"/>
        </w:rPr>
        <w:t>Segment general and administrative expenses.</w:t>
      </w:r>
      <w:r>
        <w:rPr>
          <w:sz w:val="17"/>
        </w:rPr>
        <w:t xml:space="preserve"> </w:t>
      </w:r>
      <w:r>
        <w:rPr>
          <w:rFonts w:ascii="inherit" w:hAnsi="inherit"/>
          <w:sz w:val="17"/>
        </w:rPr>
        <w:t>The decrease in segment general and administrative expenses for the three and six months ended June 30, 2019 compared to the three and six months ended June 30, 2018 was primarily due to a decrease in equity-indexed compensation expense due to fewer awards outstanding in 2019. A portion of equity-indexed compensation expense was associated with awards that will or may be settled in common units (which impact our segment general and administrative expenses but are excluded from Segment Adjusted EBITDA and thus are reflected as an “Adjustment” in the table above).</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ind w:left="0" w:right="0" w:firstLine="720"/>
        <w:rPr>
          <w:sz w:val="17"/>
        </w:rPr>
      </w:pPr>
      <w:r>
        <w:rPr>
          <w:rFonts w:ascii="inherit" w:hAnsi="inherit"/>
          <w:i/>
          <w:sz w:val="17"/>
        </w:rPr>
        <w:t>Maintenance Capital</w:t>
      </w:r>
      <w:r>
        <w:rPr>
          <w:rFonts w:ascii="inherit" w:hAnsi="inherit"/>
          <w:sz w:val="17"/>
        </w:rPr>
        <w:t>. Maintenance capital consists of capital expenditures for the replacement and/or refurbishment of partially or fully depreciated assets in order to maintain the operating and/or earnings capacity of our existing assets. The increase in maintenance capital for the three and six months ended June 30, 2019 compared to the same periods in 2018 was primarily due to the timing of projects in our integrity management program.</w:t>
      </w:r>
    </w:p>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lineRule="auto" w:line="288" w:before="0" w:after="0"/>
        <w:ind w:left="0" w:right="0" w:firstLine="720"/>
        <w:rPr>
          <w:rFonts w:ascii="inherit" w:hAnsi="inherit"/>
          <w:b/>
          <w:sz w:val="17"/>
        </w:rPr>
      </w:pPr>
      <w:bookmarkStart w:id="35" w:name="s15E0C1BE959D58FF9CFBBE75414526E8"/>
      <w:bookmarkEnd w:id="35"/>
      <w:r>
        <w:rPr>
          <w:rFonts w:ascii="inherit" w:hAnsi="inherit"/>
          <w:b/>
          <w:sz w:val="17"/>
        </w:rPr>
        <w:t>Facilities Segment</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Our Facilities segment operations generally consist of fee-based activities associated with providing storage, terminalling and throughput services primarily for crude oil, NGL and natural gas, as well as NGL fractionation and isomerization services and natural gas and condensate processing services. The Facilities segment generates revenue through a combination of month-to-month and multi-year agreements and processing arrangements.</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The following tables set forth our operating results from our Facilities segment:</w:t>
      </w:r>
    </w:p>
    <w:tbl>
      <w:tblPr>
        <w:tblW w:w="10205" w:type="dxa"/>
        <w:jc w:val="left"/>
        <w:tblInd w:w="0" w:type="dxa"/>
        <w:tblCellMar>
          <w:top w:w="0" w:type="dxa"/>
          <w:left w:w="0" w:type="dxa"/>
          <w:bottom w:w="0" w:type="dxa"/>
          <w:right w:w="0" w:type="dxa"/>
        </w:tblCellMar>
      </w:tblPr>
      <w:tblGrid>
        <w:gridCol w:w="4610"/>
        <w:gridCol w:w="90"/>
        <w:gridCol w:w="145"/>
        <w:gridCol w:w="443"/>
        <w:gridCol w:w="128"/>
        <w:gridCol w:w="104"/>
        <w:gridCol w:w="145"/>
        <w:gridCol w:w="443"/>
        <w:gridCol w:w="128"/>
        <w:gridCol w:w="90"/>
        <w:gridCol w:w="125"/>
        <w:gridCol w:w="260"/>
        <w:gridCol w:w="110"/>
        <w:gridCol w:w="90"/>
        <w:gridCol w:w="290"/>
        <w:gridCol w:w="260"/>
        <w:gridCol w:w="90"/>
        <w:gridCol w:w="90"/>
        <w:gridCol w:w="127"/>
        <w:gridCol w:w="389"/>
        <w:gridCol w:w="111"/>
        <w:gridCol w:w="91"/>
        <w:gridCol w:w="127"/>
        <w:gridCol w:w="389"/>
        <w:gridCol w:w="111"/>
        <w:gridCol w:w="90"/>
        <w:gridCol w:w="125"/>
        <w:gridCol w:w="260"/>
        <w:gridCol w:w="110"/>
        <w:gridCol w:w="90"/>
        <w:gridCol w:w="260"/>
        <w:gridCol w:w="284"/>
      </w:tblGrid>
      <w:tr>
        <w:trPr/>
        <w:tc>
          <w:tcPr>
            <w:tcW w:w="10205" w:type="dxa"/>
            <w:gridSpan w:val="32"/>
            <w:tcBorders/>
            <w:shd w:fill="auto" w:val="clear"/>
            <w:vAlign w:val="center"/>
          </w:tcPr>
          <w:p>
            <w:pPr>
              <w:pStyle w:val="TableContents"/>
              <w:spacing w:before="0" w:after="283"/>
              <w:rPr>
                <w:sz w:val="4"/>
                <w:szCs w:val="4"/>
              </w:rPr>
            </w:pPr>
            <w:r>
              <w:rPr>
                <w:sz w:val="4"/>
                <w:szCs w:val="4"/>
              </w:rPr>
            </w:r>
          </w:p>
        </w:tc>
      </w:tr>
      <w:tr>
        <w:trPr/>
        <w:tc>
          <w:tcPr>
            <w:tcW w:w="46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610" w:type="dxa"/>
            <w:tcBorders/>
            <w:shd w:fill="auto" w:val="clear"/>
            <w:vAlign w:val="center"/>
          </w:tcPr>
          <w:p>
            <w:pPr>
              <w:pStyle w:val="TableContents"/>
              <w:spacing w:lineRule="auto" w:line="288" w:before="0" w:after="0"/>
              <w:ind w:left="0" w:right="0" w:firstLine="30"/>
              <w:rPr>
                <w:sz w:val="17"/>
              </w:rPr>
            </w:pPr>
            <w:r>
              <w:rPr>
                <w:rFonts w:ascii="inherit" w:hAnsi="inherit"/>
                <w:b/>
                <w:sz w:val="13"/>
              </w:rPr>
              <w:t>Operating Results </w:t>
            </w:r>
            <w:r>
              <w:rPr>
                <w:rFonts w:ascii="inherit" w:hAnsi="inherit"/>
                <w:b/>
                <w:sz w:val="12"/>
              </w:rPr>
              <w:t>(1)</w:t>
            </w:r>
          </w:p>
        </w:tc>
        <w:tc>
          <w:tcPr>
            <w:tcW w:w="90" w:type="dxa"/>
            <w:tcBorders/>
            <w:shd w:fill="auto" w:val="clear"/>
            <w:vAlign w:val="center"/>
          </w:tcPr>
          <w:p>
            <w:pPr>
              <w:pStyle w:val="TableContents"/>
              <w:spacing w:before="0" w:after="0"/>
              <w:ind w:left="0" w:right="0" w:firstLine="30"/>
              <w:rPr/>
            </w:pPr>
            <w:r>
              <w:rPr/>
              <w:t> </w:t>
            </w:r>
          </w:p>
        </w:tc>
        <w:tc>
          <w:tcPr>
            <w:tcW w:w="1536"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w:t>
              <w:br/>
              <w:t>June 30,</w:t>
            </w:r>
          </w:p>
        </w:tc>
        <w:tc>
          <w:tcPr>
            <w:tcW w:w="90" w:type="dxa"/>
            <w:tcBorders/>
            <w:shd w:fill="auto" w:val="clear"/>
            <w:vAlign w:val="center"/>
          </w:tcPr>
          <w:p>
            <w:pPr>
              <w:pStyle w:val="TableContents"/>
              <w:spacing w:before="0" w:after="0"/>
              <w:ind w:left="0" w:right="0" w:firstLine="30"/>
              <w:rPr/>
            </w:pPr>
            <w:r>
              <w:rPr/>
              <w:t> </w:t>
            </w:r>
          </w:p>
        </w:tc>
        <w:tc>
          <w:tcPr>
            <w:tcW w:w="1135" w:type="dxa"/>
            <w:gridSpan w:val="6"/>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Variance</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45"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w:t>
              <w:br/>
              <w:t>June 30,</w:t>
            </w:r>
          </w:p>
        </w:tc>
        <w:tc>
          <w:tcPr>
            <w:tcW w:w="90" w:type="dxa"/>
            <w:tcBorders/>
            <w:shd w:fill="auto" w:val="clear"/>
            <w:vAlign w:val="center"/>
          </w:tcPr>
          <w:p>
            <w:pPr>
              <w:pStyle w:val="TableContents"/>
              <w:spacing w:before="0" w:after="0"/>
              <w:ind w:left="0" w:right="0" w:firstLine="30"/>
              <w:rPr/>
            </w:pPr>
            <w:r>
              <w:rPr/>
              <w:t> </w:t>
            </w:r>
          </w:p>
        </w:tc>
        <w:tc>
          <w:tcPr>
            <w:tcW w:w="1129" w:type="dxa"/>
            <w:gridSpan w:val="6"/>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Variance</w:t>
            </w:r>
          </w:p>
        </w:tc>
      </w:tr>
      <w:tr>
        <w:trPr/>
        <w:tc>
          <w:tcPr>
            <w:tcW w:w="4610" w:type="dxa"/>
            <w:tcBorders>
              <w:bottom w:val="single" w:sz="2" w:space="0" w:color="000000"/>
            </w:tcBorders>
            <w:shd w:fill="auto" w:val="clear"/>
            <w:tcMar>
              <w:bottom w:w="30" w:type="dxa"/>
            </w:tcMar>
            <w:vAlign w:val="center"/>
          </w:tcPr>
          <w:p>
            <w:pPr>
              <w:pStyle w:val="TableContents"/>
              <w:spacing w:before="0" w:after="0"/>
              <w:ind w:left="0" w:right="0" w:firstLine="30"/>
              <w:rPr>
                <w:rFonts w:ascii="inherit" w:hAnsi="inherit"/>
                <w:b/>
                <w:sz w:val="13"/>
              </w:rPr>
            </w:pPr>
            <w:r>
              <w:rPr>
                <w:rFonts w:ascii="inherit" w:hAnsi="inherit"/>
                <w:b/>
                <w:sz w:val="13"/>
              </w:rPr>
              <w:t>(in millions, except per barrel data)</w:t>
            </w:r>
          </w:p>
        </w:tc>
        <w:tc>
          <w:tcPr>
            <w:tcW w:w="90" w:type="dxa"/>
            <w:tcBorders/>
            <w:shd w:fill="auto" w:val="clear"/>
            <w:vAlign w:val="center"/>
          </w:tcPr>
          <w:p>
            <w:pPr>
              <w:pStyle w:val="TableContents"/>
              <w:spacing w:before="0" w:after="0"/>
              <w:ind w:left="0" w:right="0" w:firstLine="30"/>
              <w:rPr/>
            </w:pPr>
            <w:r>
              <w:rPr/>
              <w:t> </w:t>
            </w:r>
          </w:p>
        </w:tc>
        <w:tc>
          <w:tcPr>
            <w:tcW w:w="71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104" w:type="dxa"/>
            <w:tcBorders/>
            <w:shd w:fill="auto" w:val="clear"/>
            <w:vAlign w:val="center"/>
          </w:tcPr>
          <w:p>
            <w:pPr>
              <w:pStyle w:val="TableContents"/>
              <w:spacing w:before="0" w:after="0"/>
              <w:ind w:left="0" w:right="0" w:firstLine="30"/>
              <w:rPr/>
            </w:pPr>
            <w:r>
              <w:rPr/>
              <w:t> </w:t>
            </w:r>
          </w:p>
        </w:tc>
        <w:tc>
          <w:tcPr>
            <w:tcW w:w="71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0" w:type="dxa"/>
            <w:tcBorders/>
            <w:shd w:fill="auto" w:val="clear"/>
            <w:vAlign w:val="center"/>
          </w:tcPr>
          <w:p>
            <w:pPr>
              <w:pStyle w:val="TableContents"/>
              <w:spacing w:before="0" w:after="0"/>
              <w:ind w:left="0" w:right="0" w:firstLine="30"/>
              <w:rPr/>
            </w:pPr>
            <w:r>
              <w:rPr/>
              <w:t> </w:t>
            </w:r>
          </w:p>
        </w:tc>
        <w:tc>
          <w:tcPr>
            <w:tcW w:w="49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w:t>
            </w:r>
          </w:p>
        </w:tc>
        <w:tc>
          <w:tcPr>
            <w:tcW w:w="90" w:type="dxa"/>
            <w:tcBorders/>
            <w:shd w:fill="auto" w:val="clear"/>
            <w:vAlign w:val="center"/>
          </w:tcPr>
          <w:p>
            <w:pPr>
              <w:pStyle w:val="TableContents"/>
              <w:spacing w:before="0" w:after="0"/>
              <w:ind w:left="0" w:right="0" w:firstLine="30"/>
              <w:rPr/>
            </w:pPr>
            <w:r>
              <w:rPr/>
              <w:t> </w:t>
            </w:r>
          </w:p>
        </w:tc>
        <w:tc>
          <w:tcPr>
            <w:tcW w:w="550"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2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91" w:type="dxa"/>
            <w:tcBorders/>
            <w:shd w:fill="auto" w:val="clear"/>
            <w:vAlign w:val="center"/>
          </w:tcPr>
          <w:p>
            <w:pPr>
              <w:pStyle w:val="TableContents"/>
              <w:spacing w:before="0" w:after="0"/>
              <w:ind w:left="0" w:right="0" w:firstLine="30"/>
              <w:rPr/>
            </w:pPr>
            <w:r>
              <w:rPr/>
              <w:t> </w:t>
            </w:r>
          </w:p>
        </w:tc>
        <w:tc>
          <w:tcPr>
            <w:tcW w:w="62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0" w:type="dxa"/>
            <w:tcBorders/>
            <w:shd w:fill="auto" w:val="clear"/>
            <w:vAlign w:val="center"/>
          </w:tcPr>
          <w:p>
            <w:pPr>
              <w:pStyle w:val="TableContents"/>
              <w:spacing w:before="0" w:after="0"/>
              <w:ind w:left="0" w:right="0" w:firstLine="30"/>
              <w:rPr/>
            </w:pPr>
            <w:r>
              <w:rPr/>
              <w:t> </w:t>
            </w:r>
          </w:p>
        </w:tc>
        <w:tc>
          <w:tcPr>
            <w:tcW w:w="49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w:t>
            </w:r>
          </w:p>
        </w:tc>
        <w:tc>
          <w:tcPr>
            <w:tcW w:w="90" w:type="dxa"/>
            <w:tcBorders/>
            <w:shd w:fill="auto" w:val="clear"/>
            <w:vAlign w:val="center"/>
          </w:tcPr>
          <w:p>
            <w:pPr>
              <w:pStyle w:val="TableContents"/>
              <w:spacing w:before="0" w:after="0"/>
              <w:ind w:left="0" w:right="0" w:firstLine="30"/>
              <w:rPr/>
            </w:pPr>
            <w:r>
              <w:rPr/>
              <w:t> </w:t>
            </w:r>
          </w:p>
        </w:tc>
        <w:tc>
          <w:tcPr>
            <w:tcW w:w="544"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w:t>
            </w:r>
          </w:p>
        </w:tc>
      </w:tr>
      <w:tr>
        <w:trPr/>
        <w:tc>
          <w:tcPr>
            <w:tcW w:w="46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90" w:type="dxa"/>
            <w:tcBorders/>
            <w:shd w:fill="CCEEFF" w:val="clear"/>
            <w:vAlign w:val="center"/>
          </w:tcPr>
          <w:p>
            <w:pPr>
              <w:pStyle w:val="TableContents"/>
              <w:spacing w:before="0" w:after="0"/>
              <w:ind w:left="0" w:right="0" w:firstLine="30"/>
              <w:rPr/>
            </w:pPr>
            <w:r>
              <w:rPr/>
              <w:t> </w:t>
            </w:r>
          </w:p>
        </w:tc>
        <w:tc>
          <w:tcPr>
            <w:tcW w:w="14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43" w:type="dxa"/>
            <w:tcBorders/>
            <w:shd w:fill="CCEEFF" w:val="clear"/>
            <w:vAlign w:val="center"/>
          </w:tcPr>
          <w:p>
            <w:pPr>
              <w:pStyle w:val="TableContents"/>
              <w:spacing w:before="0" w:after="0"/>
              <w:jc w:val="right"/>
              <w:rPr>
                <w:rFonts w:ascii="inherit" w:hAnsi="inherit"/>
                <w:sz w:val="17"/>
              </w:rPr>
            </w:pPr>
            <w:r>
              <w:rPr>
                <w:rFonts w:ascii="inherit" w:hAnsi="inherit"/>
                <w:sz w:val="17"/>
              </w:rPr>
              <w:t>291</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4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43" w:type="dxa"/>
            <w:tcBorders/>
            <w:shd w:fill="CCEEFF" w:val="clear"/>
            <w:vAlign w:val="center"/>
          </w:tcPr>
          <w:p>
            <w:pPr>
              <w:pStyle w:val="TableContents"/>
              <w:spacing w:before="0" w:after="0"/>
              <w:jc w:val="right"/>
              <w:rPr>
                <w:rFonts w:ascii="inherit" w:hAnsi="inherit"/>
                <w:sz w:val="17"/>
              </w:rPr>
            </w:pPr>
            <w:r>
              <w:rPr>
                <w:rFonts w:ascii="inherit" w:hAnsi="inherit"/>
                <w:sz w:val="17"/>
              </w:rPr>
              <w:t>284</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260" w:type="dxa"/>
            <w:tcBorders/>
            <w:shd w:fill="CCEEFF" w:val="clear"/>
            <w:vAlign w:val="center"/>
          </w:tcPr>
          <w:p>
            <w:pPr>
              <w:pStyle w:val="TableContents"/>
              <w:spacing w:before="0" w:after="0"/>
              <w:jc w:val="right"/>
              <w:rPr>
                <w:rFonts w:ascii="inherit" w:hAnsi="inherit"/>
                <w:sz w:val="17"/>
              </w:rPr>
            </w:pPr>
            <w:r>
              <w:rPr>
                <w:rFonts w:ascii="inherit" w:hAnsi="inherit"/>
                <w:sz w:val="17"/>
              </w:rPr>
              <w:t>7</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90"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w:t>
            </w:r>
          </w:p>
        </w:tc>
        <w:tc>
          <w:tcPr>
            <w:tcW w:w="260" w:type="dxa"/>
            <w:tcBorders>
              <w:top w:val="single" w:sz="2" w:space="0" w:color="000000"/>
            </w:tcBorders>
            <w:shd w:fill="CCEEFF" w:val="clear"/>
            <w:tcMar>
              <w:top w:w="30" w:type="dxa"/>
            </w:tcMar>
            <w:vAlign w:val="center"/>
          </w:tcPr>
          <w:p>
            <w:pPr>
              <w:pStyle w:val="TableContents"/>
              <w:spacing w:before="0" w:after="0"/>
              <w:ind w:left="0" w:right="0" w:firstLine="30"/>
              <w:jc w:val="left"/>
              <w:rPr/>
            </w:pPr>
            <w:r>
              <w:rPr/>
              <w:t> </w:t>
            </w: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127"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389"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589</w:t>
            </w:r>
          </w:p>
        </w:tc>
        <w:tc>
          <w:tcPr>
            <w:tcW w:w="111"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CCEEFF" w:val="clear"/>
            <w:vAlign w:val="center"/>
          </w:tcPr>
          <w:p>
            <w:pPr>
              <w:pStyle w:val="TableContents"/>
              <w:spacing w:before="0" w:after="0"/>
              <w:ind w:left="0" w:right="0" w:firstLine="30"/>
              <w:rPr/>
            </w:pPr>
            <w:r>
              <w:rPr/>
              <w:t> </w:t>
            </w:r>
          </w:p>
        </w:tc>
        <w:tc>
          <w:tcPr>
            <w:tcW w:w="127"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389"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576</w:t>
            </w:r>
          </w:p>
        </w:tc>
        <w:tc>
          <w:tcPr>
            <w:tcW w:w="111"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260"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13</w:t>
            </w:r>
          </w:p>
        </w:tc>
        <w:tc>
          <w:tcPr>
            <w:tcW w:w="11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60"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w:t>
            </w:r>
          </w:p>
        </w:tc>
        <w:tc>
          <w:tcPr>
            <w:tcW w:w="284" w:type="dxa"/>
            <w:tcBorders>
              <w:top w:val="single" w:sz="2" w:space="0" w:color="000000"/>
            </w:tcBorders>
            <w:shd w:fill="CCEEFF" w:val="clear"/>
            <w:tcMar>
              <w:top w:w="30" w:type="dxa"/>
            </w:tcMar>
            <w:vAlign w:val="center"/>
          </w:tcPr>
          <w:p>
            <w:pPr>
              <w:pStyle w:val="TableContents"/>
              <w:spacing w:before="0" w:after="0"/>
              <w:ind w:left="0" w:right="0" w:firstLine="30"/>
              <w:jc w:val="left"/>
              <w:rPr/>
            </w:pPr>
            <w:r>
              <w:rPr/>
              <w:t> </w:t>
            </w:r>
            <w:r>
              <w:rPr>
                <w:rFonts w:ascii="inherit" w:hAnsi="inherit"/>
                <w:sz w:val="17"/>
              </w:rPr>
              <w:t>%</w:t>
            </w:r>
          </w:p>
        </w:tc>
      </w:tr>
      <w:tr>
        <w:trPr/>
        <w:tc>
          <w:tcPr>
            <w:tcW w:w="46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Purchases and related costs</w:t>
            </w:r>
          </w:p>
        </w:tc>
        <w:tc>
          <w:tcPr>
            <w:tcW w:w="90" w:type="dxa"/>
            <w:tcBorders/>
            <w:shd w:fill="auto" w:val="clear"/>
            <w:vAlign w:val="center"/>
          </w:tcPr>
          <w:p>
            <w:pPr>
              <w:pStyle w:val="TableContents"/>
              <w:spacing w:before="0" w:after="0"/>
              <w:ind w:left="0" w:right="0" w:firstLine="30"/>
              <w:rPr/>
            </w:pPr>
            <w:r>
              <w:rPr/>
              <w:t> </w:t>
            </w:r>
          </w:p>
        </w:tc>
        <w:tc>
          <w:tcPr>
            <w:tcW w:w="58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4" w:type="dxa"/>
            <w:tcBorders/>
            <w:shd w:fill="auto" w:val="clear"/>
            <w:vAlign w:val="center"/>
          </w:tcPr>
          <w:p>
            <w:pPr>
              <w:pStyle w:val="TableContents"/>
              <w:spacing w:before="0" w:after="0"/>
              <w:ind w:left="0" w:right="0" w:firstLine="30"/>
              <w:rPr/>
            </w:pPr>
            <w:r>
              <w:rPr/>
              <w:t> </w:t>
            </w:r>
          </w:p>
        </w:tc>
        <w:tc>
          <w:tcPr>
            <w:tcW w:w="58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38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290" w:type="dxa"/>
            <w:tcBorders/>
            <w:shd w:fill="auto" w:val="clear"/>
            <w:vAlign w:val="center"/>
          </w:tcPr>
          <w:p>
            <w:pPr>
              <w:pStyle w:val="TableContents"/>
              <w:spacing w:before="0" w:after="0"/>
              <w:jc w:val="right"/>
              <w:rPr>
                <w:rFonts w:ascii="inherit" w:hAnsi="inherit"/>
                <w:sz w:val="17"/>
              </w:rPr>
            </w:pPr>
            <w:r>
              <w:rPr>
                <w:rFonts w:ascii="inherit" w:hAnsi="inherit"/>
                <w:sz w:val="17"/>
              </w:rPr>
              <w:t>(33</w:t>
            </w:r>
          </w:p>
        </w:tc>
        <w:tc>
          <w:tcPr>
            <w:tcW w:w="2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51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w:t>
            </w:r>
          </w:p>
        </w:tc>
        <w:tc>
          <w:tcPr>
            <w:tcW w:w="1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1" w:type="dxa"/>
            <w:tcBorders/>
            <w:shd w:fill="auto" w:val="clear"/>
            <w:vAlign w:val="center"/>
          </w:tcPr>
          <w:p>
            <w:pPr>
              <w:pStyle w:val="TableContents"/>
              <w:spacing w:before="0" w:after="0"/>
              <w:ind w:left="0" w:right="0" w:firstLine="30"/>
              <w:rPr/>
            </w:pPr>
            <w:r>
              <w:rPr/>
              <w:t> </w:t>
            </w:r>
          </w:p>
        </w:tc>
        <w:tc>
          <w:tcPr>
            <w:tcW w:w="51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w:t>
            </w:r>
          </w:p>
        </w:tc>
        <w:tc>
          <w:tcPr>
            <w:tcW w:w="1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38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60" w:type="dxa"/>
            <w:tcBorders/>
            <w:shd w:fill="auto" w:val="clear"/>
            <w:vAlign w:val="center"/>
          </w:tcPr>
          <w:p>
            <w:pPr>
              <w:pStyle w:val="TableContents"/>
              <w:spacing w:before="0" w:after="0"/>
              <w:jc w:val="right"/>
              <w:rPr>
                <w:rFonts w:ascii="inherit" w:hAnsi="inherit"/>
                <w:sz w:val="17"/>
              </w:rPr>
            </w:pPr>
            <w:r>
              <w:rPr>
                <w:rFonts w:ascii="inherit" w:hAnsi="inherit"/>
                <w:sz w:val="17"/>
              </w:rPr>
              <w:t>13</w:t>
            </w:r>
          </w:p>
        </w:tc>
        <w:tc>
          <w:tcPr>
            <w:tcW w:w="284" w:type="dxa"/>
            <w:tcBorders/>
            <w:shd w:fill="auto" w:val="clear"/>
            <w:vAlign w:val="center"/>
          </w:tcPr>
          <w:p>
            <w:pPr>
              <w:pStyle w:val="TableContents"/>
              <w:spacing w:before="0" w:after="0"/>
              <w:ind w:left="0" w:right="0" w:firstLine="30"/>
              <w:jc w:val="left"/>
              <w:rPr/>
            </w:pPr>
            <w:r>
              <w:rPr/>
              <w:t> </w:t>
            </w:r>
            <w:r>
              <w:rPr>
                <w:rFonts w:ascii="inherit" w:hAnsi="inherit"/>
                <w:sz w:val="17"/>
              </w:rPr>
              <w:t>%</w:t>
            </w:r>
          </w:p>
        </w:tc>
      </w:tr>
      <w:tr>
        <w:trPr/>
        <w:tc>
          <w:tcPr>
            <w:tcW w:w="46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Field operating costs</w:t>
            </w:r>
          </w:p>
        </w:tc>
        <w:tc>
          <w:tcPr>
            <w:tcW w:w="90" w:type="dxa"/>
            <w:tcBorders/>
            <w:shd w:fill="CCEEFF" w:val="clear"/>
            <w:vAlign w:val="center"/>
          </w:tcPr>
          <w:p>
            <w:pPr>
              <w:pStyle w:val="TableContents"/>
              <w:spacing w:before="0" w:after="0"/>
              <w:ind w:left="0" w:right="0" w:firstLine="30"/>
              <w:rPr/>
            </w:pPr>
            <w:r>
              <w:rPr/>
              <w:t> </w:t>
            </w:r>
          </w:p>
        </w:tc>
        <w:tc>
          <w:tcPr>
            <w:tcW w:w="58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(88</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4" w:type="dxa"/>
            <w:tcBorders/>
            <w:shd w:fill="CCEEFF" w:val="clear"/>
            <w:vAlign w:val="center"/>
          </w:tcPr>
          <w:p>
            <w:pPr>
              <w:pStyle w:val="TableContents"/>
              <w:spacing w:before="0" w:after="0"/>
              <w:ind w:left="0" w:right="0" w:firstLine="30"/>
              <w:rPr/>
            </w:pPr>
            <w:r>
              <w:rPr/>
              <w:t> </w:t>
            </w:r>
          </w:p>
        </w:tc>
        <w:tc>
          <w:tcPr>
            <w:tcW w:w="58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(92</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38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90" w:type="dxa"/>
            <w:tcBorders/>
            <w:shd w:fill="CCEEFF" w:val="clear"/>
            <w:vAlign w:val="center"/>
          </w:tcPr>
          <w:p>
            <w:pPr>
              <w:pStyle w:val="TableContents"/>
              <w:spacing w:before="0" w:after="0"/>
              <w:jc w:val="right"/>
              <w:rPr>
                <w:rFonts w:ascii="inherit" w:hAnsi="inherit"/>
                <w:sz w:val="17"/>
              </w:rPr>
            </w:pPr>
            <w:r>
              <w:rPr>
                <w:rFonts w:ascii="inherit" w:hAnsi="inherit"/>
                <w:sz w:val="17"/>
              </w:rPr>
              <w:t>4</w:t>
            </w:r>
          </w:p>
        </w:tc>
        <w:tc>
          <w:tcPr>
            <w:tcW w:w="260" w:type="dxa"/>
            <w:tcBorders/>
            <w:shd w:fill="CCEEFF" w:val="clear"/>
            <w:vAlign w:val="center"/>
          </w:tcPr>
          <w:p>
            <w:pPr>
              <w:pStyle w:val="TableContents"/>
              <w:spacing w:before="0" w:after="0"/>
              <w:ind w:left="0" w:right="0" w:firstLine="30"/>
              <w:jc w:val="left"/>
              <w:rPr/>
            </w:pPr>
            <w:r>
              <w:rPr/>
              <w:t> </w:t>
            </w: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51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(175</w:t>
            </w:r>
          </w:p>
        </w:tc>
        <w:tc>
          <w:tcPr>
            <w:tcW w:w="1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1" w:type="dxa"/>
            <w:tcBorders/>
            <w:shd w:fill="CCEEFF" w:val="clear"/>
            <w:vAlign w:val="center"/>
          </w:tcPr>
          <w:p>
            <w:pPr>
              <w:pStyle w:val="TableContents"/>
              <w:spacing w:before="0" w:after="0"/>
              <w:ind w:left="0" w:right="0" w:firstLine="30"/>
              <w:rPr/>
            </w:pPr>
            <w:r>
              <w:rPr/>
              <w:t> </w:t>
            </w:r>
          </w:p>
        </w:tc>
        <w:tc>
          <w:tcPr>
            <w:tcW w:w="51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(176</w:t>
            </w:r>
          </w:p>
        </w:tc>
        <w:tc>
          <w:tcPr>
            <w:tcW w:w="1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38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60" w:type="dxa"/>
            <w:tcBorders/>
            <w:shd w:fill="CCEEFF" w:val="clear"/>
            <w:vAlign w:val="center"/>
          </w:tcPr>
          <w:p>
            <w:pPr>
              <w:pStyle w:val="TableContents"/>
              <w:spacing w:before="0" w:after="0"/>
              <w:jc w:val="right"/>
              <w:rPr>
                <w:rFonts w:ascii="inherit" w:hAnsi="inherit"/>
                <w:sz w:val="17"/>
              </w:rPr>
            </w:pPr>
            <w:r>
              <w:rPr>
                <w:rFonts w:ascii="inherit" w:hAnsi="inherit"/>
                <w:sz w:val="17"/>
              </w:rPr>
              <w:t>1</w:t>
            </w:r>
          </w:p>
        </w:tc>
        <w:tc>
          <w:tcPr>
            <w:tcW w:w="284" w:type="dxa"/>
            <w:tcBorders/>
            <w:shd w:fill="CCEEFF" w:val="clear"/>
            <w:vAlign w:val="center"/>
          </w:tcPr>
          <w:p>
            <w:pPr>
              <w:pStyle w:val="TableContents"/>
              <w:spacing w:before="0" w:after="0"/>
              <w:ind w:left="0" w:right="0" w:firstLine="30"/>
              <w:jc w:val="left"/>
              <w:rPr/>
            </w:pPr>
            <w:r>
              <w:rPr/>
              <w:t> </w:t>
            </w:r>
            <w:r>
              <w:rPr>
                <w:rFonts w:ascii="inherit" w:hAnsi="inherit"/>
                <w:sz w:val="17"/>
              </w:rPr>
              <w:t>%</w:t>
            </w:r>
          </w:p>
        </w:tc>
      </w:tr>
      <w:tr>
        <w:trPr/>
        <w:tc>
          <w:tcPr>
            <w:tcW w:w="4610" w:type="dxa"/>
            <w:tcBorders/>
            <w:shd w:fill="auto" w:val="clear"/>
            <w:vAlign w:val="center"/>
          </w:tcPr>
          <w:p>
            <w:pPr>
              <w:pStyle w:val="TableContents"/>
              <w:spacing w:lineRule="auto" w:line="288" w:before="0" w:after="0"/>
              <w:ind w:left="0" w:right="0" w:firstLine="30"/>
              <w:rPr>
                <w:sz w:val="17"/>
              </w:rPr>
            </w:pPr>
            <w:r>
              <w:rPr>
                <w:rFonts w:ascii="inherit" w:hAnsi="inherit"/>
                <w:sz w:val="17"/>
              </w:rPr>
              <w:t xml:space="preserve">Segment general and administrative expenses </w:t>
            </w:r>
            <w:r>
              <w:rPr>
                <w:rFonts w:ascii="inherit" w:hAnsi="inherit"/>
                <w:sz w:val="12"/>
              </w:rPr>
              <w:t>(2)</w:t>
            </w:r>
          </w:p>
        </w:tc>
        <w:tc>
          <w:tcPr>
            <w:tcW w:w="90" w:type="dxa"/>
            <w:tcBorders/>
            <w:shd w:fill="auto" w:val="clear"/>
            <w:vAlign w:val="center"/>
          </w:tcPr>
          <w:p>
            <w:pPr>
              <w:pStyle w:val="TableContents"/>
              <w:spacing w:before="0" w:after="0"/>
              <w:ind w:left="0" w:right="0" w:firstLine="30"/>
              <w:rPr/>
            </w:pPr>
            <w:r>
              <w:rPr/>
              <w:t> </w:t>
            </w:r>
          </w:p>
        </w:tc>
        <w:tc>
          <w:tcPr>
            <w:tcW w:w="58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4" w:type="dxa"/>
            <w:tcBorders/>
            <w:shd w:fill="auto" w:val="clear"/>
            <w:vAlign w:val="center"/>
          </w:tcPr>
          <w:p>
            <w:pPr>
              <w:pStyle w:val="TableContents"/>
              <w:spacing w:before="0" w:after="0"/>
              <w:ind w:left="0" w:right="0" w:firstLine="30"/>
              <w:rPr/>
            </w:pPr>
            <w:r>
              <w:rPr/>
              <w:t> </w:t>
            </w:r>
          </w:p>
        </w:tc>
        <w:tc>
          <w:tcPr>
            <w:tcW w:w="58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385"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90" w:type="dxa"/>
            <w:tcBorders/>
            <w:shd w:fill="auto" w:val="clear"/>
            <w:vAlign w:val="center"/>
          </w:tcPr>
          <w:p>
            <w:pPr>
              <w:pStyle w:val="TableContents"/>
              <w:spacing w:before="0" w:after="0"/>
              <w:jc w:val="right"/>
              <w:rPr/>
            </w:pPr>
            <w:r>
              <w:rPr/>
              <w:t>—</w:t>
            </w:r>
          </w:p>
        </w:tc>
        <w:tc>
          <w:tcPr>
            <w:tcW w:w="260" w:type="dxa"/>
            <w:tcBorders/>
            <w:shd w:fill="auto" w:val="clear"/>
            <w:vAlign w:val="center"/>
          </w:tcPr>
          <w:p>
            <w:pPr>
              <w:pStyle w:val="TableContents"/>
              <w:spacing w:before="0" w:after="0"/>
              <w:ind w:left="0" w:right="0" w:firstLine="30"/>
              <w:jc w:val="left"/>
              <w:rPr/>
            </w:pPr>
            <w:r>
              <w:rPr/>
              <w:t> </w:t>
            </w: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51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(41</w:t>
            </w:r>
          </w:p>
        </w:tc>
        <w:tc>
          <w:tcPr>
            <w:tcW w:w="1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1" w:type="dxa"/>
            <w:tcBorders/>
            <w:shd w:fill="auto" w:val="clear"/>
            <w:vAlign w:val="center"/>
          </w:tcPr>
          <w:p>
            <w:pPr>
              <w:pStyle w:val="TableContents"/>
              <w:spacing w:before="0" w:after="0"/>
              <w:ind w:left="0" w:right="0" w:firstLine="30"/>
              <w:rPr/>
            </w:pPr>
            <w:r>
              <w:rPr/>
              <w:t> </w:t>
            </w:r>
          </w:p>
        </w:tc>
        <w:tc>
          <w:tcPr>
            <w:tcW w:w="51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(42</w:t>
            </w:r>
          </w:p>
        </w:tc>
        <w:tc>
          <w:tcPr>
            <w:tcW w:w="1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38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60" w:type="dxa"/>
            <w:tcBorders/>
            <w:shd w:fill="auto" w:val="clear"/>
            <w:vAlign w:val="center"/>
          </w:tcPr>
          <w:p>
            <w:pPr>
              <w:pStyle w:val="TableContents"/>
              <w:spacing w:before="0" w:after="0"/>
              <w:jc w:val="right"/>
              <w:rPr>
                <w:rFonts w:ascii="inherit" w:hAnsi="inherit"/>
                <w:sz w:val="17"/>
              </w:rPr>
            </w:pPr>
            <w:r>
              <w:rPr>
                <w:rFonts w:ascii="inherit" w:hAnsi="inherit"/>
                <w:sz w:val="17"/>
              </w:rPr>
              <w:t>2</w:t>
            </w:r>
          </w:p>
        </w:tc>
        <w:tc>
          <w:tcPr>
            <w:tcW w:w="284" w:type="dxa"/>
            <w:tcBorders/>
            <w:shd w:fill="auto" w:val="clear"/>
            <w:vAlign w:val="center"/>
          </w:tcPr>
          <w:p>
            <w:pPr>
              <w:pStyle w:val="TableContents"/>
              <w:spacing w:before="0" w:after="0"/>
              <w:ind w:left="0" w:right="0" w:firstLine="30"/>
              <w:jc w:val="left"/>
              <w:rPr/>
            </w:pPr>
            <w:r>
              <w:rPr/>
              <w:t> </w:t>
            </w:r>
            <w:r>
              <w:rPr>
                <w:rFonts w:ascii="inherit" w:hAnsi="inherit"/>
                <w:sz w:val="17"/>
              </w:rPr>
              <w:t>%</w:t>
            </w:r>
          </w:p>
        </w:tc>
      </w:tr>
      <w:tr>
        <w:trPr/>
        <w:tc>
          <w:tcPr>
            <w:tcW w:w="4610"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16" w:type="dxa"/>
            <w:gridSpan w:val="3"/>
            <w:tcBorders/>
            <w:shd w:fill="CCEEFF" w:val="clear"/>
            <w:vAlign w:val="center"/>
          </w:tcPr>
          <w:p>
            <w:pPr>
              <w:pStyle w:val="TableContents"/>
              <w:spacing w:before="0" w:after="0"/>
              <w:ind w:left="0" w:right="0" w:firstLine="30"/>
              <w:rPr/>
            </w:pPr>
            <w:r>
              <w:rPr/>
              <w:t> </w:t>
            </w:r>
          </w:p>
        </w:tc>
        <w:tc>
          <w:tcPr>
            <w:tcW w:w="104" w:type="dxa"/>
            <w:tcBorders/>
            <w:shd w:fill="CCEEFF" w:val="clear"/>
            <w:vAlign w:val="center"/>
          </w:tcPr>
          <w:p>
            <w:pPr>
              <w:pStyle w:val="TableContents"/>
              <w:spacing w:before="0" w:after="0"/>
              <w:ind w:left="0" w:right="0" w:firstLine="30"/>
              <w:rPr/>
            </w:pPr>
            <w:r>
              <w:rPr/>
              <w:t> </w:t>
            </w:r>
          </w:p>
        </w:tc>
        <w:tc>
          <w:tcPr>
            <w:tcW w:w="716"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49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550" w:type="dxa"/>
            <w:gridSpan w:val="2"/>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627" w:type="dxa"/>
            <w:gridSpan w:val="3"/>
            <w:tcBorders/>
            <w:shd w:fill="CCEEFF" w:val="clear"/>
            <w:vAlign w:val="center"/>
          </w:tcPr>
          <w:p>
            <w:pPr>
              <w:pStyle w:val="TableContents"/>
              <w:spacing w:before="0" w:after="0"/>
              <w:ind w:left="0" w:right="0" w:firstLine="30"/>
              <w:rPr/>
            </w:pPr>
            <w:r>
              <w:rPr/>
              <w:t> </w:t>
            </w:r>
          </w:p>
        </w:tc>
        <w:tc>
          <w:tcPr>
            <w:tcW w:w="91" w:type="dxa"/>
            <w:tcBorders/>
            <w:shd w:fill="CCEEFF" w:val="clear"/>
            <w:vAlign w:val="center"/>
          </w:tcPr>
          <w:p>
            <w:pPr>
              <w:pStyle w:val="TableContents"/>
              <w:spacing w:before="0" w:after="0"/>
              <w:ind w:left="0" w:right="0" w:firstLine="30"/>
              <w:rPr/>
            </w:pPr>
            <w:r>
              <w:rPr/>
              <w:t> </w:t>
            </w:r>
          </w:p>
        </w:tc>
        <w:tc>
          <w:tcPr>
            <w:tcW w:w="627"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49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544" w:type="dxa"/>
            <w:gridSpan w:val="2"/>
            <w:tcBorders/>
            <w:shd w:fill="CCEEFF" w:val="clear"/>
            <w:vAlign w:val="center"/>
          </w:tcPr>
          <w:p>
            <w:pPr>
              <w:pStyle w:val="TableContents"/>
              <w:spacing w:before="0" w:after="0"/>
              <w:ind w:left="0" w:right="0" w:firstLine="30"/>
              <w:rPr/>
            </w:pPr>
            <w:r>
              <w:rPr/>
              <w:t> </w:t>
            </w:r>
          </w:p>
        </w:tc>
      </w:tr>
      <w:tr>
        <w:trPr/>
        <w:tc>
          <w:tcPr>
            <w:tcW w:w="4610" w:type="dxa"/>
            <w:tcBorders/>
            <w:shd w:fill="auto" w:val="clear"/>
            <w:vAlign w:val="center"/>
          </w:tcPr>
          <w:p>
            <w:pPr>
              <w:pStyle w:val="TableContents"/>
              <w:spacing w:lineRule="auto" w:line="288" w:before="0" w:after="0"/>
              <w:ind w:left="0" w:right="0" w:firstLine="30"/>
              <w:rPr>
                <w:sz w:val="17"/>
              </w:rPr>
            </w:pPr>
            <w:r>
              <w:rPr>
                <w:rFonts w:ascii="inherit" w:hAnsi="inherit"/>
                <w:sz w:val="17"/>
              </w:rPr>
              <w:t>Adjustments</w:t>
            </w:r>
            <w:r>
              <w:rPr>
                <w:sz w:val="17"/>
              </w:rPr>
              <w:t> </w:t>
            </w:r>
            <w:r>
              <w:rPr>
                <w:rFonts w:ascii="inherit" w:hAnsi="inherit"/>
                <w:sz w:val="12"/>
              </w:rPr>
              <w:t>(3)</w:t>
            </w: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716" w:type="dxa"/>
            <w:gridSpan w:val="3"/>
            <w:tcBorders/>
            <w:shd w:fill="auto" w:val="clear"/>
            <w:vAlign w:val="center"/>
          </w:tcPr>
          <w:p>
            <w:pPr>
              <w:pStyle w:val="TableContents"/>
              <w:spacing w:before="0" w:after="0"/>
              <w:ind w:left="0" w:right="0" w:firstLine="30"/>
              <w:rPr/>
            </w:pPr>
            <w:r>
              <w:rPr/>
              <w:t> </w:t>
            </w:r>
          </w:p>
        </w:tc>
        <w:tc>
          <w:tcPr>
            <w:tcW w:w="104" w:type="dxa"/>
            <w:tcBorders/>
            <w:shd w:fill="auto" w:val="clear"/>
            <w:vAlign w:val="center"/>
          </w:tcPr>
          <w:p>
            <w:pPr>
              <w:pStyle w:val="TableContents"/>
              <w:spacing w:before="0" w:after="0"/>
              <w:ind w:left="0" w:right="0" w:firstLine="30"/>
              <w:rPr/>
            </w:pPr>
            <w:r>
              <w:rPr/>
              <w:t> </w:t>
            </w:r>
          </w:p>
        </w:tc>
        <w:tc>
          <w:tcPr>
            <w:tcW w:w="716"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49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550" w:type="dxa"/>
            <w:gridSpan w:val="2"/>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627" w:type="dxa"/>
            <w:gridSpan w:val="3"/>
            <w:tcBorders/>
            <w:shd w:fill="auto" w:val="clear"/>
            <w:vAlign w:val="center"/>
          </w:tcPr>
          <w:p>
            <w:pPr>
              <w:pStyle w:val="TableContents"/>
              <w:spacing w:before="0" w:after="0"/>
              <w:ind w:left="0" w:right="0" w:firstLine="30"/>
              <w:rPr/>
            </w:pPr>
            <w:r>
              <w:rPr/>
              <w:t> </w:t>
            </w:r>
          </w:p>
        </w:tc>
        <w:tc>
          <w:tcPr>
            <w:tcW w:w="91" w:type="dxa"/>
            <w:tcBorders/>
            <w:shd w:fill="auto" w:val="clear"/>
            <w:vAlign w:val="center"/>
          </w:tcPr>
          <w:p>
            <w:pPr>
              <w:pStyle w:val="TableContents"/>
              <w:spacing w:before="0" w:after="0"/>
              <w:ind w:left="0" w:right="0" w:firstLine="30"/>
              <w:rPr/>
            </w:pPr>
            <w:r>
              <w:rPr/>
              <w:t> </w:t>
            </w:r>
          </w:p>
        </w:tc>
        <w:tc>
          <w:tcPr>
            <w:tcW w:w="627"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49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544" w:type="dxa"/>
            <w:gridSpan w:val="2"/>
            <w:tcBorders/>
            <w:shd w:fill="auto" w:val="clear"/>
            <w:vAlign w:val="center"/>
          </w:tcPr>
          <w:p>
            <w:pPr>
              <w:pStyle w:val="TableContents"/>
              <w:spacing w:before="0" w:after="0"/>
              <w:ind w:left="0" w:right="0" w:firstLine="30"/>
              <w:rPr/>
            </w:pPr>
            <w:r>
              <w:rPr/>
              <w:t> </w:t>
            </w:r>
          </w:p>
        </w:tc>
      </w:tr>
      <w:tr>
        <w:trPr/>
        <w:tc>
          <w:tcPr>
            <w:tcW w:w="46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Gains from derivative activities</w:t>
            </w:r>
          </w:p>
        </w:tc>
        <w:tc>
          <w:tcPr>
            <w:tcW w:w="90" w:type="dxa"/>
            <w:tcBorders/>
            <w:shd w:fill="CCEEFF" w:val="clear"/>
            <w:vAlign w:val="center"/>
          </w:tcPr>
          <w:p>
            <w:pPr>
              <w:pStyle w:val="TableContents"/>
              <w:spacing w:before="0" w:after="0"/>
              <w:ind w:left="0" w:right="0" w:firstLine="30"/>
              <w:rPr/>
            </w:pPr>
            <w:r>
              <w:rPr/>
              <w:t> </w:t>
            </w:r>
          </w:p>
        </w:tc>
        <w:tc>
          <w:tcPr>
            <w:tcW w:w="58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4" w:type="dxa"/>
            <w:tcBorders/>
            <w:shd w:fill="CCEEFF" w:val="clear"/>
            <w:vAlign w:val="center"/>
          </w:tcPr>
          <w:p>
            <w:pPr>
              <w:pStyle w:val="TableContents"/>
              <w:spacing w:before="0" w:after="0"/>
              <w:ind w:left="0" w:right="0" w:firstLine="30"/>
              <w:rPr/>
            </w:pPr>
            <w:r>
              <w:rPr/>
              <w:t> </w:t>
            </w:r>
          </w:p>
        </w:tc>
        <w:tc>
          <w:tcPr>
            <w:tcW w:w="58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38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290" w:type="dxa"/>
            <w:tcBorders/>
            <w:shd w:fill="CCEEFF" w:val="clear"/>
            <w:vAlign w:val="center"/>
          </w:tcPr>
          <w:p>
            <w:pPr>
              <w:pStyle w:val="TableContents"/>
              <w:spacing w:before="0" w:after="0"/>
              <w:jc w:val="right"/>
              <w:rPr>
                <w:rFonts w:ascii="inherit" w:hAnsi="inherit"/>
                <w:sz w:val="17"/>
              </w:rPr>
            </w:pPr>
            <w:r>
              <w:rPr>
                <w:rFonts w:ascii="inherit" w:hAnsi="inherit"/>
                <w:sz w:val="17"/>
              </w:rPr>
              <w:t>**</w:t>
            </w:r>
          </w:p>
        </w:tc>
        <w:tc>
          <w:tcPr>
            <w:tcW w:w="2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51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w:t>
            </w:r>
          </w:p>
        </w:tc>
        <w:tc>
          <w:tcPr>
            <w:tcW w:w="1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1" w:type="dxa"/>
            <w:tcBorders/>
            <w:shd w:fill="CCEEFF" w:val="clear"/>
            <w:vAlign w:val="center"/>
          </w:tcPr>
          <w:p>
            <w:pPr>
              <w:pStyle w:val="TableContents"/>
              <w:spacing w:before="0" w:after="0"/>
              <w:ind w:left="0" w:right="0" w:firstLine="30"/>
              <w:rPr/>
            </w:pPr>
            <w:r>
              <w:rPr/>
              <w:t> </w:t>
            </w:r>
          </w:p>
        </w:tc>
        <w:tc>
          <w:tcPr>
            <w:tcW w:w="51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w:t>
            </w:r>
          </w:p>
        </w:tc>
        <w:tc>
          <w:tcPr>
            <w:tcW w:w="1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38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260" w:type="dxa"/>
            <w:tcBorders/>
            <w:shd w:fill="CCEEFF" w:val="clear"/>
            <w:vAlign w:val="center"/>
          </w:tcPr>
          <w:p>
            <w:pPr>
              <w:pStyle w:val="TableContents"/>
              <w:spacing w:before="0" w:after="0"/>
              <w:jc w:val="right"/>
              <w:rPr>
                <w:rFonts w:ascii="inherit" w:hAnsi="inherit"/>
                <w:sz w:val="17"/>
              </w:rPr>
            </w:pPr>
            <w:r>
              <w:rPr>
                <w:rFonts w:ascii="inherit" w:hAnsi="inherit"/>
                <w:sz w:val="17"/>
              </w:rPr>
              <w:t>**</w:t>
            </w:r>
          </w:p>
        </w:tc>
        <w:tc>
          <w:tcPr>
            <w:tcW w:w="2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6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Deficiencies under minimum volume commitments, net</w:t>
            </w:r>
          </w:p>
        </w:tc>
        <w:tc>
          <w:tcPr>
            <w:tcW w:w="90" w:type="dxa"/>
            <w:tcBorders/>
            <w:shd w:fill="auto" w:val="clear"/>
            <w:vAlign w:val="center"/>
          </w:tcPr>
          <w:p>
            <w:pPr>
              <w:pStyle w:val="TableContents"/>
              <w:spacing w:before="0" w:after="0"/>
              <w:ind w:left="0" w:right="0" w:firstLine="30"/>
              <w:rPr/>
            </w:pPr>
            <w:r>
              <w:rPr/>
              <w:t> </w:t>
            </w:r>
          </w:p>
        </w:tc>
        <w:tc>
          <w:tcPr>
            <w:tcW w:w="588" w:type="dxa"/>
            <w:gridSpan w:val="2"/>
            <w:tcBorders/>
            <w:shd w:fill="auto" w:val="clear"/>
            <w:vAlign w:val="center"/>
          </w:tcPr>
          <w:p>
            <w:pPr>
              <w:pStyle w:val="TableContents"/>
              <w:spacing w:before="0" w:after="0"/>
              <w:jc w:val="right"/>
              <w:rPr/>
            </w:pPr>
            <w:r>
              <w:rPr/>
              <w:t>—</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58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w:t>
            </w:r>
          </w:p>
        </w:tc>
        <w:tc>
          <w:tcPr>
            <w:tcW w:w="1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38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290" w:type="dxa"/>
            <w:tcBorders/>
            <w:shd w:fill="auto" w:val="clear"/>
            <w:vAlign w:val="center"/>
          </w:tcPr>
          <w:p>
            <w:pPr>
              <w:pStyle w:val="TableContents"/>
              <w:spacing w:before="0" w:after="0"/>
              <w:jc w:val="right"/>
              <w:rPr>
                <w:rFonts w:ascii="inherit" w:hAnsi="inherit"/>
                <w:sz w:val="17"/>
              </w:rPr>
            </w:pPr>
            <w:r>
              <w:rPr>
                <w:rFonts w:ascii="inherit" w:hAnsi="inherit"/>
                <w:sz w:val="17"/>
              </w:rPr>
              <w:t>**</w:t>
            </w:r>
          </w:p>
        </w:tc>
        <w:tc>
          <w:tcPr>
            <w:tcW w:w="2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516" w:type="dxa"/>
            <w:gridSpan w:val="2"/>
            <w:tcBorders/>
            <w:shd w:fill="auto" w:val="clear"/>
            <w:vAlign w:val="center"/>
          </w:tcPr>
          <w:p>
            <w:pPr>
              <w:pStyle w:val="TableContents"/>
              <w:spacing w:before="0" w:after="0"/>
              <w:jc w:val="right"/>
              <w:rPr/>
            </w:pPr>
            <w:r>
              <w:rPr/>
              <w:t>—</w:t>
            </w:r>
          </w:p>
        </w:tc>
        <w:tc>
          <w:tcPr>
            <w:tcW w:w="1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auto" w:val="clear"/>
            <w:vAlign w:val="center"/>
          </w:tcPr>
          <w:p>
            <w:pPr>
              <w:pStyle w:val="TableContents"/>
              <w:spacing w:before="0" w:after="0"/>
              <w:ind w:left="0" w:right="0" w:firstLine="30"/>
              <w:rPr/>
            </w:pPr>
            <w:r>
              <w:rPr/>
              <w:t> </w:t>
            </w:r>
          </w:p>
        </w:tc>
        <w:tc>
          <w:tcPr>
            <w:tcW w:w="51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w:t>
            </w:r>
          </w:p>
        </w:tc>
        <w:tc>
          <w:tcPr>
            <w:tcW w:w="1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38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260" w:type="dxa"/>
            <w:tcBorders/>
            <w:shd w:fill="auto" w:val="clear"/>
            <w:vAlign w:val="center"/>
          </w:tcPr>
          <w:p>
            <w:pPr>
              <w:pStyle w:val="TableContents"/>
              <w:spacing w:before="0" w:after="0"/>
              <w:jc w:val="right"/>
              <w:rPr>
                <w:rFonts w:ascii="inherit" w:hAnsi="inherit"/>
                <w:sz w:val="17"/>
              </w:rPr>
            </w:pPr>
            <w:r>
              <w:rPr>
                <w:rFonts w:ascii="inherit" w:hAnsi="inherit"/>
                <w:sz w:val="17"/>
              </w:rPr>
              <w:t>**</w:t>
            </w:r>
          </w:p>
        </w:tc>
        <w:tc>
          <w:tcPr>
            <w:tcW w:w="2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6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Equity-indexed compensation expense</w:t>
            </w:r>
          </w:p>
        </w:tc>
        <w:tc>
          <w:tcPr>
            <w:tcW w:w="90" w:type="dxa"/>
            <w:tcBorders/>
            <w:shd w:fill="CCEEFF" w:val="clear"/>
            <w:vAlign w:val="center"/>
          </w:tcPr>
          <w:p>
            <w:pPr>
              <w:pStyle w:val="TableContents"/>
              <w:spacing w:before="0" w:after="0"/>
              <w:ind w:left="0" w:right="0" w:firstLine="30"/>
              <w:rPr/>
            </w:pPr>
            <w:r>
              <w:rPr/>
              <w:t> </w:t>
            </w:r>
          </w:p>
        </w:tc>
        <w:tc>
          <w:tcPr>
            <w:tcW w:w="58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58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w:t>
            </w:r>
          </w:p>
        </w:tc>
        <w:tc>
          <w:tcPr>
            <w:tcW w:w="1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8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290" w:type="dxa"/>
            <w:tcBorders/>
            <w:shd w:fill="CCEEFF" w:val="clear"/>
            <w:vAlign w:val="center"/>
          </w:tcPr>
          <w:p>
            <w:pPr>
              <w:pStyle w:val="TableContents"/>
              <w:spacing w:before="0" w:after="0"/>
              <w:jc w:val="right"/>
              <w:rPr>
                <w:rFonts w:ascii="inherit" w:hAnsi="inherit"/>
                <w:sz w:val="17"/>
              </w:rPr>
            </w:pPr>
            <w:r>
              <w:rPr>
                <w:rFonts w:ascii="inherit" w:hAnsi="inherit"/>
                <w:sz w:val="17"/>
              </w:rPr>
              <w:t>**</w:t>
            </w:r>
          </w:p>
        </w:tc>
        <w:tc>
          <w:tcPr>
            <w:tcW w:w="2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51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w:t>
            </w:r>
          </w:p>
        </w:tc>
        <w:tc>
          <w:tcPr>
            <w:tcW w:w="1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CCEEFF" w:val="clear"/>
            <w:vAlign w:val="center"/>
          </w:tcPr>
          <w:p>
            <w:pPr>
              <w:pStyle w:val="TableContents"/>
              <w:spacing w:before="0" w:after="0"/>
              <w:ind w:left="0" w:right="0" w:firstLine="30"/>
              <w:rPr/>
            </w:pPr>
            <w:r>
              <w:rPr/>
              <w:t> </w:t>
            </w:r>
          </w:p>
        </w:tc>
        <w:tc>
          <w:tcPr>
            <w:tcW w:w="51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w:t>
            </w:r>
          </w:p>
        </w:tc>
        <w:tc>
          <w:tcPr>
            <w:tcW w:w="1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8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260" w:type="dxa"/>
            <w:tcBorders/>
            <w:shd w:fill="CCEEFF" w:val="clear"/>
            <w:vAlign w:val="center"/>
          </w:tcPr>
          <w:p>
            <w:pPr>
              <w:pStyle w:val="TableContents"/>
              <w:spacing w:before="0" w:after="0"/>
              <w:jc w:val="right"/>
              <w:rPr>
                <w:rFonts w:ascii="inherit" w:hAnsi="inherit"/>
                <w:sz w:val="17"/>
              </w:rPr>
            </w:pPr>
            <w:r>
              <w:rPr>
                <w:rFonts w:ascii="inherit" w:hAnsi="inherit"/>
                <w:sz w:val="17"/>
              </w:rPr>
              <w:t>**</w:t>
            </w:r>
          </w:p>
        </w:tc>
        <w:tc>
          <w:tcPr>
            <w:tcW w:w="2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6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Adjusted EBITDA</w:t>
            </w:r>
          </w:p>
        </w:tc>
        <w:tc>
          <w:tcPr>
            <w:tcW w:w="90" w:type="dxa"/>
            <w:tcBorders/>
            <w:shd w:fill="auto" w:val="clear"/>
            <w:vAlign w:val="center"/>
          </w:tcPr>
          <w:p>
            <w:pPr>
              <w:pStyle w:val="TableContents"/>
              <w:spacing w:before="0" w:after="0"/>
              <w:ind w:left="0" w:right="0" w:firstLine="30"/>
              <w:rPr/>
            </w:pPr>
            <w:r>
              <w:rPr/>
              <w:t> </w:t>
            </w:r>
          </w:p>
        </w:tc>
        <w:tc>
          <w:tcPr>
            <w:tcW w:w="14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4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172</w:t>
            </w:r>
          </w:p>
        </w:tc>
        <w:tc>
          <w:tcPr>
            <w:tcW w:w="128"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14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43"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171</w:t>
            </w:r>
          </w:p>
        </w:tc>
        <w:tc>
          <w:tcPr>
            <w:tcW w:w="128"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26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w:t>
            </w:r>
          </w:p>
        </w:tc>
        <w:tc>
          <w:tcPr>
            <w:tcW w:w="110"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9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w:t>
            </w:r>
          </w:p>
        </w:tc>
        <w:tc>
          <w:tcPr>
            <w:tcW w:w="26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pPr>
            <w:r>
              <w:rPr/>
              <w:t> </w:t>
            </w: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12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8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356</w:t>
            </w:r>
          </w:p>
        </w:tc>
        <w:tc>
          <w:tcPr>
            <w:tcW w:w="11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auto" w:val="clear"/>
            <w:vAlign w:val="center"/>
          </w:tcPr>
          <w:p>
            <w:pPr>
              <w:pStyle w:val="TableContents"/>
              <w:spacing w:before="0" w:after="0"/>
              <w:ind w:left="0" w:right="0" w:firstLine="30"/>
              <w:rPr/>
            </w:pPr>
            <w:r>
              <w:rPr/>
              <w:t> </w:t>
            </w:r>
          </w:p>
        </w:tc>
        <w:tc>
          <w:tcPr>
            <w:tcW w:w="12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8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357</w:t>
            </w:r>
          </w:p>
        </w:tc>
        <w:tc>
          <w:tcPr>
            <w:tcW w:w="111"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26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w:t>
            </w:r>
          </w:p>
        </w:tc>
        <w:tc>
          <w:tcPr>
            <w:tcW w:w="11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26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pPr>
            <w:r>
              <w:rPr/>
              <w:t>—</w:t>
            </w:r>
          </w:p>
        </w:tc>
        <w:tc>
          <w:tcPr>
            <w:tcW w:w="28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pPr>
            <w:r>
              <w:rPr/>
              <w:t> </w:t>
            </w:r>
            <w:r>
              <w:rPr>
                <w:rFonts w:ascii="inherit" w:hAnsi="inherit"/>
                <w:sz w:val="17"/>
              </w:rPr>
              <w:t>%</w:t>
            </w:r>
          </w:p>
        </w:tc>
      </w:tr>
      <w:tr>
        <w:trPr/>
        <w:tc>
          <w:tcPr>
            <w:tcW w:w="46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Maintenance capital</w:t>
            </w:r>
          </w:p>
        </w:tc>
        <w:tc>
          <w:tcPr>
            <w:tcW w:w="90" w:type="dxa"/>
            <w:tcBorders/>
            <w:shd w:fill="CCEEFF" w:val="clear"/>
            <w:vAlign w:val="center"/>
          </w:tcPr>
          <w:p>
            <w:pPr>
              <w:pStyle w:val="TableContents"/>
              <w:spacing w:before="0" w:after="0"/>
              <w:ind w:left="0" w:right="0" w:firstLine="30"/>
              <w:rPr/>
            </w:pPr>
            <w:r>
              <w:rPr/>
              <w:t> </w:t>
            </w:r>
          </w:p>
        </w:tc>
        <w:tc>
          <w:tcPr>
            <w:tcW w:w="14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4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30</w:t>
            </w:r>
          </w:p>
        </w:tc>
        <w:tc>
          <w:tcPr>
            <w:tcW w:w="12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CCEEFF" w:val="clear"/>
            <w:vAlign w:val="center"/>
          </w:tcPr>
          <w:p>
            <w:pPr>
              <w:pStyle w:val="TableContents"/>
              <w:spacing w:before="0" w:after="0"/>
              <w:ind w:left="0" w:right="0" w:firstLine="30"/>
              <w:rPr/>
            </w:pPr>
            <w:r>
              <w:rPr/>
              <w:t> </w:t>
            </w:r>
          </w:p>
        </w:tc>
        <w:tc>
          <w:tcPr>
            <w:tcW w:w="14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4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26</w:t>
            </w:r>
          </w:p>
        </w:tc>
        <w:tc>
          <w:tcPr>
            <w:tcW w:w="12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26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w:t>
            </w:r>
          </w:p>
        </w:tc>
        <w:tc>
          <w:tcPr>
            <w:tcW w:w="11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9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15</w:t>
            </w:r>
          </w:p>
        </w:tc>
        <w:tc>
          <w:tcPr>
            <w:tcW w:w="260" w:type="dxa"/>
            <w:tcBorders>
              <w:bottom w:val="double" w:sz="6" w:space="0" w:color="000000"/>
            </w:tcBorders>
            <w:shd w:fill="CCEEFF" w:val="clear"/>
            <w:tcMar>
              <w:bottom w:w="30" w:type="dxa"/>
            </w:tcMar>
            <w:vAlign w:val="center"/>
          </w:tcPr>
          <w:p>
            <w:pPr>
              <w:pStyle w:val="TableContents"/>
              <w:spacing w:before="0" w:after="0"/>
              <w:ind w:left="0" w:right="0" w:firstLine="30"/>
              <w:jc w:val="left"/>
              <w:rPr/>
            </w:pPr>
            <w:r>
              <w:rPr/>
              <w:t> </w:t>
            </w: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12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89"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46</w:t>
            </w:r>
          </w:p>
        </w:tc>
        <w:tc>
          <w:tcPr>
            <w:tcW w:w="111"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CCEEFF" w:val="clear"/>
            <w:vAlign w:val="center"/>
          </w:tcPr>
          <w:p>
            <w:pPr>
              <w:pStyle w:val="TableContents"/>
              <w:spacing w:before="0" w:after="0"/>
              <w:ind w:left="0" w:right="0" w:firstLine="30"/>
              <w:rPr/>
            </w:pPr>
            <w:r>
              <w:rPr/>
              <w:t> </w:t>
            </w:r>
          </w:p>
        </w:tc>
        <w:tc>
          <w:tcPr>
            <w:tcW w:w="12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89"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41</w:t>
            </w:r>
          </w:p>
        </w:tc>
        <w:tc>
          <w:tcPr>
            <w:tcW w:w="111"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26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w:t>
            </w:r>
          </w:p>
        </w:tc>
        <w:tc>
          <w:tcPr>
            <w:tcW w:w="11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6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w:t>
            </w:r>
          </w:p>
        </w:tc>
        <w:tc>
          <w:tcPr>
            <w:tcW w:w="284" w:type="dxa"/>
            <w:tcBorders>
              <w:bottom w:val="double" w:sz="6" w:space="0" w:color="000000"/>
            </w:tcBorders>
            <w:shd w:fill="CCEEFF" w:val="clear"/>
            <w:tcMar>
              <w:bottom w:w="30" w:type="dxa"/>
            </w:tcMar>
            <w:vAlign w:val="center"/>
          </w:tcPr>
          <w:p>
            <w:pPr>
              <w:pStyle w:val="TableContents"/>
              <w:spacing w:before="0" w:after="0"/>
              <w:ind w:left="0" w:right="0" w:firstLine="30"/>
              <w:jc w:val="left"/>
              <w:rPr/>
            </w:pPr>
            <w:r>
              <w:rPr/>
              <w:t> </w:t>
            </w:r>
            <w:r>
              <w:rPr>
                <w:rFonts w:ascii="inherit" w:hAnsi="inherit"/>
                <w:sz w:val="17"/>
              </w:rPr>
              <w:t>%</w:t>
            </w:r>
          </w:p>
        </w:tc>
      </w:tr>
      <w:tr>
        <w:trPr/>
        <w:tc>
          <w:tcPr>
            <w:tcW w:w="46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Segment Adjusted EBITDA per barrel</w:t>
            </w:r>
          </w:p>
        </w:tc>
        <w:tc>
          <w:tcPr>
            <w:tcW w:w="90" w:type="dxa"/>
            <w:tcBorders/>
            <w:shd w:fill="auto" w:val="clear"/>
            <w:vAlign w:val="center"/>
          </w:tcPr>
          <w:p>
            <w:pPr>
              <w:pStyle w:val="TableContents"/>
              <w:spacing w:before="0" w:after="0"/>
              <w:ind w:left="0" w:right="0" w:firstLine="30"/>
              <w:rPr/>
            </w:pPr>
            <w:r>
              <w:rPr/>
              <w:t> </w:t>
            </w:r>
          </w:p>
        </w:tc>
        <w:tc>
          <w:tcPr>
            <w:tcW w:w="14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43"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0.46</w:t>
            </w:r>
          </w:p>
        </w:tc>
        <w:tc>
          <w:tcPr>
            <w:tcW w:w="128"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4" w:type="dxa"/>
            <w:tcBorders/>
            <w:shd w:fill="auto" w:val="clear"/>
            <w:vAlign w:val="center"/>
          </w:tcPr>
          <w:p>
            <w:pPr>
              <w:pStyle w:val="TableContents"/>
              <w:spacing w:before="0" w:after="0"/>
              <w:ind w:left="0" w:right="0" w:firstLine="30"/>
              <w:rPr/>
            </w:pPr>
            <w:r>
              <w:rPr/>
              <w:t> </w:t>
            </w:r>
          </w:p>
        </w:tc>
        <w:tc>
          <w:tcPr>
            <w:tcW w:w="14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43"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0.46</w:t>
            </w:r>
          </w:p>
        </w:tc>
        <w:tc>
          <w:tcPr>
            <w:tcW w:w="128"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260" w:type="dxa"/>
            <w:tcBorders>
              <w:bottom w:val="double" w:sz="6" w:space="0" w:color="000000"/>
            </w:tcBorders>
            <w:shd w:fill="auto" w:val="clear"/>
            <w:tcMar>
              <w:bottom w:w="30" w:type="dxa"/>
            </w:tcMar>
            <w:vAlign w:val="center"/>
          </w:tcPr>
          <w:p>
            <w:pPr>
              <w:pStyle w:val="TableContents"/>
              <w:spacing w:before="0" w:after="0"/>
              <w:jc w:val="right"/>
              <w:rPr/>
            </w:pPr>
            <w:r>
              <w:rPr/>
              <w:t>—</w:t>
            </w:r>
          </w:p>
        </w:tc>
        <w:tc>
          <w:tcPr>
            <w:tcW w:w="11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90" w:type="dxa"/>
            <w:tcBorders>
              <w:bottom w:val="double" w:sz="6" w:space="0" w:color="000000"/>
            </w:tcBorders>
            <w:shd w:fill="auto" w:val="clear"/>
            <w:tcMar>
              <w:bottom w:w="30" w:type="dxa"/>
            </w:tcMar>
            <w:vAlign w:val="center"/>
          </w:tcPr>
          <w:p>
            <w:pPr>
              <w:pStyle w:val="TableContents"/>
              <w:spacing w:before="0" w:after="0"/>
              <w:jc w:val="right"/>
              <w:rPr/>
            </w:pPr>
            <w:r>
              <w:rPr/>
              <w:t>—</w:t>
            </w:r>
          </w:p>
        </w:tc>
        <w:tc>
          <w:tcPr>
            <w:tcW w:w="260" w:type="dxa"/>
            <w:tcBorders>
              <w:bottom w:val="double" w:sz="6" w:space="0" w:color="000000"/>
            </w:tcBorders>
            <w:shd w:fill="auto" w:val="clear"/>
            <w:tcMar>
              <w:bottom w:w="30" w:type="dxa"/>
            </w:tcMar>
            <w:vAlign w:val="center"/>
          </w:tcPr>
          <w:p>
            <w:pPr>
              <w:pStyle w:val="TableContents"/>
              <w:spacing w:before="0" w:after="0"/>
              <w:ind w:left="0" w:right="0" w:firstLine="30"/>
              <w:jc w:val="left"/>
              <w:rPr/>
            </w:pPr>
            <w:r>
              <w:rPr/>
              <w:t> </w:t>
            </w: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127"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89"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0.48</w:t>
            </w:r>
          </w:p>
        </w:tc>
        <w:tc>
          <w:tcPr>
            <w:tcW w:w="111"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1" w:type="dxa"/>
            <w:tcBorders/>
            <w:shd w:fill="auto" w:val="clear"/>
            <w:vAlign w:val="center"/>
          </w:tcPr>
          <w:p>
            <w:pPr>
              <w:pStyle w:val="TableContents"/>
              <w:spacing w:before="0" w:after="0"/>
              <w:ind w:left="0" w:right="0" w:firstLine="30"/>
              <w:rPr/>
            </w:pPr>
            <w:r>
              <w:rPr/>
              <w:t> </w:t>
            </w:r>
          </w:p>
        </w:tc>
        <w:tc>
          <w:tcPr>
            <w:tcW w:w="127"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89"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0.48</w:t>
            </w:r>
          </w:p>
        </w:tc>
        <w:tc>
          <w:tcPr>
            <w:tcW w:w="111"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260" w:type="dxa"/>
            <w:tcBorders>
              <w:bottom w:val="double" w:sz="6" w:space="0" w:color="000000"/>
            </w:tcBorders>
            <w:shd w:fill="auto" w:val="clear"/>
            <w:tcMar>
              <w:bottom w:w="30" w:type="dxa"/>
            </w:tcMar>
            <w:vAlign w:val="center"/>
          </w:tcPr>
          <w:p>
            <w:pPr>
              <w:pStyle w:val="TableContents"/>
              <w:spacing w:before="0" w:after="0"/>
              <w:jc w:val="right"/>
              <w:rPr/>
            </w:pPr>
            <w:r>
              <w:rPr/>
              <w:t>—</w:t>
            </w:r>
          </w:p>
        </w:tc>
        <w:tc>
          <w:tcPr>
            <w:tcW w:w="11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60" w:type="dxa"/>
            <w:tcBorders>
              <w:bottom w:val="double" w:sz="6" w:space="0" w:color="000000"/>
            </w:tcBorders>
            <w:shd w:fill="auto" w:val="clear"/>
            <w:tcMar>
              <w:bottom w:w="30" w:type="dxa"/>
            </w:tcMar>
            <w:vAlign w:val="center"/>
          </w:tcPr>
          <w:p>
            <w:pPr>
              <w:pStyle w:val="TableContents"/>
              <w:spacing w:before="0" w:after="0"/>
              <w:jc w:val="right"/>
              <w:rPr/>
            </w:pPr>
            <w:r>
              <w:rPr/>
              <w:t>—</w:t>
            </w:r>
          </w:p>
        </w:tc>
        <w:tc>
          <w:tcPr>
            <w:tcW w:w="284" w:type="dxa"/>
            <w:tcBorders>
              <w:bottom w:val="double" w:sz="6" w:space="0" w:color="000000"/>
            </w:tcBorders>
            <w:shd w:fill="auto" w:val="clear"/>
            <w:tcMar>
              <w:bottom w:w="30" w:type="dxa"/>
            </w:tcMar>
            <w:vAlign w:val="center"/>
          </w:tcPr>
          <w:p>
            <w:pPr>
              <w:pStyle w:val="TableContents"/>
              <w:spacing w:before="0" w:after="0"/>
              <w:jc w:val="left"/>
              <w:rPr/>
            </w:pPr>
            <w:r>
              <w:rPr/>
              <w:t> </w:t>
            </w:r>
            <w:r>
              <w:rPr>
                <w:rFonts w:ascii="inherit" w:hAnsi="inherit"/>
                <w:sz w:val="17"/>
              </w:rPr>
              <w:t>%</w:t>
            </w:r>
          </w:p>
        </w:tc>
      </w:tr>
    </w:tbl>
    <w:tbl>
      <w:tblPr>
        <w:tblW w:w="10205" w:type="dxa"/>
        <w:jc w:val="left"/>
        <w:tblInd w:w="0" w:type="dxa"/>
        <w:tblCellMar>
          <w:top w:w="0" w:type="dxa"/>
          <w:left w:w="0" w:type="dxa"/>
          <w:bottom w:w="0" w:type="dxa"/>
          <w:right w:w="0" w:type="dxa"/>
        </w:tblCellMar>
      </w:tblPr>
      <w:tblGrid>
        <w:gridCol w:w="4692"/>
        <w:gridCol w:w="90"/>
        <w:gridCol w:w="531"/>
        <w:gridCol w:w="45"/>
        <w:gridCol w:w="137"/>
        <w:gridCol w:w="531"/>
        <w:gridCol w:w="45"/>
        <w:gridCol w:w="90"/>
        <w:gridCol w:w="477"/>
        <w:gridCol w:w="203"/>
        <w:gridCol w:w="90"/>
        <w:gridCol w:w="260"/>
        <w:gridCol w:w="260"/>
        <w:gridCol w:w="90"/>
        <w:gridCol w:w="90"/>
        <w:gridCol w:w="483"/>
        <w:gridCol w:w="41"/>
        <w:gridCol w:w="124"/>
        <w:gridCol w:w="483"/>
        <w:gridCol w:w="41"/>
        <w:gridCol w:w="90"/>
        <w:gridCol w:w="477"/>
        <w:gridCol w:w="203"/>
        <w:gridCol w:w="90"/>
        <w:gridCol w:w="260"/>
        <w:gridCol w:w="282"/>
      </w:tblGrid>
      <w:tr>
        <w:trPr/>
        <w:tc>
          <w:tcPr>
            <w:tcW w:w="10205" w:type="dxa"/>
            <w:gridSpan w:val="26"/>
            <w:tcBorders/>
            <w:shd w:fill="auto" w:val="clear"/>
            <w:vAlign w:val="center"/>
          </w:tcPr>
          <w:p>
            <w:pPr>
              <w:pStyle w:val="TableContents"/>
              <w:spacing w:before="0" w:after="283"/>
              <w:rPr>
                <w:sz w:val="4"/>
                <w:szCs w:val="4"/>
              </w:rPr>
            </w:pPr>
            <w:r>
              <w:rPr>
                <w:sz w:val="4"/>
                <w:szCs w:val="4"/>
              </w:rPr>
            </w:r>
          </w:p>
        </w:tc>
      </w:tr>
      <w:tr>
        <w:trPr/>
        <w:tc>
          <w:tcPr>
            <w:tcW w:w="469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45"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4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4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4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692"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1289" w:type="dxa"/>
            <w:gridSpan w:val="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w:t>
              <w:br/>
              <w:t>June 30,</w:t>
            </w:r>
          </w:p>
        </w:tc>
        <w:tc>
          <w:tcPr>
            <w:tcW w:w="90" w:type="dxa"/>
            <w:tcBorders/>
            <w:shd w:fill="auto" w:val="clear"/>
            <w:vAlign w:val="center"/>
          </w:tcPr>
          <w:p>
            <w:pPr>
              <w:pStyle w:val="TableContents"/>
              <w:spacing w:before="0" w:after="0"/>
              <w:ind w:left="0" w:right="0" w:firstLine="30"/>
              <w:rPr/>
            </w:pPr>
            <w:r>
              <w:rPr/>
              <w:t> </w:t>
            </w:r>
          </w:p>
        </w:tc>
        <w:tc>
          <w:tcPr>
            <w:tcW w:w="1290" w:type="dxa"/>
            <w:gridSpan w:val="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Variance</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72" w:type="dxa"/>
            <w:gridSpan w:val="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w:t>
              <w:br/>
              <w:t>June 30,</w:t>
            </w:r>
          </w:p>
        </w:tc>
        <w:tc>
          <w:tcPr>
            <w:tcW w:w="90" w:type="dxa"/>
            <w:tcBorders/>
            <w:shd w:fill="auto" w:val="clear"/>
            <w:vAlign w:val="center"/>
          </w:tcPr>
          <w:p>
            <w:pPr>
              <w:pStyle w:val="TableContents"/>
              <w:spacing w:before="0" w:after="0"/>
              <w:ind w:left="0" w:right="0" w:firstLine="30"/>
              <w:rPr/>
            </w:pPr>
            <w:r>
              <w:rPr/>
              <w:t> </w:t>
            </w:r>
          </w:p>
        </w:tc>
        <w:tc>
          <w:tcPr>
            <w:tcW w:w="1312" w:type="dxa"/>
            <w:gridSpan w:val="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Variance</w:t>
            </w:r>
          </w:p>
        </w:tc>
      </w:tr>
      <w:tr>
        <w:trPr/>
        <w:tc>
          <w:tcPr>
            <w:tcW w:w="4692" w:type="dxa"/>
            <w:tcBorders>
              <w:bottom w:val="single" w:sz="2" w:space="0" w:color="000000"/>
            </w:tcBorders>
            <w:shd w:fill="auto" w:val="clear"/>
            <w:tcMar>
              <w:bottom w:w="30" w:type="dxa"/>
            </w:tcMar>
            <w:vAlign w:val="center"/>
          </w:tcPr>
          <w:p>
            <w:pPr>
              <w:pStyle w:val="TableContents"/>
              <w:spacing w:lineRule="auto" w:line="288" w:before="0" w:after="0"/>
              <w:ind w:left="0" w:right="0" w:firstLine="30"/>
              <w:rPr>
                <w:sz w:val="17"/>
              </w:rPr>
            </w:pPr>
            <w:r>
              <w:rPr>
                <w:rFonts w:ascii="inherit" w:hAnsi="inherit"/>
                <w:b/>
                <w:sz w:val="13"/>
              </w:rPr>
              <w:t>Volumes</w:t>
            </w:r>
            <w:r>
              <w:rPr>
                <w:sz w:val="17"/>
              </w:rPr>
              <w:t> </w:t>
            </w:r>
            <w:r>
              <w:rPr>
                <w:rFonts w:ascii="inherit" w:hAnsi="inherit"/>
                <w:b/>
                <w:sz w:val="12"/>
              </w:rPr>
              <w:t>(4)</w:t>
            </w:r>
          </w:p>
        </w:tc>
        <w:tc>
          <w:tcPr>
            <w:tcW w:w="90" w:type="dxa"/>
            <w:tcBorders/>
            <w:shd w:fill="auto" w:val="clear"/>
            <w:vAlign w:val="center"/>
          </w:tcPr>
          <w:p>
            <w:pPr>
              <w:pStyle w:val="TableContents"/>
              <w:spacing w:before="0" w:after="0"/>
              <w:ind w:left="0" w:right="0" w:firstLine="30"/>
              <w:rPr/>
            </w:pPr>
            <w:r>
              <w:rPr/>
              <w:t> </w:t>
            </w:r>
          </w:p>
        </w:tc>
        <w:tc>
          <w:tcPr>
            <w:tcW w:w="576"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137" w:type="dxa"/>
            <w:tcBorders/>
            <w:shd w:fill="auto" w:val="clear"/>
            <w:vAlign w:val="center"/>
          </w:tcPr>
          <w:p>
            <w:pPr>
              <w:pStyle w:val="TableContents"/>
              <w:spacing w:before="0" w:after="0"/>
              <w:ind w:left="0" w:right="0" w:firstLine="30"/>
              <w:rPr/>
            </w:pPr>
            <w:r>
              <w:rPr/>
              <w:t> </w:t>
            </w:r>
          </w:p>
        </w:tc>
        <w:tc>
          <w:tcPr>
            <w:tcW w:w="576"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0" w:type="dxa"/>
            <w:tcBorders/>
            <w:shd w:fill="auto" w:val="clear"/>
            <w:vAlign w:val="center"/>
          </w:tcPr>
          <w:p>
            <w:pPr>
              <w:pStyle w:val="TableContents"/>
              <w:spacing w:before="0" w:after="0"/>
              <w:ind w:left="0" w:right="0" w:firstLine="30"/>
              <w:rPr/>
            </w:pPr>
            <w:r>
              <w:rPr/>
              <w:t> </w:t>
            </w:r>
          </w:p>
        </w:tc>
        <w:tc>
          <w:tcPr>
            <w:tcW w:w="680"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Volumes</w:t>
            </w:r>
          </w:p>
        </w:tc>
        <w:tc>
          <w:tcPr>
            <w:tcW w:w="90" w:type="dxa"/>
            <w:tcBorders/>
            <w:shd w:fill="auto" w:val="clear"/>
            <w:vAlign w:val="center"/>
          </w:tcPr>
          <w:p>
            <w:pPr>
              <w:pStyle w:val="TableContents"/>
              <w:spacing w:before="0" w:after="0"/>
              <w:ind w:left="0" w:right="0" w:firstLine="30"/>
              <w:rPr/>
            </w:pPr>
            <w:r>
              <w:rPr/>
              <w:t> </w:t>
            </w:r>
          </w:p>
        </w:tc>
        <w:tc>
          <w:tcPr>
            <w:tcW w:w="520"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524"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124" w:type="dxa"/>
            <w:tcBorders/>
            <w:shd w:fill="auto" w:val="clear"/>
            <w:vAlign w:val="center"/>
          </w:tcPr>
          <w:p>
            <w:pPr>
              <w:pStyle w:val="TableContents"/>
              <w:spacing w:before="0" w:after="0"/>
              <w:ind w:left="0" w:right="0" w:firstLine="30"/>
              <w:rPr/>
            </w:pPr>
            <w:r>
              <w:rPr/>
              <w:t> </w:t>
            </w:r>
          </w:p>
        </w:tc>
        <w:tc>
          <w:tcPr>
            <w:tcW w:w="524"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0" w:type="dxa"/>
            <w:tcBorders/>
            <w:shd w:fill="auto" w:val="clear"/>
            <w:vAlign w:val="center"/>
          </w:tcPr>
          <w:p>
            <w:pPr>
              <w:pStyle w:val="TableContents"/>
              <w:spacing w:before="0" w:after="0"/>
              <w:ind w:left="0" w:right="0" w:firstLine="30"/>
              <w:rPr/>
            </w:pPr>
            <w:r>
              <w:rPr/>
              <w:t> </w:t>
            </w:r>
          </w:p>
        </w:tc>
        <w:tc>
          <w:tcPr>
            <w:tcW w:w="680"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Volumes</w:t>
            </w:r>
          </w:p>
        </w:tc>
        <w:tc>
          <w:tcPr>
            <w:tcW w:w="90" w:type="dxa"/>
            <w:tcBorders/>
            <w:shd w:fill="auto" w:val="clear"/>
            <w:vAlign w:val="center"/>
          </w:tcPr>
          <w:p>
            <w:pPr>
              <w:pStyle w:val="TableContents"/>
              <w:spacing w:before="0" w:after="0"/>
              <w:ind w:left="0" w:right="0" w:firstLine="30"/>
              <w:rPr/>
            </w:pPr>
            <w:r>
              <w:rPr/>
              <w:t> </w:t>
            </w:r>
          </w:p>
        </w:tc>
        <w:tc>
          <w:tcPr>
            <w:tcW w:w="542"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w:t>
            </w:r>
          </w:p>
        </w:tc>
      </w:tr>
      <w:tr>
        <w:trPr/>
        <w:tc>
          <w:tcPr>
            <w:tcW w:w="46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Liquids storage (average monthly capacity in millions of barrels)</w:t>
            </w:r>
          </w:p>
        </w:tc>
        <w:tc>
          <w:tcPr>
            <w:tcW w:w="90" w:type="dxa"/>
            <w:tcBorders/>
            <w:shd w:fill="CCEEFF" w:val="clear"/>
            <w:vAlign w:val="center"/>
          </w:tcPr>
          <w:p>
            <w:pPr>
              <w:pStyle w:val="TableContents"/>
              <w:spacing w:before="0" w:after="0"/>
              <w:ind w:left="0" w:right="0" w:firstLine="30"/>
              <w:rPr/>
            </w:pPr>
            <w:r>
              <w:rPr/>
              <w:t> </w:t>
            </w:r>
          </w:p>
        </w:tc>
        <w:tc>
          <w:tcPr>
            <w:tcW w:w="53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109</w:t>
            </w:r>
          </w:p>
        </w:tc>
        <w:tc>
          <w:tcPr>
            <w:tcW w:w="45"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53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109</w:t>
            </w:r>
          </w:p>
        </w:tc>
        <w:tc>
          <w:tcPr>
            <w:tcW w:w="45"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477" w:type="dxa"/>
            <w:tcBorders>
              <w:bottom w:val="double" w:sz="6" w:space="0" w:color="000000"/>
            </w:tcBorders>
            <w:shd w:fill="CCEEFF" w:val="clear"/>
            <w:tcMar>
              <w:bottom w:w="30" w:type="dxa"/>
            </w:tcMar>
            <w:vAlign w:val="center"/>
          </w:tcPr>
          <w:p>
            <w:pPr>
              <w:pStyle w:val="TableContents"/>
              <w:spacing w:before="0" w:after="0"/>
              <w:jc w:val="right"/>
              <w:rPr/>
            </w:pPr>
            <w:r>
              <w:rPr/>
              <w:t>—</w:t>
            </w:r>
          </w:p>
        </w:tc>
        <w:tc>
          <w:tcPr>
            <w:tcW w:w="203"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60" w:type="dxa"/>
            <w:tcBorders>
              <w:bottom w:val="double" w:sz="6" w:space="0" w:color="000000"/>
            </w:tcBorders>
            <w:shd w:fill="CCEEFF" w:val="clear"/>
            <w:tcMar>
              <w:bottom w:w="30" w:type="dxa"/>
            </w:tcMar>
            <w:vAlign w:val="center"/>
          </w:tcPr>
          <w:p>
            <w:pPr>
              <w:pStyle w:val="TableContents"/>
              <w:spacing w:before="0" w:after="0"/>
              <w:jc w:val="right"/>
              <w:rPr/>
            </w:pPr>
            <w:r>
              <w:rPr/>
              <w:t>—</w:t>
            </w:r>
          </w:p>
        </w:tc>
        <w:tc>
          <w:tcPr>
            <w:tcW w:w="260" w:type="dxa"/>
            <w:tcBorders>
              <w:bottom w:val="double" w:sz="6" w:space="0" w:color="000000"/>
            </w:tcBorders>
            <w:shd w:fill="CCEEFF" w:val="clear"/>
            <w:tcMar>
              <w:bottom w:w="30" w:type="dxa"/>
            </w:tcMar>
            <w:vAlign w:val="center"/>
          </w:tcPr>
          <w:p>
            <w:pPr>
              <w:pStyle w:val="TableContents"/>
              <w:spacing w:before="0" w:after="0"/>
              <w:ind w:left="0" w:right="0" w:firstLine="30"/>
              <w:jc w:val="left"/>
              <w:rPr/>
            </w:pPr>
            <w:r>
              <w:rPr/>
              <w:t> </w:t>
            </w: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48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109</w:t>
            </w:r>
          </w:p>
        </w:tc>
        <w:tc>
          <w:tcPr>
            <w:tcW w:w="41"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48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109</w:t>
            </w:r>
          </w:p>
        </w:tc>
        <w:tc>
          <w:tcPr>
            <w:tcW w:w="41"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477" w:type="dxa"/>
            <w:tcBorders>
              <w:bottom w:val="double" w:sz="6" w:space="0" w:color="000000"/>
            </w:tcBorders>
            <w:shd w:fill="CCEEFF" w:val="clear"/>
            <w:tcMar>
              <w:bottom w:w="30" w:type="dxa"/>
            </w:tcMar>
            <w:vAlign w:val="center"/>
          </w:tcPr>
          <w:p>
            <w:pPr>
              <w:pStyle w:val="TableContents"/>
              <w:spacing w:before="0" w:after="0"/>
              <w:jc w:val="right"/>
              <w:rPr/>
            </w:pPr>
            <w:r>
              <w:rPr/>
              <w:t>—</w:t>
            </w:r>
          </w:p>
        </w:tc>
        <w:tc>
          <w:tcPr>
            <w:tcW w:w="203"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60" w:type="dxa"/>
            <w:tcBorders>
              <w:bottom w:val="double" w:sz="6" w:space="0" w:color="000000"/>
            </w:tcBorders>
            <w:shd w:fill="CCEEFF" w:val="clear"/>
            <w:tcMar>
              <w:bottom w:w="30" w:type="dxa"/>
            </w:tcMar>
            <w:vAlign w:val="center"/>
          </w:tcPr>
          <w:p>
            <w:pPr>
              <w:pStyle w:val="TableContents"/>
              <w:spacing w:before="0" w:after="0"/>
              <w:jc w:val="right"/>
              <w:rPr/>
            </w:pPr>
            <w:r>
              <w:rPr/>
              <w:t>—</w:t>
            </w:r>
          </w:p>
        </w:tc>
        <w:tc>
          <w:tcPr>
            <w:tcW w:w="282" w:type="dxa"/>
            <w:tcBorders>
              <w:bottom w:val="double" w:sz="6" w:space="0" w:color="000000"/>
            </w:tcBorders>
            <w:shd w:fill="CCEEFF" w:val="clear"/>
            <w:tcMar>
              <w:bottom w:w="30" w:type="dxa"/>
            </w:tcMar>
            <w:vAlign w:val="center"/>
          </w:tcPr>
          <w:p>
            <w:pPr>
              <w:pStyle w:val="TableContents"/>
              <w:spacing w:before="0" w:after="0"/>
              <w:ind w:left="0" w:right="0" w:firstLine="30"/>
              <w:jc w:val="left"/>
              <w:rPr/>
            </w:pPr>
            <w:r>
              <w:rPr/>
              <w:t> </w:t>
            </w:r>
            <w:r>
              <w:rPr>
                <w:rFonts w:ascii="inherit" w:hAnsi="inherit"/>
                <w:sz w:val="17"/>
              </w:rPr>
              <w:t>%</w:t>
            </w:r>
          </w:p>
        </w:tc>
      </w:tr>
      <w:tr>
        <w:trPr/>
        <w:tc>
          <w:tcPr>
            <w:tcW w:w="4692" w:type="dxa"/>
            <w:tcBorders/>
            <w:shd w:fill="auto" w:val="clear"/>
            <w:vAlign w:val="center"/>
          </w:tcPr>
          <w:p>
            <w:pPr>
              <w:pStyle w:val="TableContents"/>
              <w:spacing w:lineRule="auto" w:line="288" w:before="0" w:after="0"/>
              <w:ind w:left="0" w:right="0" w:firstLine="30"/>
              <w:rPr>
                <w:sz w:val="17"/>
              </w:rPr>
            </w:pPr>
            <w:r>
              <w:rPr>
                <w:rFonts w:ascii="inherit" w:hAnsi="inherit"/>
                <w:sz w:val="17"/>
              </w:rPr>
              <w:t xml:space="preserve">Natural gas storage (average monthly working capacity in billions of cubic feet) </w:t>
            </w:r>
            <w:r>
              <w:rPr>
                <w:rFonts w:ascii="inherit" w:hAnsi="inherit"/>
                <w:sz w:val="12"/>
              </w:rPr>
              <w:t>(5)</w:t>
            </w:r>
          </w:p>
        </w:tc>
        <w:tc>
          <w:tcPr>
            <w:tcW w:w="90" w:type="dxa"/>
            <w:tcBorders/>
            <w:shd w:fill="auto" w:val="clear"/>
            <w:vAlign w:val="center"/>
          </w:tcPr>
          <w:p>
            <w:pPr>
              <w:pStyle w:val="TableContents"/>
              <w:spacing w:before="0" w:after="0"/>
              <w:ind w:left="0" w:right="0" w:firstLine="30"/>
              <w:rPr/>
            </w:pPr>
            <w:r>
              <w:rPr/>
              <w:t> </w:t>
            </w:r>
          </w:p>
        </w:tc>
        <w:tc>
          <w:tcPr>
            <w:tcW w:w="53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63</w:t>
            </w:r>
          </w:p>
        </w:tc>
        <w:tc>
          <w:tcPr>
            <w:tcW w:w="4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53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65</w:t>
            </w:r>
          </w:p>
        </w:tc>
        <w:tc>
          <w:tcPr>
            <w:tcW w:w="4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77"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w:t>
            </w:r>
          </w:p>
        </w:tc>
        <w:tc>
          <w:tcPr>
            <w:tcW w:w="203"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26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w:t>
            </w:r>
          </w:p>
        </w:tc>
        <w:tc>
          <w:tcPr>
            <w:tcW w:w="260"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483"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63</w:t>
            </w:r>
          </w:p>
        </w:tc>
        <w:tc>
          <w:tcPr>
            <w:tcW w:w="41"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483"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66</w:t>
            </w:r>
          </w:p>
        </w:tc>
        <w:tc>
          <w:tcPr>
            <w:tcW w:w="41"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77"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w:t>
            </w:r>
          </w:p>
        </w:tc>
        <w:tc>
          <w:tcPr>
            <w:tcW w:w="203"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26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w:t>
            </w:r>
          </w:p>
        </w:tc>
        <w:tc>
          <w:tcPr>
            <w:tcW w:w="282"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6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NGL fractionation (average volumes in thousands of barrels per day)</w:t>
            </w:r>
          </w:p>
        </w:tc>
        <w:tc>
          <w:tcPr>
            <w:tcW w:w="90" w:type="dxa"/>
            <w:tcBorders/>
            <w:shd w:fill="CCEEFF" w:val="clear"/>
            <w:vAlign w:val="center"/>
          </w:tcPr>
          <w:p>
            <w:pPr>
              <w:pStyle w:val="TableContents"/>
              <w:spacing w:before="0" w:after="0"/>
              <w:ind w:left="0" w:right="0" w:firstLine="30"/>
              <w:rPr/>
            </w:pPr>
            <w:r>
              <w:rPr/>
              <w:t> </w:t>
            </w:r>
          </w:p>
        </w:tc>
        <w:tc>
          <w:tcPr>
            <w:tcW w:w="53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137</w:t>
            </w:r>
          </w:p>
        </w:tc>
        <w:tc>
          <w:tcPr>
            <w:tcW w:w="45"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53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132</w:t>
            </w:r>
          </w:p>
        </w:tc>
        <w:tc>
          <w:tcPr>
            <w:tcW w:w="45"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47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w:t>
            </w:r>
          </w:p>
        </w:tc>
        <w:tc>
          <w:tcPr>
            <w:tcW w:w="203"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6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w:t>
            </w:r>
          </w:p>
        </w:tc>
        <w:tc>
          <w:tcPr>
            <w:tcW w:w="260" w:type="dxa"/>
            <w:tcBorders>
              <w:bottom w:val="double" w:sz="6" w:space="0" w:color="000000"/>
            </w:tcBorders>
            <w:shd w:fill="CCEEFF" w:val="clear"/>
            <w:tcMar>
              <w:bottom w:w="30" w:type="dxa"/>
            </w:tcMar>
            <w:vAlign w:val="center"/>
          </w:tcPr>
          <w:p>
            <w:pPr>
              <w:pStyle w:val="TableContents"/>
              <w:spacing w:before="0" w:after="0"/>
              <w:ind w:left="0" w:right="0" w:firstLine="30"/>
              <w:jc w:val="left"/>
              <w:rPr/>
            </w:pPr>
            <w:r>
              <w:rPr/>
              <w:t> </w:t>
            </w: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48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147</w:t>
            </w:r>
          </w:p>
        </w:tc>
        <w:tc>
          <w:tcPr>
            <w:tcW w:w="41"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48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135</w:t>
            </w:r>
          </w:p>
        </w:tc>
        <w:tc>
          <w:tcPr>
            <w:tcW w:w="41"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47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w:t>
            </w:r>
          </w:p>
        </w:tc>
        <w:tc>
          <w:tcPr>
            <w:tcW w:w="203"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6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w:t>
            </w:r>
          </w:p>
        </w:tc>
        <w:tc>
          <w:tcPr>
            <w:tcW w:w="282" w:type="dxa"/>
            <w:tcBorders>
              <w:bottom w:val="double" w:sz="6" w:space="0" w:color="000000"/>
            </w:tcBorders>
            <w:shd w:fill="CCEEFF" w:val="clear"/>
            <w:tcMar>
              <w:bottom w:w="30" w:type="dxa"/>
            </w:tcMar>
            <w:vAlign w:val="center"/>
          </w:tcPr>
          <w:p>
            <w:pPr>
              <w:pStyle w:val="TableContents"/>
              <w:spacing w:before="0" w:after="0"/>
              <w:ind w:left="0" w:right="0" w:firstLine="30"/>
              <w:jc w:val="left"/>
              <w:rPr/>
            </w:pPr>
            <w:r>
              <w:rPr/>
              <w:t> </w:t>
            </w:r>
            <w:r>
              <w:rPr>
                <w:rFonts w:ascii="inherit" w:hAnsi="inherit"/>
                <w:sz w:val="17"/>
              </w:rPr>
              <w:t>%</w:t>
            </w:r>
          </w:p>
        </w:tc>
      </w:tr>
      <w:tr>
        <w:trPr/>
        <w:tc>
          <w:tcPr>
            <w:tcW w:w="4692" w:type="dxa"/>
            <w:tcBorders/>
            <w:shd w:fill="auto" w:val="clear"/>
            <w:vAlign w:val="center"/>
          </w:tcPr>
          <w:p>
            <w:pPr>
              <w:pStyle w:val="TableContents"/>
              <w:spacing w:lineRule="auto" w:line="288" w:before="0" w:after="0"/>
              <w:ind w:left="0" w:right="0" w:firstLine="30"/>
              <w:rPr>
                <w:sz w:val="17"/>
              </w:rPr>
            </w:pPr>
            <w:r>
              <w:rPr>
                <w:rFonts w:ascii="inherit" w:hAnsi="inherit"/>
                <w:sz w:val="17"/>
              </w:rPr>
              <w:t xml:space="preserve">Facilities segment total volumes (average monthly volumes in millions of barrels) </w:t>
            </w:r>
            <w:r>
              <w:rPr>
                <w:rFonts w:ascii="inherit" w:hAnsi="inherit"/>
                <w:sz w:val="12"/>
              </w:rPr>
              <w:t>(6)</w:t>
            </w:r>
          </w:p>
        </w:tc>
        <w:tc>
          <w:tcPr>
            <w:tcW w:w="90" w:type="dxa"/>
            <w:tcBorders/>
            <w:shd w:fill="auto" w:val="clear"/>
            <w:vAlign w:val="center"/>
          </w:tcPr>
          <w:p>
            <w:pPr>
              <w:pStyle w:val="TableContents"/>
              <w:spacing w:before="0" w:after="0"/>
              <w:ind w:left="0" w:right="0" w:firstLine="30"/>
              <w:rPr/>
            </w:pPr>
            <w:r>
              <w:rPr/>
              <w:t> </w:t>
            </w:r>
          </w:p>
        </w:tc>
        <w:tc>
          <w:tcPr>
            <w:tcW w:w="53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124</w:t>
            </w:r>
          </w:p>
        </w:tc>
        <w:tc>
          <w:tcPr>
            <w:tcW w:w="4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53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124</w:t>
            </w:r>
          </w:p>
        </w:tc>
        <w:tc>
          <w:tcPr>
            <w:tcW w:w="4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77" w:type="dxa"/>
            <w:tcBorders>
              <w:bottom w:val="double" w:sz="6" w:space="0" w:color="000000"/>
            </w:tcBorders>
            <w:shd w:fill="auto" w:val="clear"/>
            <w:tcMar>
              <w:bottom w:w="30" w:type="dxa"/>
            </w:tcMar>
            <w:vAlign w:val="center"/>
          </w:tcPr>
          <w:p>
            <w:pPr>
              <w:pStyle w:val="TableContents"/>
              <w:spacing w:before="0" w:after="0"/>
              <w:jc w:val="right"/>
              <w:rPr/>
            </w:pPr>
            <w:r>
              <w:rPr/>
              <w:t>—</w:t>
            </w:r>
          </w:p>
        </w:tc>
        <w:tc>
          <w:tcPr>
            <w:tcW w:w="203"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60" w:type="dxa"/>
            <w:tcBorders>
              <w:bottom w:val="double" w:sz="6" w:space="0" w:color="000000"/>
            </w:tcBorders>
            <w:shd w:fill="auto" w:val="clear"/>
            <w:tcMar>
              <w:bottom w:w="30" w:type="dxa"/>
            </w:tcMar>
            <w:vAlign w:val="center"/>
          </w:tcPr>
          <w:p>
            <w:pPr>
              <w:pStyle w:val="TableContents"/>
              <w:spacing w:before="0" w:after="0"/>
              <w:jc w:val="right"/>
              <w:rPr/>
            </w:pPr>
            <w:r>
              <w:rPr/>
              <w:t>—</w:t>
            </w:r>
          </w:p>
        </w:tc>
        <w:tc>
          <w:tcPr>
            <w:tcW w:w="260" w:type="dxa"/>
            <w:tcBorders>
              <w:bottom w:val="double" w:sz="6" w:space="0" w:color="000000"/>
            </w:tcBorders>
            <w:shd w:fill="auto" w:val="clear"/>
            <w:tcMar>
              <w:bottom w:w="30" w:type="dxa"/>
            </w:tcMar>
            <w:vAlign w:val="center"/>
          </w:tcPr>
          <w:p>
            <w:pPr>
              <w:pStyle w:val="TableContents"/>
              <w:spacing w:before="0" w:after="0"/>
              <w:ind w:left="0" w:right="0" w:firstLine="30"/>
              <w:jc w:val="left"/>
              <w:rPr/>
            </w:pPr>
            <w:r>
              <w:rPr/>
              <w:t> </w:t>
            </w: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483"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124</w:t>
            </w:r>
          </w:p>
        </w:tc>
        <w:tc>
          <w:tcPr>
            <w:tcW w:w="41"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483"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124</w:t>
            </w:r>
          </w:p>
        </w:tc>
        <w:tc>
          <w:tcPr>
            <w:tcW w:w="41"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77" w:type="dxa"/>
            <w:tcBorders>
              <w:bottom w:val="double" w:sz="6" w:space="0" w:color="000000"/>
            </w:tcBorders>
            <w:shd w:fill="auto" w:val="clear"/>
            <w:tcMar>
              <w:bottom w:w="30" w:type="dxa"/>
            </w:tcMar>
            <w:vAlign w:val="center"/>
          </w:tcPr>
          <w:p>
            <w:pPr>
              <w:pStyle w:val="TableContents"/>
              <w:spacing w:before="0" w:after="0"/>
              <w:jc w:val="right"/>
              <w:rPr/>
            </w:pPr>
            <w:r>
              <w:rPr/>
              <w:t>—</w:t>
            </w:r>
          </w:p>
        </w:tc>
        <w:tc>
          <w:tcPr>
            <w:tcW w:w="203"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60" w:type="dxa"/>
            <w:tcBorders>
              <w:bottom w:val="double" w:sz="6" w:space="0" w:color="000000"/>
            </w:tcBorders>
            <w:shd w:fill="auto" w:val="clear"/>
            <w:tcMar>
              <w:bottom w:w="30" w:type="dxa"/>
            </w:tcMar>
            <w:vAlign w:val="center"/>
          </w:tcPr>
          <w:p>
            <w:pPr>
              <w:pStyle w:val="TableContents"/>
              <w:spacing w:before="0" w:after="0"/>
              <w:jc w:val="right"/>
              <w:rPr/>
            </w:pPr>
            <w:r>
              <w:rPr/>
              <w:t>—</w:t>
            </w:r>
          </w:p>
        </w:tc>
        <w:tc>
          <w:tcPr>
            <w:tcW w:w="282" w:type="dxa"/>
            <w:tcBorders>
              <w:bottom w:val="double" w:sz="6" w:space="0" w:color="000000"/>
            </w:tcBorders>
            <w:shd w:fill="auto" w:val="clear"/>
            <w:tcMar>
              <w:bottom w:w="30" w:type="dxa"/>
            </w:tcMar>
            <w:vAlign w:val="center"/>
          </w:tcPr>
          <w:p>
            <w:pPr>
              <w:pStyle w:val="TableContents"/>
              <w:spacing w:before="0" w:after="0"/>
              <w:jc w:val="left"/>
              <w:rPr/>
            </w:pPr>
            <w:r>
              <w:rPr/>
              <w:t> </w:t>
            </w:r>
            <w:r>
              <w:rPr>
                <w:rFonts w:ascii="inherit" w:hAnsi="inherit"/>
                <w:sz w:val="17"/>
              </w:rPr>
              <w:t>%</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55</w:t>
      </w:r>
      <w:r>
        <w:br w:type="page"/>
      </w:r>
    </w:p>
    <w:p>
      <w:pPr>
        <w:pStyle w:val="TextBody"/>
        <w:spacing w:lineRule="auto" w:line="288" w:before="0" w:after="0"/>
        <w:rPr/>
      </w:pPr>
      <w:hyperlink w:anchor="s3336AD8A685850CC9B7F2572CB2C0BC3">
        <w:r>
          <w:rPr>
            <w:rStyle w:val="InternetLink"/>
            <w:rFonts w:ascii="inherit" w:hAnsi="inherit"/>
            <w:sz w:val="17"/>
          </w:rPr>
          <w:t>Table of Contents</w:t>
        </w:r>
      </w:hyperlink>
      <w:r>
        <w:rPr>
          <w:sz w:val="17"/>
        </w:rPr>
        <w:t xml:space="preserve"> </w:t>
      </w:r>
    </w:p>
    <w:p>
      <w:pPr>
        <w:pStyle w:val="TextBody"/>
        <w:spacing w:before="0" w:after="0"/>
        <w:rPr/>
      </w:pPr>
      <w:r>
        <w:rPr/>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sz w:val="4"/>
                <w:szCs w:val="4"/>
              </w:rPr>
            </w:pPr>
            <w:r>
              <w:rPr>
                <w:sz w:val="4"/>
                <w:szCs w:val="4"/>
              </w:rPr>
            </w:r>
          </w:p>
        </w:tc>
      </w:tr>
      <w:tr>
        <w:trPr/>
        <w:tc>
          <w:tcPr>
            <w:tcW w:w="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 w:type="dxa"/>
            <w:tcBorders>
              <w:bottom w:val="single" w:sz="2" w:space="0" w:color="000000"/>
            </w:tcBorders>
            <w:shd w:fill="auto" w:val="clear"/>
            <w:tcMar>
              <w:bottom w:w="30" w:type="dxa"/>
            </w:tcMar>
            <w:vAlign w:val="center"/>
          </w:tcPr>
          <w:p>
            <w:pPr>
              <w:pStyle w:val="TableContents"/>
              <w:spacing w:before="0" w:after="0"/>
              <w:rPr/>
            </w:pPr>
            <w:r>
              <w:rPr/>
              <w:t> </w:t>
            </w:r>
          </w:p>
        </w:tc>
      </w:tr>
    </w:tbl>
    <w:tbl>
      <w:tblPr>
        <w:tblW w:w="5065" w:type="dxa"/>
        <w:jc w:val="left"/>
        <w:tblInd w:w="0" w:type="dxa"/>
        <w:tblCellMar>
          <w:top w:w="0" w:type="dxa"/>
          <w:left w:w="0" w:type="dxa"/>
          <w:bottom w:w="0" w:type="dxa"/>
          <w:right w:w="0" w:type="dxa"/>
        </w:tblCellMar>
      </w:tblPr>
      <w:tblGrid>
        <w:gridCol w:w="200"/>
        <w:gridCol w:w="4865"/>
      </w:tblGrid>
      <w:tr>
        <w:trPr/>
        <w:tc>
          <w:tcPr>
            <w:tcW w:w="200" w:type="dxa"/>
            <w:tcBorders/>
            <w:shd w:fill="auto" w:val="clear"/>
            <w:vAlign w:val="center"/>
          </w:tcPr>
          <w:p>
            <w:pPr>
              <w:pStyle w:val="TableContents"/>
              <w:spacing w:before="0" w:after="283"/>
              <w:rPr>
                <w:sz w:val="4"/>
                <w:szCs w:val="4"/>
              </w:rPr>
            </w:pPr>
            <w:r>
              <w:rPr>
                <w:sz w:val="4"/>
                <w:szCs w:val="4"/>
              </w:rPr>
            </w:r>
          </w:p>
        </w:tc>
        <w:tc>
          <w:tcPr>
            <w:tcW w:w="4865" w:type="dxa"/>
            <w:tcBorders/>
            <w:shd w:fill="auto" w:val="clear"/>
            <w:vAlign w:val="center"/>
          </w:tcPr>
          <w:p>
            <w:pPr>
              <w:pStyle w:val="TableContents"/>
              <w:spacing w:before="0" w:after="283"/>
              <w:rPr>
                <w:sz w:val="4"/>
                <w:szCs w:val="4"/>
              </w:rPr>
            </w:pPr>
            <w:r>
              <w:rPr>
                <w:sz w:val="4"/>
                <w:szCs w:val="4"/>
              </w:rPr>
            </w:r>
          </w:p>
        </w:tc>
      </w:tr>
      <w:tr>
        <w:trPr/>
        <w:tc>
          <w:tcPr>
            <w:tcW w:w="200"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w:t>
            </w:r>
            <w:r>
              <w:rPr>
                <w:rFonts w:ascii="inherit" w:hAnsi="inherit"/>
                <w:sz w:val="17"/>
              </w:rPr>
              <w:t> </w:t>
            </w:r>
          </w:p>
        </w:tc>
        <w:tc>
          <w:tcPr>
            <w:tcW w:w="4865" w:type="dxa"/>
            <w:tcBorders/>
            <w:shd w:fill="auto" w:val="clear"/>
            <w:vAlign w:val="center"/>
          </w:tcPr>
          <w:p>
            <w:pPr>
              <w:pStyle w:val="TableContents"/>
              <w:spacing w:lineRule="auto" w:line="288" w:before="0" w:after="0"/>
              <w:rPr>
                <w:rFonts w:ascii="inherit" w:hAnsi="inherit"/>
                <w:sz w:val="17"/>
              </w:rPr>
            </w:pPr>
            <w:r>
              <w:rPr>
                <w:rFonts w:ascii="inherit" w:hAnsi="inherit"/>
                <w:sz w:val="17"/>
              </w:rPr>
              <w:t>Indicates that variance as a percentage is not meaningful.</w:t>
            </w:r>
          </w:p>
        </w:tc>
      </w:tr>
    </w:tbl>
    <w:tbl>
      <w:tblPr>
        <w:tblW w:w="5860" w:type="dxa"/>
        <w:jc w:val="left"/>
        <w:tblInd w:w="0" w:type="dxa"/>
        <w:tblCellMar>
          <w:top w:w="0" w:type="dxa"/>
          <w:left w:w="0" w:type="dxa"/>
          <w:bottom w:w="0" w:type="dxa"/>
          <w:right w:w="0" w:type="dxa"/>
        </w:tblCellMar>
      </w:tblPr>
      <w:tblGrid>
        <w:gridCol w:w="245"/>
        <w:gridCol w:w="5615"/>
      </w:tblGrid>
      <w:tr>
        <w:trPr/>
        <w:tc>
          <w:tcPr>
            <w:tcW w:w="245" w:type="dxa"/>
            <w:tcBorders/>
            <w:shd w:fill="auto" w:val="clear"/>
            <w:vAlign w:val="center"/>
          </w:tcPr>
          <w:p>
            <w:pPr>
              <w:pStyle w:val="TableContents"/>
              <w:spacing w:before="0" w:after="283"/>
              <w:rPr>
                <w:sz w:val="4"/>
                <w:szCs w:val="4"/>
              </w:rPr>
            </w:pPr>
            <w:r>
              <w:rPr>
                <w:sz w:val="4"/>
                <w:szCs w:val="4"/>
              </w:rPr>
            </w:r>
          </w:p>
        </w:tc>
        <w:tc>
          <w:tcPr>
            <w:tcW w:w="5615"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(1)</w:t>
            </w:r>
            <w:r>
              <w:rPr>
                <w:rFonts w:ascii="inherit" w:hAnsi="inherit"/>
                <w:sz w:val="17"/>
              </w:rPr>
              <w:t> </w:t>
            </w:r>
          </w:p>
        </w:tc>
        <w:tc>
          <w:tcPr>
            <w:tcW w:w="5615" w:type="dxa"/>
            <w:tcBorders/>
            <w:shd w:fill="auto" w:val="clear"/>
            <w:vAlign w:val="center"/>
          </w:tcPr>
          <w:p>
            <w:pPr>
              <w:pStyle w:val="TableContents"/>
              <w:spacing w:lineRule="auto" w:line="288" w:before="0" w:after="0"/>
              <w:rPr>
                <w:rFonts w:ascii="inherit" w:hAnsi="inherit"/>
                <w:sz w:val="17"/>
              </w:rPr>
            </w:pPr>
            <w:r>
              <w:rPr>
                <w:rFonts w:ascii="inherit" w:hAnsi="inherit"/>
                <w:sz w:val="17"/>
              </w:rPr>
              <w:t>Revenues and costs and expenses include intersegment amounts. </w:t>
            </w:r>
          </w:p>
        </w:tc>
      </w:tr>
    </w:tbl>
    <w:tbl>
      <w:tblPr>
        <w:tblW w:w="10205" w:type="dxa"/>
        <w:jc w:val="left"/>
        <w:tblInd w:w="0" w:type="dxa"/>
        <w:tblCellMar>
          <w:top w:w="0" w:type="dxa"/>
          <w:left w:w="0" w:type="dxa"/>
          <w:bottom w:w="0" w:type="dxa"/>
          <w:right w:w="0" w:type="dxa"/>
        </w:tblCellMar>
      </w:tblPr>
      <w:tblGrid>
        <w:gridCol w:w="188"/>
        <w:gridCol w:w="10017"/>
      </w:tblGrid>
      <w:tr>
        <w:trPr/>
        <w:tc>
          <w:tcPr>
            <w:tcW w:w="188" w:type="dxa"/>
            <w:tcBorders/>
            <w:shd w:fill="auto" w:val="clear"/>
            <w:vAlign w:val="center"/>
          </w:tcPr>
          <w:p>
            <w:pPr>
              <w:pStyle w:val="TableContents"/>
              <w:spacing w:before="0" w:after="283"/>
              <w:rPr>
                <w:sz w:val="4"/>
                <w:szCs w:val="4"/>
              </w:rPr>
            </w:pPr>
            <w:r>
              <w:rPr>
                <w:sz w:val="4"/>
                <w:szCs w:val="4"/>
              </w:rPr>
            </w:r>
          </w:p>
        </w:tc>
        <w:tc>
          <w:tcPr>
            <w:tcW w:w="10017" w:type="dxa"/>
            <w:tcBorders/>
            <w:shd w:fill="auto" w:val="clear"/>
            <w:vAlign w:val="center"/>
          </w:tcPr>
          <w:p>
            <w:pPr>
              <w:pStyle w:val="TableContents"/>
              <w:spacing w:before="0" w:after="283"/>
              <w:rPr>
                <w:sz w:val="4"/>
                <w:szCs w:val="4"/>
              </w:rPr>
            </w:pPr>
            <w:r>
              <w:rPr>
                <w:sz w:val="4"/>
                <w:szCs w:val="4"/>
              </w:rPr>
            </w:r>
          </w:p>
        </w:tc>
      </w:tr>
      <w:tr>
        <w:trPr/>
        <w:tc>
          <w:tcPr>
            <w:tcW w:w="188"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(2)</w:t>
            </w:r>
            <w:r>
              <w:rPr>
                <w:rFonts w:ascii="inherit" w:hAnsi="inherit"/>
                <w:sz w:val="17"/>
              </w:rPr>
              <w:t> </w:t>
            </w:r>
          </w:p>
        </w:tc>
        <w:tc>
          <w:tcPr>
            <w:tcW w:w="10017" w:type="dxa"/>
            <w:tcBorders/>
            <w:shd w:fill="auto" w:val="clear"/>
            <w:vAlign w:val="center"/>
          </w:tcPr>
          <w:p>
            <w:pPr>
              <w:pStyle w:val="TableContents"/>
              <w:spacing w:lineRule="auto" w:line="288" w:before="0" w:after="0"/>
              <w:rPr>
                <w:rFonts w:ascii="inherit" w:hAnsi="inherit"/>
                <w:sz w:val="17"/>
              </w:rPr>
            </w:pPr>
            <w:r>
              <w:rPr>
                <w:rFonts w:ascii="inherit" w:hAnsi="inherit"/>
                <w:sz w:val="17"/>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 </w:t>
            </w:r>
          </w:p>
        </w:tc>
      </w:tr>
    </w:tbl>
    <w:tbl>
      <w:tblPr>
        <w:tblW w:w="10205" w:type="dxa"/>
        <w:jc w:val="left"/>
        <w:tblInd w:w="0" w:type="dxa"/>
        <w:tblCellMar>
          <w:top w:w="0" w:type="dxa"/>
          <w:left w:w="0" w:type="dxa"/>
          <w:bottom w:w="0" w:type="dxa"/>
          <w:right w:w="0" w:type="dxa"/>
        </w:tblCellMar>
      </w:tblPr>
      <w:tblGrid>
        <w:gridCol w:w="198"/>
        <w:gridCol w:w="10007"/>
      </w:tblGrid>
      <w:tr>
        <w:trPr/>
        <w:tc>
          <w:tcPr>
            <w:tcW w:w="198" w:type="dxa"/>
            <w:tcBorders/>
            <w:shd w:fill="auto" w:val="clear"/>
            <w:vAlign w:val="center"/>
          </w:tcPr>
          <w:p>
            <w:pPr>
              <w:pStyle w:val="TableContents"/>
              <w:spacing w:before="0" w:after="283"/>
              <w:rPr>
                <w:sz w:val="4"/>
                <w:szCs w:val="4"/>
              </w:rPr>
            </w:pPr>
            <w:r>
              <w:rPr>
                <w:sz w:val="4"/>
                <w:szCs w:val="4"/>
              </w:rPr>
            </w:r>
          </w:p>
        </w:tc>
        <w:tc>
          <w:tcPr>
            <w:tcW w:w="10007" w:type="dxa"/>
            <w:tcBorders/>
            <w:shd w:fill="auto" w:val="clear"/>
            <w:vAlign w:val="center"/>
          </w:tcPr>
          <w:p>
            <w:pPr>
              <w:pStyle w:val="TableContents"/>
              <w:spacing w:before="0" w:after="283"/>
              <w:rPr>
                <w:sz w:val="4"/>
                <w:szCs w:val="4"/>
              </w:rPr>
            </w:pPr>
            <w:r>
              <w:rPr>
                <w:sz w:val="4"/>
                <w:szCs w:val="4"/>
              </w:rPr>
            </w:r>
          </w:p>
        </w:tc>
      </w:tr>
      <w:tr>
        <w:trPr/>
        <w:tc>
          <w:tcPr>
            <w:tcW w:w="198"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(3)</w:t>
            </w:r>
            <w:r>
              <w:rPr>
                <w:rFonts w:ascii="inherit" w:hAnsi="inherit"/>
                <w:sz w:val="17"/>
              </w:rPr>
              <w:t> </w:t>
            </w:r>
          </w:p>
        </w:tc>
        <w:tc>
          <w:tcPr>
            <w:tcW w:w="10007" w:type="dxa"/>
            <w:tcBorders/>
            <w:shd w:fill="auto" w:val="clear"/>
            <w:vAlign w:val="center"/>
          </w:tcPr>
          <w:p>
            <w:pPr>
              <w:pStyle w:val="TableContents"/>
              <w:spacing w:lineRule="auto" w:line="288" w:before="0" w:after="0"/>
              <w:rPr>
                <w:sz w:val="17"/>
              </w:rPr>
            </w:pPr>
            <w:r>
              <w:rPr>
                <w:rFonts w:ascii="inherit" w:hAnsi="inherit"/>
                <w:sz w:val="17"/>
              </w:rPr>
              <w:t xml:space="preserve">Represents adjustments included in the performance measure utilized by our CODM in the evaluation of segment results. See </w:t>
            </w:r>
            <w:r>
              <w:rPr>
                <w:b w:val="false"/>
                <w:sz w:val="17"/>
              </w:rPr>
              <w:t>Note 14</w:t>
            </w:r>
            <w:r>
              <w:rPr>
                <w:sz w:val="17"/>
              </w:rPr>
              <w:t xml:space="preserve"> </w:t>
            </w:r>
            <w:r>
              <w:rPr>
                <w:rFonts w:ascii="inherit" w:hAnsi="inherit"/>
                <w:sz w:val="17"/>
              </w:rPr>
              <w:t>to our Condensed Consolidated Financial Statements for additional discussion of such adjustments.</w:t>
            </w:r>
          </w:p>
        </w:tc>
      </w:tr>
    </w:tbl>
    <w:tbl>
      <w:tblPr>
        <w:tblW w:w="10205" w:type="dxa"/>
        <w:jc w:val="left"/>
        <w:tblInd w:w="0" w:type="dxa"/>
        <w:tblCellMar>
          <w:top w:w="0" w:type="dxa"/>
          <w:left w:w="0" w:type="dxa"/>
          <w:bottom w:w="0" w:type="dxa"/>
          <w:right w:w="0" w:type="dxa"/>
        </w:tblCellMar>
      </w:tblPr>
      <w:tblGrid>
        <w:gridCol w:w="243"/>
        <w:gridCol w:w="9962"/>
      </w:tblGrid>
      <w:tr>
        <w:trPr/>
        <w:tc>
          <w:tcPr>
            <w:tcW w:w="243" w:type="dxa"/>
            <w:tcBorders/>
            <w:shd w:fill="auto" w:val="clear"/>
            <w:vAlign w:val="center"/>
          </w:tcPr>
          <w:p>
            <w:pPr>
              <w:pStyle w:val="TableContents"/>
              <w:spacing w:before="0" w:after="283"/>
              <w:rPr>
                <w:sz w:val="4"/>
                <w:szCs w:val="4"/>
              </w:rPr>
            </w:pPr>
            <w:r>
              <w:rPr>
                <w:sz w:val="4"/>
                <w:szCs w:val="4"/>
              </w:rPr>
            </w:r>
          </w:p>
        </w:tc>
        <w:tc>
          <w:tcPr>
            <w:tcW w:w="9962" w:type="dxa"/>
            <w:tcBorders/>
            <w:shd w:fill="auto" w:val="clear"/>
            <w:vAlign w:val="center"/>
          </w:tcPr>
          <w:p>
            <w:pPr>
              <w:pStyle w:val="TableContents"/>
              <w:spacing w:before="0" w:after="283"/>
              <w:rPr>
                <w:sz w:val="4"/>
                <w:szCs w:val="4"/>
              </w:rPr>
            </w:pPr>
            <w:r>
              <w:rPr>
                <w:sz w:val="4"/>
                <w:szCs w:val="4"/>
              </w:rPr>
            </w:r>
          </w:p>
        </w:tc>
      </w:tr>
      <w:tr>
        <w:trPr/>
        <w:tc>
          <w:tcPr>
            <w:tcW w:w="243"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(4)</w:t>
            </w:r>
            <w:r>
              <w:rPr>
                <w:rFonts w:ascii="inherit" w:hAnsi="inherit"/>
                <w:sz w:val="17"/>
              </w:rPr>
              <w:t> </w:t>
            </w:r>
          </w:p>
        </w:tc>
        <w:tc>
          <w:tcPr>
            <w:tcW w:w="9962" w:type="dxa"/>
            <w:tcBorders/>
            <w:shd w:fill="auto" w:val="clear"/>
            <w:vAlign w:val="center"/>
          </w:tcPr>
          <w:p>
            <w:pPr>
              <w:pStyle w:val="TableContents"/>
              <w:spacing w:lineRule="auto" w:line="288" w:before="0" w:after="0"/>
              <w:rPr>
                <w:rFonts w:ascii="inherit" w:hAnsi="inherit"/>
                <w:sz w:val="17"/>
              </w:rPr>
            </w:pPr>
            <w:r>
              <w:rPr>
                <w:rFonts w:ascii="inherit" w:hAnsi="inherit"/>
                <w:sz w:val="17"/>
              </w:rPr>
              <w:t>Average monthly volumes are calculated as total volumes for the period divided by the number of months in the period. </w:t>
            </w:r>
          </w:p>
        </w:tc>
      </w:tr>
    </w:tbl>
    <w:tbl>
      <w:tblPr>
        <w:tblW w:w="10205" w:type="dxa"/>
        <w:jc w:val="left"/>
        <w:tblInd w:w="0" w:type="dxa"/>
        <w:tblCellMar>
          <w:top w:w="0" w:type="dxa"/>
          <w:left w:w="0" w:type="dxa"/>
          <w:bottom w:w="0" w:type="dxa"/>
          <w:right w:w="0" w:type="dxa"/>
        </w:tblCellMar>
      </w:tblPr>
      <w:tblGrid>
        <w:gridCol w:w="198"/>
        <w:gridCol w:w="10007"/>
      </w:tblGrid>
      <w:tr>
        <w:trPr/>
        <w:tc>
          <w:tcPr>
            <w:tcW w:w="198" w:type="dxa"/>
            <w:tcBorders/>
            <w:shd w:fill="auto" w:val="clear"/>
            <w:vAlign w:val="center"/>
          </w:tcPr>
          <w:p>
            <w:pPr>
              <w:pStyle w:val="TableContents"/>
              <w:spacing w:before="0" w:after="283"/>
              <w:rPr>
                <w:sz w:val="4"/>
                <w:szCs w:val="4"/>
              </w:rPr>
            </w:pPr>
            <w:r>
              <w:rPr>
                <w:sz w:val="4"/>
                <w:szCs w:val="4"/>
              </w:rPr>
            </w:r>
          </w:p>
        </w:tc>
        <w:tc>
          <w:tcPr>
            <w:tcW w:w="10007" w:type="dxa"/>
            <w:tcBorders/>
            <w:shd w:fill="auto" w:val="clear"/>
            <w:vAlign w:val="center"/>
          </w:tcPr>
          <w:p>
            <w:pPr>
              <w:pStyle w:val="TableContents"/>
              <w:spacing w:before="0" w:after="283"/>
              <w:rPr>
                <w:sz w:val="4"/>
                <w:szCs w:val="4"/>
              </w:rPr>
            </w:pPr>
            <w:r>
              <w:rPr>
                <w:sz w:val="4"/>
                <w:szCs w:val="4"/>
              </w:rPr>
            </w:r>
          </w:p>
        </w:tc>
      </w:tr>
      <w:tr>
        <w:trPr/>
        <w:tc>
          <w:tcPr>
            <w:tcW w:w="198"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(5)</w:t>
            </w:r>
            <w:r>
              <w:rPr>
                <w:rFonts w:ascii="inherit" w:hAnsi="inherit"/>
                <w:sz w:val="17"/>
              </w:rPr>
              <w:t> </w:t>
            </w:r>
          </w:p>
        </w:tc>
        <w:tc>
          <w:tcPr>
            <w:tcW w:w="10007" w:type="dxa"/>
            <w:tcBorders/>
            <w:shd w:fill="auto" w:val="clear"/>
            <w:vAlign w:val="center"/>
          </w:tcPr>
          <w:p>
            <w:pPr>
              <w:pStyle w:val="TableContents"/>
              <w:spacing w:lineRule="auto" w:line="288" w:before="0" w:after="0"/>
              <w:rPr>
                <w:rFonts w:ascii="inherit" w:hAnsi="inherit"/>
                <w:sz w:val="17"/>
              </w:rPr>
            </w:pPr>
            <w:r>
              <w:rPr>
                <w:rFonts w:ascii="inherit" w:hAnsi="inherit"/>
                <w:sz w:val="17"/>
              </w:rPr>
              <w:t>The decrease in average monthly working capacity of natural gas storage facilities was driven by adjustments for the net capacity change between capacity additions from fill and dewater operations and capacity losses from salt creep.</w:t>
            </w:r>
          </w:p>
        </w:tc>
      </w:tr>
    </w:tbl>
    <w:tbl>
      <w:tblPr>
        <w:tblW w:w="10205" w:type="dxa"/>
        <w:jc w:val="left"/>
        <w:tblInd w:w="0" w:type="dxa"/>
        <w:tblCellMar>
          <w:top w:w="0" w:type="dxa"/>
          <w:left w:w="0" w:type="dxa"/>
          <w:bottom w:w="0" w:type="dxa"/>
          <w:right w:w="0" w:type="dxa"/>
        </w:tblCellMar>
      </w:tblPr>
      <w:tblGrid>
        <w:gridCol w:w="178"/>
        <w:gridCol w:w="10027"/>
      </w:tblGrid>
      <w:tr>
        <w:trPr/>
        <w:tc>
          <w:tcPr>
            <w:tcW w:w="178" w:type="dxa"/>
            <w:tcBorders/>
            <w:shd w:fill="auto" w:val="clear"/>
            <w:vAlign w:val="center"/>
          </w:tcPr>
          <w:p>
            <w:pPr>
              <w:pStyle w:val="TableContents"/>
              <w:spacing w:before="0" w:after="283"/>
              <w:rPr>
                <w:sz w:val="4"/>
                <w:szCs w:val="4"/>
              </w:rPr>
            </w:pPr>
            <w:r>
              <w:rPr>
                <w:sz w:val="4"/>
                <w:szCs w:val="4"/>
              </w:rPr>
            </w:r>
          </w:p>
        </w:tc>
        <w:tc>
          <w:tcPr>
            <w:tcW w:w="10027" w:type="dxa"/>
            <w:tcBorders/>
            <w:shd w:fill="auto" w:val="clear"/>
            <w:vAlign w:val="center"/>
          </w:tcPr>
          <w:p>
            <w:pPr>
              <w:pStyle w:val="TableContents"/>
              <w:spacing w:before="0" w:after="283"/>
              <w:rPr>
                <w:sz w:val="4"/>
                <w:szCs w:val="4"/>
              </w:rPr>
            </w:pPr>
            <w:r>
              <w:rPr>
                <w:sz w:val="4"/>
                <w:szCs w:val="4"/>
              </w:rPr>
            </w:r>
          </w:p>
        </w:tc>
      </w:tr>
      <w:tr>
        <w:trPr/>
        <w:tc>
          <w:tcPr>
            <w:tcW w:w="178"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(6)</w:t>
            </w:r>
            <w:r>
              <w:rPr>
                <w:rFonts w:ascii="inherit" w:hAnsi="inherit"/>
                <w:sz w:val="17"/>
              </w:rPr>
              <w:t> </w:t>
            </w:r>
          </w:p>
        </w:tc>
        <w:tc>
          <w:tcPr>
            <w:tcW w:w="10027" w:type="dxa"/>
            <w:tcBorders/>
            <w:shd w:fill="auto" w:val="clear"/>
            <w:vAlign w:val="center"/>
          </w:tcPr>
          <w:p>
            <w:pPr>
              <w:pStyle w:val="TableContents"/>
              <w:spacing w:lineRule="auto" w:line="288" w:before="0" w:after="0"/>
              <w:rPr>
                <w:rFonts w:ascii="inherit" w:hAnsi="inherit"/>
                <w:sz w:val="17"/>
              </w:rPr>
            </w:pPr>
            <w:r>
              <w:rPr>
                <w:rFonts w:ascii="inherit" w:hAnsi="inherit"/>
                <w:sz w:val="17"/>
              </w:rPr>
              <w:t>Facilities segment total volumes is calculated as the sum of: (i) liquids storage capacity; (ii) natural gas storage working capacity divided by 6 to account for the 6:1 mcf of natural gas to crude Btu equivalent ratio and further divided by 1,000 to convert to monthly volumes in millions; and (iii) NGL fractionation volumes multiplied by the number of days in the period and divided by the number of months in the period.</w:t>
            </w:r>
          </w:p>
        </w:tc>
      </w:tr>
    </w:tbl>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lineRule="auto" w:line="288" w:before="0" w:after="0"/>
        <w:ind w:left="0" w:right="0" w:firstLine="720"/>
        <w:rPr>
          <w:rFonts w:ascii="inherit" w:hAnsi="inherit"/>
          <w:sz w:val="17"/>
        </w:rPr>
      </w:pPr>
      <w:r>
        <w:rPr>
          <w:rFonts w:ascii="inherit" w:hAnsi="inherit"/>
          <w:sz w:val="17"/>
        </w:rPr>
        <w:t>The following is a discussion of items impacting Facilities segment operating results for the periods indicated.</w:t>
      </w:r>
    </w:p>
    <w:p>
      <w:pPr>
        <w:pStyle w:val="TextBody"/>
        <w:spacing w:lineRule="auto" w:line="288" w:before="0" w:after="0"/>
        <w:rPr/>
      </w:pPr>
      <w:r>
        <w:rPr/>
        <w:t> </w:t>
      </w:r>
    </w:p>
    <w:p>
      <w:pPr>
        <w:pStyle w:val="TextBody"/>
        <w:spacing w:lineRule="auto" w:line="288" w:before="0" w:after="0"/>
        <w:ind w:left="0" w:right="0" w:firstLine="720"/>
        <w:rPr>
          <w:sz w:val="17"/>
        </w:rPr>
      </w:pPr>
      <w:r>
        <w:rPr>
          <w:rFonts w:ascii="inherit" w:hAnsi="inherit"/>
          <w:i/>
          <w:sz w:val="17"/>
        </w:rPr>
        <w:t>Revenues, Purchases and Related Costs and Volumes.</w:t>
      </w:r>
      <w:r>
        <w:rPr>
          <w:sz w:val="17"/>
        </w:rPr>
        <w:t xml:space="preserve"> </w:t>
      </w:r>
      <w:r>
        <w:rPr>
          <w:rFonts w:ascii="inherit" w:hAnsi="inherit"/>
          <w:sz w:val="17"/>
        </w:rPr>
        <w:t>The following summarizes the significant drivers of variances in revenues, purchases and related costs and volumes for the comparative periods: </w:t>
      </w:r>
    </w:p>
    <w:p>
      <w:pPr>
        <w:pStyle w:val="TextBody"/>
        <w:spacing w:lineRule="auto" w:line="288" w:before="0" w:after="0"/>
        <w:ind w:left="0" w:right="0" w:firstLine="108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rPr>
                <w:sz w:val="17"/>
              </w:rPr>
            </w:pPr>
            <w:r>
              <w:rPr>
                <w:rFonts w:ascii="inherit" w:hAnsi="inherit"/>
                <w:i/>
                <w:sz w:val="17"/>
              </w:rPr>
              <w:t>Crude Oil Storage.</w:t>
            </w:r>
            <w:r>
              <w:rPr>
                <w:sz w:val="17"/>
              </w:rPr>
              <w:t xml:space="preserve"> </w:t>
            </w:r>
            <w:r>
              <w:rPr>
                <w:rFonts w:ascii="inherit" w:hAnsi="inherit"/>
                <w:sz w:val="17"/>
              </w:rPr>
              <w:t xml:space="preserve">Revenues increased by $6 million and $12 million for the three and six months ended June 30, 2019, respectively, compared to the three and six months ended June 30, 2018 due to increased activity at certain of our terminals, primarily our Cushing terminal, and the addition of 1.0 million barrels of storage capacity at our Midland terminal placed into service in the fourth quarter of 2018 and the first quarter of 2019. </w:t>
            </w:r>
          </w:p>
        </w:tc>
      </w:tr>
    </w:tbl>
    <w:p>
      <w:pPr>
        <w:pStyle w:val="TextBody"/>
        <w:spacing w:lineRule="auto" w:line="288" w:before="0" w:after="0"/>
        <w:ind w:left="0" w:right="0" w:firstLine="108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rPr>
                <w:sz w:val="17"/>
              </w:rPr>
            </w:pPr>
            <w:r>
              <w:rPr>
                <w:rFonts w:ascii="inherit" w:hAnsi="inherit"/>
                <w:i/>
                <w:sz w:val="17"/>
              </w:rPr>
              <w:t>Rail Terminals.</w:t>
            </w:r>
            <w:r>
              <w:rPr>
                <w:sz w:val="17"/>
              </w:rPr>
              <w:t xml:space="preserve"> </w:t>
            </w:r>
            <w:r>
              <w:rPr>
                <w:rFonts w:ascii="inherit" w:hAnsi="inherit"/>
                <w:sz w:val="17"/>
              </w:rPr>
              <w:t>Revenues increased by $6 million and $12 million for the three and six months ended June 30, 2019, respectively, compared to the three and six months ended June 30, 2018, primarily due to increased activity at our St. James rail terminal.</w:t>
            </w:r>
          </w:p>
        </w:tc>
      </w:tr>
    </w:tbl>
    <w:p>
      <w:pPr>
        <w:pStyle w:val="TextBody"/>
        <w:spacing w:lineRule="auto" w:line="288" w:before="0" w:after="0"/>
        <w:ind w:left="0" w:right="0" w:firstLine="108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rPr>
                <w:sz w:val="17"/>
              </w:rPr>
            </w:pPr>
            <w:r>
              <w:rPr>
                <w:rFonts w:ascii="inherit" w:hAnsi="inherit"/>
                <w:i/>
                <w:sz w:val="17"/>
              </w:rPr>
              <w:t>Natural Gas Storage.</w:t>
            </w:r>
            <w:r>
              <w:rPr>
                <w:sz w:val="17"/>
              </w:rPr>
              <w:t xml:space="preserve"> </w:t>
            </w:r>
            <w:r>
              <w:rPr>
                <w:rFonts w:ascii="inherit" w:hAnsi="inherit"/>
                <w:sz w:val="17"/>
              </w:rPr>
              <w:t>Revenues, net of purchases and related costs, were relatively flat for the three months ended June 30, 2019 compared to the three months ended June 30, 2018. Revenues, net of purchases and related costs, increased by $5 million for the six months ended June 30, 2019 compared to the six months ended June 30, 2018, primarily due to expiring contracts replaced by contracts with higher rates and increased hub activity.</w:t>
            </w:r>
          </w:p>
        </w:tc>
      </w:tr>
    </w:tbl>
    <w:p>
      <w:pPr>
        <w:pStyle w:val="TextBody"/>
        <w:spacing w:lineRule="auto" w:line="288" w:before="0" w:after="0"/>
        <w:ind w:left="0" w:right="0" w:firstLine="108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rPr>
                <w:sz w:val="17"/>
              </w:rPr>
            </w:pPr>
            <w:r>
              <w:rPr>
                <w:rFonts w:ascii="inherit" w:hAnsi="inherit"/>
                <w:i/>
                <w:sz w:val="17"/>
              </w:rPr>
              <w:t xml:space="preserve">NGL Operations. </w:t>
            </w:r>
            <w:r>
              <w:rPr>
                <w:rFonts w:ascii="inherit" w:hAnsi="inherit"/>
                <w:sz w:val="17"/>
              </w:rPr>
              <w:t>Revenues decreased by $5 million and $16 million for the three and six months ended June 30, 2019, respectively, compared to the three and six months ended June 30, 2018, primarily due to a net unfavorable foreign exchange impact of approximately $4 million and $10 million, respectively. The six-month comparative period was further unfavorably impacted by the sale of a natural gas processing facility in the second quarter of 2018.</w:t>
            </w:r>
          </w:p>
        </w:tc>
      </w:tr>
    </w:tbl>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lineRule="auto" w:line="288" w:before="0" w:after="0"/>
        <w:ind w:left="0" w:right="0" w:firstLine="720"/>
        <w:rPr>
          <w:sz w:val="17"/>
        </w:rPr>
      </w:pPr>
      <w:r>
        <w:rPr>
          <w:rFonts w:ascii="inherit" w:hAnsi="inherit"/>
          <w:i/>
          <w:sz w:val="17"/>
        </w:rPr>
        <w:t xml:space="preserve">Field Operating Costs. </w:t>
      </w:r>
      <w:r>
        <w:rPr>
          <w:rFonts w:ascii="inherit" w:hAnsi="inherit"/>
          <w:sz w:val="17"/>
        </w:rPr>
        <w:t xml:space="preserve">The decrease in field operating costs for the three and six months ended June 30, 2019 compared to the three and six months ended June 30, 2018 was primarily related to a decrease in power-related costs associated with derivative activities (which impact our field operating costs but are excluded from Segment Adjusted EBITDA and thus are reflected as an “Adjustment” in the table above), partially offset by increased personnel costs, including higher costs at our rail terminals as a result of increased activity. </w:t>
      </w:r>
    </w:p>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lineRule="auto" w:line="288" w:before="0" w:after="0"/>
        <w:ind w:left="0" w:right="0" w:firstLine="720"/>
        <w:rPr>
          <w:sz w:val="17"/>
        </w:rPr>
      </w:pPr>
      <w:r>
        <w:rPr>
          <w:rFonts w:ascii="inherit" w:hAnsi="inherit"/>
          <w:i/>
          <w:sz w:val="17"/>
        </w:rPr>
        <w:t>Maintenance Capital.</w:t>
      </w:r>
      <w:r>
        <w:rPr>
          <w:sz w:val="17"/>
        </w:rPr>
        <w:t xml:space="preserve"> </w:t>
      </w:r>
      <w:r>
        <w:rPr>
          <w:rFonts w:ascii="inherit" w:hAnsi="inherit"/>
          <w:sz w:val="17"/>
        </w:rPr>
        <w:t xml:space="preserve">For the three and six months ended June 30, 2019 as compared to the three and six months ended June 30, 2018, maintenance capital spending increased primarily due to the impact of higher expenditures related to cavern maintenance at certain of our gas storage facilities. </w:t>
      </w:r>
    </w:p>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56</w:t>
      </w:r>
      <w:r>
        <w:br w:type="page"/>
      </w:r>
    </w:p>
    <w:p>
      <w:pPr>
        <w:pStyle w:val="TextBody"/>
        <w:spacing w:lineRule="auto" w:line="288" w:before="0" w:after="0"/>
        <w:rPr/>
      </w:pPr>
      <w:hyperlink w:anchor="s3336AD8A685850CC9B7F2572CB2C0BC3">
        <w:bookmarkStart w:id="36" w:name="sEB688EC9CD1C51BF91E7ECDE90D4A7E2"/>
        <w:bookmarkEnd w:id="36"/>
        <w:r>
          <w:rPr>
            <w:rStyle w:val="InternetLink"/>
            <w:rFonts w:ascii="inherit" w:hAnsi="inherit"/>
            <w:sz w:val="17"/>
          </w:rPr>
          <w:t>Table of Contents</w:t>
        </w:r>
      </w:hyperlink>
      <w:r>
        <w:rPr>
          <w:sz w:val="17"/>
        </w:rPr>
        <w:t xml:space="preserve"> </w:t>
      </w:r>
    </w:p>
    <w:p>
      <w:pPr>
        <w:pStyle w:val="TextBody"/>
        <w:spacing w:before="0" w:after="0"/>
        <w:rPr/>
      </w:pPr>
      <w:r>
        <w:rPr/>
      </w:r>
    </w:p>
    <w:p>
      <w:pPr>
        <w:pStyle w:val="TextBody"/>
        <w:spacing w:lineRule="auto" w:line="288" w:before="0" w:after="0"/>
        <w:ind w:left="0" w:right="0" w:firstLine="720"/>
        <w:rPr>
          <w:sz w:val="17"/>
        </w:rPr>
      </w:pPr>
      <w:r>
        <w:rPr>
          <w:rFonts w:ascii="inherit" w:hAnsi="inherit"/>
          <w:b/>
          <w:sz w:val="17"/>
        </w:rPr>
        <w:t>Supply and Logistics</w:t>
      </w:r>
      <w:r>
        <w:rPr>
          <w:sz w:val="17"/>
        </w:rPr>
        <w:t xml:space="preserve"> </w:t>
      </w:r>
      <w:r>
        <w:rPr>
          <w:rFonts w:ascii="inherit" w:hAnsi="inherit"/>
          <w:b/>
          <w:sz w:val="17"/>
        </w:rPr>
        <w:t>Segment</w:t>
      </w:r>
    </w:p>
    <w:p>
      <w:pPr>
        <w:pStyle w:val="TextBody"/>
        <w:spacing w:lineRule="auto" w:line="288" w:before="0" w:after="0"/>
        <w:rPr/>
      </w:pPr>
      <w:r>
        <w:rPr/>
        <w:t> </w:t>
      </w:r>
    </w:p>
    <w:p>
      <w:pPr>
        <w:pStyle w:val="TextBody"/>
        <w:spacing w:lineRule="auto" w:line="288" w:before="0" w:after="0"/>
        <w:ind w:left="0" w:right="0" w:firstLine="720"/>
        <w:rPr>
          <w:sz w:val="17"/>
        </w:rPr>
      </w:pPr>
      <w:r>
        <w:rPr>
          <w:rFonts w:ascii="inherit" w:hAnsi="inherit"/>
          <w:sz w:val="17"/>
        </w:rPr>
        <w:t>Revenues from our Supply and Logistics segment activities reflect the sale of gathered and bulk-purchased crude oil, as well as sales of NGL volumes. Generally, our segment results are impacted by (i) increases or decreases in our Supply and Logistics segment volumes (which consist of lease gathering crude oil purchases volumes and NGL sales volumes), (ii) the overall strength, weakness and volatility of market conditions, including regional differentials, and the allocation of our assets among our various risk management strategies and (iii) the effects of competition on our lease gathering and NGL margins. In addition, the execution of our risk management strategies in conjunction with our assets can provide upside in certain markets.</w:t>
      </w:r>
      <w:r>
        <w:rPr>
          <w:sz w:val="17"/>
        </w:rPr>
        <w:t xml:space="preserve"> </w:t>
      </w:r>
    </w:p>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lineRule="auto" w:line="288" w:before="0" w:after="0"/>
        <w:ind w:left="0" w:right="0" w:firstLine="720"/>
        <w:rPr>
          <w:rFonts w:ascii="inherit" w:hAnsi="inherit"/>
          <w:sz w:val="17"/>
        </w:rPr>
      </w:pPr>
      <w:r>
        <w:rPr>
          <w:rFonts w:ascii="inherit" w:hAnsi="inherit"/>
          <w:sz w:val="17"/>
        </w:rPr>
        <w:t>The following tables set forth our operating results from our Supply and Logistics segment:</w:t>
      </w:r>
    </w:p>
    <w:tbl>
      <w:tblPr>
        <w:tblW w:w="10205" w:type="dxa"/>
        <w:jc w:val="left"/>
        <w:tblInd w:w="0" w:type="dxa"/>
        <w:tblCellMar>
          <w:top w:w="0" w:type="dxa"/>
          <w:left w:w="0" w:type="dxa"/>
          <w:bottom w:w="0" w:type="dxa"/>
          <w:right w:w="0" w:type="dxa"/>
        </w:tblCellMar>
      </w:tblPr>
      <w:tblGrid>
        <w:gridCol w:w="3954"/>
        <w:gridCol w:w="90"/>
        <w:gridCol w:w="125"/>
        <w:gridCol w:w="486"/>
        <w:gridCol w:w="110"/>
        <w:gridCol w:w="90"/>
        <w:gridCol w:w="125"/>
        <w:gridCol w:w="486"/>
        <w:gridCol w:w="110"/>
        <w:gridCol w:w="90"/>
        <w:gridCol w:w="125"/>
        <w:gridCol w:w="380"/>
        <w:gridCol w:w="110"/>
        <w:gridCol w:w="90"/>
        <w:gridCol w:w="290"/>
        <w:gridCol w:w="260"/>
        <w:gridCol w:w="90"/>
        <w:gridCol w:w="90"/>
        <w:gridCol w:w="125"/>
        <w:gridCol w:w="590"/>
        <w:gridCol w:w="110"/>
        <w:gridCol w:w="90"/>
        <w:gridCol w:w="125"/>
        <w:gridCol w:w="590"/>
        <w:gridCol w:w="110"/>
        <w:gridCol w:w="90"/>
        <w:gridCol w:w="125"/>
        <w:gridCol w:w="380"/>
        <w:gridCol w:w="110"/>
        <w:gridCol w:w="90"/>
        <w:gridCol w:w="290"/>
        <w:gridCol w:w="279"/>
      </w:tblGrid>
      <w:tr>
        <w:trPr/>
        <w:tc>
          <w:tcPr>
            <w:tcW w:w="10205" w:type="dxa"/>
            <w:gridSpan w:val="32"/>
            <w:tcBorders/>
            <w:shd w:fill="auto" w:val="clear"/>
            <w:vAlign w:val="center"/>
          </w:tcPr>
          <w:p>
            <w:pPr>
              <w:pStyle w:val="TableContents"/>
              <w:spacing w:before="0" w:after="283"/>
              <w:rPr>
                <w:sz w:val="4"/>
                <w:szCs w:val="4"/>
              </w:rPr>
            </w:pPr>
            <w:r>
              <w:rPr>
                <w:sz w:val="4"/>
                <w:szCs w:val="4"/>
              </w:rPr>
            </w:r>
          </w:p>
        </w:tc>
      </w:tr>
      <w:tr>
        <w:trPr/>
        <w:tc>
          <w:tcPr>
            <w:tcW w:w="3954"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954" w:type="dxa"/>
            <w:tcBorders/>
            <w:shd w:fill="auto" w:val="clear"/>
            <w:vAlign w:val="center"/>
          </w:tcPr>
          <w:p>
            <w:pPr>
              <w:pStyle w:val="TableContents"/>
              <w:spacing w:lineRule="auto" w:line="288" w:before="0" w:after="0"/>
              <w:ind w:left="0" w:right="0" w:firstLine="30"/>
              <w:rPr>
                <w:sz w:val="17"/>
              </w:rPr>
            </w:pPr>
            <w:r>
              <w:rPr>
                <w:rFonts w:ascii="inherit" w:hAnsi="inherit"/>
                <w:b/>
                <w:sz w:val="13"/>
              </w:rPr>
              <w:t>Operating Results </w:t>
            </w:r>
            <w:r>
              <w:rPr>
                <w:rFonts w:ascii="inherit" w:hAnsi="inherit"/>
                <w:b/>
                <w:sz w:val="12"/>
              </w:rPr>
              <w:t>(1)</w:t>
            </w:r>
          </w:p>
        </w:tc>
        <w:tc>
          <w:tcPr>
            <w:tcW w:w="90" w:type="dxa"/>
            <w:tcBorders/>
            <w:shd w:fill="auto" w:val="clear"/>
            <w:vAlign w:val="center"/>
          </w:tcPr>
          <w:p>
            <w:pPr>
              <w:pStyle w:val="TableContents"/>
              <w:spacing w:before="0" w:after="0"/>
              <w:ind w:left="0" w:right="0" w:firstLine="30"/>
              <w:rPr/>
            </w:pPr>
            <w:r>
              <w:rPr/>
              <w:t> </w:t>
            </w:r>
          </w:p>
        </w:tc>
        <w:tc>
          <w:tcPr>
            <w:tcW w:w="1532"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w:t>
              <w:br/>
              <w:t>June 30,</w:t>
            </w:r>
          </w:p>
        </w:tc>
        <w:tc>
          <w:tcPr>
            <w:tcW w:w="90" w:type="dxa"/>
            <w:tcBorders/>
            <w:shd w:fill="auto" w:val="clear"/>
            <w:vAlign w:val="center"/>
          </w:tcPr>
          <w:p>
            <w:pPr>
              <w:pStyle w:val="TableContents"/>
              <w:spacing w:before="0" w:after="0"/>
              <w:ind w:left="0" w:right="0" w:firstLine="30"/>
              <w:rPr/>
            </w:pPr>
            <w:r>
              <w:rPr/>
              <w:t> </w:t>
            </w:r>
          </w:p>
        </w:tc>
        <w:tc>
          <w:tcPr>
            <w:tcW w:w="1255" w:type="dxa"/>
            <w:gridSpan w:val="6"/>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Variance</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40"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w:t>
              <w:br/>
              <w:t>June 30,</w:t>
            </w:r>
          </w:p>
        </w:tc>
        <w:tc>
          <w:tcPr>
            <w:tcW w:w="90" w:type="dxa"/>
            <w:tcBorders/>
            <w:shd w:fill="auto" w:val="clear"/>
            <w:vAlign w:val="center"/>
          </w:tcPr>
          <w:p>
            <w:pPr>
              <w:pStyle w:val="TableContents"/>
              <w:spacing w:before="0" w:after="0"/>
              <w:ind w:left="0" w:right="0" w:firstLine="30"/>
              <w:rPr/>
            </w:pPr>
            <w:r>
              <w:rPr/>
              <w:t> </w:t>
            </w:r>
          </w:p>
        </w:tc>
        <w:tc>
          <w:tcPr>
            <w:tcW w:w="1274" w:type="dxa"/>
            <w:gridSpan w:val="6"/>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Variance</w:t>
            </w:r>
          </w:p>
        </w:tc>
      </w:tr>
      <w:tr>
        <w:trPr/>
        <w:tc>
          <w:tcPr>
            <w:tcW w:w="3954" w:type="dxa"/>
            <w:tcBorders>
              <w:bottom w:val="single" w:sz="2" w:space="0" w:color="000000"/>
            </w:tcBorders>
            <w:shd w:fill="auto" w:val="clear"/>
            <w:tcMar>
              <w:bottom w:w="30" w:type="dxa"/>
            </w:tcMar>
            <w:vAlign w:val="center"/>
          </w:tcPr>
          <w:p>
            <w:pPr>
              <w:pStyle w:val="TableContents"/>
              <w:spacing w:before="0" w:after="0"/>
              <w:ind w:left="0" w:right="0" w:firstLine="30"/>
              <w:rPr>
                <w:rFonts w:ascii="inherit" w:hAnsi="inherit"/>
                <w:b/>
                <w:sz w:val="13"/>
              </w:rPr>
            </w:pPr>
            <w:r>
              <w:rPr>
                <w:rFonts w:ascii="inherit" w:hAnsi="inherit"/>
                <w:b/>
                <w:sz w:val="13"/>
              </w:rPr>
              <w:t>(in millions, except per barrel data)</w:t>
            </w:r>
          </w:p>
        </w:tc>
        <w:tc>
          <w:tcPr>
            <w:tcW w:w="90" w:type="dxa"/>
            <w:tcBorders/>
            <w:shd w:fill="auto" w:val="clear"/>
            <w:vAlign w:val="center"/>
          </w:tcPr>
          <w:p>
            <w:pPr>
              <w:pStyle w:val="TableContents"/>
              <w:spacing w:before="0" w:after="0"/>
              <w:ind w:left="0" w:right="0" w:firstLine="30"/>
              <w:rPr/>
            </w:pPr>
            <w:r>
              <w:rPr/>
              <w:t> </w:t>
            </w:r>
          </w:p>
        </w:tc>
        <w:tc>
          <w:tcPr>
            <w:tcW w:w="72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90" w:type="dxa"/>
            <w:tcBorders/>
            <w:shd w:fill="auto" w:val="clear"/>
            <w:vAlign w:val="center"/>
          </w:tcPr>
          <w:p>
            <w:pPr>
              <w:pStyle w:val="TableContents"/>
              <w:spacing w:before="0" w:after="0"/>
              <w:ind w:left="0" w:right="0" w:firstLine="30"/>
              <w:rPr/>
            </w:pPr>
            <w:r>
              <w:rPr/>
              <w:t> </w:t>
            </w:r>
          </w:p>
        </w:tc>
        <w:tc>
          <w:tcPr>
            <w:tcW w:w="72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0" w:type="dxa"/>
            <w:tcBorders/>
            <w:shd w:fill="auto" w:val="clear"/>
            <w:vAlign w:val="center"/>
          </w:tcPr>
          <w:p>
            <w:pPr>
              <w:pStyle w:val="TableContents"/>
              <w:spacing w:before="0" w:after="0"/>
              <w:ind w:left="0" w:right="0" w:firstLine="30"/>
              <w:rPr/>
            </w:pPr>
            <w:r>
              <w:rPr/>
              <w:t> </w:t>
            </w:r>
          </w:p>
        </w:tc>
        <w:tc>
          <w:tcPr>
            <w:tcW w:w="61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w:t>
            </w:r>
          </w:p>
        </w:tc>
        <w:tc>
          <w:tcPr>
            <w:tcW w:w="90" w:type="dxa"/>
            <w:tcBorders/>
            <w:shd w:fill="auto" w:val="clear"/>
            <w:vAlign w:val="center"/>
          </w:tcPr>
          <w:p>
            <w:pPr>
              <w:pStyle w:val="TableContents"/>
              <w:spacing w:before="0" w:after="0"/>
              <w:ind w:left="0" w:right="0" w:firstLine="30"/>
              <w:rPr/>
            </w:pPr>
            <w:r>
              <w:rPr/>
              <w:t> </w:t>
            </w:r>
          </w:p>
        </w:tc>
        <w:tc>
          <w:tcPr>
            <w:tcW w:w="550"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0" w:type="dxa"/>
            <w:tcBorders/>
            <w:shd w:fill="auto" w:val="clear"/>
            <w:vAlign w:val="center"/>
          </w:tcPr>
          <w:p>
            <w:pPr>
              <w:pStyle w:val="TableContents"/>
              <w:spacing w:before="0" w:after="0"/>
              <w:ind w:left="0" w:right="0" w:firstLine="30"/>
              <w:rPr/>
            </w:pPr>
            <w:r>
              <w:rPr/>
              <w:t> </w:t>
            </w:r>
          </w:p>
        </w:tc>
        <w:tc>
          <w:tcPr>
            <w:tcW w:w="61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w:t>
            </w:r>
          </w:p>
        </w:tc>
        <w:tc>
          <w:tcPr>
            <w:tcW w:w="90" w:type="dxa"/>
            <w:tcBorders/>
            <w:shd w:fill="auto" w:val="clear"/>
            <w:vAlign w:val="center"/>
          </w:tcPr>
          <w:p>
            <w:pPr>
              <w:pStyle w:val="TableContents"/>
              <w:spacing w:before="0" w:after="0"/>
              <w:ind w:left="0" w:right="0" w:firstLine="30"/>
              <w:rPr/>
            </w:pPr>
            <w:r>
              <w:rPr/>
              <w:t> </w:t>
            </w:r>
          </w:p>
        </w:tc>
        <w:tc>
          <w:tcPr>
            <w:tcW w:w="569"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w:t>
            </w:r>
          </w:p>
        </w:tc>
      </w:tr>
      <w:tr>
        <w:trPr/>
        <w:tc>
          <w:tcPr>
            <w:tcW w:w="39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86" w:type="dxa"/>
            <w:tcBorders/>
            <w:shd w:fill="CCEEFF" w:val="clear"/>
            <w:vAlign w:val="center"/>
          </w:tcPr>
          <w:p>
            <w:pPr>
              <w:pStyle w:val="TableContents"/>
              <w:spacing w:before="0" w:after="0"/>
              <w:jc w:val="right"/>
              <w:rPr>
                <w:rFonts w:ascii="inherit" w:hAnsi="inherit"/>
                <w:sz w:val="17"/>
              </w:rPr>
            </w:pPr>
            <w:r>
              <w:rPr>
                <w:rFonts w:ascii="inherit" w:hAnsi="inherit"/>
                <w:sz w:val="17"/>
              </w:rPr>
              <w:t>7,915</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86" w:type="dxa"/>
            <w:tcBorders/>
            <w:shd w:fill="CCEEFF" w:val="clear"/>
            <w:vAlign w:val="center"/>
          </w:tcPr>
          <w:p>
            <w:pPr>
              <w:pStyle w:val="TableContents"/>
              <w:spacing w:before="0" w:after="0"/>
              <w:jc w:val="right"/>
              <w:rPr>
                <w:rFonts w:ascii="inherit" w:hAnsi="inherit"/>
                <w:sz w:val="17"/>
              </w:rPr>
            </w:pPr>
            <w:r>
              <w:rPr>
                <w:rFonts w:ascii="inherit" w:hAnsi="inherit"/>
                <w:sz w:val="17"/>
              </w:rPr>
              <w:t>7,781</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380" w:type="dxa"/>
            <w:tcBorders/>
            <w:shd w:fill="CCEEFF" w:val="clear"/>
            <w:vAlign w:val="center"/>
          </w:tcPr>
          <w:p>
            <w:pPr>
              <w:pStyle w:val="TableContents"/>
              <w:spacing w:before="0" w:after="0"/>
              <w:jc w:val="right"/>
              <w:rPr>
                <w:rFonts w:ascii="inherit" w:hAnsi="inherit"/>
                <w:sz w:val="17"/>
              </w:rPr>
            </w:pPr>
            <w:r>
              <w:rPr>
                <w:rFonts w:ascii="inherit" w:hAnsi="inherit"/>
                <w:sz w:val="17"/>
              </w:rPr>
              <w:t>134</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90" w:type="dxa"/>
            <w:tcBorders/>
            <w:shd w:fill="CCEEFF" w:val="clear"/>
            <w:vAlign w:val="center"/>
          </w:tcPr>
          <w:p>
            <w:pPr>
              <w:pStyle w:val="TableContents"/>
              <w:spacing w:before="0" w:after="0"/>
              <w:jc w:val="right"/>
              <w:rPr>
                <w:rFonts w:ascii="inherit" w:hAnsi="inherit"/>
                <w:sz w:val="17"/>
              </w:rPr>
            </w:pPr>
            <w:r>
              <w:rPr>
                <w:rFonts w:ascii="inherit" w:hAnsi="inherit"/>
                <w:sz w:val="17"/>
              </w:rPr>
              <w:t>2</w:t>
            </w:r>
          </w:p>
        </w:tc>
        <w:tc>
          <w:tcPr>
            <w:tcW w:w="260" w:type="dxa"/>
            <w:tcBorders/>
            <w:shd w:fill="CCEEFF" w:val="clear"/>
            <w:vAlign w:val="center"/>
          </w:tcPr>
          <w:p>
            <w:pPr>
              <w:pStyle w:val="TableContents"/>
              <w:spacing w:before="0" w:after="0"/>
              <w:ind w:left="0" w:right="0" w:firstLine="30"/>
              <w:jc w:val="left"/>
              <w:rPr/>
            </w:pPr>
            <w:r>
              <w:rPr/>
              <w:t> </w:t>
            </w: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CCEEFF" w:val="clear"/>
            <w:vAlign w:val="center"/>
          </w:tcPr>
          <w:p>
            <w:pPr>
              <w:pStyle w:val="TableContents"/>
              <w:spacing w:before="0" w:after="0"/>
              <w:jc w:val="right"/>
              <w:rPr>
                <w:rFonts w:ascii="inherit" w:hAnsi="inherit"/>
                <w:sz w:val="17"/>
              </w:rPr>
            </w:pPr>
            <w:r>
              <w:rPr>
                <w:rFonts w:ascii="inherit" w:hAnsi="inherit"/>
                <w:sz w:val="17"/>
              </w:rPr>
              <w:t>15,938</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CCEEFF" w:val="clear"/>
            <w:vAlign w:val="center"/>
          </w:tcPr>
          <w:p>
            <w:pPr>
              <w:pStyle w:val="TableContents"/>
              <w:spacing w:before="0" w:after="0"/>
              <w:jc w:val="right"/>
              <w:rPr>
                <w:rFonts w:ascii="inherit" w:hAnsi="inherit"/>
                <w:sz w:val="17"/>
              </w:rPr>
            </w:pPr>
            <w:r>
              <w:rPr>
                <w:rFonts w:ascii="inherit" w:hAnsi="inherit"/>
                <w:sz w:val="17"/>
              </w:rPr>
              <w:t>15,893</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380" w:type="dxa"/>
            <w:tcBorders/>
            <w:shd w:fill="CCEEFF" w:val="clear"/>
            <w:vAlign w:val="center"/>
          </w:tcPr>
          <w:p>
            <w:pPr>
              <w:pStyle w:val="TableContents"/>
              <w:spacing w:before="0" w:after="0"/>
              <w:jc w:val="right"/>
              <w:rPr>
                <w:rFonts w:ascii="inherit" w:hAnsi="inherit"/>
                <w:sz w:val="17"/>
              </w:rPr>
            </w:pPr>
            <w:r>
              <w:rPr>
                <w:rFonts w:ascii="inherit" w:hAnsi="inherit"/>
                <w:sz w:val="17"/>
              </w:rPr>
              <w:t>45</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290" w:type="dxa"/>
            <w:tcBorders/>
            <w:shd w:fill="CCEEFF" w:val="clear"/>
            <w:vAlign w:val="center"/>
          </w:tcPr>
          <w:p>
            <w:pPr>
              <w:pStyle w:val="TableContents"/>
              <w:spacing w:before="0" w:after="0"/>
              <w:jc w:val="right"/>
              <w:rPr/>
            </w:pPr>
            <w:r>
              <w:rPr/>
              <w:t>—</w:t>
            </w:r>
          </w:p>
        </w:tc>
        <w:tc>
          <w:tcPr>
            <w:tcW w:w="279" w:type="dxa"/>
            <w:tcBorders/>
            <w:shd w:fill="CCEEFF" w:val="clear"/>
            <w:vAlign w:val="center"/>
          </w:tcPr>
          <w:p>
            <w:pPr>
              <w:pStyle w:val="TableContents"/>
              <w:spacing w:before="0" w:after="0"/>
              <w:ind w:left="0" w:right="0" w:firstLine="30"/>
              <w:jc w:val="left"/>
              <w:rPr/>
            </w:pPr>
            <w:r>
              <w:rPr/>
              <w:t> </w:t>
            </w:r>
            <w:r>
              <w:rPr>
                <w:rFonts w:ascii="inherit" w:hAnsi="inherit"/>
                <w:sz w:val="17"/>
              </w:rPr>
              <w:t>%</w:t>
            </w:r>
          </w:p>
        </w:tc>
      </w:tr>
      <w:tr>
        <w:trPr/>
        <w:tc>
          <w:tcPr>
            <w:tcW w:w="39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Purchases and related costs</w:t>
            </w:r>
          </w:p>
        </w:tc>
        <w:tc>
          <w:tcPr>
            <w:tcW w:w="90" w:type="dxa"/>
            <w:tcBorders/>
            <w:shd w:fill="auto" w:val="clear"/>
            <w:vAlign w:val="center"/>
          </w:tcPr>
          <w:p>
            <w:pPr>
              <w:pStyle w:val="TableContents"/>
              <w:spacing w:before="0" w:after="0"/>
              <w:ind w:left="0" w:right="0" w:firstLine="30"/>
              <w:rPr/>
            </w:pPr>
            <w:r>
              <w:rPr/>
              <w:t> </w:t>
            </w:r>
          </w:p>
        </w:tc>
        <w:tc>
          <w:tcPr>
            <w:tcW w:w="61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(7,700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61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(7,959</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50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259</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90" w:type="dxa"/>
            <w:tcBorders/>
            <w:shd w:fill="auto" w:val="clear"/>
            <w:vAlign w:val="center"/>
          </w:tcPr>
          <w:p>
            <w:pPr>
              <w:pStyle w:val="TableContents"/>
              <w:spacing w:before="0" w:after="0"/>
              <w:jc w:val="right"/>
              <w:rPr>
                <w:rFonts w:ascii="inherit" w:hAnsi="inherit"/>
                <w:sz w:val="17"/>
              </w:rPr>
            </w:pPr>
            <w:r>
              <w:rPr>
                <w:rFonts w:ascii="inherit" w:hAnsi="inherit"/>
                <w:sz w:val="17"/>
              </w:rPr>
              <w:t>3</w:t>
            </w:r>
          </w:p>
        </w:tc>
        <w:tc>
          <w:tcPr>
            <w:tcW w:w="260" w:type="dxa"/>
            <w:tcBorders/>
            <w:shd w:fill="auto" w:val="clear"/>
            <w:vAlign w:val="center"/>
          </w:tcPr>
          <w:p>
            <w:pPr>
              <w:pStyle w:val="TableContents"/>
              <w:spacing w:before="0" w:after="0"/>
              <w:ind w:left="0" w:right="0" w:firstLine="30"/>
              <w:jc w:val="left"/>
              <w:rPr/>
            </w:pPr>
            <w:r>
              <w:rPr/>
              <w:t> </w:t>
            </w: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(15,262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(15,884</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50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622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90" w:type="dxa"/>
            <w:tcBorders/>
            <w:shd w:fill="auto" w:val="clear"/>
            <w:vAlign w:val="center"/>
          </w:tcPr>
          <w:p>
            <w:pPr>
              <w:pStyle w:val="TableContents"/>
              <w:spacing w:before="0" w:after="0"/>
              <w:jc w:val="right"/>
              <w:rPr>
                <w:rFonts w:ascii="inherit" w:hAnsi="inherit"/>
                <w:sz w:val="17"/>
              </w:rPr>
            </w:pPr>
            <w:r>
              <w:rPr>
                <w:rFonts w:ascii="inherit" w:hAnsi="inherit"/>
                <w:sz w:val="17"/>
              </w:rPr>
              <w:t>4</w:t>
            </w:r>
          </w:p>
        </w:tc>
        <w:tc>
          <w:tcPr>
            <w:tcW w:w="279" w:type="dxa"/>
            <w:tcBorders/>
            <w:shd w:fill="auto" w:val="clear"/>
            <w:vAlign w:val="center"/>
          </w:tcPr>
          <w:p>
            <w:pPr>
              <w:pStyle w:val="TableContents"/>
              <w:spacing w:before="0" w:after="0"/>
              <w:ind w:left="0" w:right="0" w:firstLine="30"/>
              <w:jc w:val="left"/>
              <w:rPr/>
            </w:pPr>
            <w:r>
              <w:rPr/>
              <w:t> </w:t>
            </w:r>
            <w:r>
              <w:rPr>
                <w:rFonts w:ascii="inherit" w:hAnsi="inherit"/>
                <w:sz w:val="17"/>
              </w:rPr>
              <w:t>%</w:t>
            </w:r>
          </w:p>
        </w:tc>
      </w:tr>
      <w:tr>
        <w:trPr/>
        <w:tc>
          <w:tcPr>
            <w:tcW w:w="39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Field operating costs</w:t>
            </w:r>
          </w:p>
        </w:tc>
        <w:tc>
          <w:tcPr>
            <w:tcW w:w="90" w:type="dxa"/>
            <w:tcBorders/>
            <w:shd w:fill="CCEEFF" w:val="clear"/>
            <w:vAlign w:val="center"/>
          </w:tcPr>
          <w:p>
            <w:pPr>
              <w:pStyle w:val="TableContents"/>
              <w:spacing w:before="0" w:after="0"/>
              <w:ind w:left="0" w:right="0" w:firstLine="30"/>
              <w:rPr/>
            </w:pPr>
            <w:r>
              <w:rPr/>
              <w:t> </w:t>
            </w:r>
          </w:p>
        </w:tc>
        <w:tc>
          <w:tcPr>
            <w:tcW w:w="61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(70</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61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(66</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50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290" w:type="dxa"/>
            <w:tcBorders/>
            <w:shd w:fill="CCEEFF" w:val="clear"/>
            <w:vAlign w:val="center"/>
          </w:tcPr>
          <w:p>
            <w:pPr>
              <w:pStyle w:val="TableContents"/>
              <w:spacing w:before="0" w:after="0"/>
              <w:jc w:val="right"/>
              <w:rPr>
                <w:rFonts w:ascii="inherit" w:hAnsi="inherit"/>
                <w:sz w:val="17"/>
              </w:rPr>
            </w:pPr>
            <w:r>
              <w:rPr>
                <w:rFonts w:ascii="inherit" w:hAnsi="inherit"/>
                <w:sz w:val="17"/>
              </w:rPr>
              <w:t>(6</w:t>
            </w:r>
          </w:p>
        </w:tc>
        <w:tc>
          <w:tcPr>
            <w:tcW w:w="2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(139</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(131</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50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290" w:type="dxa"/>
            <w:tcBorders/>
            <w:shd w:fill="CCEEFF" w:val="clear"/>
            <w:vAlign w:val="center"/>
          </w:tcPr>
          <w:p>
            <w:pPr>
              <w:pStyle w:val="TableContents"/>
              <w:spacing w:before="0" w:after="0"/>
              <w:jc w:val="right"/>
              <w:rPr>
                <w:rFonts w:ascii="inherit" w:hAnsi="inherit"/>
                <w:sz w:val="17"/>
              </w:rPr>
            </w:pPr>
            <w:r>
              <w:rPr>
                <w:rFonts w:ascii="inherit" w:hAnsi="inherit"/>
                <w:sz w:val="17"/>
              </w:rPr>
              <w:t>(6</w:t>
            </w:r>
          </w:p>
        </w:tc>
        <w:tc>
          <w:tcPr>
            <w:tcW w:w="27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954" w:type="dxa"/>
            <w:tcBorders/>
            <w:shd w:fill="auto" w:val="clear"/>
            <w:vAlign w:val="center"/>
          </w:tcPr>
          <w:p>
            <w:pPr>
              <w:pStyle w:val="TableContents"/>
              <w:spacing w:lineRule="auto" w:line="288" w:before="0" w:after="0"/>
              <w:ind w:left="0" w:right="0" w:firstLine="30"/>
              <w:rPr>
                <w:sz w:val="17"/>
              </w:rPr>
            </w:pPr>
            <w:r>
              <w:rPr>
                <w:rFonts w:ascii="inherit" w:hAnsi="inherit"/>
                <w:sz w:val="17"/>
              </w:rPr>
              <w:t xml:space="preserve">Segment general and administrative expenses </w:t>
            </w:r>
            <w:r>
              <w:rPr>
                <w:rFonts w:ascii="inherit" w:hAnsi="inherit"/>
                <w:sz w:val="12"/>
              </w:rPr>
              <w:t>(2)</w:t>
            </w:r>
          </w:p>
        </w:tc>
        <w:tc>
          <w:tcPr>
            <w:tcW w:w="90" w:type="dxa"/>
            <w:tcBorders/>
            <w:shd w:fill="auto" w:val="clear"/>
            <w:vAlign w:val="center"/>
          </w:tcPr>
          <w:p>
            <w:pPr>
              <w:pStyle w:val="TableContents"/>
              <w:spacing w:before="0" w:after="0"/>
              <w:ind w:left="0" w:right="0" w:firstLine="30"/>
              <w:rPr/>
            </w:pPr>
            <w:r>
              <w:rPr/>
              <w:t> </w:t>
            </w:r>
          </w:p>
        </w:tc>
        <w:tc>
          <w:tcPr>
            <w:tcW w:w="61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(27</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61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(29</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50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90" w:type="dxa"/>
            <w:tcBorders/>
            <w:shd w:fill="auto" w:val="clear"/>
            <w:vAlign w:val="center"/>
          </w:tcPr>
          <w:p>
            <w:pPr>
              <w:pStyle w:val="TableContents"/>
              <w:spacing w:before="0" w:after="0"/>
              <w:jc w:val="right"/>
              <w:rPr>
                <w:rFonts w:ascii="inherit" w:hAnsi="inherit"/>
                <w:sz w:val="17"/>
              </w:rPr>
            </w:pPr>
            <w:r>
              <w:rPr>
                <w:rFonts w:ascii="inherit" w:hAnsi="inherit"/>
                <w:sz w:val="17"/>
              </w:rPr>
              <w:t>7</w:t>
            </w:r>
          </w:p>
        </w:tc>
        <w:tc>
          <w:tcPr>
            <w:tcW w:w="260" w:type="dxa"/>
            <w:tcBorders/>
            <w:shd w:fill="auto" w:val="clear"/>
            <w:vAlign w:val="center"/>
          </w:tcPr>
          <w:p>
            <w:pPr>
              <w:pStyle w:val="TableContents"/>
              <w:spacing w:before="0" w:after="0"/>
              <w:ind w:left="0" w:right="0" w:firstLine="30"/>
              <w:jc w:val="left"/>
              <w:rPr/>
            </w:pPr>
            <w:r>
              <w:rPr/>
              <w:t> </w:t>
            </w: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(56</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(59</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50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90" w:type="dxa"/>
            <w:tcBorders/>
            <w:shd w:fill="auto" w:val="clear"/>
            <w:vAlign w:val="center"/>
          </w:tcPr>
          <w:p>
            <w:pPr>
              <w:pStyle w:val="TableContents"/>
              <w:spacing w:before="0" w:after="0"/>
              <w:jc w:val="right"/>
              <w:rPr>
                <w:rFonts w:ascii="inherit" w:hAnsi="inherit"/>
                <w:sz w:val="17"/>
              </w:rPr>
            </w:pPr>
            <w:r>
              <w:rPr>
                <w:rFonts w:ascii="inherit" w:hAnsi="inherit"/>
                <w:sz w:val="17"/>
              </w:rPr>
              <w:t>5</w:t>
            </w:r>
          </w:p>
        </w:tc>
        <w:tc>
          <w:tcPr>
            <w:tcW w:w="279" w:type="dxa"/>
            <w:tcBorders/>
            <w:shd w:fill="auto" w:val="clear"/>
            <w:vAlign w:val="center"/>
          </w:tcPr>
          <w:p>
            <w:pPr>
              <w:pStyle w:val="TableContents"/>
              <w:spacing w:before="0" w:after="0"/>
              <w:ind w:left="0" w:right="0" w:firstLine="30"/>
              <w:jc w:val="left"/>
              <w:rPr/>
            </w:pPr>
            <w:r>
              <w:rPr/>
              <w:t> </w:t>
            </w:r>
            <w:r>
              <w:rPr>
                <w:rFonts w:ascii="inherit" w:hAnsi="inherit"/>
                <w:sz w:val="17"/>
              </w:rPr>
              <w:t>%</w:t>
            </w:r>
          </w:p>
        </w:tc>
      </w:tr>
      <w:tr>
        <w:trPr/>
        <w:tc>
          <w:tcPr>
            <w:tcW w:w="3954"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21"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21"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61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550" w:type="dxa"/>
            <w:gridSpan w:val="2"/>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82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2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61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569" w:type="dxa"/>
            <w:gridSpan w:val="2"/>
            <w:tcBorders/>
            <w:shd w:fill="CCEEFF" w:val="clear"/>
            <w:vAlign w:val="center"/>
          </w:tcPr>
          <w:p>
            <w:pPr>
              <w:pStyle w:val="TableContents"/>
              <w:spacing w:before="0" w:after="0"/>
              <w:ind w:left="0" w:right="0" w:firstLine="30"/>
              <w:rPr/>
            </w:pPr>
            <w:r>
              <w:rPr/>
              <w:t> </w:t>
            </w:r>
          </w:p>
        </w:tc>
      </w:tr>
      <w:tr>
        <w:trPr/>
        <w:tc>
          <w:tcPr>
            <w:tcW w:w="3954" w:type="dxa"/>
            <w:tcBorders/>
            <w:shd w:fill="auto" w:val="clear"/>
            <w:vAlign w:val="center"/>
          </w:tcPr>
          <w:p>
            <w:pPr>
              <w:pStyle w:val="TableContents"/>
              <w:spacing w:lineRule="auto" w:line="288" w:before="0" w:after="0"/>
              <w:ind w:left="0" w:right="0" w:firstLine="30"/>
              <w:rPr>
                <w:sz w:val="17"/>
              </w:rPr>
            </w:pPr>
            <w:r>
              <w:rPr>
                <w:rFonts w:ascii="inherit" w:hAnsi="inherit"/>
                <w:sz w:val="17"/>
              </w:rPr>
              <w:t xml:space="preserve">Adjustments </w:t>
            </w:r>
            <w:r>
              <w:rPr>
                <w:rFonts w:ascii="inherit" w:hAnsi="inherit"/>
                <w:sz w:val="12"/>
              </w:rPr>
              <w:t>(3)</w:t>
            </w: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721"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21"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1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550" w:type="dxa"/>
            <w:gridSpan w:val="2"/>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1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569" w:type="dxa"/>
            <w:gridSpan w:val="2"/>
            <w:tcBorders/>
            <w:shd w:fill="auto" w:val="clear"/>
            <w:vAlign w:val="center"/>
          </w:tcPr>
          <w:p>
            <w:pPr>
              <w:pStyle w:val="TableContents"/>
              <w:spacing w:before="0" w:after="0"/>
              <w:ind w:left="0" w:right="0" w:firstLine="30"/>
              <w:rPr/>
            </w:pPr>
            <w:r>
              <w:rPr/>
              <w:t> </w:t>
            </w:r>
          </w:p>
        </w:tc>
      </w:tr>
      <w:tr>
        <w:trPr/>
        <w:tc>
          <w:tcPr>
            <w:tcW w:w="39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(Gains)/losses from derivative activities, net of inventory valuation adjustments</w:t>
            </w:r>
          </w:p>
        </w:tc>
        <w:tc>
          <w:tcPr>
            <w:tcW w:w="90" w:type="dxa"/>
            <w:tcBorders/>
            <w:shd w:fill="CCEEFF" w:val="clear"/>
            <w:vAlign w:val="center"/>
          </w:tcPr>
          <w:p>
            <w:pPr>
              <w:pStyle w:val="TableContents"/>
              <w:spacing w:before="0" w:after="0"/>
              <w:ind w:left="0" w:right="0" w:firstLine="30"/>
              <w:rPr/>
            </w:pPr>
            <w:r>
              <w:rPr/>
              <w:t> </w:t>
            </w:r>
          </w:p>
        </w:tc>
        <w:tc>
          <w:tcPr>
            <w:tcW w:w="61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49</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241</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0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(192</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290" w:type="dxa"/>
            <w:tcBorders/>
            <w:shd w:fill="CCEEFF" w:val="clear"/>
            <w:vAlign w:val="center"/>
          </w:tcPr>
          <w:p>
            <w:pPr>
              <w:pStyle w:val="TableContents"/>
              <w:spacing w:before="0" w:after="0"/>
              <w:jc w:val="right"/>
              <w:rPr>
                <w:rFonts w:ascii="inherit" w:hAnsi="inherit"/>
                <w:sz w:val="17"/>
              </w:rPr>
            </w:pPr>
            <w:r>
              <w:rPr>
                <w:rFonts w:ascii="inherit" w:hAnsi="inherit"/>
                <w:sz w:val="17"/>
              </w:rPr>
              <w:t>**</w:t>
            </w:r>
          </w:p>
        </w:tc>
        <w:tc>
          <w:tcPr>
            <w:tcW w:w="2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219</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0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(240</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290" w:type="dxa"/>
            <w:tcBorders/>
            <w:shd w:fill="CCEEFF" w:val="clear"/>
            <w:vAlign w:val="center"/>
          </w:tcPr>
          <w:p>
            <w:pPr>
              <w:pStyle w:val="TableContents"/>
              <w:spacing w:before="0" w:after="0"/>
              <w:jc w:val="right"/>
              <w:rPr>
                <w:rFonts w:ascii="inherit" w:hAnsi="inherit"/>
                <w:sz w:val="17"/>
              </w:rPr>
            </w:pPr>
            <w:r>
              <w:rPr>
                <w:rFonts w:ascii="inherit" w:hAnsi="inherit"/>
                <w:sz w:val="17"/>
              </w:rPr>
              <w:t>**</w:t>
            </w:r>
          </w:p>
        </w:tc>
        <w:tc>
          <w:tcPr>
            <w:tcW w:w="27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9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Long-term inventory costing adjustments</w:t>
            </w:r>
          </w:p>
        </w:tc>
        <w:tc>
          <w:tcPr>
            <w:tcW w:w="90" w:type="dxa"/>
            <w:tcBorders/>
            <w:shd w:fill="auto" w:val="clear"/>
            <w:vAlign w:val="center"/>
          </w:tcPr>
          <w:p>
            <w:pPr>
              <w:pStyle w:val="TableContents"/>
              <w:spacing w:before="0" w:after="0"/>
              <w:ind w:left="0" w:right="0" w:firstLine="30"/>
              <w:rPr/>
            </w:pPr>
            <w:r>
              <w:rPr/>
              <w:t> </w:t>
            </w:r>
          </w:p>
        </w:tc>
        <w:tc>
          <w:tcPr>
            <w:tcW w:w="61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0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90" w:type="dxa"/>
            <w:tcBorders/>
            <w:shd w:fill="auto" w:val="clear"/>
            <w:vAlign w:val="center"/>
          </w:tcPr>
          <w:p>
            <w:pPr>
              <w:pStyle w:val="TableContents"/>
              <w:spacing w:before="0" w:after="0"/>
              <w:jc w:val="right"/>
              <w:rPr>
                <w:rFonts w:ascii="inherit" w:hAnsi="inherit"/>
                <w:sz w:val="17"/>
              </w:rPr>
            </w:pPr>
            <w:r>
              <w:rPr>
                <w:rFonts w:ascii="inherit" w:hAnsi="inherit"/>
                <w:sz w:val="17"/>
              </w:rPr>
              <w:t>**</w:t>
            </w:r>
          </w:p>
        </w:tc>
        <w:tc>
          <w:tcPr>
            <w:tcW w:w="2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50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90" w:type="dxa"/>
            <w:tcBorders/>
            <w:shd w:fill="auto" w:val="clear"/>
            <w:vAlign w:val="center"/>
          </w:tcPr>
          <w:p>
            <w:pPr>
              <w:pStyle w:val="TableContents"/>
              <w:spacing w:before="0" w:after="0"/>
              <w:jc w:val="right"/>
              <w:rPr>
                <w:rFonts w:ascii="inherit" w:hAnsi="inherit"/>
                <w:sz w:val="17"/>
              </w:rPr>
            </w:pPr>
            <w:r>
              <w:rPr>
                <w:rFonts w:ascii="inherit" w:hAnsi="inherit"/>
                <w:sz w:val="17"/>
              </w:rPr>
              <w:t>**</w:t>
            </w:r>
          </w:p>
        </w:tc>
        <w:tc>
          <w:tcPr>
            <w:tcW w:w="27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9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Equity-indexed compensation expense</w:t>
            </w:r>
          </w:p>
        </w:tc>
        <w:tc>
          <w:tcPr>
            <w:tcW w:w="90" w:type="dxa"/>
            <w:tcBorders/>
            <w:shd w:fill="CCEEFF" w:val="clear"/>
            <w:vAlign w:val="center"/>
          </w:tcPr>
          <w:p>
            <w:pPr>
              <w:pStyle w:val="TableContents"/>
              <w:spacing w:before="0" w:after="0"/>
              <w:ind w:left="0" w:right="0" w:firstLine="30"/>
              <w:rPr/>
            </w:pPr>
            <w:r>
              <w:rPr/>
              <w:t> </w:t>
            </w:r>
          </w:p>
        </w:tc>
        <w:tc>
          <w:tcPr>
            <w:tcW w:w="61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0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290" w:type="dxa"/>
            <w:tcBorders/>
            <w:shd w:fill="CCEEFF" w:val="clear"/>
            <w:vAlign w:val="center"/>
          </w:tcPr>
          <w:p>
            <w:pPr>
              <w:pStyle w:val="TableContents"/>
              <w:spacing w:before="0" w:after="0"/>
              <w:jc w:val="right"/>
              <w:rPr>
                <w:rFonts w:ascii="inherit" w:hAnsi="inherit"/>
                <w:sz w:val="17"/>
              </w:rPr>
            </w:pPr>
            <w:r>
              <w:rPr>
                <w:rFonts w:ascii="inherit" w:hAnsi="inherit"/>
                <w:sz w:val="17"/>
              </w:rPr>
              <w:t>**</w:t>
            </w:r>
          </w:p>
        </w:tc>
        <w:tc>
          <w:tcPr>
            <w:tcW w:w="2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0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290" w:type="dxa"/>
            <w:tcBorders/>
            <w:shd w:fill="CCEEFF" w:val="clear"/>
            <w:vAlign w:val="center"/>
          </w:tcPr>
          <w:p>
            <w:pPr>
              <w:pStyle w:val="TableContents"/>
              <w:spacing w:before="0" w:after="0"/>
              <w:jc w:val="right"/>
              <w:rPr>
                <w:rFonts w:ascii="inherit" w:hAnsi="inherit"/>
                <w:sz w:val="17"/>
              </w:rPr>
            </w:pPr>
            <w:r>
              <w:rPr>
                <w:rFonts w:ascii="inherit" w:hAnsi="inherit"/>
                <w:sz w:val="17"/>
              </w:rPr>
              <w:t>**</w:t>
            </w:r>
          </w:p>
        </w:tc>
        <w:tc>
          <w:tcPr>
            <w:tcW w:w="27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9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(gain)/loss on foreign currency revaluation</w:t>
            </w:r>
          </w:p>
        </w:tc>
        <w:tc>
          <w:tcPr>
            <w:tcW w:w="90" w:type="dxa"/>
            <w:tcBorders/>
            <w:shd w:fill="auto" w:val="clear"/>
            <w:vAlign w:val="center"/>
          </w:tcPr>
          <w:p>
            <w:pPr>
              <w:pStyle w:val="TableContents"/>
              <w:spacing w:before="0" w:after="0"/>
              <w:ind w:left="0" w:right="0" w:firstLine="30"/>
              <w:rPr/>
            </w:pPr>
            <w:r>
              <w:rPr/>
              <w:t> </w:t>
            </w:r>
          </w:p>
        </w:tc>
        <w:tc>
          <w:tcPr>
            <w:tcW w:w="61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50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90" w:type="dxa"/>
            <w:tcBorders/>
            <w:shd w:fill="auto" w:val="clear"/>
            <w:vAlign w:val="center"/>
          </w:tcPr>
          <w:p>
            <w:pPr>
              <w:pStyle w:val="TableContents"/>
              <w:spacing w:before="0" w:after="0"/>
              <w:jc w:val="right"/>
              <w:rPr>
                <w:rFonts w:ascii="inherit" w:hAnsi="inherit"/>
                <w:sz w:val="17"/>
              </w:rPr>
            </w:pPr>
            <w:r>
              <w:rPr>
                <w:rFonts w:ascii="inherit" w:hAnsi="inherit"/>
                <w:sz w:val="17"/>
              </w:rPr>
              <w:t>**</w:t>
            </w:r>
          </w:p>
        </w:tc>
        <w:tc>
          <w:tcPr>
            <w:tcW w:w="2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0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90" w:type="dxa"/>
            <w:tcBorders/>
            <w:shd w:fill="auto" w:val="clear"/>
            <w:vAlign w:val="center"/>
          </w:tcPr>
          <w:p>
            <w:pPr>
              <w:pStyle w:val="TableContents"/>
              <w:spacing w:before="0" w:after="0"/>
              <w:jc w:val="right"/>
              <w:rPr>
                <w:rFonts w:ascii="inherit" w:hAnsi="inherit"/>
                <w:sz w:val="17"/>
              </w:rPr>
            </w:pPr>
            <w:r>
              <w:rPr>
                <w:rFonts w:ascii="inherit" w:hAnsi="inherit"/>
                <w:sz w:val="17"/>
              </w:rPr>
              <w:t>**</w:t>
            </w:r>
          </w:p>
        </w:tc>
        <w:tc>
          <w:tcPr>
            <w:tcW w:w="27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9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Adjusted EBITDA</w:t>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200</w:t>
            </w:r>
          </w:p>
        </w:tc>
        <w:tc>
          <w:tcPr>
            <w:tcW w:w="11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(26</w:t>
            </w:r>
          </w:p>
        </w:tc>
        <w:tc>
          <w:tcPr>
            <w:tcW w:w="11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8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226</w:t>
            </w:r>
          </w:p>
        </w:tc>
        <w:tc>
          <w:tcPr>
            <w:tcW w:w="11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9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w:t>
            </w:r>
          </w:p>
        </w:tc>
        <w:tc>
          <w:tcPr>
            <w:tcW w:w="26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478</w:t>
            </w:r>
          </w:p>
        </w:tc>
        <w:tc>
          <w:tcPr>
            <w:tcW w:w="11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45</w:t>
            </w:r>
          </w:p>
        </w:tc>
        <w:tc>
          <w:tcPr>
            <w:tcW w:w="11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8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433</w:t>
            </w:r>
          </w:p>
        </w:tc>
        <w:tc>
          <w:tcPr>
            <w:tcW w:w="11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9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w:t>
            </w:r>
          </w:p>
        </w:tc>
        <w:tc>
          <w:tcPr>
            <w:tcW w:w="27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9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Maintenance capital</w:t>
            </w:r>
          </w:p>
        </w:tc>
        <w:tc>
          <w:tcPr>
            <w:tcW w:w="90" w:type="dxa"/>
            <w:tcBorders/>
            <w:shd w:fill="auto" w:val="clear"/>
            <w:vAlign w:val="center"/>
          </w:tcPr>
          <w:p>
            <w:pPr>
              <w:pStyle w:val="TableContents"/>
              <w:spacing w:before="0" w:after="0"/>
              <w:ind w:left="0" w:right="0" w:firstLine="30"/>
              <w:rPr/>
            </w:pPr>
            <w:r>
              <w:rPr/>
              <w:t> </w:t>
            </w:r>
          </w:p>
        </w:tc>
        <w:tc>
          <w:tcPr>
            <w:tcW w:w="12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6"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w:t>
            </w:r>
          </w:p>
        </w:tc>
        <w:tc>
          <w:tcPr>
            <w:tcW w:w="11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6"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w:t>
            </w:r>
          </w:p>
        </w:tc>
        <w:tc>
          <w:tcPr>
            <w:tcW w:w="11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8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w:t>
            </w:r>
          </w:p>
        </w:tc>
        <w:tc>
          <w:tcPr>
            <w:tcW w:w="110"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29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(40</w:t>
            </w:r>
          </w:p>
        </w:tc>
        <w:tc>
          <w:tcPr>
            <w:tcW w:w="260"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12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w:t>
            </w:r>
          </w:p>
        </w:tc>
        <w:tc>
          <w:tcPr>
            <w:tcW w:w="11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w:t>
            </w:r>
          </w:p>
        </w:tc>
        <w:tc>
          <w:tcPr>
            <w:tcW w:w="11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8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w:t>
            </w:r>
          </w:p>
        </w:tc>
        <w:tc>
          <w:tcPr>
            <w:tcW w:w="110"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29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(17</w:t>
            </w:r>
          </w:p>
        </w:tc>
        <w:tc>
          <w:tcPr>
            <w:tcW w:w="279"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9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Adjusted EBITDA per barrel</w:t>
            </w:r>
          </w:p>
        </w:tc>
        <w:tc>
          <w:tcPr>
            <w:tcW w:w="9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1.74</w:t>
            </w:r>
          </w:p>
        </w:tc>
        <w:tc>
          <w:tcPr>
            <w:tcW w:w="11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(0.24</w:t>
            </w:r>
          </w:p>
        </w:tc>
        <w:tc>
          <w:tcPr>
            <w:tcW w:w="110"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8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1.98</w:t>
            </w:r>
          </w:p>
        </w:tc>
        <w:tc>
          <w:tcPr>
            <w:tcW w:w="11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9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w:t>
            </w:r>
          </w:p>
        </w:tc>
        <w:tc>
          <w:tcPr>
            <w:tcW w:w="26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1.95</w:t>
            </w:r>
          </w:p>
        </w:tc>
        <w:tc>
          <w:tcPr>
            <w:tcW w:w="11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0.19</w:t>
            </w:r>
          </w:p>
        </w:tc>
        <w:tc>
          <w:tcPr>
            <w:tcW w:w="11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8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1.76</w:t>
            </w:r>
          </w:p>
        </w:tc>
        <w:tc>
          <w:tcPr>
            <w:tcW w:w="11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9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w:t>
            </w:r>
          </w:p>
        </w:tc>
        <w:tc>
          <w:tcPr>
            <w:tcW w:w="279"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9670" w:type="dxa"/>
        <w:jc w:val="left"/>
        <w:tblInd w:w="0" w:type="dxa"/>
        <w:tblCellMar>
          <w:top w:w="0" w:type="dxa"/>
          <w:left w:w="0" w:type="dxa"/>
          <w:bottom w:w="0" w:type="dxa"/>
          <w:right w:w="0" w:type="dxa"/>
        </w:tblCellMar>
      </w:tblPr>
      <w:tblGrid>
        <w:gridCol w:w="3725"/>
        <w:gridCol w:w="90"/>
        <w:gridCol w:w="671"/>
        <w:gridCol w:w="41"/>
        <w:gridCol w:w="124"/>
        <w:gridCol w:w="671"/>
        <w:gridCol w:w="41"/>
        <w:gridCol w:w="90"/>
        <w:gridCol w:w="493"/>
        <w:gridCol w:w="187"/>
        <w:gridCol w:w="90"/>
        <w:gridCol w:w="185"/>
        <w:gridCol w:w="260"/>
        <w:gridCol w:w="90"/>
        <w:gridCol w:w="90"/>
        <w:gridCol w:w="586"/>
        <w:gridCol w:w="36"/>
        <w:gridCol w:w="108"/>
        <w:gridCol w:w="586"/>
        <w:gridCol w:w="36"/>
        <w:gridCol w:w="90"/>
        <w:gridCol w:w="493"/>
        <w:gridCol w:w="187"/>
        <w:gridCol w:w="90"/>
        <w:gridCol w:w="185"/>
        <w:gridCol w:w="425"/>
      </w:tblGrid>
      <w:tr>
        <w:trPr/>
        <w:tc>
          <w:tcPr>
            <w:tcW w:w="9670" w:type="dxa"/>
            <w:gridSpan w:val="26"/>
            <w:tcBorders/>
            <w:shd w:fill="auto" w:val="clear"/>
            <w:vAlign w:val="center"/>
          </w:tcPr>
          <w:p>
            <w:pPr>
              <w:pStyle w:val="TableContents"/>
              <w:spacing w:before="0" w:after="283"/>
              <w:rPr>
                <w:sz w:val="4"/>
                <w:szCs w:val="4"/>
              </w:rPr>
            </w:pPr>
            <w:r>
              <w:rPr>
                <w:sz w:val="4"/>
                <w:szCs w:val="4"/>
              </w:rPr>
            </w:r>
          </w:p>
        </w:tc>
      </w:tr>
      <w:tr>
        <w:trPr/>
        <w:tc>
          <w:tcPr>
            <w:tcW w:w="372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41"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4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36"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3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725" w:type="dxa"/>
            <w:tcBorders/>
            <w:shd w:fill="auto" w:val="clear"/>
            <w:vAlign w:val="center"/>
          </w:tcPr>
          <w:p>
            <w:pPr>
              <w:pStyle w:val="TableContents"/>
              <w:spacing w:lineRule="auto" w:line="288" w:before="0" w:after="0"/>
              <w:ind w:left="0" w:right="0" w:firstLine="30"/>
              <w:rPr>
                <w:sz w:val="13"/>
              </w:rPr>
            </w:pPr>
            <w:r>
              <w:rPr>
                <w:rFonts w:ascii="inherit" w:hAnsi="inherit"/>
                <w:b/>
                <w:sz w:val="13"/>
              </w:rPr>
              <w:t xml:space="preserve">Average Daily Volumes </w:t>
            </w:r>
            <w:r>
              <w:rPr>
                <w:rFonts w:ascii="inherit" w:hAnsi="inherit"/>
                <w:b/>
                <w:sz w:val="8"/>
              </w:rPr>
              <w:t>(4)</w:t>
            </w:r>
          </w:p>
        </w:tc>
        <w:tc>
          <w:tcPr>
            <w:tcW w:w="90" w:type="dxa"/>
            <w:tcBorders/>
            <w:shd w:fill="auto" w:val="clear"/>
            <w:vAlign w:val="center"/>
          </w:tcPr>
          <w:p>
            <w:pPr>
              <w:pStyle w:val="TableContents"/>
              <w:spacing w:before="0" w:after="0"/>
              <w:ind w:left="0" w:right="0" w:firstLine="30"/>
              <w:rPr/>
            </w:pPr>
            <w:r>
              <w:rPr/>
              <w:t> </w:t>
            </w:r>
          </w:p>
        </w:tc>
        <w:tc>
          <w:tcPr>
            <w:tcW w:w="1548" w:type="dxa"/>
            <w:gridSpan w:val="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w:t>
              <w:br/>
              <w:t>June 30,</w:t>
            </w:r>
          </w:p>
        </w:tc>
        <w:tc>
          <w:tcPr>
            <w:tcW w:w="90" w:type="dxa"/>
            <w:tcBorders/>
            <w:shd w:fill="auto" w:val="clear"/>
            <w:vAlign w:val="center"/>
          </w:tcPr>
          <w:p>
            <w:pPr>
              <w:pStyle w:val="TableContents"/>
              <w:spacing w:before="0" w:after="0"/>
              <w:ind w:left="0" w:right="0" w:firstLine="30"/>
              <w:rPr/>
            </w:pPr>
            <w:r>
              <w:rPr/>
              <w:t> </w:t>
            </w:r>
          </w:p>
        </w:tc>
        <w:tc>
          <w:tcPr>
            <w:tcW w:w="1215" w:type="dxa"/>
            <w:gridSpan w:val="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Variance</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52" w:type="dxa"/>
            <w:gridSpan w:val="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w:t>
              <w:br/>
              <w:t>June 30,</w:t>
            </w:r>
          </w:p>
        </w:tc>
        <w:tc>
          <w:tcPr>
            <w:tcW w:w="90" w:type="dxa"/>
            <w:tcBorders/>
            <w:shd w:fill="auto" w:val="clear"/>
            <w:vAlign w:val="center"/>
          </w:tcPr>
          <w:p>
            <w:pPr>
              <w:pStyle w:val="TableContents"/>
              <w:spacing w:before="0" w:after="0"/>
              <w:ind w:left="0" w:right="0" w:firstLine="30"/>
              <w:rPr/>
            </w:pPr>
            <w:r>
              <w:rPr/>
              <w:t> </w:t>
            </w:r>
          </w:p>
        </w:tc>
        <w:tc>
          <w:tcPr>
            <w:tcW w:w="1380" w:type="dxa"/>
            <w:gridSpan w:val="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Variance</w:t>
            </w:r>
          </w:p>
        </w:tc>
      </w:tr>
      <w:tr>
        <w:trPr/>
        <w:tc>
          <w:tcPr>
            <w:tcW w:w="3725" w:type="dxa"/>
            <w:tcBorders>
              <w:bottom w:val="single" w:sz="2" w:space="0" w:color="000000"/>
            </w:tcBorders>
            <w:shd w:fill="auto" w:val="clear"/>
            <w:tcMar>
              <w:bottom w:w="30" w:type="dxa"/>
            </w:tcMar>
            <w:vAlign w:val="center"/>
          </w:tcPr>
          <w:p>
            <w:pPr>
              <w:pStyle w:val="TableContents"/>
              <w:spacing w:before="0" w:after="0"/>
              <w:ind w:left="0" w:right="0" w:firstLine="30"/>
              <w:rPr>
                <w:rFonts w:ascii="inherit" w:hAnsi="inherit"/>
                <w:b/>
                <w:sz w:val="13"/>
              </w:rPr>
            </w:pPr>
            <w:r>
              <w:rPr>
                <w:rFonts w:ascii="inherit" w:hAnsi="inherit"/>
                <w:b/>
                <w:sz w:val="13"/>
              </w:rPr>
              <w:t>(in thousands of barrels per day)</w:t>
            </w:r>
          </w:p>
        </w:tc>
        <w:tc>
          <w:tcPr>
            <w:tcW w:w="90" w:type="dxa"/>
            <w:tcBorders/>
            <w:shd w:fill="auto" w:val="clear"/>
            <w:vAlign w:val="center"/>
          </w:tcPr>
          <w:p>
            <w:pPr>
              <w:pStyle w:val="TableContents"/>
              <w:spacing w:before="0" w:after="0"/>
              <w:ind w:left="0" w:right="0" w:firstLine="30"/>
              <w:rPr/>
            </w:pPr>
            <w:r>
              <w:rPr/>
              <w:t> </w:t>
            </w:r>
          </w:p>
        </w:tc>
        <w:tc>
          <w:tcPr>
            <w:tcW w:w="712"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124" w:type="dxa"/>
            <w:tcBorders/>
            <w:shd w:fill="auto" w:val="clear"/>
            <w:vAlign w:val="center"/>
          </w:tcPr>
          <w:p>
            <w:pPr>
              <w:pStyle w:val="TableContents"/>
              <w:spacing w:before="0" w:after="0"/>
              <w:ind w:left="0" w:right="0" w:firstLine="30"/>
              <w:rPr/>
            </w:pPr>
            <w:r>
              <w:rPr/>
              <w:t> </w:t>
            </w:r>
          </w:p>
        </w:tc>
        <w:tc>
          <w:tcPr>
            <w:tcW w:w="712"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0" w:type="dxa"/>
            <w:tcBorders/>
            <w:shd w:fill="auto" w:val="clear"/>
            <w:vAlign w:val="center"/>
          </w:tcPr>
          <w:p>
            <w:pPr>
              <w:pStyle w:val="TableContents"/>
              <w:spacing w:before="0" w:after="0"/>
              <w:ind w:left="0" w:right="0" w:firstLine="30"/>
              <w:rPr/>
            </w:pPr>
            <w:r>
              <w:rPr/>
              <w:t> </w:t>
            </w:r>
          </w:p>
        </w:tc>
        <w:tc>
          <w:tcPr>
            <w:tcW w:w="680"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Volumes</w:t>
            </w:r>
          </w:p>
        </w:tc>
        <w:tc>
          <w:tcPr>
            <w:tcW w:w="90" w:type="dxa"/>
            <w:tcBorders/>
            <w:shd w:fill="auto" w:val="clear"/>
            <w:vAlign w:val="center"/>
          </w:tcPr>
          <w:p>
            <w:pPr>
              <w:pStyle w:val="TableContents"/>
              <w:spacing w:before="0" w:after="0"/>
              <w:ind w:left="0" w:right="0" w:firstLine="30"/>
              <w:rPr/>
            </w:pPr>
            <w:r>
              <w:rPr/>
              <w:t> </w:t>
            </w:r>
          </w:p>
        </w:tc>
        <w:tc>
          <w:tcPr>
            <w:tcW w:w="445"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w:t>
            </w:r>
          </w:p>
        </w:tc>
        <w:tc>
          <w:tcPr>
            <w:tcW w:w="9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22"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108" w:type="dxa"/>
            <w:tcBorders/>
            <w:shd w:fill="auto" w:val="clear"/>
            <w:vAlign w:val="center"/>
          </w:tcPr>
          <w:p>
            <w:pPr>
              <w:pStyle w:val="TableContents"/>
              <w:spacing w:before="0" w:after="0"/>
              <w:ind w:left="0" w:right="0" w:firstLine="30"/>
              <w:rPr/>
            </w:pPr>
            <w:r>
              <w:rPr/>
              <w:t> </w:t>
            </w:r>
          </w:p>
        </w:tc>
        <w:tc>
          <w:tcPr>
            <w:tcW w:w="622"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0" w:type="dxa"/>
            <w:tcBorders/>
            <w:shd w:fill="auto" w:val="clear"/>
            <w:vAlign w:val="center"/>
          </w:tcPr>
          <w:p>
            <w:pPr>
              <w:pStyle w:val="TableContents"/>
              <w:spacing w:before="0" w:after="0"/>
              <w:ind w:left="0" w:right="0" w:firstLine="30"/>
              <w:rPr/>
            </w:pPr>
            <w:r>
              <w:rPr/>
              <w:t> </w:t>
            </w:r>
          </w:p>
        </w:tc>
        <w:tc>
          <w:tcPr>
            <w:tcW w:w="680"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Volumes</w:t>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w:t>
            </w:r>
          </w:p>
        </w:tc>
      </w:tr>
      <w:tr>
        <w:trPr/>
        <w:tc>
          <w:tcPr>
            <w:tcW w:w="37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Crude oil lease gathering purchases</w:t>
            </w:r>
          </w:p>
        </w:tc>
        <w:tc>
          <w:tcPr>
            <w:tcW w:w="90" w:type="dxa"/>
            <w:tcBorders/>
            <w:shd w:fill="CCEEFF" w:val="clear"/>
            <w:vAlign w:val="center"/>
          </w:tcPr>
          <w:p>
            <w:pPr>
              <w:pStyle w:val="TableContents"/>
              <w:spacing w:before="0" w:after="0"/>
              <w:ind w:left="0" w:right="0" w:firstLine="30"/>
              <w:rPr/>
            </w:pPr>
            <w:r>
              <w:rPr/>
              <w:t> </w:t>
            </w:r>
          </w:p>
        </w:tc>
        <w:tc>
          <w:tcPr>
            <w:tcW w:w="671" w:type="dxa"/>
            <w:tcBorders/>
            <w:shd w:fill="CCEEFF" w:val="clear"/>
            <w:vAlign w:val="center"/>
          </w:tcPr>
          <w:p>
            <w:pPr>
              <w:pStyle w:val="TableContents"/>
              <w:spacing w:before="0" w:after="0"/>
              <w:jc w:val="right"/>
              <w:rPr>
                <w:rFonts w:ascii="inherit" w:hAnsi="inherit"/>
                <w:sz w:val="17"/>
              </w:rPr>
            </w:pPr>
            <w:r>
              <w:rPr>
                <w:rFonts w:ascii="inherit" w:hAnsi="inherit"/>
                <w:sz w:val="17"/>
              </w:rPr>
              <w:t>1,102</w:t>
            </w:r>
          </w:p>
        </w:tc>
        <w:tc>
          <w:tcPr>
            <w:tcW w:w="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671" w:type="dxa"/>
            <w:tcBorders/>
            <w:shd w:fill="CCEEFF" w:val="clear"/>
            <w:vAlign w:val="center"/>
          </w:tcPr>
          <w:p>
            <w:pPr>
              <w:pStyle w:val="TableContents"/>
              <w:spacing w:before="0" w:after="0"/>
              <w:jc w:val="right"/>
              <w:rPr>
                <w:rFonts w:ascii="inherit" w:hAnsi="inherit"/>
                <w:sz w:val="17"/>
              </w:rPr>
            </w:pPr>
            <w:r>
              <w:rPr>
                <w:rFonts w:ascii="inherit" w:hAnsi="inherit"/>
                <w:sz w:val="17"/>
              </w:rPr>
              <w:t>1,028</w:t>
            </w:r>
          </w:p>
        </w:tc>
        <w:tc>
          <w:tcPr>
            <w:tcW w:w="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493" w:type="dxa"/>
            <w:tcBorders/>
            <w:shd w:fill="CCEEFF" w:val="clear"/>
            <w:vAlign w:val="center"/>
          </w:tcPr>
          <w:p>
            <w:pPr>
              <w:pStyle w:val="TableContents"/>
              <w:spacing w:before="0" w:after="0"/>
              <w:jc w:val="right"/>
              <w:rPr>
                <w:rFonts w:ascii="inherit" w:hAnsi="inherit"/>
                <w:sz w:val="17"/>
              </w:rPr>
            </w:pPr>
            <w:r>
              <w:rPr>
                <w:rFonts w:ascii="inherit" w:hAnsi="inherit"/>
                <w:sz w:val="17"/>
              </w:rPr>
              <w:t>74</w:t>
            </w:r>
          </w:p>
        </w:tc>
        <w:tc>
          <w:tcPr>
            <w:tcW w:w="1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85" w:type="dxa"/>
            <w:tcBorders/>
            <w:shd w:fill="CCEEFF" w:val="clear"/>
            <w:vAlign w:val="center"/>
          </w:tcPr>
          <w:p>
            <w:pPr>
              <w:pStyle w:val="TableContents"/>
              <w:spacing w:before="0" w:after="0"/>
              <w:jc w:val="right"/>
              <w:rPr>
                <w:rFonts w:ascii="inherit" w:hAnsi="inherit"/>
                <w:sz w:val="17"/>
              </w:rPr>
            </w:pPr>
            <w:r>
              <w:rPr>
                <w:rFonts w:ascii="inherit" w:hAnsi="inherit"/>
                <w:sz w:val="17"/>
              </w:rPr>
              <w:t>7</w:t>
            </w:r>
          </w:p>
        </w:tc>
        <w:tc>
          <w:tcPr>
            <w:tcW w:w="260" w:type="dxa"/>
            <w:tcBorders/>
            <w:shd w:fill="CCEEFF" w:val="clear"/>
            <w:vAlign w:val="center"/>
          </w:tcPr>
          <w:p>
            <w:pPr>
              <w:pStyle w:val="TableContents"/>
              <w:spacing w:before="0" w:after="0"/>
              <w:ind w:left="0" w:right="0" w:firstLine="30"/>
              <w:jc w:val="left"/>
              <w:rPr/>
            </w:pPr>
            <w:r>
              <w:rPr/>
              <w:t> </w:t>
            </w: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586" w:type="dxa"/>
            <w:tcBorders/>
            <w:shd w:fill="CCEEFF" w:val="clear"/>
            <w:vAlign w:val="center"/>
          </w:tcPr>
          <w:p>
            <w:pPr>
              <w:pStyle w:val="TableContents"/>
              <w:spacing w:before="0" w:after="0"/>
              <w:jc w:val="right"/>
              <w:rPr>
                <w:rFonts w:ascii="inherit" w:hAnsi="inherit"/>
                <w:sz w:val="17"/>
              </w:rPr>
            </w:pPr>
            <w:r>
              <w:rPr>
                <w:rFonts w:ascii="inherit" w:hAnsi="inherit"/>
                <w:sz w:val="17"/>
              </w:rPr>
              <w:t>1,115</w:t>
            </w:r>
          </w:p>
        </w:tc>
        <w:tc>
          <w:tcPr>
            <w:tcW w:w="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 w:type="dxa"/>
            <w:tcBorders/>
            <w:shd w:fill="CCEEFF" w:val="clear"/>
            <w:vAlign w:val="center"/>
          </w:tcPr>
          <w:p>
            <w:pPr>
              <w:pStyle w:val="TableContents"/>
              <w:spacing w:before="0" w:after="0"/>
              <w:ind w:left="0" w:right="0" w:firstLine="30"/>
              <w:rPr/>
            </w:pPr>
            <w:r>
              <w:rPr/>
              <w:t> </w:t>
            </w:r>
          </w:p>
        </w:tc>
        <w:tc>
          <w:tcPr>
            <w:tcW w:w="586" w:type="dxa"/>
            <w:tcBorders/>
            <w:shd w:fill="CCEEFF" w:val="clear"/>
            <w:vAlign w:val="center"/>
          </w:tcPr>
          <w:p>
            <w:pPr>
              <w:pStyle w:val="TableContents"/>
              <w:spacing w:before="0" w:after="0"/>
              <w:jc w:val="right"/>
              <w:rPr>
                <w:rFonts w:ascii="inherit" w:hAnsi="inherit"/>
                <w:sz w:val="17"/>
              </w:rPr>
            </w:pPr>
            <w:r>
              <w:rPr>
                <w:rFonts w:ascii="inherit" w:hAnsi="inherit"/>
                <w:sz w:val="17"/>
              </w:rPr>
              <w:t>1,030</w:t>
            </w:r>
          </w:p>
        </w:tc>
        <w:tc>
          <w:tcPr>
            <w:tcW w:w="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493" w:type="dxa"/>
            <w:tcBorders/>
            <w:shd w:fill="CCEEFF" w:val="clear"/>
            <w:vAlign w:val="center"/>
          </w:tcPr>
          <w:p>
            <w:pPr>
              <w:pStyle w:val="TableContents"/>
              <w:spacing w:before="0" w:after="0"/>
              <w:jc w:val="right"/>
              <w:rPr>
                <w:rFonts w:ascii="inherit" w:hAnsi="inherit"/>
                <w:sz w:val="17"/>
              </w:rPr>
            </w:pPr>
            <w:r>
              <w:rPr>
                <w:rFonts w:ascii="inherit" w:hAnsi="inherit"/>
                <w:sz w:val="17"/>
              </w:rPr>
              <w:t>85</w:t>
            </w:r>
          </w:p>
        </w:tc>
        <w:tc>
          <w:tcPr>
            <w:tcW w:w="1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85" w:type="dxa"/>
            <w:tcBorders/>
            <w:shd w:fill="CCEEFF" w:val="clear"/>
            <w:vAlign w:val="center"/>
          </w:tcPr>
          <w:p>
            <w:pPr>
              <w:pStyle w:val="TableContents"/>
              <w:spacing w:before="0" w:after="0"/>
              <w:jc w:val="right"/>
              <w:rPr>
                <w:rFonts w:ascii="inherit" w:hAnsi="inherit"/>
                <w:sz w:val="17"/>
              </w:rPr>
            </w:pPr>
            <w:r>
              <w:rPr>
                <w:rFonts w:ascii="inherit" w:hAnsi="inherit"/>
                <w:sz w:val="17"/>
              </w:rPr>
              <w:t>8</w:t>
            </w:r>
          </w:p>
        </w:tc>
        <w:tc>
          <w:tcPr>
            <w:tcW w:w="425" w:type="dxa"/>
            <w:tcBorders/>
            <w:shd w:fill="CCEEFF" w:val="clear"/>
            <w:vAlign w:val="center"/>
          </w:tcPr>
          <w:p>
            <w:pPr>
              <w:pStyle w:val="TableContents"/>
              <w:spacing w:before="0" w:after="0"/>
              <w:ind w:left="0" w:right="0" w:firstLine="30"/>
              <w:jc w:val="left"/>
              <w:rPr/>
            </w:pPr>
            <w:r>
              <w:rPr/>
              <w:t> </w:t>
            </w:r>
            <w:r>
              <w:rPr>
                <w:rFonts w:ascii="inherit" w:hAnsi="inherit"/>
                <w:sz w:val="17"/>
              </w:rPr>
              <w:t>%</w:t>
            </w:r>
          </w:p>
        </w:tc>
      </w:tr>
      <w:tr>
        <w:trPr/>
        <w:tc>
          <w:tcPr>
            <w:tcW w:w="37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NGL sales</w:t>
            </w:r>
          </w:p>
        </w:tc>
        <w:tc>
          <w:tcPr>
            <w:tcW w:w="90" w:type="dxa"/>
            <w:tcBorders/>
            <w:shd w:fill="auto" w:val="clear"/>
            <w:vAlign w:val="center"/>
          </w:tcPr>
          <w:p>
            <w:pPr>
              <w:pStyle w:val="TableContents"/>
              <w:spacing w:before="0" w:after="0"/>
              <w:ind w:left="0" w:right="0" w:firstLine="30"/>
              <w:rPr/>
            </w:pPr>
            <w:r>
              <w:rPr/>
              <w:t> </w:t>
            </w:r>
          </w:p>
        </w:tc>
        <w:tc>
          <w:tcPr>
            <w:tcW w:w="671"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158</w:t>
            </w:r>
          </w:p>
        </w:tc>
        <w:tc>
          <w:tcPr>
            <w:tcW w:w="4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671"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174</w:t>
            </w:r>
          </w:p>
        </w:tc>
        <w:tc>
          <w:tcPr>
            <w:tcW w:w="4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93"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w:t>
            </w:r>
          </w:p>
        </w:tc>
        <w:tc>
          <w:tcPr>
            <w:tcW w:w="187"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85"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w:t>
            </w:r>
          </w:p>
        </w:tc>
        <w:tc>
          <w:tcPr>
            <w:tcW w:w="26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586"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242</w:t>
            </w:r>
          </w:p>
        </w:tc>
        <w:tc>
          <w:tcPr>
            <w:tcW w:w="3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 w:type="dxa"/>
            <w:tcBorders/>
            <w:shd w:fill="auto" w:val="clear"/>
            <w:vAlign w:val="center"/>
          </w:tcPr>
          <w:p>
            <w:pPr>
              <w:pStyle w:val="TableContents"/>
              <w:spacing w:before="0" w:after="0"/>
              <w:ind w:left="0" w:right="0" w:firstLine="30"/>
              <w:rPr/>
            </w:pPr>
            <w:r>
              <w:rPr/>
              <w:t> </w:t>
            </w:r>
          </w:p>
        </w:tc>
        <w:tc>
          <w:tcPr>
            <w:tcW w:w="586"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266</w:t>
            </w:r>
          </w:p>
        </w:tc>
        <w:tc>
          <w:tcPr>
            <w:tcW w:w="3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93"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(24</w:t>
            </w:r>
          </w:p>
        </w:tc>
        <w:tc>
          <w:tcPr>
            <w:tcW w:w="187"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85"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w:t>
            </w:r>
          </w:p>
        </w:tc>
        <w:tc>
          <w:tcPr>
            <w:tcW w:w="425" w:type="dxa"/>
            <w:tcBorders>
              <w:bottom w:val="single" w:sz="2" w:space="0" w:color="000000"/>
            </w:tcBorders>
            <w:shd w:fill="auto" w:val="clear"/>
            <w:tcMar>
              <w:bottom w:w="30" w:type="dxa"/>
            </w:tcM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37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Supply and Logistics segment total volumes</w:t>
            </w:r>
          </w:p>
        </w:tc>
        <w:tc>
          <w:tcPr>
            <w:tcW w:w="90" w:type="dxa"/>
            <w:tcBorders/>
            <w:shd w:fill="CCEEFF" w:val="clear"/>
            <w:vAlign w:val="center"/>
          </w:tcPr>
          <w:p>
            <w:pPr>
              <w:pStyle w:val="TableContents"/>
              <w:spacing w:before="0" w:after="0"/>
              <w:ind w:left="0" w:right="0" w:firstLine="30"/>
              <w:rPr/>
            </w:pPr>
            <w:r>
              <w:rPr/>
              <w:t> </w:t>
            </w:r>
          </w:p>
        </w:tc>
        <w:tc>
          <w:tcPr>
            <w:tcW w:w="67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1,260</w:t>
            </w:r>
          </w:p>
        </w:tc>
        <w:tc>
          <w:tcPr>
            <w:tcW w:w="41"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67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1,202</w:t>
            </w:r>
          </w:p>
        </w:tc>
        <w:tc>
          <w:tcPr>
            <w:tcW w:w="41"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49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58</w:t>
            </w:r>
          </w:p>
        </w:tc>
        <w:tc>
          <w:tcPr>
            <w:tcW w:w="187"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8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w:t>
            </w:r>
          </w:p>
        </w:tc>
        <w:tc>
          <w:tcPr>
            <w:tcW w:w="260" w:type="dxa"/>
            <w:tcBorders>
              <w:bottom w:val="double" w:sz="6" w:space="0" w:color="000000"/>
            </w:tcBorders>
            <w:shd w:fill="CCEEFF" w:val="clear"/>
            <w:tcMar>
              <w:bottom w:w="30" w:type="dxa"/>
            </w:tcMar>
            <w:vAlign w:val="center"/>
          </w:tcPr>
          <w:p>
            <w:pPr>
              <w:pStyle w:val="TableContents"/>
              <w:spacing w:before="0" w:after="0"/>
              <w:ind w:left="0" w:right="0" w:firstLine="30"/>
              <w:jc w:val="left"/>
              <w:rPr/>
            </w:pPr>
            <w:r>
              <w:rPr/>
              <w:t> </w:t>
            </w: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58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1,357</w:t>
            </w:r>
          </w:p>
        </w:tc>
        <w:tc>
          <w:tcPr>
            <w:tcW w:w="36"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8" w:type="dxa"/>
            <w:tcBorders/>
            <w:shd w:fill="CCEEFF" w:val="clear"/>
            <w:vAlign w:val="center"/>
          </w:tcPr>
          <w:p>
            <w:pPr>
              <w:pStyle w:val="TableContents"/>
              <w:spacing w:before="0" w:after="0"/>
              <w:ind w:left="0" w:right="0" w:firstLine="30"/>
              <w:rPr/>
            </w:pPr>
            <w:r>
              <w:rPr/>
              <w:t> </w:t>
            </w:r>
          </w:p>
        </w:tc>
        <w:tc>
          <w:tcPr>
            <w:tcW w:w="58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1,296</w:t>
            </w:r>
          </w:p>
        </w:tc>
        <w:tc>
          <w:tcPr>
            <w:tcW w:w="36"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49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61</w:t>
            </w:r>
          </w:p>
        </w:tc>
        <w:tc>
          <w:tcPr>
            <w:tcW w:w="187"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8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w:t>
            </w:r>
          </w:p>
        </w:tc>
        <w:tc>
          <w:tcPr>
            <w:tcW w:w="425" w:type="dxa"/>
            <w:tcBorders>
              <w:bottom w:val="double" w:sz="6" w:space="0" w:color="000000"/>
            </w:tcBorders>
            <w:shd w:fill="CCEEFF" w:val="clear"/>
            <w:tcMar>
              <w:bottom w:w="30" w:type="dxa"/>
            </w:tcMar>
            <w:vAlign w:val="center"/>
          </w:tcPr>
          <w:p>
            <w:pPr>
              <w:pStyle w:val="TableContents"/>
              <w:spacing w:before="0" w:after="0"/>
              <w:jc w:val="left"/>
              <w:rPr/>
            </w:pPr>
            <w:r>
              <w:rPr/>
              <w:t> </w:t>
            </w:r>
            <w:r>
              <w:rPr>
                <w:rFonts w:ascii="inherit" w:hAnsi="inherit"/>
                <w:sz w:val="17"/>
              </w:rPr>
              <w:t>%</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sz w:val="4"/>
                <w:szCs w:val="4"/>
              </w:rPr>
            </w:pPr>
            <w:r>
              <w:rPr>
                <w:sz w:val="4"/>
                <w:szCs w:val="4"/>
              </w:rPr>
            </w:r>
          </w:p>
        </w:tc>
      </w:tr>
      <w:tr>
        <w:trPr/>
        <w:tc>
          <w:tcPr>
            <w:tcW w:w="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 w:type="dxa"/>
            <w:tcBorders>
              <w:bottom w:val="single" w:sz="2" w:space="0" w:color="000000"/>
            </w:tcBorders>
            <w:shd w:fill="auto" w:val="clear"/>
            <w:tcMar>
              <w:bottom w:w="30" w:type="dxa"/>
            </w:tcMar>
            <w:vAlign w:val="center"/>
          </w:tcPr>
          <w:p>
            <w:pPr>
              <w:pStyle w:val="TableContents"/>
              <w:spacing w:before="0" w:after="0"/>
              <w:rPr/>
            </w:pPr>
            <w:r>
              <w:rPr/>
              <w:t> </w:t>
            </w:r>
          </w:p>
        </w:tc>
      </w:tr>
    </w:tbl>
    <w:tbl>
      <w:tblPr>
        <w:tblW w:w="5065" w:type="dxa"/>
        <w:jc w:val="left"/>
        <w:tblInd w:w="0" w:type="dxa"/>
        <w:tblCellMar>
          <w:top w:w="0" w:type="dxa"/>
          <w:left w:w="0" w:type="dxa"/>
          <w:bottom w:w="0" w:type="dxa"/>
          <w:right w:w="0" w:type="dxa"/>
        </w:tblCellMar>
      </w:tblPr>
      <w:tblGrid>
        <w:gridCol w:w="200"/>
        <w:gridCol w:w="4865"/>
      </w:tblGrid>
      <w:tr>
        <w:trPr/>
        <w:tc>
          <w:tcPr>
            <w:tcW w:w="200" w:type="dxa"/>
            <w:tcBorders/>
            <w:shd w:fill="auto" w:val="clear"/>
            <w:vAlign w:val="center"/>
          </w:tcPr>
          <w:p>
            <w:pPr>
              <w:pStyle w:val="TableContents"/>
              <w:spacing w:before="0" w:after="283"/>
              <w:rPr>
                <w:sz w:val="4"/>
                <w:szCs w:val="4"/>
              </w:rPr>
            </w:pPr>
            <w:r>
              <w:rPr>
                <w:sz w:val="4"/>
                <w:szCs w:val="4"/>
              </w:rPr>
            </w:r>
          </w:p>
        </w:tc>
        <w:tc>
          <w:tcPr>
            <w:tcW w:w="4865" w:type="dxa"/>
            <w:tcBorders/>
            <w:shd w:fill="auto" w:val="clear"/>
            <w:vAlign w:val="center"/>
          </w:tcPr>
          <w:p>
            <w:pPr>
              <w:pStyle w:val="TableContents"/>
              <w:spacing w:before="0" w:after="283"/>
              <w:rPr>
                <w:sz w:val="4"/>
                <w:szCs w:val="4"/>
              </w:rPr>
            </w:pPr>
            <w:r>
              <w:rPr>
                <w:sz w:val="4"/>
                <w:szCs w:val="4"/>
              </w:rPr>
            </w:r>
          </w:p>
        </w:tc>
      </w:tr>
      <w:tr>
        <w:trPr/>
        <w:tc>
          <w:tcPr>
            <w:tcW w:w="200"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w:t>
            </w:r>
            <w:r>
              <w:rPr>
                <w:rFonts w:ascii="inherit" w:hAnsi="inherit"/>
                <w:sz w:val="17"/>
              </w:rPr>
              <w:t> </w:t>
            </w:r>
          </w:p>
        </w:tc>
        <w:tc>
          <w:tcPr>
            <w:tcW w:w="4865" w:type="dxa"/>
            <w:tcBorders/>
            <w:shd w:fill="auto" w:val="clear"/>
            <w:vAlign w:val="center"/>
          </w:tcPr>
          <w:p>
            <w:pPr>
              <w:pStyle w:val="TableContents"/>
              <w:spacing w:lineRule="auto" w:line="288" w:before="0" w:after="0"/>
              <w:rPr>
                <w:rFonts w:ascii="inherit" w:hAnsi="inherit"/>
                <w:sz w:val="17"/>
              </w:rPr>
            </w:pPr>
            <w:r>
              <w:rPr>
                <w:rFonts w:ascii="inherit" w:hAnsi="inherit"/>
                <w:sz w:val="17"/>
              </w:rPr>
              <w:t>Indicates that variance as a percentage is not meaningful.</w:t>
            </w:r>
          </w:p>
        </w:tc>
      </w:tr>
    </w:tbl>
    <w:tbl>
      <w:tblPr>
        <w:tblW w:w="4645" w:type="dxa"/>
        <w:jc w:val="left"/>
        <w:tblInd w:w="0" w:type="dxa"/>
        <w:tblCellMar>
          <w:top w:w="0" w:type="dxa"/>
          <w:left w:w="0" w:type="dxa"/>
          <w:bottom w:w="0" w:type="dxa"/>
          <w:right w:w="0" w:type="dxa"/>
        </w:tblCellMar>
      </w:tblPr>
      <w:tblGrid>
        <w:gridCol w:w="245"/>
        <w:gridCol w:w="4400"/>
      </w:tblGrid>
      <w:tr>
        <w:trPr/>
        <w:tc>
          <w:tcPr>
            <w:tcW w:w="245" w:type="dxa"/>
            <w:tcBorders/>
            <w:shd w:fill="auto" w:val="clear"/>
            <w:vAlign w:val="center"/>
          </w:tcPr>
          <w:p>
            <w:pPr>
              <w:pStyle w:val="TableContents"/>
              <w:spacing w:before="0" w:after="283"/>
              <w:rPr>
                <w:sz w:val="4"/>
                <w:szCs w:val="4"/>
              </w:rPr>
            </w:pPr>
            <w:r>
              <w:rPr>
                <w:sz w:val="4"/>
                <w:szCs w:val="4"/>
              </w:rPr>
            </w:r>
          </w:p>
        </w:tc>
        <w:tc>
          <w:tcPr>
            <w:tcW w:w="4400"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(1)</w:t>
            </w:r>
            <w:r>
              <w:rPr>
                <w:rFonts w:ascii="inherit" w:hAnsi="inherit"/>
                <w:sz w:val="17"/>
              </w:rPr>
              <w:t> </w:t>
            </w:r>
          </w:p>
        </w:tc>
        <w:tc>
          <w:tcPr>
            <w:tcW w:w="4400" w:type="dxa"/>
            <w:tcBorders/>
            <w:shd w:fill="auto" w:val="clear"/>
            <w:vAlign w:val="center"/>
          </w:tcPr>
          <w:p>
            <w:pPr>
              <w:pStyle w:val="TableContents"/>
              <w:spacing w:lineRule="auto" w:line="288" w:before="0" w:after="0"/>
              <w:rPr>
                <w:rFonts w:ascii="inherit" w:hAnsi="inherit"/>
                <w:sz w:val="17"/>
              </w:rPr>
            </w:pPr>
            <w:r>
              <w:rPr>
                <w:rFonts w:ascii="inherit" w:hAnsi="inherit"/>
                <w:sz w:val="17"/>
              </w:rPr>
              <w:t>Revenues and costs include intersegment amounts. </w:t>
            </w:r>
          </w:p>
        </w:tc>
      </w:tr>
    </w:tbl>
    <w:tbl>
      <w:tblPr>
        <w:tblW w:w="10205" w:type="dxa"/>
        <w:jc w:val="left"/>
        <w:tblInd w:w="0" w:type="dxa"/>
        <w:tblCellMar>
          <w:top w:w="0" w:type="dxa"/>
          <w:left w:w="0" w:type="dxa"/>
          <w:bottom w:w="0" w:type="dxa"/>
          <w:right w:w="0" w:type="dxa"/>
        </w:tblCellMar>
      </w:tblPr>
      <w:tblGrid>
        <w:gridCol w:w="188"/>
        <w:gridCol w:w="10017"/>
      </w:tblGrid>
      <w:tr>
        <w:trPr/>
        <w:tc>
          <w:tcPr>
            <w:tcW w:w="188" w:type="dxa"/>
            <w:tcBorders/>
            <w:shd w:fill="auto" w:val="clear"/>
            <w:vAlign w:val="center"/>
          </w:tcPr>
          <w:p>
            <w:pPr>
              <w:pStyle w:val="TableContents"/>
              <w:spacing w:before="0" w:after="283"/>
              <w:rPr>
                <w:sz w:val="4"/>
                <w:szCs w:val="4"/>
              </w:rPr>
            </w:pPr>
            <w:r>
              <w:rPr>
                <w:sz w:val="4"/>
                <w:szCs w:val="4"/>
              </w:rPr>
            </w:r>
          </w:p>
        </w:tc>
        <w:tc>
          <w:tcPr>
            <w:tcW w:w="10017" w:type="dxa"/>
            <w:tcBorders/>
            <w:shd w:fill="auto" w:val="clear"/>
            <w:vAlign w:val="center"/>
          </w:tcPr>
          <w:p>
            <w:pPr>
              <w:pStyle w:val="TableContents"/>
              <w:spacing w:before="0" w:after="283"/>
              <w:rPr>
                <w:sz w:val="4"/>
                <w:szCs w:val="4"/>
              </w:rPr>
            </w:pPr>
            <w:r>
              <w:rPr>
                <w:sz w:val="4"/>
                <w:szCs w:val="4"/>
              </w:rPr>
            </w:r>
          </w:p>
        </w:tc>
      </w:tr>
      <w:tr>
        <w:trPr/>
        <w:tc>
          <w:tcPr>
            <w:tcW w:w="188"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(2)</w:t>
            </w:r>
            <w:r>
              <w:rPr>
                <w:rFonts w:ascii="inherit" w:hAnsi="inherit"/>
                <w:sz w:val="17"/>
              </w:rPr>
              <w:t> </w:t>
            </w:r>
          </w:p>
        </w:tc>
        <w:tc>
          <w:tcPr>
            <w:tcW w:w="10017" w:type="dxa"/>
            <w:tcBorders/>
            <w:shd w:fill="auto" w:val="clear"/>
            <w:vAlign w:val="center"/>
          </w:tcPr>
          <w:p>
            <w:pPr>
              <w:pStyle w:val="TableContents"/>
              <w:spacing w:lineRule="auto" w:line="288" w:before="0" w:after="0"/>
              <w:rPr>
                <w:rFonts w:ascii="inherit" w:hAnsi="inherit"/>
                <w:sz w:val="17"/>
              </w:rPr>
            </w:pPr>
            <w:r>
              <w:rPr>
                <w:rFonts w:ascii="inherit" w:hAnsi="inherit"/>
                <w:sz w:val="17"/>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tc>
      </w:tr>
    </w:tbl>
    <w:tbl>
      <w:tblPr>
        <w:tblW w:w="10205" w:type="dxa"/>
        <w:jc w:val="left"/>
        <w:tblInd w:w="0" w:type="dxa"/>
        <w:tblCellMar>
          <w:top w:w="0" w:type="dxa"/>
          <w:left w:w="0" w:type="dxa"/>
          <w:bottom w:w="0" w:type="dxa"/>
          <w:right w:w="0" w:type="dxa"/>
        </w:tblCellMar>
      </w:tblPr>
      <w:tblGrid>
        <w:gridCol w:w="198"/>
        <w:gridCol w:w="10007"/>
      </w:tblGrid>
      <w:tr>
        <w:trPr/>
        <w:tc>
          <w:tcPr>
            <w:tcW w:w="198" w:type="dxa"/>
            <w:tcBorders/>
            <w:shd w:fill="auto" w:val="clear"/>
            <w:vAlign w:val="center"/>
          </w:tcPr>
          <w:p>
            <w:pPr>
              <w:pStyle w:val="TableContents"/>
              <w:spacing w:before="0" w:after="283"/>
              <w:rPr>
                <w:sz w:val="4"/>
                <w:szCs w:val="4"/>
              </w:rPr>
            </w:pPr>
            <w:r>
              <w:rPr>
                <w:sz w:val="4"/>
                <w:szCs w:val="4"/>
              </w:rPr>
            </w:r>
          </w:p>
        </w:tc>
        <w:tc>
          <w:tcPr>
            <w:tcW w:w="10007" w:type="dxa"/>
            <w:tcBorders/>
            <w:shd w:fill="auto" w:val="clear"/>
            <w:vAlign w:val="center"/>
          </w:tcPr>
          <w:p>
            <w:pPr>
              <w:pStyle w:val="TableContents"/>
              <w:spacing w:before="0" w:after="283"/>
              <w:rPr>
                <w:sz w:val="4"/>
                <w:szCs w:val="4"/>
              </w:rPr>
            </w:pPr>
            <w:r>
              <w:rPr>
                <w:sz w:val="4"/>
                <w:szCs w:val="4"/>
              </w:rPr>
            </w:r>
          </w:p>
        </w:tc>
      </w:tr>
      <w:tr>
        <w:trPr/>
        <w:tc>
          <w:tcPr>
            <w:tcW w:w="198"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(3)</w:t>
            </w:r>
            <w:r>
              <w:rPr>
                <w:rFonts w:ascii="inherit" w:hAnsi="inherit"/>
                <w:sz w:val="17"/>
              </w:rPr>
              <w:t> </w:t>
            </w:r>
          </w:p>
        </w:tc>
        <w:tc>
          <w:tcPr>
            <w:tcW w:w="10007" w:type="dxa"/>
            <w:tcBorders/>
            <w:shd w:fill="auto" w:val="clear"/>
            <w:vAlign w:val="center"/>
          </w:tcPr>
          <w:p>
            <w:pPr>
              <w:pStyle w:val="TableContents"/>
              <w:spacing w:lineRule="auto" w:line="288" w:before="0" w:after="0"/>
              <w:rPr>
                <w:sz w:val="17"/>
              </w:rPr>
            </w:pPr>
            <w:r>
              <w:rPr>
                <w:rFonts w:ascii="inherit" w:hAnsi="inherit"/>
                <w:sz w:val="17"/>
              </w:rPr>
              <w:t xml:space="preserve">Represents adjustments included in the performance measure utilized by our CODM in the evaluation of segment results. See </w:t>
            </w:r>
            <w:r>
              <w:rPr>
                <w:b w:val="false"/>
                <w:sz w:val="17"/>
              </w:rPr>
              <w:t>Note 14</w:t>
            </w:r>
            <w:r>
              <w:rPr>
                <w:sz w:val="17"/>
              </w:rPr>
              <w:t xml:space="preserve"> </w:t>
            </w:r>
            <w:r>
              <w:rPr>
                <w:rFonts w:ascii="inherit" w:hAnsi="inherit"/>
                <w:sz w:val="17"/>
              </w:rPr>
              <w:t>to our Condensed Consolidated Financial Statements for additional discussion of such adjustments.</w:t>
            </w:r>
          </w:p>
        </w:tc>
      </w:tr>
    </w:tbl>
    <w:tbl>
      <w:tblPr>
        <w:tblW w:w="10150" w:type="dxa"/>
        <w:jc w:val="left"/>
        <w:tblInd w:w="0" w:type="dxa"/>
        <w:tblCellMar>
          <w:top w:w="0" w:type="dxa"/>
          <w:left w:w="0" w:type="dxa"/>
          <w:bottom w:w="0" w:type="dxa"/>
          <w:right w:w="0" w:type="dxa"/>
        </w:tblCellMar>
      </w:tblPr>
      <w:tblGrid>
        <w:gridCol w:w="245"/>
        <w:gridCol w:w="9905"/>
      </w:tblGrid>
      <w:tr>
        <w:trPr/>
        <w:tc>
          <w:tcPr>
            <w:tcW w:w="245" w:type="dxa"/>
            <w:tcBorders/>
            <w:shd w:fill="auto" w:val="clear"/>
            <w:vAlign w:val="center"/>
          </w:tcPr>
          <w:p>
            <w:pPr>
              <w:pStyle w:val="TableContents"/>
              <w:spacing w:before="0" w:after="283"/>
              <w:rPr>
                <w:sz w:val="4"/>
                <w:szCs w:val="4"/>
              </w:rPr>
            </w:pPr>
            <w:r>
              <w:rPr>
                <w:sz w:val="4"/>
                <w:szCs w:val="4"/>
              </w:rPr>
            </w:r>
          </w:p>
        </w:tc>
        <w:tc>
          <w:tcPr>
            <w:tcW w:w="9905"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(4)</w:t>
            </w:r>
            <w:r>
              <w:rPr>
                <w:rFonts w:ascii="inherit" w:hAnsi="inherit"/>
                <w:sz w:val="17"/>
              </w:rPr>
              <w:t> </w:t>
            </w:r>
          </w:p>
        </w:tc>
        <w:tc>
          <w:tcPr>
            <w:tcW w:w="9905" w:type="dxa"/>
            <w:tcBorders/>
            <w:shd w:fill="auto" w:val="clear"/>
            <w:vAlign w:val="center"/>
          </w:tcPr>
          <w:p>
            <w:pPr>
              <w:pStyle w:val="TableContents"/>
              <w:spacing w:lineRule="auto" w:line="288" w:before="0" w:after="0"/>
              <w:rPr>
                <w:rFonts w:ascii="inherit" w:hAnsi="inherit"/>
                <w:sz w:val="17"/>
              </w:rPr>
            </w:pPr>
            <w:r>
              <w:rPr>
                <w:rFonts w:ascii="inherit" w:hAnsi="inherit"/>
                <w:sz w:val="17"/>
              </w:rPr>
              <w:t>Average daily volumes are calculated as the total volumes for the period divided by the number of days in the period. </w:t>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57</w:t>
      </w:r>
      <w:r>
        <w:br w:type="page"/>
      </w:r>
    </w:p>
    <w:p>
      <w:pPr>
        <w:pStyle w:val="TextBody"/>
        <w:spacing w:lineRule="auto" w:line="288" w:before="0" w:after="0"/>
        <w:rPr/>
      </w:pPr>
      <w:hyperlink w:anchor="s3336AD8A685850CC9B7F2572CB2C0BC3">
        <w:r>
          <w:rPr>
            <w:rStyle w:val="InternetLink"/>
            <w:rFonts w:ascii="inherit" w:hAnsi="inherit"/>
            <w:sz w:val="17"/>
          </w:rPr>
          <w:t>Table of Contents</w:t>
        </w:r>
      </w:hyperlink>
      <w:r>
        <w:rPr>
          <w:sz w:val="17"/>
        </w:rPr>
        <w:t xml:space="preserve"> </w:t>
      </w:r>
    </w:p>
    <w:p>
      <w:pPr>
        <w:pStyle w:val="TextBody"/>
        <w:spacing w:before="0" w:after="0"/>
        <w:rPr/>
      </w:pPr>
      <w:r>
        <w:rPr/>
      </w:r>
    </w:p>
    <w:p>
      <w:pPr>
        <w:pStyle w:val="TextBody"/>
        <w:spacing w:lineRule="auto" w:line="288" w:before="0" w:after="0"/>
        <w:ind w:left="0" w:right="0" w:firstLine="735"/>
        <w:rPr>
          <w:rFonts w:ascii="inherit" w:hAnsi="inherit"/>
          <w:sz w:val="17"/>
        </w:rPr>
      </w:pPr>
      <w:r>
        <w:rPr>
          <w:rFonts w:ascii="inherit" w:hAnsi="inherit"/>
          <w:sz w:val="17"/>
        </w:rPr>
        <w:t>The following table presents the range of the NYMEX WTI benchmark price of crude oil (in dollars per barrel): </w:t>
      </w:r>
    </w:p>
    <w:tbl>
      <w:tblPr>
        <w:tblW w:w="4150" w:type="dxa"/>
        <w:jc w:val="left"/>
        <w:tblInd w:w="0" w:type="dxa"/>
        <w:tblCellMar>
          <w:top w:w="0" w:type="dxa"/>
          <w:left w:w="0" w:type="dxa"/>
          <w:bottom w:w="0" w:type="dxa"/>
          <w:right w:w="0" w:type="dxa"/>
        </w:tblCellMar>
      </w:tblPr>
      <w:tblGrid>
        <w:gridCol w:w="2975"/>
        <w:gridCol w:w="167"/>
        <w:gridCol w:w="308"/>
        <w:gridCol w:w="40"/>
        <w:gridCol w:w="120"/>
        <w:gridCol w:w="167"/>
        <w:gridCol w:w="308"/>
        <w:gridCol w:w="65"/>
      </w:tblGrid>
      <w:tr>
        <w:trPr/>
        <w:tc>
          <w:tcPr>
            <w:tcW w:w="4150" w:type="dxa"/>
            <w:gridSpan w:val="8"/>
            <w:tcBorders/>
            <w:shd w:fill="auto" w:val="clear"/>
            <w:vAlign w:val="center"/>
          </w:tcPr>
          <w:p>
            <w:pPr>
              <w:pStyle w:val="TableContents"/>
              <w:spacing w:before="0" w:after="283"/>
              <w:rPr>
                <w:sz w:val="4"/>
                <w:szCs w:val="4"/>
              </w:rPr>
            </w:pPr>
            <w:r>
              <w:rPr>
                <w:sz w:val="4"/>
                <w:szCs w:val="4"/>
              </w:rPr>
            </w:r>
          </w:p>
        </w:tc>
      </w:tr>
      <w:tr>
        <w:trPr/>
        <w:tc>
          <w:tcPr>
            <w:tcW w:w="2975"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975" w:type="dxa"/>
            <w:tcBorders/>
            <w:shd w:fill="auto" w:val="clear"/>
            <w:vAlign w:val="center"/>
          </w:tcPr>
          <w:p>
            <w:pPr>
              <w:pStyle w:val="TableContents"/>
              <w:spacing w:before="0" w:after="0"/>
              <w:ind w:left="0" w:right="0" w:firstLine="30"/>
              <w:rPr/>
            </w:pPr>
            <w:r>
              <w:rPr/>
              <w:t> </w:t>
            </w:r>
          </w:p>
        </w:tc>
        <w:tc>
          <w:tcPr>
            <w:tcW w:w="1175"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NYMEX WTI</w:t>
              <w:br/>
              <w:t>Crude Oil Price</w:t>
            </w:r>
          </w:p>
        </w:tc>
      </w:tr>
      <w:tr>
        <w:trPr/>
        <w:tc>
          <w:tcPr>
            <w:tcW w:w="2975" w:type="dxa"/>
            <w:tcBorders/>
            <w:shd w:fill="auto" w:val="clear"/>
            <w:vAlign w:val="center"/>
          </w:tcPr>
          <w:p>
            <w:pPr>
              <w:pStyle w:val="TableContents"/>
              <w:spacing w:before="0" w:after="0"/>
              <w:ind w:left="0" w:right="0" w:firstLine="30"/>
              <w:jc w:val="left"/>
              <w:rPr/>
            </w:pPr>
            <w:r>
              <w:rPr/>
              <w:t> </w:t>
            </w:r>
          </w:p>
        </w:tc>
        <w:tc>
          <w:tcPr>
            <w:tcW w:w="51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Low</w:t>
            </w:r>
          </w:p>
        </w:tc>
        <w:tc>
          <w:tcPr>
            <w:tcW w:w="120" w:type="dxa"/>
            <w:tcBorders/>
            <w:shd w:fill="auto" w:val="clear"/>
            <w:vAlign w:val="center"/>
          </w:tcPr>
          <w:p>
            <w:pPr>
              <w:pStyle w:val="TableContents"/>
              <w:spacing w:before="0" w:after="0"/>
              <w:ind w:left="0" w:right="0" w:firstLine="30"/>
              <w:rPr/>
            </w:pPr>
            <w:r>
              <w:rPr/>
              <w:t> </w:t>
            </w:r>
          </w:p>
        </w:tc>
        <w:tc>
          <w:tcPr>
            <w:tcW w:w="54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High</w:t>
            </w:r>
          </w:p>
        </w:tc>
      </w:tr>
      <w:tr>
        <w:trPr/>
        <w:tc>
          <w:tcPr>
            <w:tcW w:w="29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Three months ended June 30, 2019</w:t>
            </w:r>
          </w:p>
        </w:tc>
        <w:tc>
          <w:tcPr>
            <w:tcW w:w="16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308" w:type="dxa"/>
            <w:tcBorders/>
            <w:shd w:fill="CCEEFF" w:val="clear"/>
            <w:vAlign w:val="center"/>
          </w:tcPr>
          <w:p>
            <w:pPr>
              <w:pStyle w:val="TableContents"/>
              <w:spacing w:before="0" w:after="0"/>
              <w:jc w:val="right"/>
              <w:rPr>
                <w:rFonts w:ascii="inherit" w:hAnsi="inherit"/>
                <w:sz w:val="17"/>
              </w:rPr>
            </w:pPr>
            <w:r>
              <w:rPr>
                <w:rFonts w:ascii="inherit" w:hAnsi="inherit"/>
                <w:sz w:val="17"/>
              </w:rPr>
              <w:t>51</w:t>
            </w:r>
          </w:p>
        </w:tc>
        <w:tc>
          <w:tcPr>
            <w:tcW w:w="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6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308" w:type="dxa"/>
            <w:tcBorders/>
            <w:shd w:fill="CCEEFF" w:val="clear"/>
            <w:vAlign w:val="center"/>
          </w:tcPr>
          <w:p>
            <w:pPr>
              <w:pStyle w:val="TableContents"/>
              <w:spacing w:before="0" w:after="0"/>
              <w:jc w:val="right"/>
              <w:rPr>
                <w:rFonts w:ascii="inherit" w:hAnsi="inherit"/>
                <w:sz w:val="17"/>
              </w:rPr>
            </w:pPr>
            <w:r>
              <w:rPr>
                <w:rFonts w:ascii="inherit" w:hAnsi="inherit"/>
                <w:sz w:val="17"/>
              </w:rPr>
              <w:t>66</w:t>
            </w:r>
          </w:p>
        </w:tc>
        <w:tc>
          <w:tcPr>
            <w:tcW w:w="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9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Three months ended June 30, 2018</w:t>
            </w:r>
          </w:p>
        </w:tc>
        <w:tc>
          <w:tcPr>
            <w:tcW w:w="16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308" w:type="dxa"/>
            <w:tcBorders/>
            <w:shd w:fill="auto" w:val="clear"/>
            <w:vAlign w:val="center"/>
          </w:tcPr>
          <w:p>
            <w:pPr>
              <w:pStyle w:val="TableContents"/>
              <w:spacing w:before="0" w:after="0"/>
              <w:jc w:val="right"/>
              <w:rPr>
                <w:rFonts w:ascii="inherit" w:hAnsi="inherit"/>
                <w:sz w:val="17"/>
              </w:rPr>
            </w:pPr>
            <w:r>
              <w:rPr>
                <w:rFonts w:ascii="inherit" w:hAnsi="inherit"/>
                <w:sz w:val="17"/>
              </w:rPr>
              <w:t>62</w:t>
            </w:r>
          </w:p>
        </w:tc>
        <w:tc>
          <w:tcPr>
            <w:tcW w:w="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6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308" w:type="dxa"/>
            <w:tcBorders/>
            <w:shd w:fill="auto" w:val="clear"/>
            <w:vAlign w:val="center"/>
          </w:tcPr>
          <w:p>
            <w:pPr>
              <w:pStyle w:val="TableContents"/>
              <w:spacing w:before="0" w:after="0"/>
              <w:jc w:val="right"/>
              <w:rPr>
                <w:rFonts w:ascii="inherit" w:hAnsi="inherit"/>
                <w:sz w:val="17"/>
              </w:rPr>
            </w:pPr>
            <w:r>
              <w:rPr>
                <w:rFonts w:ascii="inherit" w:hAnsi="inherit"/>
                <w:sz w:val="17"/>
              </w:rPr>
              <w:t>74</w:t>
            </w:r>
          </w:p>
        </w:tc>
        <w:tc>
          <w:tcPr>
            <w:tcW w:w="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975" w:type="dxa"/>
            <w:tcBorders/>
            <w:shd w:fill="CCEEFF" w:val="clear"/>
            <w:vAlign w:val="center"/>
          </w:tcPr>
          <w:p>
            <w:pPr>
              <w:pStyle w:val="TableContents"/>
              <w:spacing w:before="0" w:after="0"/>
              <w:ind w:left="0" w:right="0" w:firstLine="30"/>
              <w:rPr/>
            </w:pPr>
            <w:r>
              <w:rPr/>
              <w:t> </w:t>
            </w:r>
          </w:p>
        </w:tc>
        <w:tc>
          <w:tcPr>
            <w:tcW w:w="515" w:type="dxa"/>
            <w:gridSpan w:val="3"/>
            <w:tcBorders/>
            <w:shd w:fill="CCEEFF" w:val="clear"/>
            <w:vAlign w:val="center"/>
          </w:tcPr>
          <w:p>
            <w:pPr>
              <w:pStyle w:val="TableContents"/>
              <w:spacing w:before="0" w:after="0"/>
              <w:ind w:left="0" w:right="0" w:firstLine="30"/>
              <w:rPr/>
            </w:pPr>
            <w:r>
              <w:rPr/>
              <w:t> </w:t>
            </w:r>
          </w:p>
        </w:tc>
        <w:tc>
          <w:tcPr>
            <w:tcW w:w="120" w:type="dxa"/>
            <w:tcBorders/>
            <w:shd w:fill="CCEEFF" w:val="clear"/>
            <w:vAlign w:val="center"/>
          </w:tcPr>
          <w:p>
            <w:pPr>
              <w:pStyle w:val="TableContents"/>
              <w:spacing w:before="0" w:after="0"/>
              <w:ind w:left="0" w:right="0" w:firstLine="30"/>
              <w:rPr/>
            </w:pPr>
            <w:r>
              <w:rPr/>
              <w:t> </w:t>
            </w:r>
          </w:p>
        </w:tc>
        <w:tc>
          <w:tcPr>
            <w:tcW w:w="540" w:type="dxa"/>
            <w:gridSpan w:val="3"/>
            <w:tcBorders/>
            <w:shd w:fill="CCEEFF" w:val="clear"/>
            <w:vAlign w:val="center"/>
          </w:tcPr>
          <w:p>
            <w:pPr>
              <w:pStyle w:val="TableContents"/>
              <w:spacing w:before="0" w:after="0"/>
              <w:ind w:left="0" w:right="0" w:firstLine="30"/>
              <w:rPr/>
            </w:pPr>
            <w:r>
              <w:rPr/>
              <w:t> </w:t>
            </w:r>
          </w:p>
        </w:tc>
      </w:tr>
      <w:tr>
        <w:trPr/>
        <w:tc>
          <w:tcPr>
            <w:tcW w:w="29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Six months ended June 30, 2019</w:t>
            </w:r>
          </w:p>
        </w:tc>
        <w:tc>
          <w:tcPr>
            <w:tcW w:w="16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308" w:type="dxa"/>
            <w:tcBorders/>
            <w:shd w:fill="auto" w:val="clear"/>
            <w:vAlign w:val="center"/>
          </w:tcPr>
          <w:p>
            <w:pPr>
              <w:pStyle w:val="TableContents"/>
              <w:spacing w:before="0" w:after="0"/>
              <w:jc w:val="right"/>
              <w:rPr>
                <w:rFonts w:ascii="inherit" w:hAnsi="inherit"/>
                <w:sz w:val="17"/>
              </w:rPr>
            </w:pPr>
            <w:r>
              <w:rPr>
                <w:rFonts w:ascii="inherit" w:hAnsi="inherit"/>
                <w:sz w:val="17"/>
              </w:rPr>
              <w:t>46</w:t>
            </w:r>
          </w:p>
        </w:tc>
        <w:tc>
          <w:tcPr>
            <w:tcW w:w="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6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308" w:type="dxa"/>
            <w:tcBorders/>
            <w:shd w:fill="auto" w:val="clear"/>
            <w:vAlign w:val="center"/>
          </w:tcPr>
          <w:p>
            <w:pPr>
              <w:pStyle w:val="TableContents"/>
              <w:spacing w:before="0" w:after="0"/>
              <w:jc w:val="right"/>
              <w:rPr>
                <w:rFonts w:ascii="inherit" w:hAnsi="inherit"/>
                <w:sz w:val="17"/>
              </w:rPr>
            </w:pPr>
            <w:r>
              <w:rPr>
                <w:rFonts w:ascii="inherit" w:hAnsi="inherit"/>
                <w:sz w:val="17"/>
              </w:rPr>
              <w:t>66</w:t>
            </w:r>
          </w:p>
        </w:tc>
        <w:tc>
          <w:tcPr>
            <w:tcW w:w="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9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Six months ended June 30, 2018</w:t>
            </w:r>
          </w:p>
        </w:tc>
        <w:tc>
          <w:tcPr>
            <w:tcW w:w="16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308" w:type="dxa"/>
            <w:tcBorders/>
            <w:shd w:fill="CCEEFF" w:val="clear"/>
            <w:vAlign w:val="center"/>
          </w:tcPr>
          <w:p>
            <w:pPr>
              <w:pStyle w:val="TableContents"/>
              <w:spacing w:before="0" w:after="0"/>
              <w:jc w:val="right"/>
              <w:rPr>
                <w:rFonts w:ascii="inherit" w:hAnsi="inherit"/>
                <w:sz w:val="17"/>
              </w:rPr>
            </w:pPr>
            <w:r>
              <w:rPr>
                <w:rFonts w:ascii="inherit" w:hAnsi="inherit"/>
                <w:sz w:val="17"/>
              </w:rPr>
              <w:t>59</w:t>
            </w:r>
          </w:p>
        </w:tc>
        <w:tc>
          <w:tcPr>
            <w:tcW w:w="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6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308" w:type="dxa"/>
            <w:tcBorders/>
            <w:shd w:fill="CCEEFF" w:val="clear"/>
            <w:vAlign w:val="center"/>
          </w:tcPr>
          <w:p>
            <w:pPr>
              <w:pStyle w:val="TableContents"/>
              <w:spacing w:before="0" w:after="0"/>
              <w:jc w:val="right"/>
              <w:rPr>
                <w:rFonts w:ascii="inherit" w:hAnsi="inherit"/>
                <w:sz w:val="17"/>
              </w:rPr>
            </w:pPr>
            <w:r>
              <w:rPr>
                <w:rFonts w:ascii="inherit" w:hAnsi="inherit"/>
                <w:sz w:val="17"/>
              </w:rPr>
              <w:t>74</w:t>
            </w:r>
          </w:p>
        </w:tc>
        <w:tc>
          <w:tcPr>
            <w:tcW w:w="65"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lineRule="auto" w:line="288" w:before="0" w:after="0"/>
        <w:ind w:left="0" w:right="0" w:firstLine="720"/>
        <w:rPr>
          <w:rFonts w:ascii="inherit" w:hAnsi="inherit"/>
          <w:sz w:val="17"/>
        </w:rPr>
      </w:pPr>
      <w:r>
        <w:rPr>
          <w:rFonts w:ascii="inherit" w:hAnsi="inherit"/>
          <w:sz w:val="17"/>
        </w:rPr>
        <w:t xml:space="preserve">Our crude oil and NGL supply, logistics and distribution operations are not directly affected by the absolute level of prices. Because the commodities that we buy and sell are generally indexed to the same pricing indices for both sales and purchases, revenues and costs related to purchases will fluctuate with market prices. However, the margins related to those sales and purchases will not necessarily have a corresponding increase or decrease. Additionally, net revenues were impacted by net gains and losses from certain derivative activities during the periods. </w:t>
      </w:r>
    </w:p>
    <w:p>
      <w:pPr>
        <w:pStyle w:val="TextBody"/>
        <w:spacing w:lineRule="auto" w:line="288" w:before="0" w:after="0"/>
        <w:rPr/>
      </w:pPr>
      <w:r>
        <w:rPr/>
        <w:t> </w:t>
      </w:r>
    </w:p>
    <w:p>
      <w:pPr>
        <w:pStyle w:val="TextBody"/>
        <w:spacing w:lineRule="auto" w:line="288" w:before="0" w:after="0"/>
        <w:ind w:left="0" w:right="0" w:firstLine="720"/>
        <w:rPr>
          <w:sz w:val="17"/>
        </w:rPr>
      </w:pPr>
      <w:r>
        <w:rPr>
          <w:rFonts w:ascii="inherit" w:hAnsi="inherit"/>
          <w:sz w:val="17"/>
        </w:rPr>
        <w:t>Our NGL operations are sensitive to weather-related demand, particularly during the approximate five-month peak heating season of November through March, and temperature differences from period-to-period may have a significant effect on NGL demand and thus our financial performance.</w:t>
      </w:r>
      <w:r>
        <w:rPr>
          <w:sz w:val="17"/>
        </w:rPr>
        <w:t xml:space="preserve"> </w:t>
      </w:r>
    </w:p>
    <w:p>
      <w:pPr>
        <w:pStyle w:val="TextBody"/>
        <w:spacing w:lineRule="auto" w:line="288" w:before="0" w:after="0"/>
        <w:rPr/>
      </w:pPr>
      <w:r>
        <w:rPr/>
        <w:t>  </w:t>
      </w:r>
    </w:p>
    <w:p>
      <w:pPr>
        <w:pStyle w:val="TextBody"/>
        <w:spacing w:lineRule="auto" w:line="288" w:before="0" w:after="0"/>
        <w:ind w:left="0" w:right="0" w:firstLine="720"/>
        <w:rPr>
          <w:sz w:val="17"/>
        </w:rPr>
      </w:pPr>
      <w:r>
        <w:rPr>
          <w:rFonts w:ascii="inherit" w:hAnsi="inherit"/>
          <w:i/>
          <w:sz w:val="17"/>
        </w:rPr>
        <w:t xml:space="preserve">Segment Adjusted EBITDA and Volumes. </w:t>
      </w:r>
      <w:r>
        <w:rPr>
          <w:rFonts w:ascii="inherit" w:hAnsi="inherit"/>
          <w:sz w:val="17"/>
        </w:rPr>
        <w:t>The following summarizes the significant items impacting our Supply and Logistics segment operating results for the comparative periods:</w:t>
      </w:r>
    </w:p>
    <w:p>
      <w:pPr>
        <w:pStyle w:val="TextBody"/>
        <w:spacing w:lineRule="auto" w:line="288" w:before="0" w:after="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rPr>
                <w:sz w:val="17"/>
              </w:rPr>
            </w:pPr>
            <w:r>
              <w:rPr>
                <w:rFonts w:ascii="inherit" w:hAnsi="inherit"/>
                <w:i/>
                <w:sz w:val="17"/>
              </w:rPr>
              <w:t>Crude Oil Operations.</w:t>
            </w:r>
            <w:r>
              <w:rPr>
                <w:sz w:val="17"/>
              </w:rPr>
              <w:t xml:space="preserve"> </w:t>
            </w:r>
            <w:r>
              <w:rPr>
                <w:rFonts w:ascii="inherit" w:hAnsi="inherit"/>
                <w:sz w:val="17"/>
              </w:rPr>
              <w:t>Net revenues from our crude oil supply and logistics operations increased for the three and six</w:t>
            </w:r>
            <w:r>
              <w:rPr>
                <w:sz w:val="17"/>
              </w:rPr>
              <w:t xml:space="preserve"> </w:t>
            </w:r>
            <w:r>
              <w:rPr>
                <w:rFonts w:ascii="inherit" w:hAnsi="inherit"/>
                <w:sz w:val="17"/>
              </w:rPr>
              <w:t>months ended June 30, 2019</w:t>
            </w:r>
            <w:r>
              <w:rPr>
                <w:sz w:val="17"/>
              </w:rPr>
              <w:t xml:space="preserve"> </w:t>
            </w:r>
            <w:r>
              <w:rPr>
                <w:rFonts w:ascii="inherit" w:hAnsi="inherit"/>
                <w:sz w:val="17"/>
              </w:rPr>
              <w:t>compared to the three and six</w:t>
            </w:r>
            <w:r>
              <w:rPr>
                <w:sz w:val="17"/>
              </w:rPr>
              <w:t xml:space="preserve"> </w:t>
            </w:r>
            <w:r>
              <w:rPr>
                <w:rFonts w:ascii="inherit" w:hAnsi="inherit"/>
                <w:sz w:val="17"/>
              </w:rPr>
              <w:t>months ended June 30, 2018</w:t>
            </w:r>
            <w:r>
              <w:rPr>
                <w:sz w:val="17"/>
              </w:rPr>
              <w:t xml:space="preserve"> </w:t>
            </w:r>
            <w:r>
              <w:rPr>
                <w:rFonts w:ascii="inherit" w:hAnsi="inherit"/>
                <w:sz w:val="17"/>
              </w:rPr>
              <w:t>largely due to favorable differentials, primarily in the Permian Basin and Canada.</w:t>
            </w:r>
          </w:p>
        </w:tc>
      </w:tr>
    </w:tbl>
    <w:p>
      <w:pPr>
        <w:pStyle w:val="TextBody"/>
        <w:spacing w:lineRule="auto" w:line="288" w:before="0" w:after="0"/>
        <w:ind w:left="0" w:right="0" w:firstLine="108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rPr>
                <w:sz w:val="17"/>
              </w:rPr>
            </w:pPr>
            <w:r>
              <w:rPr>
                <w:rFonts w:ascii="inherit" w:hAnsi="inherit"/>
                <w:i/>
                <w:sz w:val="17"/>
              </w:rPr>
              <w:t>NGL Operations.</w:t>
            </w:r>
            <w:r>
              <w:rPr>
                <w:sz w:val="17"/>
              </w:rPr>
              <w:t xml:space="preserve"> </w:t>
            </w:r>
            <w:r>
              <w:rPr>
                <w:rFonts w:ascii="inherit" w:hAnsi="inherit"/>
                <w:sz w:val="17"/>
              </w:rPr>
              <w:t>Net revenues from our NGL operations increased for the three and six</w:t>
            </w:r>
            <w:r>
              <w:rPr>
                <w:sz w:val="17"/>
              </w:rPr>
              <w:t xml:space="preserve"> </w:t>
            </w:r>
            <w:r>
              <w:rPr>
                <w:rFonts w:ascii="inherit" w:hAnsi="inherit"/>
                <w:sz w:val="17"/>
              </w:rPr>
              <w:t>months ended June 30, 2019</w:t>
            </w:r>
            <w:r>
              <w:rPr>
                <w:sz w:val="17"/>
              </w:rPr>
              <w:t xml:space="preserve"> </w:t>
            </w:r>
            <w:r>
              <w:rPr>
                <w:rFonts w:ascii="inherit" w:hAnsi="inherit"/>
                <w:sz w:val="17"/>
              </w:rPr>
              <w:t>compared to the three and six</w:t>
            </w:r>
            <w:r>
              <w:rPr>
                <w:sz w:val="17"/>
              </w:rPr>
              <w:t xml:space="preserve"> </w:t>
            </w:r>
            <w:r>
              <w:rPr>
                <w:rFonts w:ascii="inherit" w:hAnsi="inherit"/>
                <w:sz w:val="17"/>
              </w:rPr>
              <w:t>months ended June 30, 2018</w:t>
            </w:r>
            <w:r>
              <w:rPr>
                <w:sz w:val="17"/>
              </w:rPr>
              <w:t xml:space="preserve"> </w:t>
            </w:r>
            <w:r>
              <w:rPr>
                <w:rFonts w:ascii="inherit" w:hAnsi="inherit"/>
                <w:sz w:val="17"/>
              </w:rPr>
              <w:t>primarily due to the streamlining of our NGL activities by focusing on our equity supply from our gathering and processing facilities, favorable regional differentials and the favorable impact of certain non-recurring items recorded in the second quarter of 2019.</w:t>
            </w:r>
          </w:p>
        </w:tc>
      </w:tr>
    </w:tbl>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rPr>
                <w:sz w:val="17"/>
              </w:rPr>
            </w:pPr>
            <w:r>
              <w:rPr>
                <w:rFonts w:ascii="inherit" w:hAnsi="inherit"/>
                <w:i/>
                <w:sz w:val="17"/>
              </w:rPr>
              <w:t xml:space="preserve">Impact from Certain Derivative Activities Net of Inventory Valuation Adjustments. </w:t>
            </w:r>
            <w:r>
              <w:rPr>
                <w:rFonts w:ascii="inherit" w:hAnsi="inherit"/>
                <w:sz w:val="17"/>
              </w:rPr>
              <w:t xml:space="preserve">The impact from certain derivative activities on our net revenues includes mark-to-market and other gains and losses resulting from certain derivative instruments that are related to underlying activities in another period (or the reversal of mark-to-market gains and losses from a prior period), losses on derivatives that are related to investing activities (such as the purchase of linefill) and inventory valuation adjustments, as applicable. See </w:t>
            </w:r>
            <w:r>
              <w:rPr>
                <w:b w:val="false"/>
                <w:sz w:val="17"/>
              </w:rPr>
              <w:t>Note 10</w:t>
            </w:r>
            <w:r>
              <w:rPr>
                <w:sz w:val="17"/>
              </w:rPr>
              <w:t xml:space="preserve"> </w:t>
            </w:r>
            <w:r>
              <w:rPr>
                <w:rFonts w:ascii="inherit" w:hAnsi="inherit"/>
                <w:sz w:val="17"/>
              </w:rPr>
              <w:t>to our Condensed Consolidated Financial Statements for a comprehensive discussion regarding our derivatives and risk management activities. These gains and losses impact our net revenues but are excluded from Segment Adjusted EBITDA and thus are reflected as an “Adjustment” in the table above.</w:t>
            </w:r>
          </w:p>
        </w:tc>
      </w:tr>
    </w:tbl>
    <w:p>
      <w:pPr>
        <w:pStyle w:val="TextBody"/>
        <w:spacing w:lineRule="auto" w:line="288" w:before="0" w:after="0"/>
        <w:ind w:left="0" w:right="0" w:firstLine="108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rPr>
                <w:sz w:val="17"/>
              </w:rPr>
            </w:pPr>
            <w:r>
              <w:rPr>
                <w:rFonts w:ascii="inherit" w:hAnsi="inherit"/>
                <w:i/>
                <w:sz w:val="17"/>
              </w:rPr>
              <w:t>Long-Term Inventory Costing Adjustments.</w:t>
            </w:r>
            <w:r>
              <w:rPr>
                <w:sz w:val="17"/>
              </w:rPr>
              <w:t xml:space="preserve"> </w:t>
            </w:r>
            <w:r>
              <w:rPr>
                <w:rFonts w:ascii="inherit" w:hAnsi="inherit"/>
                <w:sz w:val="17"/>
              </w:rPr>
              <w:t>Our net revenues are impacted by changes in the weighted average cost of our crude oil and NGL inventory pools that result from price movements during the periods. These costing adjustments related to long-term inventory necessary to meet our minimum inventory requirements in third-party assets and other working inventory that was needed for our commercial operations. We consider this inventory necessary to conduct our operations and we intend to carry this inventory for the foreseeable future. These costing adjustments impact our net revenues but are excluded from Segment Adjusted EBITDA and thus are reflected as an “Adjustment” in the table above.</w:t>
            </w:r>
          </w:p>
        </w:tc>
      </w:tr>
    </w:tbl>
    <w:p>
      <w:pPr>
        <w:pStyle w:val="TextBody"/>
        <w:spacing w:lineRule="auto" w:line="288" w:before="0" w:after="0"/>
        <w:ind w:left="0" w:right="0" w:firstLine="108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rPr>
                <w:sz w:val="17"/>
              </w:rPr>
            </w:pPr>
            <w:r>
              <w:rPr>
                <w:rFonts w:ascii="inherit" w:hAnsi="inherit"/>
                <w:i/>
                <w:sz w:val="17"/>
              </w:rPr>
              <w:t>Foreign Exchange Impacts.</w:t>
            </w:r>
            <w:r>
              <w:rPr>
                <w:sz w:val="17"/>
              </w:rPr>
              <w:t xml:space="preserve"> </w:t>
            </w:r>
            <w:r>
              <w:rPr>
                <w:rFonts w:ascii="inherit" w:hAnsi="inherit"/>
                <w:sz w:val="17"/>
              </w:rPr>
              <w:t>Our net revenues are impacted by fluctuations in the value of CAD to USD, resulting in foreign exchange gains and losses on U.S. denominated net assets within our Canadian operations. These non-cash gains and losses impact our net revenues but are excluded from Segment Adjusted EBITDA and thus are reflected as an “Adjustment” in the table above.</w:t>
            </w:r>
          </w:p>
        </w:tc>
      </w:tr>
    </w:tbl>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58</w:t>
      </w:r>
      <w:r>
        <w:br w:type="page"/>
      </w:r>
    </w:p>
    <w:p>
      <w:pPr>
        <w:pStyle w:val="TextBody"/>
        <w:spacing w:lineRule="auto" w:line="288" w:before="0" w:after="0"/>
        <w:rPr/>
      </w:pPr>
      <w:hyperlink w:anchor="s3336AD8A685850CC9B7F2572CB2C0BC3">
        <w:r>
          <w:rPr>
            <w:rStyle w:val="InternetLink"/>
            <w:rFonts w:ascii="inherit" w:hAnsi="inherit"/>
            <w:sz w:val="17"/>
          </w:rPr>
          <w:t>Table of Contents</w:t>
        </w:r>
      </w:hyperlink>
      <w:r>
        <w:rPr>
          <w:sz w:val="17"/>
        </w:rPr>
        <w:t xml:space="preserve"> </w:t>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rPr>
                <w:sz w:val="17"/>
              </w:rPr>
            </w:pPr>
            <w:r>
              <w:rPr>
                <w:rFonts w:ascii="inherit" w:hAnsi="inherit"/>
                <w:i/>
                <w:sz w:val="17"/>
              </w:rPr>
              <w:t xml:space="preserve">Field Operating Costs. </w:t>
            </w:r>
            <w:r>
              <w:rPr>
                <w:rFonts w:ascii="inherit" w:hAnsi="inherit"/>
                <w:sz w:val="17"/>
              </w:rPr>
              <w:t>The increase in field operating costs for the three and six</w:t>
            </w:r>
            <w:r>
              <w:rPr>
                <w:sz w:val="17"/>
              </w:rPr>
              <w:t xml:space="preserve"> </w:t>
            </w:r>
            <w:r>
              <w:rPr>
                <w:rFonts w:ascii="inherit" w:hAnsi="inherit"/>
                <w:sz w:val="17"/>
              </w:rPr>
              <w:t>months ended June 30, 2019</w:t>
            </w:r>
            <w:r>
              <w:rPr>
                <w:sz w:val="17"/>
              </w:rPr>
              <w:t xml:space="preserve"> </w:t>
            </w:r>
            <w:r>
              <w:rPr>
                <w:rFonts w:ascii="inherit" w:hAnsi="inherit"/>
                <w:sz w:val="17"/>
              </w:rPr>
              <w:t>compared to the three and six</w:t>
            </w:r>
            <w:r>
              <w:rPr>
                <w:sz w:val="17"/>
              </w:rPr>
              <w:t xml:space="preserve"> </w:t>
            </w:r>
            <w:r>
              <w:rPr>
                <w:rFonts w:ascii="inherit" w:hAnsi="inherit"/>
                <w:sz w:val="17"/>
              </w:rPr>
              <w:t>months ended June 30, 2018</w:t>
            </w:r>
            <w:r>
              <w:rPr>
                <w:sz w:val="17"/>
              </w:rPr>
              <w:t xml:space="preserve"> </w:t>
            </w:r>
            <w:r>
              <w:rPr>
                <w:rFonts w:ascii="inherit" w:hAnsi="inherit"/>
                <w:sz w:val="17"/>
              </w:rPr>
              <w:t>was primarily driven by an increase in trucking costs resulting from higher third-party hauled volumes, partially offset by a decrease in vehicle expense related to the adoption of the new lease accounting standard.</w:t>
            </w:r>
          </w:p>
        </w:tc>
      </w:tr>
    </w:tbl>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lineRule="auto" w:line="288" w:before="0" w:after="0"/>
        <w:rPr>
          <w:sz w:val="17"/>
        </w:rPr>
      </w:pPr>
      <w:bookmarkStart w:id="37" w:name="sDDD32BA162A65547B61F59E69BF68BE3"/>
      <w:bookmarkEnd w:id="37"/>
      <w:r>
        <w:rPr>
          <w:b/>
          <w:i/>
          <w:sz w:val="17"/>
        </w:rPr>
        <w:t>Other Income and Expenses</w:t>
      </w:r>
      <w:r>
        <w:rPr>
          <w:sz w:val="17"/>
        </w:rPr>
        <w:t xml:space="preserve"> </w:t>
      </w:r>
    </w:p>
    <w:p>
      <w:pPr>
        <w:pStyle w:val="TextBody"/>
        <w:spacing w:lineRule="auto" w:line="288" w:before="0" w:after="0"/>
        <w:rPr/>
      </w:pPr>
      <w:r>
        <w:rPr/>
        <w:t> </w:t>
      </w:r>
    </w:p>
    <w:p>
      <w:pPr>
        <w:pStyle w:val="TextBody"/>
        <w:spacing w:lineRule="auto" w:line="288" w:before="0" w:after="0"/>
        <w:ind w:left="0" w:right="0" w:firstLine="720"/>
        <w:rPr>
          <w:rFonts w:ascii="inherit" w:hAnsi="inherit"/>
          <w:b/>
          <w:sz w:val="17"/>
        </w:rPr>
      </w:pPr>
      <w:r>
        <w:rPr>
          <w:rFonts w:ascii="inherit" w:hAnsi="inherit"/>
          <w:b/>
          <w:sz w:val="17"/>
        </w:rPr>
        <w:t>Depreciation and Amortization</w:t>
      </w:r>
    </w:p>
    <w:p>
      <w:pPr>
        <w:pStyle w:val="TextBody"/>
        <w:spacing w:lineRule="auto" w:line="288" w:before="0" w:after="0"/>
        <w:rPr/>
      </w:pPr>
      <w:r>
        <w:rPr/>
        <w:t> </w:t>
      </w:r>
    </w:p>
    <w:p>
      <w:pPr>
        <w:pStyle w:val="TextBody"/>
        <w:spacing w:lineRule="auto" w:line="288" w:before="0" w:after="0"/>
        <w:ind w:left="0" w:right="0" w:firstLine="720"/>
        <w:rPr>
          <w:sz w:val="17"/>
        </w:rPr>
      </w:pPr>
      <w:r>
        <w:rPr>
          <w:rFonts w:ascii="inherit" w:hAnsi="inherit"/>
          <w:sz w:val="17"/>
        </w:rPr>
        <w:t>Depreciation and amortization expense increased for the three and six</w:t>
      </w:r>
      <w:r>
        <w:rPr>
          <w:sz w:val="17"/>
        </w:rPr>
        <w:t xml:space="preserve"> </w:t>
      </w:r>
      <w:r>
        <w:rPr>
          <w:rFonts w:ascii="inherit" w:hAnsi="inherit"/>
          <w:sz w:val="17"/>
        </w:rPr>
        <w:t>months ended June 30, 2019</w:t>
      </w:r>
      <w:r>
        <w:rPr>
          <w:sz w:val="17"/>
        </w:rPr>
        <w:t xml:space="preserve"> </w:t>
      </w:r>
      <w:r>
        <w:rPr>
          <w:rFonts w:ascii="inherit" w:hAnsi="inherit"/>
          <w:sz w:val="17"/>
        </w:rPr>
        <w:t>compared to the three and six</w:t>
      </w:r>
      <w:r>
        <w:rPr>
          <w:sz w:val="17"/>
        </w:rPr>
        <w:t xml:space="preserve"> </w:t>
      </w:r>
      <w:r>
        <w:rPr>
          <w:rFonts w:ascii="inherit" w:hAnsi="inherit"/>
          <w:sz w:val="17"/>
        </w:rPr>
        <w:t>months ended June 30, 2018</w:t>
      </w:r>
      <w:r>
        <w:rPr>
          <w:sz w:val="17"/>
        </w:rPr>
        <w:t xml:space="preserve"> </w:t>
      </w:r>
      <w:r>
        <w:rPr>
          <w:rFonts w:ascii="inherit" w:hAnsi="inherit"/>
          <w:sz w:val="17"/>
        </w:rPr>
        <w:t>largely driven by (i) additional depreciation expense associated with the completion of various capital expansion projects and (ii) an adjustment to the useful lives of certain assets.</w:t>
      </w:r>
    </w:p>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lineRule="auto" w:line="288" w:before="0" w:after="0"/>
        <w:ind w:left="0" w:right="0" w:firstLine="720"/>
        <w:rPr>
          <w:rFonts w:ascii="inherit" w:hAnsi="inherit"/>
          <w:b/>
          <w:sz w:val="17"/>
        </w:rPr>
      </w:pPr>
      <w:r>
        <w:rPr>
          <w:rFonts w:ascii="inherit" w:hAnsi="inherit"/>
          <w:b/>
          <w:sz w:val="17"/>
        </w:rPr>
        <w:t>Gains/Losses on Asset Sales and Asset Impairments, Net</w:t>
      </w:r>
    </w:p>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lineRule="auto" w:line="288" w:before="0" w:after="0"/>
        <w:ind w:left="0" w:right="0" w:firstLine="720"/>
        <w:rPr>
          <w:rFonts w:ascii="inherit" w:hAnsi="inherit"/>
          <w:sz w:val="17"/>
        </w:rPr>
      </w:pPr>
      <w:r>
        <w:rPr>
          <w:rFonts w:ascii="inherit" w:hAnsi="inherit"/>
          <w:sz w:val="17"/>
        </w:rPr>
        <w:t>The net gain on asset sales and asset impairments for the three and six months ended June 30, 2018 was largely driven by a gain on the sale of certain pipelines in the Rocky Mountain region, partially offset by a loss on the sale of a non-core asset under construction.</w:t>
      </w:r>
    </w:p>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lineRule="auto" w:line="288" w:before="0" w:after="0"/>
        <w:ind w:left="0" w:right="0" w:firstLine="720"/>
        <w:rPr>
          <w:rFonts w:ascii="inherit" w:hAnsi="inherit"/>
          <w:b/>
          <w:sz w:val="17"/>
        </w:rPr>
      </w:pPr>
      <w:r>
        <w:rPr>
          <w:rFonts w:ascii="inherit" w:hAnsi="inherit"/>
          <w:b/>
          <w:sz w:val="17"/>
        </w:rPr>
        <w:t>Gain on Investment in Unconsolidated Entities</w:t>
      </w:r>
    </w:p>
    <w:p>
      <w:pPr>
        <w:pStyle w:val="TextBody"/>
        <w:spacing w:lineRule="auto" w:line="288" w:before="0" w:after="0"/>
        <w:rPr/>
      </w:pPr>
      <w:r>
        <w:rPr/>
        <w:t> </w:t>
      </w:r>
    </w:p>
    <w:p>
      <w:pPr>
        <w:pStyle w:val="TextBody"/>
        <w:spacing w:lineRule="auto" w:line="288" w:before="0" w:after="0"/>
        <w:ind w:left="0" w:right="0" w:firstLine="720"/>
        <w:rPr>
          <w:sz w:val="17"/>
        </w:rPr>
      </w:pPr>
      <w:r>
        <w:rPr>
          <w:rFonts w:ascii="inherit" w:hAnsi="inherit"/>
          <w:sz w:val="17"/>
        </w:rPr>
        <w:t>During the six months ended June 30, 2019, we recognized a non-cash gain of $267 million</w:t>
      </w:r>
      <w:r>
        <w:rPr>
          <w:sz w:val="17"/>
        </w:rPr>
        <w:t xml:space="preserve"> </w:t>
      </w:r>
      <w:r>
        <w:rPr>
          <w:rFonts w:ascii="inherit" w:hAnsi="inherit"/>
          <w:sz w:val="17"/>
        </w:rPr>
        <w:t xml:space="preserve">related to a fair value adjustment resulting from the accounting for the contribution of our undivided joint interest in the Capline pipeline system for an equity interest in Capline Pipeline Company LLC. See </w:t>
      </w:r>
      <w:r>
        <w:rPr>
          <w:b w:val="false"/>
          <w:sz w:val="17"/>
        </w:rPr>
        <w:t>Note 7</w:t>
      </w:r>
      <w:r>
        <w:rPr>
          <w:sz w:val="17"/>
        </w:rPr>
        <w:t xml:space="preserve"> </w:t>
      </w:r>
      <w:r>
        <w:rPr>
          <w:rFonts w:ascii="inherit" w:hAnsi="inherit"/>
          <w:sz w:val="17"/>
        </w:rPr>
        <w:t>to our Condensed Consolidated Financial Statements for additional information.</w:t>
      </w:r>
    </w:p>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lineRule="auto" w:line="288" w:before="0" w:after="0"/>
        <w:ind w:left="0" w:right="0" w:firstLine="720"/>
        <w:rPr>
          <w:rFonts w:ascii="inherit" w:hAnsi="inherit"/>
          <w:b/>
          <w:sz w:val="17"/>
        </w:rPr>
      </w:pPr>
      <w:r>
        <w:rPr>
          <w:rFonts w:ascii="inherit" w:hAnsi="inherit"/>
          <w:b/>
          <w:sz w:val="17"/>
        </w:rPr>
        <w:t>Interest Expense</w:t>
      </w:r>
    </w:p>
    <w:p>
      <w:pPr>
        <w:pStyle w:val="TextBody"/>
        <w:spacing w:lineRule="auto" w:line="288" w:before="0" w:after="0"/>
        <w:rPr/>
      </w:pPr>
      <w:r>
        <w:rPr/>
        <w:t> </w:t>
      </w:r>
    </w:p>
    <w:p>
      <w:pPr>
        <w:pStyle w:val="TextBody"/>
        <w:spacing w:lineRule="auto" w:line="288" w:before="0" w:after="0"/>
        <w:ind w:left="0" w:right="0" w:firstLine="720"/>
        <w:rPr>
          <w:sz w:val="17"/>
        </w:rPr>
      </w:pPr>
      <w:r>
        <w:rPr>
          <w:rFonts w:ascii="inherit" w:hAnsi="inherit"/>
          <w:sz w:val="17"/>
        </w:rPr>
        <w:t>The decrease in interest expense for the three and six</w:t>
      </w:r>
      <w:r>
        <w:rPr>
          <w:sz w:val="17"/>
        </w:rPr>
        <w:t xml:space="preserve"> </w:t>
      </w:r>
      <w:r>
        <w:rPr>
          <w:rFonts w:ascii="inherit" w:hAnsi="inherit"/>
          <w:sz w:val="17"/>
        </w:rPr>
        <w:t>months ended June 30, 2019</w:t>
      </w:r>
      <w:r>
        <w:rPr>
          <w:sz w:val="17"/>
        </w:rPr>
        <w:t xml:space="preserve"> </w:t>
      </w:r>
      <w:r>
        <w:rPr>
          <w:rFonts w:ascii="inherit" w:hAnsi="inherit"/>
          <w:sz w:val="17"/>
        </w:rPr>
        <w:t>compared to the three and six</w:t>
      </w:r>
      <w:r>
        <w:rPr>
          <w:sz w:val="17"/>
        </w:rPr>
        <w:t xml:space="preserve"> </w:t>
      </w:r>
      <w:r>
        <w:rPr>
          <w:rFonts w:ascii="inherit" w:hAnsi="inherit"/>
          <w:sz w:val="17"/>
        </w:rPr>
        <w:t>months ended June 30, 2018</w:t>
      </w:r>
      <w:r>
        <w:rPr>
          <w:sz w:val="17"/>
        </w:rPr>
        <w:t xml:space="preserve"> </w:t>
      </w:r>
      <w:r>
        <w:rPr>
          <w:rFonts w:ascii="inherit" w:hAnsi="inherit"/>
          <w:sz w:val="17"/>
        </w:rPr>
        <w:t>was primarily due to (i) a lower weighted average debt balance during the 2019 periods from lower commercial paper and credit facility borrowings and (ii) higher capitalized interest in the 2019 periods due to additional projects under construction.</w:t>
      </w:r>
    </w:p>
    <w:p>
      <w:pPr>
        <w:pStyle w:val="TextBody"/>
        <w:spacing w:lineRule="auto" w:line="288" w:before="0" w:after="0"/>
        <w:rPr/>
      </w:pPr>
      <w:r>
        <w:rPr/>
        <w:t> </w:t>
      </w:r>
    </w:p>
    <w:p>
      <w:pPr>
        <w:pStyle w:val="TextBody"/>
        <w:spacing w:lineRule="auto" w:line="288" w:before="0" w:after="0"/>
        <w:ind w:left="0" w:right="0" w:firstLine="720"/>
        <w:rPr>
          <w:rFonts w:ascii="inherit" w:hAnsi="inherit"/>
          <w:b/>
          <w:sz w:val="17"/>
        </w:rPr>
      </w:pPr>
      <w:r>
        <w:rPr>
          <w:rFonts w:ascii="inherit" w:hAnsi="inherit"/>
          <w:b/>
          <w:sz w:val="17"/>
        </w:rPr>
        <w:t>Other Income/(Expense), Net</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The following table summarizes the components impacting Other income/(expense), net (in millions):</w:t>
      </w:r>
    </w:p>
    <w:tbl>
      <w:tblPr>
        <w:tblW w:w="10205" w:type="dxa"/>
        <w:jc w:val="center"/>
        <w:tblInd w:w="0" w:type="dxa"/>
        <w:tblCellMar>
          <w:top w:w="0" w:type="dxa"/>
          <w:left w:w="0" w:type="dxa"/>
          <w:bottom w:w="0" w:type="dxa"/>
          <w:right w:w="0" w:type="dxa"/>
        </w:tblCellMar>
      </w:tblPr>
      <w:tblGrid>
        <w:gridCol w:w="7276"/>
        <w:gridCol w:w="90"/>
        <w:gridCol w:w="202"/>
        <w:gridCol w:w="299"/>
        <w:gridCol w:w="177"/>
        <w:gridCol w:w="145"/>
        <w:gridCol w:w="205"/>
        <w:gridCol w:w="372"/>
        <w:gridCol w:w="47"/>
        <w:gridCol w:w="90"/>
        <w:gridCol w:w="188"/>
        <w:gridCol w:w="340"/>
        <w:gridCol w:w="43"/>
        <w:gridCol w:w="132"/>
        <w:gridCol w:w="188"/>
        <w:gridCol w:w="340"/>
        <w:gridCol w:w="71"/>
      </w:tblGrid>
      <w:tr>
        <w:trPr/>
        <w:tc>
          <w:tcPr>
            <w:tcW w:w="10205" w:type="dxa"/>
            <w:gridSpan w:val="17"/>
            <w:tcBorders/>
            <w:shd w:fill="auto" w:val="clear"/>
            <w:vAlign w:val="center"/>
          </w:tcPr>
          <w:p>
            <w:pPr>
              <w:pStyle w:val="TableContents"/>
              <w:spacing w:before="0" w:after="283"/>
              <w:rPr>
                <w:sz w:val="4"/>
                <w:szCs w:val="4"/>
              </w:rPr>
            </w:pPr>
            <w:r>
              <w:rPr>
                <w:sz w:val="4"/>
                <w:szCs w:val="4"/>
              </w:rPr>
            </w:r>
          </w:p>
        </w:tc>
      </w:tr>
      <w:tr>
        <w:trPr/>
        <w:tc>
          <w:tcPr>
            <w:tcW w:w="727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47"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43"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7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7276"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447"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w:t>
              <w:br/>
              <w:t>June 30,</w:t>
            </w:r>
          </w:p>
        </w:tc>
        <w:tc>
          <w:tcPr>
            <w:tcW w:w="90" w:type="dxa"/>
            <w:tcBorders/>
            <w:shd w:fill="auto" w:val="clear"/>
            <w:vAlign w:val="center"/>
          </w:tcPr>
          <w:p>
            <w:pPr>
              <w:pStyle w:val="TableContents"/>
              <w:spacing w:before="0" w:after="0"/>
              <w:ind w:left="0" w:right="0" w:firstLine="30"/>
              <w:rPr/>
            </w:pPr>
            <w:r>
              <w:rPr/>
              <w:t> </w:t>
            </w:r>
          </w:p>
        </w:tc>
        <w:tc>
          <w:tcPr>
            <w:tcW w:w="1302"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Six Months Ended</w:t>
              <w:br/>
              <w:t>June 30,</w:t>
            </w:r>
          </w:p>
        </w:tc>
      </w:tr>
      <w:tr>
        <w:trPr/>
        <w:tc>
          <w:tcPr>
            <w:tcW w:w="7276"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67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145" w:type="dxa"/>
            <w:tcBorders/>
            <w:shd w:fill="auto" w:val="clear"/>
            <w:vAlign w:val="center"/>
          </w:tcPr>
          <w:p>
            <w:pPr>
              <w:pStyle w:val="TableContents"/>
              <w:spacing w:before="0" w:after="0"/>
              <w:ind w:left="0" w:right="0" w:firstLine="30"/>
              <w:rPr/>
            </w:pPr>
            <w:r>
              <w:rPr/>
              <w:t> </w:t>
            </w:r>
          </w:p>
        </w:tc>
        <w:tc>
          <w:tcPr>
            <w:tcW w:w="62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c>
          <w:tcPr>
            <w:tcW w:w="90" w:type="dxa"/>
            <w:tcBorders/>
            <w:shd w:fill="auto" w:val="clear"/>
            <w:vAlign w:val="center"/>
          </w:tcPr>
          <w:p>
            <w:pPr>
              <w:pStyle w:val="TableContents"/>
              <w:spacing w:before="0" w:after="0"/>
              <w:ind w:left="0" w:right="0" w:firstLine="30"/>
              <w:rPr/>
            </w:pPr>
            <w:r>
              <w:rPr/>
              <w:t> </w:t>
            </w:r>
          </w:p>
        </w:tc>
        <w:tc>
          <w:tcPr>
            <w:tcW w:w="57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2019</w:t>
            </w:r>
          </w:p>
        </w:tc>
        <w:tc>
          <w:tcPr>
            <w:tcW w:w="132" w:type="dxa"/>
            <w:tcBorders/>
            <w:shd w:fill="auto" w:val="clear"/>
            <w:vAlign w:val="center"/>
          </w:tcPr>
          <w:p>
            <w:pPr>
              <w:pStyle w:val="TableContents"/>
              <w:spacing w:before="0" w:after="0"/>
              <w:ind w:left="0" w:right="0" w:firstLine="30"/>
              <w:rPr/>
            </w:pPr>
            <w:r>
              <w:rPr/>
              <w:t> </w:t>
            </w:r>
          </w:p>
        </w:tc>
        <w:tc>
          <w:tcPr>
            <w:tcW w:w="59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2018</w:t>
            </w:r>
          </w:p>
        </w:tc>
      </w:tr>
      <w:tr>
        <w:trPr/>
        <w:tc>
          <w:tcPr>
            <w:tcW w:w="7276" w:type="dxa"/>
            <w:tcBorders>
              <w:top w:val="single" w:sz="2" w:space="0" w:color="000000"/>
            </w:tcBorders>
            <w:shd w:fill="CCEEFF" w:val="clear"/>
            <w:tcMar>
              <w:top w:w="30" w:type="dxa"/>
            </w:tcMar>
            <w:vAlign w:val="center"/>
          </w:tcPr>
          <w:p>
            <w:pPr>
              <w:pStyle w:val="TableContents"/>
              <w:spacing w:lineRule="auto" w:line="288" w:before="0" w:after="0"/>
              <w:ind w:left="0" w:right="0" w:firstLine="30"/>
              <w:rPr>
                <w:sz w:val="17"/>
              </w:rPr>
            </w:pPr>
            <w:r>
              <w:rPr>
                <w:rFonts w:ascii="inherit" w:hAnsi="inherit"/>
                <w:sz w:val="17"/>
              </w:rPr>
              <w:t xml:space="preserve">Gain/(loss) related to mark-to-market adjustment of our Preferred Distribution Rate Reset Option </w:t>
            </w:r>
            <w:r>
              <w:rPr>
                <w:rFonts w:ascii="inherit" w:hAnsi="inherit"/>
                <w:sz w:val="12"/>
              </w:rPr>
              <w:t>(1)</w:t>
            </w:r>
          </w:p>
        </w:tc>
        <w:tc>
          <w:tcPr>
            <w:tcW w:w="90" w:type="dxa"/>
            <w:tcBorders/>
            <w:shd w:fill="CCEEFF" w:val="clear"/>
            <w:vAlign w:val="center"/>
          </w:tcPr>
          <w:p>
            <w:pPr>
              <w:pStyle w:val="TableContents"/>
              <w:spacing w:before="0" w:after="0"/>
              <w:ind w:left="0" w:right="0" w:firstLine="30"/>
              <w:rPr/>
            </w:pPr>
            <w:r>
              <w:rPr/>
              <w:t> </w:t>
            </w:r>
          </w:p>
        </w:tc>
        <w:tc>
          <w:tcPr>
            <w:tcW w:w="20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299" w:type="dxa"/>
            <w:tcBorders/>
            <w:shd w:fill="CCEEFF" w:val="clear"/>
            <w:vAlign w:val="center"/>
          </w:tcPr>
          <w:p>
            <w:pPr>
              <w:pStyle w:val="TableContents"/>
              <w:spacing w:before="0" w:after="0"/>
              <w:jc w:val="right"/>
              <w:rPr>
                <w:rFonts w:ascii="inherit" w:hAnsi="inherit"/>
                <w:sz w:val="17"/>
              </w:rPr>
            </w:pPr>
            <w:r>
              <w:rPr>
                <w:rFonts w:ascii="inherit" w:hAnsi="inherit"/>
                <w:sz w:val="17"/>
              </w:rPr>
              <w:t>(7</w:t>
            </w:r>
          </w:p>
        </w:tc>
        <w:tc>
          <w:tcPr>
            <w:tcW w:w="1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5" w:type="dxa"/>
            <w:tcBorders/>
            <w:shd w:fill="CCEEFF" w:val="clear"/>
            <w:vAlign w:val="center"/>
          </w:tcPr>
          <w:p>
            <w:pPr>
              <w:pStyle w:val="TableContents"/>
              <w:spacing w:before="0" w:after="0"/>
              <w:ind w:left="0" w:right="0" w:firstLine="30"/>
              <w:rPr/>
            </w:pPr>
            <w:r>
              <w:rPr/>
              <w:t> </w:t>
            </w:r>
          </w:p>
        </w:tc>
        <w:tc>
          <w:tcPr>
            <w:tcW w:w="20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372" w:type="dxa"/>
            <w:tcBorders/>
            <w:shd w:fill="CCEEFF" w:val="clear"/>
            <w:vAlign w:val="center"/>
          </w:tcPr>
          <w:p>
            <w:pPr>
              <w:pStyle w:val="TableContents"/>
              <w:spacing w:before="0" w:after="0"/>
              <w:jc w:val="right"/>
              <w:rPr>
                <w:rFonts w:ascii="inherit" w:hAnsi="inherit"/>
                <w:sz w:val="17"/>
              </w:rPr>
            </w:pPr>
            <w:r>
              <w:rPr>
                <w:rFonts w:ascii="inherit" w:hAnsi="inherit"/>
                <w:sz w:val="17"/>
              </w:rPr>
              <w:t>8</w:t>
            </w:r>
          </w:p>
        </w:tc>
        <w:tc>
          <w:tcPr>
            <w:tcW w:w="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8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340" w:type="dxa"/>
            <w:tcBorders/>
            <w:shd w:fill="CCEEFF" w:val="clear"/>
            <w:vAlign w:val="center"/>
          </w:tcPr>
          <w:p>
            <w:pPr>
              <w:pStyle w:val="TableContents"/>
              <w:spacing w:before="0" w:after="0"/>
              <w:jc w:val="right"/>
              <w:rPr>
                <w:rFonts w:ascii="inherit" w:hAnsi="inherit"/>
                <w:sz w:val="17"/>
              </w:rPr>
            </w:pPr>
            <w:r>
              <w:rPr>
                <w:rFonts w:ascii="inherit" w:hAnsi="inherit"/>
                <w:sz w:val="17"/>
              </w:rPr>
              <w:t>16</w:t>
            </w:r>
          </w:p>
        </w:tc>
        <w:tc>
          <w:tcPr>
            <w:tcW w:w="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8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340" w:type="dxa"/>
            <w:tcBorders/>
            <w:shd w:fill="CCEEFF" w:val="clear"/>
            <w:vAlign w:val="center"/>
          </w:tcPr>
          <w:p>
            <w:pPr>
              <w:pStyle w:val="TableContents"/>
              <w:spacing w:before="0" w:after="0"/>
              <w:jc w:val="right"/>
              <w:rPr>
                <w:rFonts w:ascii="inherit" w:hAnsi="inherit"/>
                <w:sz w:val="17"/>
              </w:rPr>
            </w:pPr>
            <w:r>
              <w:rPr>
                <w:rFonts w:ascii="inherit" w:hAnsi="inherit"/>
                <w:sz w:val="17"/>
              </w:rPr>
              <w:t>5</w:t>
            </w:r>
          </w:p>
        </w:tc>
        <w:tc>
          <w:tcPr>
            <w:tcW w:w="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27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90" w:type="dxa"/>
            <w:tcBorders/>
            <w:shd w:fill="auto" w:val="clear"/>
            <w:vAlign w:val="center"/>
          </w:tcPr>
          <w:p>
            <w:pPr>
              <w:pStyle w:val="TableContents"/>
              <w:spacing w:before="0" w:after="0"/>
              <w:ind w:left="0" w:right="0" w:firstLine="30"/>
              <w:rPr/>
            </w:pPr>
            <w:r>
              <w:rPr/>
              <w:t> </w:t>
            </w:r>
          </w:p>
        </w:tc>
        <w:tc>
          <w:tcPr>
            <w:tcW w:w="50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w:t>
            </w:r>
          </w:p>
        </w:tc>
        <w:tc>
          <w:tcPr>
            <w:tcW w:w="17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shd w:fill="auto" w:val="clear"/>
            <w:vAlign w:val="center"/>
          </w:tcPr>
          <w:p>
            <w:pPr>
              <w:pStyle w:val="TableContents"/>
              <w:spacing w:before="0" w:after="0"/>
              <w:ind w:left="0" w:right="0" w:firstLine="30"/>
              <w:rPr/>
            </w:pPr>
            <w:r>
              <w:rPr/>
              <w:t> </w:t>
            </w:r>
          </w:p>
        </w:tc>
        <w:tc>
          <w:tcPr>
            <w:tcW w:w="57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w:t>
            </w:r>
          </w:p>
        </w:tc>
        <w:tc>
          <w:tcPr>
            <w:tcW w:w="4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2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w:t>
            </w:r>
          </w:p>
        </w:tc>
        <w:tc>
          <w:tcPr>
            <w:tcW w:w="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52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w:t>
            </w:r>
          </w:p>
        </w:tc>
        <w:tc>
          <w:tcPr>
            <w:tcW w:w="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276"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20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29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(6</w:t>
            </w:r>
          </w:p>
        </w:tc>
        <w:tc>
          <w:tcPr>
            <w:tcW w:w="177"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5" w:type="dxa"/>
            <w:tcBorders/>
            <w:shd w:fill="CCEEFF" w:val="clear"/>
            <w:vAlign w:val="center"/>
          </w:tcPr>
          <w:p>
            <w:pPr>
              <w:pStyle w:val="TableContents"/>
              <w:spacing w:before="0" w:after="0"/>
              <w:ind w:left="0" w:right="0" w:firstLine="30"/>
              <w:rPr/>
            </w:pPr>
            <w:r>
              <w:rPr/>
              <w:t> </w:t>
            </w:r>
          </w:p>
        </w:tc>
        <w:tc>
          <w:tcPr>
            <w:tcW w:w="20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7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11</w:t>
            </w:r>
          </w:p>
        </w:tc>
        <w:tc>
          <w:tcPr>
            <w:tcW w:w="47"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8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4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18</w:t>
            </w:r>
          </w:p>
        </w:tc>
        <w:tc>
          <w:tcPr>
            <w:tcW w:w="43"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8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4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w:t>
            </w:r>
          </w:p>
        </w:tc>
        <w:tc>
          <w:tcPr>
            <w:tcW w:w="7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sz w:val="4"/>
                <w:szCs w:val="4"/>
              </w:rPr>
            </w:pPr>
            <w:r>
              <w:rPr>
                <w:sz w:val="4"/>
                <w:szCs w:val="4"/>
              </w:rPr>
            </w:r>
          </w:p>
        </w:tc>
      </w:tr>
      <w:tr>
        <w:trPr/>
        <w:tc>
          <w:tcPr>
            <w:tcW w:w="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 w:type="dxa"/>
            <w:tcBorders>
              <w:bottom w:val="single" w:sz="2" w:space="0" w:color="000000"/>
            </w:tcBorders>
            <w:shd w:fill="auto" w:val="clear"/>
            <w:tcMar>
              <w:bottom w:w="30" w:type="dxa"/>
            </w:tcMar>
            <w:vAlign w:val="center"/>
          </w:tcPr>
          <w:p>
            <w:pPr>
              <w:pStyle w:val="TableContents"/>
              <w:spacing w:before="0" w:after="0"/>
              <w:rPr/>
            </w:pPr>
            <w:r>
              <w:rPr/>
              <w:t> </w:t>
            </w:r>
          </w:p>
        </w:tc>
      </w:tr>
    </w:tbl>
    <w:tbl>
      <w:tblPr>
        <w:tblW w:w="7870" w:type="dxa"/>
        <w:jc w:val="left"/>
        <w:tblInd w:w="0" w:type="dxa"/>
        <w:tblCellMar>
          <w:top w:w="0" w:type="dxa"/>
          <w:left w:w="0" w:type="dxa"/>
          <w:bottom w:w="0" w:type="dxa"/>
          <w:right w:w="0" w:type="dxa"/>
        </w:tblCellMar>
      </w:tblPr>
      <w:tblGrid>
        <w:gridCol w:w="245"/>
        <w:gridCol w:w="7625"/>
      </w:tblGrid>
      <w:tr>
        <w:trPr/>
        <w:tc>
          <w:tcPr>
            <w:tcW w:w="245" w:type="dxa"/>
            <w:tcBorders/>
            <w:shd w:fill="auto" w:val="clear"/>
            <w:vAlign w:val="center"/>
          </w:tcPr>
          <w:p>
            <w:pPr>
              <w:pStyle w:val="TableContents"/>
              <w:spacing w:before="0" w:after="283"/>
              <w:rPr>
                <w:sz w:val="4"/>
                <w:szCs w:val="4"/>
              </w:rPr>
            </w:pPr>
            <w:r>
              <w:rPr>
                <w:sz w:val="4"/>
                <w:szCs w:val="4"/>
              </w:rPr>
            </w:r>
          </w:p>
        </w:tc>
        <w:tc>
          <w:tcPr>
            <w:tcW w:w="7625" w:type="dxa"/>
            <w:tcBorders/>
            <w:shd w:fill="auto" w:val="clear"/>
            <w:vAlign w:val="center"/>
          </w:tcPr>
          <w:p>
            <w:pPr>
              <w:pStyle w:val="TableContents"/>
              <w:spacing w:before="0" w:after="283"/>
              <w:rPr>
                <w:sz w:val="4"/>
                <w:szCs w:val="4"/>
              </w:rPr>
            </w:pPr>
            <w:r>
              <w:rPr>
                <w:sz w:val="4"/>
                <w:szCs w:val="4"/>
              </w:rPr>
            </w:r>
          </w:p>
        </w:tc>
      </w:tr>
      <w:tr>
        <w:trPr/>
        <w:tc>
          <w:tcPr>
            <w:tcW w:w="245"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(1)</w:t>
            </w:r>
            <w:r>
              <w:rPr>
                <w:rFonts w:ascii="inherit" w:hAnsi="inherit"/>
                <w:sz w:val="17"/>
              </w:rPr>
              <w:t> </w:t>
            </w:r>
          </w:p>
        </w:tc>
        <w:tc>
          <w:tcPr>
            <w:tcW w:w="7625" w:type="dxa"/>
            <w:tcBorders/>
            <w:shd w:fill="auto" w:val="clear"/>
            <w:vAlign w:val="center"/>
          </w:tcPr>
          <w:p>
            <w:pPr>
              <w:pStyle w:val="TableContents"/>
              <w:spacing w:lineRule="auto" w:line="288" w:before="0" w:after="0"/>
              <w:rPr>
                <w:sz w:val="17"/>
              </w:rPr>
            </w:pPr>
            <w:r>
              <w:rPr>
                <w:rFonts w:ascii="inherit" w:hAnsi="inherit"/>
                <w:sz w:val="17"/>
              </w:rPr>
              <w:t xml:space="preserve">See </w:t>
            </w:r>
            <w:r>
              <w:rPr>
                <w:b w:val="false"/>
                <w:sz w:val="17"/>
              </w:rPr>
              <w:t>Note 10</w:t>
            </w:r>
            <w:r>
              <w:rPr>
                <w:sz w:val="17"/>
              </w:rPr>
              <w:t xml:space="preserve"> </w:t>
            </w:r>
            <w:r>
              <w:rPr>
                <w:rFonts w:ascii="inherit" w:hAnsi="inherit"/>
                <w:sz w:val="17"/>
              </w:rPr>
              <w:t>to our Condensed Consolidated Financial Statements for additional information.</w:t>
            </w:r>
          </w:p>
        </w:tc>
      </w:tr>
    </w:tbl>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lineRule="auto" w:line="288" w:before="0" w:after="0"/>
        <w:ind w:left="0" w:right="0" w:firstLine="720"/>
        <w:rPr>
          <w:rFonts w:ascii="inherit" w:hAnsi="inherit"/>
          <w:b/>
          <w:sz w:val="17"/>
        </w:rPr>
      </w:pPr>
      <w:r>
        <w:rPr>
          <w:rFonts w:ascii="inherit" w:hAnsi="inherit"/>
          <w:b/>
          <w:sz w:val="17"/>
        </w:rPr>
        <w:t>Income Tax Expense</w:t>
      </w:r>
    </w:p>
    <w:p>
      <w:pPr>
        <w:pStyle w:val="TextBody"/>
        <w:spacing w:lineRule="auto" w:line="288" w:before="0" w:after="0"/>
        <w:rPr/>
      </w:pPr>
      <w:r>
        <w:rPr/>
        <w:t> </w:t>
      </w:r>
    </w:p>
    <w:p>
      <w:pPr>
        <w:pStyle w:val="TextBody"/>
        <w:spacing w:lineRule="auto" w:line="288" w:before="0" w:after="0"/>
        <w:ind w:left="0" w:right="0" w:firstLine="720"/>
        <w:jc w:val="left"/>
        <w:rPr>
          <w:rFonts w:ascii="inherit" w:hAnsi="inherit"/>
          <w:sz w:val="17"/>
        </w:rPr>
      </w:pPr>
      <w:r>
        <w:rPr>
          <w:rFonts w:ascii="inherit" w:hAnsi="inherit"/>
          <w:sz w:val="17"/>
        </w:rPr>
        <w:t>The change in income tax for the three and six months ended June 30, 2019 compared to the three and six months ended June 30, 2018 was primarily due to the recognition of a deferred tax benefit of $60 million as a result of the reduction of the provincial tax rate in Alberta, Canada enacted during the second quarter of 2019, the impact on income of fluctuations in the derivative mark-to-market valuations in our Canadian operations and higher current income tax expense as a result of higher taxable earnings from our Canadian operations.</w:t>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59</w:t>
      </w:r>
      <w:r>
        <w:br w:type="page"/>
      </w:r>
    </w:p>
    <w:p>
      <w:pPr>
        <w:pStyle w:val="TextBody"/>
        <w:spacing w:lineRule="auto" w:line="288" w:before="0" w:after="0"/>
        <w:rPr/>
      </w:pPr>
      <w:hyperlink w:anchor="s3336AD8A685850CC9B7F2572CB2C0BC3">
        <w:bookmarkStart w:id="38" w:name="s6ACAFE90863F5E5C848AE132D578CB18"/>
        <w:bookmarkEnd w:id="38"/>
        <w:r>
          <w:rPr>
            <w:rStyle w:val="InternetLink"/>
            <w:rFonts w:ascii="inherit" w:hAnsi="inherit"/>
            <w:sz w:val="17"/>
          </w:rPr>
          <w:t>Table of Contents</w:t>
        </w:r>
      </w:hyperlink>
      <w:r>
        <w:rPr>
          <w:sz w:val="17"/>
        </w:rPr>
        <w:t xml:space="preserve"> </w:t>
      </w:r>
    </w:p>
    <w:p>
      <w:pPr>
        <w:pStyle w:val="TextBody"/>
        <w:spacing w:before="0" w:after="0"/>
        <w:rPr/>
      </w:pPr>
      <w:r>
        <w:rPr/>
      </w:r>
    </w:p>
    <w:p>
      <w:pPr>
        <w:pStyle w:val="TextBody"/>
        <w:spacing w:lineRule="auto" w:line="288" w:before="0" w:after="0"/>
        <w:rPr>
          <w:rFonts w:ascii="inherit" w:hAnsi="inherit"/>
          <w:b/>
          <w:sz w:val="17"/>
        </w:rPr>
      </w:pPr>
      <w:r>
        <w:rPr>
          <w:rFonts w:ascii="inherit" w:hAnsi="inherit"/>
          <w:b/>
          <w:sz w:val="17"/>
        </w:rPr>
        <w:t>Liquidity and Capital Resources</w:t>
      </w:r>
    </w:p>
    <w:p>
      <w:pPr>
        <w:pStyle w:val="TextBody"/>
        <w:spacing w:lineRule="auto" w:line="288" w:before="0" w:after="0"/>
        <w:rPr/>
      </w:pPr>
      <w:r>
        <w:rPr/>
        <w:t> </w:t>
      </w:r>
    </w:p>
    <w:p>
      <w:pPr>
        <w:pStyle w:val="TextBody"/>
        <w:spacing w:lineRule="auto" w:line="288" w:before="0" w:after="0"/>
        <w:rPr>
          <w:rFonts w:ascii="inherit" w:hAnsi="inherit"/>
          <w:b/>
          <w:i/>
          <w:sz w:val="17"/>
        </w:rPr>
      </w:pPr>
      <w:r>
        <w:rPr>
          <w:rFonts w:ascii="inherit" w:hAnsi="inherit"/>
          <w:b/>
          <w:i/>
          <w:sz w:val="17"/>
        </w:rPr>
        <w:t xml:space="preserve">General </w:t>
      </w:r>
    </w:p>
    <w:p>
      <w:pPr>
        <w:pStyle w:val="TextBody"/>
        <w:spacing w:lineRule="auto" w:line="288" w:before="0" w:after="0"/>
        <w:rPr/>
      </w:pPr>
      <w:r>
        <w:rPr/>
        <w:t> </w:t>
      </w:r>
    </w:p>
    <w:p>
      <w:pPr>
        <w:pStyle w:val="TextBody"/>
        <w:spacing w:lineRule="auto" w:line="288" w:before="0" w:after="0"/>
        <w:ind w:left="0" w:right="0" w:firstLine="720"/>
        <w:rPr>
          <w:sz w:val="17"/>
        </w:rPr>
      </w:pPr>
      <w:r>
        <w:rPr>
          <w:rFonts w:ascii="inherit" w:hAnsi="inherit"/>
          <w:sz w:val="17"/>
        </w:rPr>
        <w:t>Our primary sources of liquidity are (i) cash flow from operating activities, (ii) borrowings under our credit facilities or commercial paper program and (iii) funds received from sales of equity and debt securities. In addition, we may supplement these sources of liquidity with proceeds from our divestiture program, as further discussed below in the section entitled “—</w:t>
      </w:r>
      <w:r>
        <w:rPr>
          <w:b w:val="false"/>
          <w:i w:val="false"/>
          <w:caps w:val="false"/>
          <w:smallCaps w:val="false"/>
          <w:sz w:val="17"/>
        </w:rPr>
        <w:t>Acquisitions and Capital Expenditures</w:t>
      </w:r>
      <w:r>
        <w:rPr>
          <w:rFonts w:ascii="inherit" w:hAnsi="inherit"/>
          <w:sz w:val="17"/>
        </w:rPr>
        <w:t xml:space="preserve">.” Our primary cash requirements include, but are not limited to, (i) ordinary course of business uses, such as the payment of amounts related to the purchase of crude oil, NGL and other products, other expenses and interest payments on outstanding debt, (ii) expansion and maintenance activities, (iii) acquisitions of assets or businesses, (iv) repayment of principal on our long-term debt and (v) distributions to our unitholders. We generally expect to fund our short-term cash requirements through cash flow generated from operating activities and/or borrowings under our commercial paper program or credit facilities. In addition, we generally expect to fund our long-term needs, such as those resulting from expansion activities or acquisitions and refinancing our long-term debt, through a variety of sources (either separately or in combination), which may include the sources mentioned above as funding for short-term needs and/or the issuance of additional equity or debt securities and the sale of assets. </w:t>
      </w:r>
    </w:p>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lineRule="auto" w:line="288" w:before="0" w:after="0"/>
        <w:ind w:left="0" w:right="0" w:firstLine="720"/>
        <w:rPr>
          <w:sz w:val="17"/>
        </w:rPr>
      </w:pPr>
      <w:r>
        <w:rPr>
          <w:rFonts w:ascii="inherit" w:hAnsi="inherit"/>
          <w:sz w:val="17"/>
        </w:rPr>
        <w:t>As of June 30, 2019, although we had a working capital deficit</w:t>
      </w:r>
      <w:r>
        <w:rPr>
          <w:sz w:val="17"/>
        </w:rPr>
        <w:t xml:space="preserve"> </w:t>
      </w:r>
      <w:r>
        <w:rPr>
          <w:rFonts w:ascii="inherit" w:hAnsi="inherit"/>
          <w:sz w:val="17"/>
        </w:rPr>
        <w:t>of $12 million, we had approximately $2.9 billion</w:t>
      </w:r>
      <w:r>
        <w:rPr>
          <w:sz w:val="17"/>
        </w:rPr>
        <w:t xml:space="preserve"> </w:t>
      </w:r>
      <w:r>
        <w:rPr>
          <w:rFonts w:ascii="inherit" w:hAnsi="inherit"/>
          <w:sz w:val="17"/>
        </w:rPr>
        <w:t>of liquidity available to meet our ongoing operating, investing and financing needs, subject to continued covenant compliance, as noted below (in millions):</w:t>
      </w:r>
    </w:p>
    <w:tbl>
      <w:tblPr>
        <w:tblW w:w="6474" w:type="dxa"/>
        <w:jc w:val="left"/>
        <w:tblInd w:w="0" w:type="dxa"/>
        <w:tblCellMar>
          <w:top w:w="0" w:type="dxa"/>
          <w:left w:w="0" w:type="dxa"/>
          <w:bottom w:w="0" w:type="dxa"/>
          <w:right w:w="0" w:type="dxa"/>
        </w:tblCellMar>
      </w:tblPr>
      <w:tblGrid>
        <w:gridCol w:w="5420"/>
        <w:gridCol w:w="149"/>
        <w:gridCol w:w="578"/>
        <w:gridCol w:w="327"/>
      </w:tblGrid>
      <w:tr>
        <w:trPr/>
        <w:tc>
          <w:tcPr>
            <w:tcW w:w="6474" w:type="dxa"/>
            <w:gridSpan w:val="4"/>
            <w:tcBorders/>
            <w:shd w:fill="auto" w:val="clear"/>
            <w:vAlign w:val="center"/>
          </w:tcPr>
          <w:p>
            <w:pPr>
              <w:pStyle w:val="TableContents"/>
              <w:spacing w:before="0" w:after="283"/>
              <w:rPr>
                <w:sz w:val="4"/>
                <w:szCs w:val="4"/>
              </w:rPr>
            </w:pPr>
            <w:r>
              <w:rPr>
                <w:sz w:val="4"/>
                <w:szCs w:val="4"/>
              </w:rPr>
            </w:r>
          </w:p>
        </w:tc>
      </w:tr>
      <w:tr>
        <w:trPr/>
        <w:tc>
          <w:tcPr>
            <w:tcW w:w="5420"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420" w:type="dxa"/>
            <w:tcBorders/>
            <w:shd w:fill="auto" w:val="clear"/>
            <w:vAlign w:val="center"/>
          </w:tcPr>
          <w:p>
            <w:pPr>
              <w:pStyle w:val="TableContents"/>
              <w:spacing w:before="0" w:after="0"/>
              <w:ind w:left="0" w:right="0" w:firstLine="30"/>
              <w:jc w:val="left"/>
              <w:rPr/>
            </w:pPr>
            <w:r>
              <w:rPr/>
              <w:t> </w:t>
            </w:r>
          </w:p>
        </w:tc>
        <w:tc>
          <w:tcPr>
            <w:tcW w:w="105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As of </w:t>
              <w:br/>
              <w:t>June 30, 2019</w:t>
            </w:r>
          </w:p>
        </w:tc>
      </w:tr>
      <w:tr>
        <w:trPr/>
        <w:tc>
          <w:tcPr>
            <w:tcW w:w="5420" w:type="dxa"/>
            <w:tcBorders/>
            <w:shd w:fill="CCEEFF" w:val="clear"/>
            <w:vAlign w:val="center"/>
          </w:tcPr>
          <w:p>
            <w:pPr>
              <w:pStyle w:val="TableContents"/>
              <w:spacing w:lineRule="auto" w:line="288" w:before="0" w:after="0"/>
              <w:ind w:left="0" w:right="0" w:firstLine="30"/>
              <w:rPr>
                <w:sz w:val="17"/>
              </w:rPr>
            </w:pPr>
            <w:r>
              <w:rPr>
                <w:rFonts w:ascii="inherit" w:hAnsi="inherit"/>
                <w:sz w:val="17"/>
              </w:rPr>
              <w:t xml:space="preserve">Availability under senior unsecured revolving credit facility </w:t>
            </w:r>
            <w:r>
              <w:rPr>
                <w:rFonts w:ascii="inherit" w:hAnsi="inherit"/>
                <w:sz w:val="12"/>
              </w:rPr>
              <w:t>(1) (2)</w:t>
            </w:r>
          </w:p>
        </w:tc>
        <w:tc>
          <w:tcPr>
            <w:tcW w:w="14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78" w:type="dxa"/>
            <w:tcBorders/>
            <w:shd w:fill="CCEEFF" w:val="clear"/>
            <w:vAlign w:val="center"/>
          </w:tcPr>
          <w:p>
            <w:pPr>
              <w:pStyle w:val="TableContents"/>
              <w:spacing w:before="0" w:after="0"/>
              <w:jc w:val="right"/>
              <w:rPr>
                <w:rFonts w:ascii="inherit" w:hAnsi="inherit"/>
                <w:sz w:val="17"/>
              </w:rPr>
            </w:pPr>
            <w:r>
              <w:rPr>
                <w:rFonts w:ascii="inherit" w:hAnsi="inherit"/>
                <w:sz w:val="17"/>
              </w:rPr>
              <w:t>1,460</w:t>
            </w:r>
          </w:p>
        </w:tc>
        <w:tc>
          <w:tcPr>
            <w:tcW w:w="32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20" w:type="dxa"/>
            <w:tcBorders/>
            <w:shd w:fill="auto" w:val="clear"/>
            <w:vAlign w:val="center"/>
          </w:tcPr>
          <w:p>
            <w:pPr>
              <w:pStyle w:val="TableContents"/>
              <w:spacing w:lineRule="auto" w:line="288" w:before="0" w:after="0"/>
              <w:ind w:left="0" w:right="0" w:firstLine="30"/>
              <w:rPr>
                <w:sz w:val="17"/>
              </w:rPr>
            </w:pPr>
            <w:r>
              <w:rPr>
                <w:rFonts w:ascii="inherit" w:hAnsi="inherit"/>
                <w:sz w:val="17"/>
              </w:rPr>
              <w:t xml:space="preserve">Availability under senior secured hedged inventory facility </w:t>
            </w:r>
            <w:r>
              <w:rPr>
                <w:rFonts w:ascii="inherit" w:hAnsi="inherit"/>
                <w:sz w:val="12"/>
              </w:rPr>
              <w:t>(1) (2)</w:t>
            </w:r>
          </w:p>
        </w:tc>
        <w:tc>
          <w:tcPr>
            <w:tcW w:w="72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1,287</w:t>
            </w:r>
          </w:p>
        </w:tc>
        <w:tc>
          <w:tcPr>
            <w:tcW w:w="32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Amounts outstanding under commercial paper program</w:t>
            </w:r>
          </w:p>
        </w:tc>
        <w:tc>
          <w:tcPr>
            <w:tcW w:w="72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(218</w:t>
            </w:r>
          </w:p>
        </w:tc>
        <w:tc>
          <w:tcPr>
            <w:tcW w:w="327" w:type="dxa"/>
            <w:tcBorders>
              <w:bottom w:val="single" w:sz="2" w:space="0" w:color="000000"/>
            </w:tcBorders>
            <w:shd w:fill="CCEEFF" w:val="clear"/>
            <w:tcMar>
              <w:bottom w:w="30" w:type="dxa"/>
            </w:tcM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54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Subtotal</w:t>
            </w:r>
          </w:p>
        </w:tc>
        <w:tc>
          <w:tcPr>
            <w:tcW w:w="72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2,529</w:t>
            </w:r>
          </w:p>
        </w:tc>
        <w:tc>
          <w:tcPr>
            <w:tcW w:w="32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Cash and cash equivalents</w:t>
            </w:r>
          </w:p>
        </w:tc>
        <w:tc>
          <w:tcPr>
            <w:tcW w:w="72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419</w:t>
            </w:r>
          </w:p>
        </w:tc>
        <w:tc>
          <w:tcPr>
            <w:tcW w:w="327" w:type="dxa"/>
            <w:tcBorders>
              <w:bottom w:val="single" w:sz="2" w:space="0" w:color="000000"/>
            </w:tcBorders>
            <w:shd w:fill="CCEEFF"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4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149"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78"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2,948</w:t>
            </w:r>
          </w:p>
        </w:tc>
        <w:tc>
          <w:tcPr>
            <w:tcW w:w="327"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sz w:val="4"/>
                <w:szCs w:val="4"/>
              </w:rPr>
            </w:pPr>
            <w:r>
              <w:rPr>
                <w:sz w:val="4"/>
                <w:szCs w:val="4"/>
              </w:rPr>
            </w:r>
          </w:p>
        </w:tc>
      </w:tr>
      <w:tr>
        <w:trPr/>
        <w:tc>
          <w:tcPr>
            <w:tcW w:w="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 w:type="dxa"/>
            <w:tcBorders>
              <w:bottom w:val="single" w:sz="2" w:space="0" w:color="000000"/>
            </w:tcBorders>
            <w:shd w:fill="auto" w:val="clear"/>
            <w:tcMar>
              <w:bottom w:w="30" w:type="dxa"/>
            </w:tcMar>
            <w:vAlign w:val="center"/>
          </w:tcPr>
          <w:p>
            <w:pPr>
              <w:pStyle w:val="TableContents"/>
              <w:spacing w:before="0" w:after="0"/>
              <w:rPr/>
            </w:pPr>
            <w:r>
              <w:rPr/>
              <w:t> </w:t>
            </w:r>
          </w:p>
        </w:tc>
      </w:tr>
    </w:tbl>
    <w:tbl>
      <w:tblPr>
        <w:tblW w:w="10205" w:type="dxa"/>
        <w:jc w:val="left"/>
        <w:tblInd w:w="0" w:type="dxa"/>
        <w:tblCellMar>
          <w:top w:w="0" w:type="dxa"/>
          <w:left w:w="0" w:type="dxa"/>
          <w:bottom w:w="0" w:type="dxa"/>
          <w:right w:w="0" w:type="dxa"/>
        </w:tblCellMar>
      </w:tblPr>
      <w:tblGrid>
        <w:gridCol w:w="219"/>
        <w:gridCol w:w="9986"/>
      </w:tblGrid>
      <w:tr>
        <w:trPr/>
        <w:tc>
          <w:tcPr>
            <w:tcW w:w="219" w:type="dxa"/>
            <w:tcBorders/>
            <w:shd w:fill="auto" w:val="clear"/>
            <w:vAlign w:val="center"/>
          </w:tcPr>
          <w:p>
            <w:pPr>
              <w:pStyle w:val="TableContents"/>
              <w:spacing w:before="0" w:after="283"/>
              <w:rPr>
                <w:sz w:val="4"/>
                <w:szCs w:val="4"/>
              </w:rPr>
            </w:pPr>
            <w:r>
              <w:rPr>
                <w:sz w:val="4"/>
                <w:szCs w:val="4"/>
              </w:rPr>
            </w:r>
          </w:p>
        </w:tc>
        <w:tc>
          <w:tcPr>
            <w:tcW w:w="9986" w:type="dxa"/>
            <w:tcBorders/>
            <w:shd w:fill="auto" w:val="clear"/>
            <w:vAlign w:val="center"/>
          </w:tcPr>
          <w:p>
            <w:pPr>
              <w:pStyle w:val="TableContents"/>
              <w:spacing w:before="0" w:after="283"/>
              <w:rPr>
                <w:sz w:val="4"/>
                <w:szCs w:val="4"/>
              </w:rPr>
            </w:pPr>
            <w:r>
              <w:rPr>
                <w:sz w:val="4"/>
                <w:szCs w:val="4"/>
              </w:rPr>
            </w:r>
          </w:p>
        </w:tc>
      </w:tr>
      <w:tr>
        <w:trPr/>
        <w:tc>
          <w:tcPr>
            <w:tcW w:w="219"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(1)</w:t>
            </w:r>
            <w:r>
              <w:rPr>
                <w:rFonts w:ascii="inherit" w:hAnsi="inherit"/>
                <w:sz w:val="17"/>
              </w:rPr>
              <w:t> </w:t>
            </w:r>
          </w:p>
        </w:tc>
        <w:tc>
          <w:tcPr>
            <w:tcW w:w="9986" w:type="dxa"/>
            <w:tcBorders/>
            <w:shd w:fill="auto" w:val="clear"/>
            <w:vAlign w:val="center"/>
          </w:tcPr>
          <w:p>
            <w:pPr>
              <w:pStyle w:val="TableContents"/>
              <w:spacing w:lineRule="auto" w:line="288" w:before="0" w:after="0"/>
              <w:rPr>
                <w:rFonts w:ascii="inherit" w:hAnsi="inherit"/>
                <w:sz w:val="17"/>
              </w:rPr>
            </w:pPr>
            <w:r>
              <w:rPr>
                <w:rFonts w:ascii="inherit" w:hAnsi="inherit"/>
                <w:sz w:val="17"/>
              </w:rPr>
              <w:t xml:space="preserve">Represents availability prior to giving effect to borrowings outstanding under our commercial paper program, which reduce available capacity under the facilities. </w:t>
            </w:r>
          </w:p>
        </w:tc>
      </w:tr>
    </w:tbl>
    <w:tbl>
      <w:tblPr>
        <w:tblW w:w="10205" w:type="dxa"/>
        <w:jc w:val="left"/>
        <w:tblInd w:w="0" w:type="dxa"/>
        <w:tblCellMar>
          <w:top w:w="0" w:type="dxa"/>
          <w:left w:w="0" w:type="dxa"/>
          <w:bottom w:w="0" w:type="dxa"/>
          <w:right w:w="0" w:type="dxa"/>
        </w:tblCellMar>
      </w:tblPr>
      <w:tblGrid>
        <w:gridCol w:w="205"/>
        <w:gridCol w:w="10000"/>
      </w:tblGrid>
      <w:tr>
        <w:trPr/>
        <w:tc>
          <w:tcPr>
            <w:tcW w:w="205" w:type="dxa"/>
            <w:tcBorders/>
            <w:shd w:fill="auto" w:val="clear"/>
            <w:vAlign w:val="center"/>
          </w:tcPr>
          <w:p>
            <w:pPr>
              <w:pStyle w:val="TableContents"/>
              <w:spacing w:before="0" w:after="283"/>
              <w:rPr>
                <w:sz w:val="4"/>
                <w:szCs w:val="4"/>
              </w:rPr>
            </w:pPr>
            <w:r>
              <w:rPr>
                <w:sz w:val="4"/>
                <w:szCs w:val="4"/>
              </w:rPr>
            </w:r>
          </w:p>
        </w:tc>
        <w:tc>
          <w:tcPr>
            <w:tcW w:w="10000" w:type="dxa"/>
            <w:tcBorders/>
            <w:shd w:fill="auto" w:val="clear"/>
            <w:vAlign w:val="center"/>
          </w:tcPr>
          <w:p>
            <w:pPr>
              <w:pStyle w:val="TableContents"/>
              <w:spacing w:before="0" w:after="283"/>
              <w:rPr>
                <w:sz w:val="4"/>
                <w:szCs w:val="4"/>
              </w:rPr>
            </w:pPr>
            <w:r>
              <w:rPr>
                <w:sz w:val="4"/>
                <w:szCs w:val="4"/>
              </w:rPr>
            </w:r>
          </w:p>
        </w:tc>
      </w:tr>
      <w:tr>
        <w:trPr/>
        <w:tc>
          <w:tcPr>
            <w:tcW w:w="205"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(2)</w:t>
            </w:r>
            <w:r>
              <w:rPr>
                <w:rFonts w:ascii="inherit" w:hAnsi="inherit"/>
                <w:sz w:val="17"/>
              </w:rPr>
              <w:t> </w:t>
            </w:r>
          </w:p>
        </w:tc>
        <w:tc>
          <w:tcPr>
            <w:tcW w:w="10000" w:type="dxa"/>
            <w:tcBorders/>
            <w:shd w:fill="auto" w:val="clear"/>
            <w:vAlign w:val="center"/>
          </w:tcPr>
          <w:p>
            <w:pPr>
              <w:pStyle w:val="TableContents"/>
              <w:spacing w:lineRule="auto" w:line="288" w:before="0" w:after="0"/>
              <w:rPr>
                <w:sz w:val="17"/>
              </w:rPr>
            </w:pPr>
            <w:r>
              <w:rPr>
                <w:rFonts w:ascii="inherit" w:hAnsi="inherit"/>
                <w:sz w:val="17"/>
              </w:rPr>
              <w:t>Available capacity under our senior unsecured revolving credit facility and senior secured hedged inventory facility was reduced by outstanding letters of credit of $140 million</w:t>
            </w:r>
            <w:r>
              <w:rPr>
                <w:sz w:val="17"/>
              </w:rPr>
              <w:t xml:space="preserve"> </w:t>
            </w:r>
            <w:r>
              <w:rPr>
                <w:rFonts w:ascii="inherit" w:hAnsi="inherit"/>
                <w:sz w:val="17"/>
              </w:rPr>
              <w:t>and $13 million, respectively.</w:t>
            </w:r>
          </w:p>
        </w:tc>
      </w:tr>
    </w:tbl>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lineRule="auto" w:line="288" w:before="0" w:after="0"/>
        <w:ind w:left="0" w:right="0" w:firstLine="720"/>
        <w:rPr>
          <w:sz w:val="17"/>
        </w:rPr>
      </w:pPr>
      <w:r>
        <w:rPr>
          <w:rFonts w:ascii="inherit" w:hAnsi="inherit"/>
          <w:sz w:val="17"/>
        </w:rPr>
        <w:t>We believe that we have, and will continue to have, the ability to access the commercial paper program and credit facilities, which we use to meet our short-term cash needs. We believe that our financial position remains strong and we have sufficient liquidity; however, extended disruptions in the financial markets and/or energy price volatility that adversely affect our business may have a materially adverse effect on our financial condition, results of operations or cash flows. In addition, usage of our credit facilities, which provide the financial backstop for our commercial paper program, is subject to ongoing compliance with covenants. As of June 30, 2019, we were in compliance with all such covenants. Also, see Item 1A. “Risk Factors” included in our 2018</w:t>
      </w:r>
      <w:r>
        <w:rPr>
          <w:sz w:val="17"/>
        </w:rPr>
        <w:t xml:space="preserve"> </w:t>
      </w:r>
      <w:r>
        <w:rPr>
          <w:rFonts w:ascii="inherit" w:hAnsi="inherit"/>
          <w:sz w:val="17"/>
        </w:rPr>
        <w:t>Annual Report on Form 10-K for further discussion regarding such risks that may impact our liquidity and capital resources.</w:t>
      </w:r>
    </w:p>
    <w:p>
      <w:pPr>
        <w:pStyle w:val="TextBody"/>
        <w:spacing w:lineRule="auto" w:line="288" w:before="0" w:after="0"/>
        <w:rPr/>
      </w:pPr>
      <w:r>
        <w:rPr/>
        <w:t> </w:t>
      </w:r>
    </w:p>
    <w:p>
      <w:pPr>
        <w:pStyle w:val="TextBody"/>
        <w:spacing w:lineRule="auto" w:line="288" w:before="0" w:after="0"/>
        <w:rPr>
          <w:rFonts w:ascii="inherit" w:hAnsi="inherit"/>
          <w:b/>
          <w:i/>
          <w:sz w:val="17"/>
        </w:rPr>
      </w:pPr>
      <w:r>
        <w:rPr>
          <w:rFonts w:ascii="inherit" w:hAnsi="inherit"/>
          <w:b/>
          <w:i/>
          <w:sz w:val="17"/>
        </w:rPr>
        <w:t xml:space="preserve">Cash Flow from Operating Activities </w:t>
      </w:r>
    </w:p>
    <w:p>
      <w:pPr>
        <w:pStyle w:val="TextBody"/>
        <w:spacing w:lineRule="auto" w:line="288" w:before="0" w:after="0"/>
        <w:rPr/>
      </w:pPr>
      <w:r>
        <w:rPr/>
        <w:t> </w:t>
      </w:r>
    </w:p>
    <w:p>
      <w:pPr>
        <w:pStyle w:val="TextBody"/>
        <w:spacing w:lineRule="auto" w:line="288" w:before="0" w:after="0"/>
        <w:ind w:left="0" w:right="0" w:firstLine="720"/>
        <w:rPr>
          <w:sz w:val="17"/>
        </w:rPr>
      </w:pPr>
      <w:r>
        <w:rPr>
          <w:rFonts w:ascii="inherit" w:hAnsi="inherit"/>
          <w:sz w:val="17"/>
        </w:rPr>
        <w:t>For a comprehensive discussion of the primary drivers of cash flow from operating activities, including the impact of varying market conditions and the timing of settlement of our derivatives, see Item 7. “Liquidity and Capital Resources—Cash Flow from Operating Activities” included in our 2018</w:t>
      </w:r>
      <w:r>
        <w:rPr>
          <w:sz w:val="17"/>
        </w:rPr>
        <w:t xml:space="preserve"> </w:t>
      </w:r>
      <w:r>
        <w:rPr>
          <w:rFonts w:ascii="inherit" w:hAnsi="inherit"/>
          <w:sz w:val="17"/>
        </w:rPr>
        <w:t>Annual Report on Form 10-K.</w:t>
      </w:r>
    </w:p>
    <w:p>
      <w:pPr>
        <w:pStyle w:val="TextBody"/>
        <w:spacing w:lineRule="auto" w:line="288" w:before="0" w:after="0"/>
        <w:rPr/>
      </w:pPr>
      <w:r>
        <w:rPr/>
        <w:t> </w:t>
      </w:r>
    </w:p>
    <w:p>
      <w:pPr>
        <w:pStyle w:val="TextBody"/>
        <w:spacing w:lineRule="auto" w:line="288" w:before="0" w:after="0"/>
        <w:ind w:left="0" w:right="0" w:firstLine="720"/>
        <w:rPr>
          <w:sz w:val="17"/>
        </w:rPr>
      </w:pPr>
      <w:r>
        <w:rPr>
          <w:rFonts w:ascii="inherit" w:hAnsi="inherit"/>
          <w:sz w:val="17"/>
        </w:rPr>
        <w:t>Net cash provided by operating activities for the first six</w:t>
      </w:r>
      <w:r>
        <w:rPr>
          <w:sz w:val="17"/>
        </w:rPr>
        <w:t xml:space="preserve"> </w:t>
      </w:r>
      <w:r>
        <w:rPr>
          <w:rFonts w:ascii="inherit" w:hAnsi="inherit"/>
          <w:sz w:val="17"/>
        </w:rPr>
        <w:t>months of 2019</w:t>
      </w:r>
      <w:r>
        <w:rPr>
          <w:sz w:val="17"/>
        </w:rPr>
        <w:t xml:space="preserve"> </w:t>
      </w:r>
      <w:r>
        <w:rPr>
          <w:rFonts w:ascii="inherit" w:hAnsi="inherit"/>
          <w:sz w:val="17"/>
        </w:rPr>
        <w:t>and 2018</w:t>
      </w:r>
      <w:r>
        <w:rPr>
          <w:sz w:val="17"/>
        </w:rPr>
        <w:t xml:space="preserve"> </w:t>
      </w:r>
      <w:r>
        <w:rPr>
          <w:rFonts w:ascii="inherit" w:hAnsi="inherit"/>
          <w:sz w:val="17"/>
        </w:rPr>
        <w:t>was $1.464 billion</w:t>
      </w:r>
      <w:r>
        <w:rPr>
          <w:sz w:val="17"/>
        </w:rPr>
        <w:t xml:space="preserve"> </w:t>
      </w:r>
      <w:r>
        <w:rPr>
          <w:rFonts w:ascii="inherit" w:hAnsi="inherit"/>
          <w:sz w:val="17"/>
        </w:rPr>
        <w:t>and $1.015 billion, respectively, and primarily resulted from earnings from our operations. Additionally, as discussed further below, changes during these periods in our inventory levels and associated margin balances required as part of our hedging activities impacted our cash flow from operating activities.</w:t>
      </w:r>
    </w:p>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60</w:t>
      </w:r>
      <w:r>
        <w:br w:type="page"/>
      </w:r>
    </w:p>
    <w:p>
      <w:pPr>
        <w:pStyle w:val="TextBody"/>
        <w:spacing w:lineRule="auto" w:line="288" w:before="0" w:after="0"/>
        <w:rPr/>
      </w:pPr>
      <w:hyperlink w:anchor="s3336AD8A685850CC9B7F2572CB2C0BC3">
        <w:r>
          <w:rPr>
            <w:rStyle w:val="InternetLink"/>
            <w:rFonts w:ascii="inherit" w:hAnsi="inherit"/>
            <w:sz w:val="17"/>
          </w:rPr>
          <w:t>Table of Contents</w:t>
        </w:r>
      </w:hyperlink>
      <w:r>
        <w:rPr>
          <w:sz w:val="17"/>
        </w:rPr>
        <w:t xml:space="preserve"> </w:t>
      </w:r>
    </w:p>
    <w:p>
      <w:pPr>
        <w:pStyle w:val="TextBody"/>
        <w:spacing w:before="0" w:after="0"/>
        <w:rPr/>
      </w:pPr>
      <w:r>
        <w:rPr/>
      </w:r>
    </w:p>
    <w:p>
      <w:pPr>
        <w:pStyle w:val="TextBody"/>
        <w:spacing w:lineRule="auto" w:line="288" w:before="0" w:after="0"/>
        <w:ind w:left="0" w:right="0" w:firstLine="720"/>
        <w:rPr>
          <w:sz w:val="17"/>
        </w:rPr>
      </w:pPr>
      <w:r>
        <w:rPr>
          <w:rFonts w:ascii="inherit" w:hAnsi="inherit"/>
          <w:sz w:val="17"/>
        </w:rPr>
        <w:t>During the six</w:t>
      </w:r>
      <w:r>
        <w:rPr>
          <w:sz w:val="17"/>
        </w:rPr>
        <w:t xml:space="preserve"> </w:t>
      </w:r>
      <w:r>
        <w:rPr>
          <w:rFonts w:ascii="inherit" w:hAnsi="inherit"/>
          <w:sz w:val="17"/>
        </w:rPr>
        <w:t>months ended June 30, 2019, our cash provided by operating activities was positively impacted by decreases in the volume of inventory that we held, primarily due to the sale of NGL and crude oil inventory. The favorable effects from liquidation of such inventory were partially offset by timing of revenue recognized during the period for which cash was received in prior periods.</w:t>
      </w:r>
    </w:p>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lineRule="auto" w:line="288" w:before="0" w:after="0"/>
        <w:ind w:left="0" w:right="0" w:firstLine="720"/>
        <w:rPr>
          <w:sz w:val="17"/>
        </w:rPr>
      </w:pPr>
      <w:r>
        <w:rPr>
          <w:rFonts w:ascii="inherit" w:hAnsi="inherit"/>
          <w:sz w:val="17"/>
        </w:rPr>
        <w:t>During the six</w:t>
      </w:r>
      <w:r>
        <w:rPr>
          <w:sz w:val="17"/>
        </w:rPr>
        <w:t xml:space="preserve"> </w:t>
      </w:r>
      <w:r>
        <w:rPr>
          <w:rFonts w:ascii="inherit" w:hAnsi="inherit"/>
          <w:sz w:val="17"/>
        </w:rPr>
        <w:t xml:space="preserve">months ended June 30, 2018, net cash provided by operating activities was positively impacted by approximately $300 million of cash received for transactions for which the revenue had been deferred pending the completion of future performance obligations. That positive impact was partially offset by increases in the margin balances required as part of our hedging activities, which were funded by short-term debt. </w:t>
      </w:r>
    </w:p>
    <w:p>
      <w:pPr>
        <w:pStyle w:val="TextBody"/>
        <w:spacing w:lineRule="auto" w:line="288" w:before="0" w:after="0"/>
        <w:rPr/>
      </w:pPr>
      <w:r>
        <w:rPr/>
        <w:t> </w:t>
      </w:r>
    </w:p>
    <w:p>
      <w:pPr>
        <w:pStyle w:val="TextBody"/>
        <w:spacing w:lineRule="auto" w:line="288" w:before="0" w:after="0"/>
        <w:rPr>
          <w:sz w:val="17"/>
        </w:rPr>
      </w:pPr>
      <w:r>
        <w:rPr>
          <w:b/>
          <w:i/>
          <w:sz w:val="17"/>
        </w:rPr>
        <w:t>Acquisitions and Capital Expenditures</w:t>
      </w:r>
      <w:r>
        <w:rPr>
          <w:sz w:val="17"/>
        </w:rPr>
        <w:t xml:space="preserve"> </w:t>
      </w:r>
    </w:p>
    <w:p>
      <w:pPr>
        <w:pStyle w:val="TextBody"/>
        <w:spacing w:lineRule="auto" w:line="288" w:before="0" w:after="0"/>
        <w:rPr/>
      </w:pPr>
      <w:r>
        <w:rPr/>
        <w:t> </w:t>
      </w:r>
    </w:p>
    <w:p>
      <w:pPr>
        <w:pStyle w:val="TextBody"/>
        <w:spacing w:lineRule="auto" w:line="288" w:before="0" w:after="0"/>
        <w:ind w:left="0" w:right="0" w:firstLine="720"/>
        <w:rPr>
          <w:sz w:val="17"/>
        </w:rPr>
      </w:pPr>
      <w:r>
        <w:rPr>
          <w:rFonts w:ascii="inherit" w:hAnsi="inherit"/>
          <w:sz w:val="17"/>
        </w:rPr>
        <w:t>In addition to our operating needs discussed above, we also use cash for our acquisition activities and expansion capital projects and maintenance capital activities. Historically, we have financed these expenditures primarily with cash generated by operating activities and the financing activities discussed in “—Equity and Debt Financing Activities”</w:t>
      </w:r>
      <w:r>
        <w:rPr>
          <w:sz w:val="17"/>
        </w:rPr>
        <w:t xml:space="preserve"> </w:t>
      </w:r>
      <w:r>
        <w:rPr>
          <w:rFonts w:ascii="inherit" w:hAnsi="inherit"/>
          <w:sz w:val="17"/>
        </w:rPr>
        <w:t xml:space="preserve">below. In recent years, we have also used proceeds from our divestiture program. </w:t>
      </w:r>
    </w:p>
    <w:p>
      <w:pPr>
        <w:pStyle w:val="TextBody"/>
        <w:spacing w:lineRule="auto" w:line="288" w:before="0" w:after="0"/>
        <w:rPr/>
      </w:pPr>
      <w:r>
        <w:rPr/>
        <w:t> </w:t>
      </w:r>
    </w:p>
    <w:p>
      <w:pPr>
        <w:pStyle w:val="TextBody"/>
        <w:spacing w:lineRule="auto" w:line="288" w:before="0" w:after="0"/>
        <w:ind w:left="0" w:right="0" w:firstLine="720"/>
        <w:rPr>
          <w:sz w:val="17"/>
        </w:rPr>
      </w:pPr>
      <w:r>
        <w:rPr>
          <w:rFonts w:ascii="inherit" w:hAnsi="inherit"/>
          <w:i/>
          <w:sz w:val="17"/>
        </w:rPr>
        <w:t xml:space="preserve">Acquisitions. </w:t>
      </w:r>
      <w:r>
        <w:rPr>
          <w:rFonts w:ascii="inherit" w:hAnsi="inherit"/>
          <w:sz w:val="17"/>
        </w:rPr>
        <w:t>During the second quarter of 2019, we paid an aggregate of $47 million to acquire assets, including a crude oil storage terminal.</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ind w:left="0" w:right="0" w:firstLine="720"/>
        <w:rPr>
          <w:sz w:val="17"/>
        </w:rPr>
      </w:pPr>
      <w:r>
        <w:rPr>
          <w:rFonts w:ascii="inherit" w:hAnsi="inherit"/>
          <w:i/>
          <w:sz w:val="17"/>
        </w:rPr>
        <w:t>Capital</w:t>
      </w:r>
      <w:r>
        <w:rPr>
          <w:sz w:val="17"/>
        </w:rPr>
        <w:t xml:space="preserve"> </w:t>
      </w:r>
      <w:r>
        <w:rPr>
          <w:rFonts w:ascii="inherit" w:hAnsi="inherit"/>
          <w:i/>
          <w:sz w:val="17"/>
        </w:rPr>
        <w:t>Projects.</w:t>
      </w:r>
      <w:r>
        <w:rPr>
          <w:sz w:val="17"/>
        </w:rPr>
        <w:t xml:space="preserve"> </w:t>
      </w:r>
      <w:r>
        <w:rPr>
          <w:rFonts w:ascii="inherit" w:hAnsi="inherit"/>
          <w:sz w:val="17"/>
        </w:rPr>
        <w:t>We invested approximately $695 million</w:t>
      </w:r>
      <w:r>
        <w:rPr>
          <w:sz w:val="17"/>
        </w:rPr>
        <w:t xml:space="preserve"> </w:t>
      </w:r>
      <w:r>
        <w:rPr>
          <w:rFonts w:ascii="inherit" w:hAnsi="inherit"/>
          <w:sz w:val="17"/>
        </w:rPr>
        <w:t>in midstream infrastructure during the six months ended June 30, 2019, and we expect to invest approximately $1.5 billion</w:t>
      </w:r>
      <w:r>
        <w:rPr>
          <w:sz w:val="17"/>
        </w:rPr>
        <w:t xml:space="preserve"> </w:t>
      </w:r>
      <w:r>
        <w:rPr>
          <w:rFonts w:ascii="inherit" w:hAnsi="inherit"/>
          <w:sz w:val="17"/>
        </w:rPr>
        <w:t>during the full year ending December 31, 2019. See “—</w:t>
      </w:r>
      <w:r>
        <w:rPr>
          <w:b w:val="false"/>
          <w:sz w:val="17"/>
        </w:rPr>
        <w:t>Acquisitions and Capital Projects</w:t>
      </w:r>
      <w:r>
        <w:rPr>
          <w:sz w:val="17"/>
        </w:rPr>
        <w:t xml:space="preserve">” </w:t>
      </w:r>
      <w:r>
        <w:rPr>
          <w:rFonts w:ascii="inherit" w:hAnsi="inherit"/>
          <w:sz w:val="17"/>
        </w:rPr>
        <w:t>for detail of our projected capital expenditures for the year ending December 31, 2019. We expect to fund our 2019</w:t>
      </w:r>
      <w:r>
        <w:rPr>
          <w:sz w:val="17"/>
        </w:rPr>
        <w:t xml:space="preserve"> </w:t>
      </w:r>
      <w:r>
        <w:rPr>
          <w:rFonts w:ascii="inherit" w:hAnsi="inherit"/>
          <w:sz w:val="17"/>
        </w:rPr>
        <w:t>capital program with retained cash flow, proceeds from assets sold as part of our divestiture program or debt.</w:t>
      </w:r>
    </w:p>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lineRule="auto" w:line="288" w:before="0" w:after="0"/>
        <w:ind w:left="0" w:right="0" w:firstLine="720"/>
        <w:rPr>
          <w:sz w:val="17"/>
        </w:rPr>
      </w:pPr>
      <w:r>
        <w:rPr>
          <w:rFonts w:ascii="inherit" w:hAnsi="inherit"/>
          <w:sz w:val="17"/>
        </w:rPr>
        <w:t>In the first quarter of 2019, we announced the formation of W2W Pipeline, a joint venture with subsidiaries of ExxonMobil and Lotus Midstream, LLC. Subsequent to June 30, 2019, three additional entities joined as partners in W2W Pipeline. As a result, our ownership interest in W2W Pipeline decreased from 20%</w:t>
      </w:r>
      <w:r>
        <w:rPr>
          <w:sz w:val="17"/>
        </w:rPr>
        <w:t xml:space="preserve"> </w:t>
      </w:r>
      <w:r>
        <w:rPr>
          <w:rFonts w:ascii="inherit" w:hAnsi="inherit"/>
          <w:sz w:val="17"/>
        </w:rPr>
        <w:t>to 16%. W2W Pipeline is currently developing a new pipeline system that will originate in the Permian Basin in West Texas and transport crude oil to the Texas Gulf Coast. The pipeline system will provide more than 1 million</w:t>
      </w:r>
      <w:r>
        <w:rPr>
          <w:sz w:val="17"/>
        </w:rPr>
        <w:t xml:space="preserve"> </w:t>
      </w:r>
      <w:r>
        <w:rPr>
          <w:rFonts w:ascii="inherit" w:hAnsi="inherit"/>
          <w:sz w:val="17"/>
        </w:rPr>
        <w:t xml:space="preserve">barrels per day of crude oil and condensate capacity, and the project is targeted to commence operations in the first half of 2021. See </w:t>
      </w:r>
      <w:r>
        <w:rPr>
          <w:b w:val="false"/>
          <w:sz w:val="17"/>
        </w:rPr>
        <w:t>Note 7</w:t>
      </w:r>
      <w:r>
        <w:rPr>
          <w:sz w:val="17"/>
        </w:rPr>
        <w:t xml:space="preserve"> </w:t>
      </w:r>
      <w:r>
        <w:rPr>
          <w:rFonts w:ascii="inherit" w:hAnsi="inherit"/>
          <w:sz w:val="17"/>
        </w:rPr>
        <w:t>to our Condensed Consolidated Financial Statements for additional information.</w:t>
      </w:r>
    </w:p>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lineRule="auto" w:line="288" w:before="0" w:after="0"/>
        <w:ind w:left="0" w:right="0" w:firstLine="720"/>
        <w:rPr>
          <w:sz w:val="17"/>
        </w:rPr>
      </w:pPr>
      <w:r>
        <w:rPr>
          <w:rFonts w:ascii="inherit" w:hAnsi="inherit"/>
          <w:sz w:val="17"/>
        </w:rPr>
        <w:t xml:space="preserve">During the second quarter of 2019, we announced the formation of Red Oak, a joint venture with a subsidiary of Phillips 66. We own a 50% interest in Red Oak, which is currently developing a new pipeline that will provide crude oil transportation service from Cushing, Oklahoma, and the Permian Basin in West Texas to Corpus Christi, Ingleside, Houston and Beaumont, Texas. Initial service from Cushing to the Gulf Coast is targeted to commence as early as the first quarter of 2021, subject to receipt of applicable permits and regulatory approvals. See </w:t>
      </w:r>
      <w:r>
        <w:rPr>
          <w:b w:val="false"/>
          <w:sz w:val="17"/>
        </w:rPr>
        <w:t>Note 7</w:t>
      </w:r>
      <w:r>
        <w:rPr>
          <w:sz w:val="17"/>
        </w:rPr>
        <w:t xml:space="preserve"> </w:t>
      </w:r>
      <w:r>
        <w:rPr>
          <w:rFonts w:ascii="inherit" w:hAnsi="inherit"/>
          <w:sz w:val="17"/>
        </w:rPr>
        <w:t>to our Condensed Consolidated Financial Statements for additional information.</w:t>
      </w:r>
    </w:p>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lineRule="auto" w:line="288" w:before="0" w:after="0"/>
        <w:ind w:left="0" w:right="0" w:firstLine="720"/>
        <w:rPr>
          <w:sz w:val="17"/>
        </w:rPr>
      </w:pPr>
      <w:r>
        <w:rPr>
          <w:rFonts w:ascii="inherit" w:hAnsi="inherit"/>
          <w:i/>
          <w:sz w:val="17"/>
        </w:rPr>
        <w:t xml:space="preserve">Divestitures. </w:t>
      </w:r>
      <w:r>
        <w:rPr>
          <w:rFonts w:ascii="inherit" w:hAnsi="inherit"/>
          <w:sz w:val="17"/>
        </w:rPr>
        <w:t>During the second quarter of 2019, we formed a joint venture, Red River LLC, with Delek on our Red River pipeline system. We received approximately $128 million</w:t>
      </w:r>
      <w:r>
        <w:rPr>
          <w:sz w:val="17"/>
        </w:rPr>
        <w:t xml:space="preserve"> </w:t>
      </w:r>
      <w:r>
        <w:rPr>
          <w:rFonts w:ascii="inherit" w:hAnsi="inherit"/>
          <w:sz w:val="17"/>
        </w:rPr>
        <w:t>for Delek’s 33%</w:t>
      </w:r>
      <w:r>
        <w:rPr>
          <w:sz w:val="17"/>
        </w:rPr>
        <w:t xml:space="preserve"> </w:t>
      </w:r>
      <w:r>
        <w:rPr>
          <w:rFonts w:ascii="inherit" w:hAnsi="inherit"/>
          <w:sz w:val="17"/>
        </w:rPr>
        <w:t xml:space="preserve">interest in Red River LLC. See </w:t>
      </w:r>
      <w:r>
        <w:rPr>
          <w:b w:val="false"/>
          <w:sz w:val="17"/>
        </w:rPr>
        <w:t>Note 9</w:t>
      </w:r>
      <w:r>
        <w:rPr>
          <w:sz w:val="17"/>
        </w:rPr>
        <w:t xml:space="preserve"> </w:t>
      </w:r>
      <w:r>
        <w:rPr>
          <w:rFonts w:ascii="inherit" w:hAnsi="inherit"/>
          <w:sz w:val="17"/>
        </w:rPr>
        <w:t>to our Condensed Consolidated Financial Statements for additional information.</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ind w:left="0" w:right="0" w:firstLine="720"/>
        <w:rPr>
          <w:sz w:val="17"/>
        </w:rPr>
      </w:pPr>
      <w:r>
        <w:rPr>
          <w:rFonts w:ascii="inherit" w:hAnsi="inherit"/>
          <w:i/>
          <w:sz w:val="17"/>
        </w:rPr>
        <w:t xml:space="preserve">Ongoing Acquisition, Divestiture and Investment Activities. </w:t>
      </w:r>
      <w:r>
        <w:rPr>
          <w:rFonts w:ascii="inherit" w:hAnsi="inherit"/>
          <w:sz w:val="17"/>
        </w:rPr>
        <w:t>We intend to continue to focus on activities to enhance investment returns and reinforce capital discipline through asset optimization, joint ventures, potential divestitures and similar arrangements. 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or investment efforts will be successful, or that our strategic asset divestitures will be completed. Although we expect the acquisitions and investments we make to be accretive in the long term, we can provide no assurance that our expectations will ultimately be realized. Also, see Item 1A. “Risk Factors—Risks Related to Our Business” of our 2018 Annual Report on Form 10-K for further discussion regarding risks related to our acquisitions and divestitures.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61</w:t>
      </w:r>
      <w:r>
        <w:br w:type="page"/>
      </w:r>
    </w:p>
    <w:p>
      <w:pPr>
        <w:pStyle w:val="TextBody"/>
        <w:spacing w:lineRule="auto" w:line="288" w:before="0" w:after="0"/>
        <w:rPr/>
      </w:pPr>
      <w:hyperlink w:anchor="s3336AD8A685850CC9B7F2572CB2C0BC3">
        <w:r>
          <w:rPr>
            <w:rStyle w:val="InternetLink"/>
            <w:rFonts w:ascii="inherit" w:hAnsi="inherit"/>
            <w:sz w:val="17"/>
          </w:rPr>
          <w:t>Table of Contents</w:t>
        </w:r>
      </w:hyperlink>
      <w:r>
        <w:rPr>
          <w:sz w:val="17"/>
        </w:rPr>
        <w:t xml:space="preserve"> </w:t>
      </w:r>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b/>
          <w:i/>
          <w:sz w:val="17"/>
        </w:rPr>
      </w:pPr>
      <w:r>
        <w:rPr>
          <w:rFonts w:ascii="inherit" w:hAnsi="inherit"/>
          <w:b/>
          <w:i/>
          <w:sz w:val="17"/>
        </w:rPr>
        <w:t>Equity and Debt Financing Activities</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Our financing activities primarily relate to funding expansion capital projects, acquisitions and refinancing of our debt maturities, as well as short-term working capital (including borrowings for NYMEX and ICE margin deposits) and hedged inventory borrowings related to our NGL business and contango market activities. Our financing activities have primarily consisted of equity offerings, senior notes offerings and borrowings and repayments under our credit facilities or commercial paper program and other debt agreements, as well as payment of distributions to our unitholders.</w:t>
      </w:r>
    </w:p>
    <w:p>
      <w:pPr>
        <w:pStyle w:val="TextBody"/>
        <w:spacing w:lineRule="auto" w:line="288" w:before="0" w:after="0"/>
        <w:rPr/>
      </w:pPr>
      <w:r>
        <w:rPr/>
        <w:t> </w:t>
      </w:r>
    </w:p>
    <w:p>
      <w:pPr>
        <w:pStyle w:val="TextBody"/>
        <w:spacing w:lineRule="auto" w:line="288" w:before="0" w:after="0"/>
        <w:ind w:left="0" w:right="0" w:firstLine="720"/>
        <w:rPr>
          <w:sz w:val="17"/>
        </w:rPr>
      </w:pPr>
      <w:r>
        <w:rPr>
          <w:rFonts w:ascii="inherit" w:hAnsi="inherit"/>
          <w:i/>
          <w:sz w:val="17"/>
        </w:rPr>
        <w:t>Registration Statements</w:t>
      </w:r>
      <w:r>
        <w:rPr>
          <w:rFonts w:ascii="inherit" w:hAnsi="inherit"/>
          <w:sz w:val="17"/>
        </w:rPr>
        <w:t>. We periodically access the capital markets for both equity and debt financing. We have filed with the SEC a universal shelf registration statement that, subject to effectiveness at the time of use, allows us to issue up to an aggregate of $1.1 billion of debt or equity securities (“Traditional Shelf”). At June 30, 2019, we had approximately $1.1 billion of unsold securities available under the Traditional Shelf. We also have access to a universal shelf registration statement (“WKSI Shelf”), which provides us with the ability to offer and sell an unlimited amount of debt and equity securities, subject to market conditions and our capital needs. We did not conduct any offerings under our Traditional Shelf or WKSI Shelf during the six months ended June 30, 2019.</w:t>
      </w:r>
    </w:p>
    <w:p>
      <w:pPr>
        <w:pStyle w:val="TextBody"/>
        <w:spacing w:lineRule="auto" w:line="288" w:before="0" w:after="0"/>
        <w:rPr/>
      </w:pPr>
      <w:r>
        <w:rPr/>
        <w:t>  </w:t>
      </w:r>
    </w:p>
    <w:p>
      <w:pPr>
        <w:pStyle w:val="TextBody"/>
        <w:spacing w:lineRule="auto" w:line="288" w:before="0" w:after="0"/>
        <w:ind w:left="0" w:right="0" w:firstLine="750"/>
        <w:rPr>
          <w:sz w:val="17"/>
        </w:rPr>
      </w:pPr>
      <w:r>
        <w:rPr>
          <w:rFonts w:ascii="inherit" w:hAnsi="inherit"/>
          <w:i/>
          <w:sz w:val="17"/>
        </w:rPr>
        <w:t>Credit Agreements, Commercial Paper Program and Indentures.</w:t>
      </w:r>
      <w:r>
        <w:rPr>
          <w:sz w:val="17"/>
        </w:rPr>
        <w:t xml:space="preserve"> </w:t>
      </w:r>
      <w:r>
        <w:rPr>
          <w:rFonts w:ascii="inherit" w:hAnsi="inherit"/>
          <w:sz w:val="17"/>
        </w:rPr>
        <w:t>The credit agreements for our revolving credit facilities (which impact our ability to access our commercial paper program because they provide the financial backstop that supports our short-term credit ratings) and our GO Zone term loans and the indentures governing our senior notes contain cross-default provisions. A default under our credit agreements or indentures would permit the lenders to accelerate the maturity of the outstanding debt. As long as we are in compliance with the provisions in our credit agreements, our ability to make distributions of available cash is not restricted. As of June 30, 2019, we were in compliance with the covenants contained in our credit agreements and indentures.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ind w:left="0" w:right="0" w:firstLine="720"/>
        <w:rPr>
          <w:sz w:val="17"/>
        </w:rPr>
      </w:pPr>
      <w:r>
        <w:rPr>
          <w:rFonts w:ascii="inherit" w:hAnsi="inherit"/>
          <w:sz w:val="17"/>
        </w:rPr>
        <w:t>During the six</w:t>
      </w:r>
      <w:r>
        <w:rPr>
          <w:sz w:val="17"/>
        </w:rPr>
        <w:t xml:space="preserve"> </w:t>
      </w:r>
      <w:r>
        <w:rPr>
          <w:rFonts w:ascii="inherit" w:hAnsi="inherit"/>
          <w:sz w:val="17"/>
        </w:rPr>
        <w:t>months ended June 30, 2019, we had net borrowings</w:t>
      </w:r>
      <w:r>
        <w:rPr>
          <w:sz w:val="17"/>
        </w:rPr>
        <w:t xml:space="preserve"> </w:t>
      </w:r>
      <w:r>
        <w:rPr>
          <w:rFonts w:ascii="inherit" w:hAnsi="inherit"/>
          <w:sz w:val="17"/>
        </w:rPr>
        <w:t>under our credit facilities and commercial paper program of $318 million. These borrowings resulted primarily from funds needed for general partnership purposes.</w:t>
      </w:r>
    </w:p>
    <w:p>
      <w:pPr>
        <w:pStyle w:val="TextBody"/>
        <w:spacing w:lineRule="auto" w:line="288" w:before="0" w:after="0"/>
        <w:rPr/>
      </w:pPr>
      <w:r>
        <w:rPr/>
        <w:t> </w:t>
      </w:r>
    </w:p>
    <w:p>
      <w:pPr>
        <w:pStyle w:val="TextBody"/>
        <w:spacing w:lineRule="auto" w:line="288" w:before="0" w:after="0"/>
        <w:ind w:left="0" w:right="0" w:firstLine="720"/>
        <w:rPr>
          <w:sz w:val="17"/>
        </w:rPr>
      </w:pPr>
      <w:r>
        <w:rPr>
          <w:rFonts w:ascii="inherit" w:hAnsi="inherit"/>
          <w:sz w:val="17"/>
        </w:rPr>
        <w:t>During the six</w:t>
      </w:r>
      <w:r>
        <w:rPr>
          <w:sz w:val="17"/>
        </w:rPr>
        <w:t xml:space="preserve"> </w:t>
      </w:r>
      <w:r>
        <w:rPr>
          <w:rFonts w:ascii="inherit" w:hAnsi="inherit"/>
          <w:sz w:val="17"/>
        </w:rPr>
        <w:t>months ended June 30, 2018, we had net repayments</w:t>
      </w:r>
      <w:r>
        <w:rPr>
          <w:sz w:val="17"/>
        </w:rPr>
        <w:t xml:space="preserve"> </w:t>
      </w:r>
      <w:r>
        <w:rPr>
          <w:rFonts w:ascii="inherit" w:hAnsi="inherit"/>
          <w:sz w:val="17"/>
        </w:rPr>
        <w:t>on our credit facilities and commercial paper program of $72 million. The net repayments resulted primarily from cash flow from operating activities, partially offset by borrowings during the period related to funding needs for inventory purchases and related margin activities.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ind w:left="0" w:right="0" w:firstLine="720"/>
        <w:rPr>
          <w:rFonts w:ascii="inherit" w:hAnsi="inherit"/>
          <w:b/>
          <w:sz w:val="17"/>
        </w:rPr>
      </w:pPr>
      <w:r>
        <w:rPr>
          <w:rFonts w:ascii="inherit" w:hAnsi="inherit"/>
          <w:b/>
          <w:sz w:val="17"/>
        </w:rPr>
        <w:t>Distributions to Our Unitholders</w:t>
      </w:r>
    </w:p>
    <w:p>
      <w:pPr>
        <w:pStyle w:val="TextBody"/>
        <w:spacing w:lineRule="auto" w:line="288" w:before="0" w:after="0"/>
        <w:rPr/>
      </w:pPr>
      <w:r>
        <w:rPr/>
        <w:t> </w:t>
      </w:r>
    </w:p>
    <w:p>
      <w:pPr>
        <w:pStyle w:val="TextBody"/>
        <w:spacing w:lineRule="auto" w:line="288" w:before="0" w:after="0"/>
        <w:ind w:left="0" w:right="0" w:firstLine="720"/>
        <w:rPr>
          <w:sz w:val="17"/>
        </w:rPr>
      </w:pPr>
      <w:r>
        <w:rPr>
          <w:rFonts w:ascii="inherit" w:hAnsi="inherit"/>
          <w:i/>
          <w:sz w:val="17"/>
        </w:rPr>
        <w:t>Distributions to our Series A preferred unitholders.</w:t>
      </w:r>
      <w:r>
        <w:rPr>
          <w:sz w:val="17"/>
        </w:rPr>
        <w:t xml:space="preserve"> </w:t>
      </w:r>
      <w:r>
        <w:rPr>
          <w:rFonts w:ascii="inherit" w:hAnsi="inherit"/>
          <w:sz w:val="17"/>
        </w:rPr>
        <w:t xml:space="preserve">On August 14, 2019, we will pay a cash distribution of $37 million ($0.525 per unit) on our Series A preferred units outstanding as of July 31, 2019, the record date for such distribution for the period from April 1, 2019 through June 30, 2019. See </w:t>
      </w:r>
      <w:r>
        <w:rPr>
          <w:b w:val="false"/>
          <w:sz w:val="17"/>
        </w:rPr>
        <w:t>Note 9</w:t>
      </w:r>
      <w:r>
        <w:rPr>
          <w:sz w:val="17"/>
        </w:rPr>
        <w:t xml:space="preserve"> </w:t>
      </w:r>
      <w:r>
        <w:rPr>
          <w:rFonts w:ascii="inherit" w:hAnsi="inherit"/>
          <w:sz w:val="17"/>
        </w:rPr>
        <w:t>to our Condensed Consolidated Financial Statements for details of distributions made during or pertaining to the first six</w:t>
      </w:r>
      <w:r>
        <w:rPr>
          <w:sz w:val="17"/>
        </w:rPr>
        <w:t xml:space="preserve"> </w:t>
      </w:r>
      <w:r>
        <w:rPr>
          <w:rFonts w:ascii="inherit" w:hAnsi="inherit"/>
          <w:sz w:val="17"/>
        </w:rPr>
        <w:t>months of 2019.</w:t>
      </w:r>
    </w:p>
    <w:p>
      <w:pPr>
        <w:pStyle w:val="TextBody"/>
        <w:spacing w:lineRule="auto" w:line="288" w:before="0" w:after="0"/>
        <w:rPr/>
      </w:pPr>
      <w:r>
        <w:rPr/>
        <w:t> </w:t>
      </w:r>
    </w:p>
    <w:p>
      <w:pPr>
        <w:pStyle w:val="TextBody"/>
        <w:spacing w:lineRule="auto" w:line="288" w:before="0" w:after="0"/>
        <w:ind w:left="0" w:right="0" w:firstLine="720"/>
        <w:rPr>
          <w:sz w:val="17"/>
        </w:rPr>
      </w:pPr>
      <w:r>
        <w:rPr>
          <w:rFonts w:ascii="inherit" w:hAnsi="inherit"/>
          <w:i/>
          <w:sz w:val="17"/>
        </w:rPr>
        <w:t>Distributions to Series B preferred unitholders.</w:t>
      </w:r>
      <w:r>
        <w:rPr>
          <w:sz w:val="17"/>
        </w:rPr>
        <w:t xml:space="preserve"> </w:t>
      </w:r>
      <w:r>
        <w:rPr>
          <w:rFonts w:ascii="inherit" w:hAnsi="inherit"/>
          <w:sz w:val="17"/>
        </w:rPr>
        <w:t xml:space="preserve">Distributions on our Series B preferred units are payable semi-annually in arrears on the 15th day of May and November. See </w:t>
      </w:r>
      <w:r>
        <w:rPr>
          <w:b w:val="false"/>
          <w:sz w:val="17"/>
        </w:rPr>
        <w:t>Note 9</w:t>
      </w:r>
      <w:r>
        <w:rPr>
          <w:sz w:val="17"/>
        </w:rPr>
        <w:t xml:space="preserve"> </w:t>
      </w:r>
      <w:r>
        <w:rPr>
          <w:rFonts w:ascii="inherit" w:hAnsi="inherit"/>
          <w:sz w:val="17"/>
        </w:rPr>
        <w:t>to our Condensed Consolidated Financial Statements for additional information.</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ind w:left="0" w:right="0" w:firstLine="720"/>
        <w:rPr>
          <w:sz w:val="17"/>
        </w:rPr>
      </w:pPr>
      <w:r>
        <w:rPr>
          <w:rFonts w:ascii="inherit" w:hAnsi="inherit"/>
          <w:i/>
          <w:sz w:val="17"/>
        </w:rPr>
        <w:t>Distributions to our common unitholders.</w:t>
      </w:r>
      <w:r>
        <w:rPr>
          <w:sz w:val="17"/>
        </w:rPr>
        <w:t xml:space="preserve"> </w:t>
      </w:r>
      <w:r>
        <w:rPr>
          <w:rFonts w:ascii="inherit" w:hAnsi="inherit"/>
          <w:sz w:val="17"/>
        </w:rPr>
        <w:t>In accordance with our partnership agreement, after making distributions to holders of our outstanding preferred units, we distribute the remainder of our available cash to common unitholders of record within 45 days following the end of each quarter. Available cash is generally defined as all of our cash and cash equivalents on hand at the end of each quarter less reserves established in the discretion of our general partner for future requirements. Our levels of financial reserves are established by our general partner and include reserves for the proper conduct of our business (including future capital expenditures and anticipated credit needs), compliance with law or contractual obligations and funding of future distributions to our Series A and Series B preferred unitholders. Our available cash also includes cash on hand resulting from borrowings made after the end of the quarter. On August 14, 2019, we will pay a quarterly distribution of $0.36</w:t>
      </w:r>
      <w:r>
        <w:rPr>
          <w:sz w:val="17"/>
        </w:rPr>
        <w:t xml:space="preserve"> </w:t>
      </w:r>
      <w:r>
        <w:rPr>
          <w:rFonts w:ascii="inherit" w:hAnsi="inherit"/>
          <w:sz w:val="17"/>
        </w:rPr>
        <w:t xml:space="preserve">per common unit ($1.44 per common unit on an annualized basis) on our common units outstanding as of July 31, 2019, the record date for such distribution for the period from April 1, 2019 through June 30, 2019. See </w:t>
      </w:r>
      <w:r>
        <w:rPr>
          <w:b w:val="false"/>
          <w:sz w:val="17"/>
        </w:rPr>
        <w:t>Note 9</w:t>
      </w:r>
      <w:r>
        <w:rPr>
          <w:sz w:val="17"/>
        </w:rPr>
        <w:t xml:space="preserve"> </w:t>
      </w:r>
      <w:r>
        <w:rPr>
          <w:rFonts w:ascii="inherit" w:hAnsi="inherit"/>
          <w:sz w:val="17"/>
        </w:rPr>
        <w:t>to our Condensed Consolidated Financial Statements for details of distributions paid during or pertaining to the first six</w:t>
      </w:r>
      <w:r>
        <w:rPr>
          <w:sz w:val="17"/>
        </w:rPr>
        <w:t xml:space="preserve"> </w:t>
      </w:r>
      <w:r>
        <w:rPr>
          <w:rFonts w:ascii="inherit" w:hAnsi="inherit"/>
          <w:sz w:val="17"/>
        </w:rPr>
        <w:t>months of 2019. Also, see Item 5. “Market for Registrant’s Common Units, Related Unitholder Matters and Issuer Purchases of Equity Securities—Cash Distribution Policy” included in our 2018</w:t>
      </w:r>
      <w:r>
        <w:rPr>
          <w:sz w:val="17"/>
        </w:rPr>
        <w:t xml:space="preserve"> </w:t>
      </w:r>
      <w:r>
        <w:rPr>
          <w:rFonts w:ascii="inherit" w:hAnsi="inherit"/>
          <w:sz w:val="17"/>
        </w:rPr>
        <w:t>Annual Report on Form 10-K for additional discussion regarding distributions.</w:t>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62</w:t>
      </w:r>
      <w:r>
        <w:br w:type="page"/>
      </w:r>
    </w:p>
    <w:p>
      <w:pPr>
        <w:pStyle w:val="TextBody"/>
        <w:spacing w:lineRule="auto" w:line="288" w:before="0" w:after="0"/>
        <w:rPr/>
      </w:pPr>
      <w:hyperlink w:anchor="s3336AD8A685850CC9B7F2572CB2C0BC3">
        <w:r>
          <w:rPr>
            <w:rStyle w:val="InternetLink"/>
            <w:rFonts w:ascii="inherit" w:hAnsi="inherit"/>
            <w:sz w:val="17"/>
          </w:rPr>
          <w:t>Table of Contents</w:t>
        </w:r>
      </w:hyperlink>
      <w:r>
        <w:rPr>
          <w:sz w:val="17"/>
        </w:rPr>
        <w:t xml:space="preserve"> </w:t>
      </w:r>
    </w:p>
    <w:p>
      <w:pPr>
        <w:pStyle w:val="TextBody"/>
        <w:spacing w:before="0" w:after="0"/>
        <w:rPr/>
      </w:pPr>
      <w:r>
        <w:rPr/>
      </w:r>
    </w:p>
    <w:p>
      <w:pPr>
        <w:pStyle w:val="TextBody"/>
        <w:spacing w:lineRule="auto" w:line="288" w:before="0" w:after="0"/>
        <w:ind w:left="0" w:right="0" w:firstLine="720"/>
        <w:rPr>
          <w:rFonts w:ascii="inherit" w:hAnsi="inherit"/>
          <w:sz w:val="17"/>
        </w:rPr>
      </w:pPr>
      <w:r>
        <w:rPr>
          <w:rFonts w:ascii="inherit" w:hAnsi="inherit"/>
          <w:sz w:val="17"/>
        </w:rPr>
        <w:t>We believe that we have sufficient liquid assets, cash flow from operating activities and borrowing capacity under our credit agreements to meet our financial commitments, debt service obligations, contingencies and anticipated capital expenditures. We are, however, subject to business and operational risks that could adversely affect our cash flow. A prolonged material decrease in our cash flows would likely produce an adverse effect on our borrowing capacity.</w:t>
      </w:r>
    </w:p>
    <w:p>
      <w:pPr>
        <w:pStyle w:val="TextBody"/>
        <w:spacing w:lineRule="auto" w:line="288" w:before="0" w:after="0"/>
        <w:rPr/>
      </w:pPr>
      <w:r>
        <w:rPr/>
        <w:t> </w:t>
      </w:r>
    </w:p>
    <w:p>
      <w:pPr>
        <w:pStyle w:val="TextBody"/>
        <w:spacing w:lineRule="auto" w:line="288" w:before="0" w:after="0"/>
        <w:rPr>
          <w:rFonts w:ascii="inherit" w:hAnsi="inherit"/>
          <w:b/>
          <w:i/>
          <w:sz w:val="17"/>
        </w:rPr>
      </w:pPr>
      <w:r>
        <w:rPr>
          <w:rFonts w:ascii="inherit" w:hAnsi="inherit"/>
          <w:b/>
          <w:i/>
          <w:sz w:val="17"/>
        </w:rPr>
        <w:t>Contingencies</w:t>
      </w:r>
    </w:p>
    <w:p>
      <w:pPr>
        <w:pStyle w:val="TextBody"/>
        <w:spacing w:lineRule="auto" w:line="288" w:before="0" w:after="0"/>
        <w:rPr/>
      </w:pPr>
      <w:r>
        <w:rPr/>
        <w:t> </w:t>
      </w:r>
    </w:p>
    <w:p>
      <w:pPr>
        <w:pStyle w:val="TextBody"/>
        <w:spacing w:lineRule="auto" w:line="288" w:before="0" w:after="0"/>
        <w:ind w:left="0" w:right="0" w:firstLine="720"/>
        <w:rPr>
          <w:sz w:val="17"/>
        </w:rPr>
      </w:pPr>
      <w:r>
        <w:rPr>
          <w:rFonts w:ascii="inherit" w:hAnsi="inherit"/>
          <w:sz w:val="17"/>
        </w:rPr>
        <w:t xml:space="preserve">For a discussion of contingencies that may impact us, see </w:t>
      </w:r>
      <w:r>
        <w:rPr>
          <w:b w:val="false"/>
          <w:sz w:val="17"/>
        </w:rPr>
        <w:t>Note 13</w:t>
      </w:r>
      <w:r>
        <w:rPr>
          <w:sz w:val="17"/>
        </w:rPr>
        <w:t xml:space="preserve"> </w:t>
      </w:r>
      <w:r>
        <w:rPr>
          <w:rFonts w:ascii="inherit" w:hAnsi="inherit"/>
          <w:sz w:val="17"/>
        </w:rPr>
        <w:t>to our Condensed Consolidated Financial Statements.</w:t>
      </w:r>
    </w:p>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lineRule="auto" w:line="288" w:before="0" w:after="0"/>
        <w:rPr>
          <w:rFonts w:ascii="inherit" w:hAnsi="inherit"/>
          <w:b/>
          <w:i/>
          <w:sz w:val="17"/>
        </w:rPr>
      </w:pPr>
      <w:r>
        <w:rPr>
          <w:rFonts w:ascii="inherit" w:hAnsi="inherit"/>
          <w:b/>
          <w:i/>
          <w:sz w:val="17"/>
        </w:rPr>
        <w:t xml:space="preserve">Commitments </w:t>
      </w:r>
    </w:p>
    <w:p>
      <w:pPr>
        <w:pStyle w:val="TextBody"/>
        <w:spacing w:lineRule="auto" w:line="288" w:before="0" w:after="0"/>
        <w:rPr/>
      </w:pPr>
      <w:r>
        <w:rPr/>
        <w:t> </w:t>
      </w:r>
    </w:p>
    <w:p>
      <w:pPr>
        <w:pStyle w:val="TextBody"/>
        <w:spacing w:lineRule="auto" w:line="288" w:before="0" w:after="0"/>
        <w:ind w:left="0" w:right="0" w:firstLine="720"/>
        <w:rPr>
          <w:sz w:val="17"/>
        </w:rPr>
      </w:pPr>
      <w:r>
        <w:rPr>
          <w:rFonts w:ascii="inherit" w:hAnsi="inherit"/>
          <w:i/>
          <w:sz w:val="17"/>
        </w:rPr>
        <w:t>Contractual Obligations.</w:t>
      </w:r>
      <w:r>
        <w:rPr>
          <w:sz w:val="17"/>
        </w:rPr>
        <w:t xml:space="preserve"> </w:t>
      </w:r>
      <w:r>
        <w:rPr>
          <w:rFonts w:ascii="inherit" w:hAnsi="inherit"/>
          <w:sz w:val="17"/>
        </w:rPr>
        <w:t xml:space="preserve">In the ordinary course of doing business, we purchase crude oil and NGL from third parties under contracts, the majority of which range in term from thirty-day evergreen to five years, with a limited number of contracts with remaining terms extending up to ten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The table below includes purchase obligations related to these activities. Where applicable, the amounts presented represent the net obligations associated with our counterparties (including giving effect to netting buy/sell contracts and those subject to a net settlement arrangement). We do not expect to use a significant amount of internal capital to meet these obligations, as the obligations will be funded by corresponding sales to entities that we deem creditworthy or who have provided credit support we consider adequate. </w:t>
      </w:r>
    </w:p>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lineRule="auto" w:line="288" w:before="0" w:after="0"/>
        <w:ind w:left="0" w:right="0" w:firstLine="720"/>
        <w:rPr>
          <w:sz w:val="17"/>
        </w:rPr>
      </w:pPr>
      <w:r>
        <w:rPr>
          <w:rFonts w:ascii="inherit" w:hAnsi="inherit"/>
          <w:sz w:val="17"/>
        </w:rPr>
        <w:t>The following table includes our best estimate of the amount and timing of these payments as well as other amounts due under the specified contractual obligations as of June 30, 2019</w:t>
      </w:r>
      <w:r>
        <w:rPr>
          <w:sz w:val="17"/>
        </w:rPr>
        <w:t xml:space="preserve"> </w:t>
      </w:r>
      <w:r>
        <w:rPr>
          <w:rFonts w:ascii="inherit" w:hAnsi="inherit"/>
          <w:sz w:val="17"/>
        </w:rPr>
        <w:t xml:space="preserve">(in millions): </w:t>
      </w:r>
    </w:p>
    <w:tbl>
      <w:tblPr>
        <w:tblW w:w="10205" w:type="dxa"/>
        <w:jc w:val="left"/>
        <w:tblInd w:w="0" w:type="dxa"/>
        <w:tblCellMar>
          <w:top w:w="0" w:type="dxa"/>
          <w:left w:w="0" w:type="dxa"/>
          <w:bottom w:w="0" w:type="dxa"/>
          <w:right w:w="0" w:type="dxa"/>
        </w:tblCellMar>
      </w:tblPr>
      <w:tblGrid>
        <w:gridCol w:w="3349"/>
        <w:gridCol w:w="247"/>
        <w:gridCol w:w="960"/>
        <w:gridCol w:w="59"/>
        <w:gridCol w:w="90"/>
        <w:gridCol w:w="125"/>
        <w:gridCol w:w="485"/>
        <w:gridCol w:w="30"/>
        <w:gridCol w:w="90"/>
        <w:gridCol w:w="125"/>
        <w:gridCol w:w="485"/>
        <w:gridCol w:w="30"/>
        <w:gridCol w:w="90"/>
        <w:gridCol w:w="125"/>
        <w:gridCol w:w="485"/>
        <w:gridCol w:w="30"/>
        <w:gridCol w:w="90"/>
        <w:gridCol w:w="125"/>
        <w:gridCol w:w="485"/>
        <w:gridCol w:w="30"/>
        <w:gridCol w:w="90"/>
        <w:gridCol w:w="223"/>
        <w:gridCol w:w="1059"/>
        <w:gridCol w:w="54"/>
        <w:gridCol w:w="90"/>
        <w:gridCol w:w="125"/>
        <w:gridCol w:w="590"/>
        <w:gridCol w:w="439"/>
      </w:tblGrid>
      <w:tr>
        <w:trPr/>
        <w:tc>
          <w:tcPr>
            <w:tcW w:w="10205" w:type="dxa"/>
            <w:gridSpan w:val="28"/>
            <w:tcBorders/>
            <w:shd w:fill="auto" w:val="clear"/>
            <w:vAlign w:val="center"/>
          </w:tcPr>
          <w:p>
            <w:pPr>
              <w:pStyle w:val="TableContents"/>
              <w:spacing w:before="0" w:after="283"/>
              <w:rPr>
                <w:sz w:val="4"/>
                <w:szCs w:val="4"/>
              </w:rPr>
            </w:pPr>
            <w:r>
              <w:rPr>
                <w:sz w:val="4"/>
                <w:szCs w:val="4"/>
              </w:rPr>
            </w:r>
          </w:p>
        </w:tc>
      </w:tr>
      <w:tr>
        <w:trPr/>
        <w:tc>
          <w:tcPr>
            <w:tcW w:w="334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5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059" w:type="dxa"/>
            <w:tcBorders/>
            <w:shd w:fill="auto" w:val="clear"/>
            <w:vAlign w:val="center"/>
          </w:tcPr>
          <w:p>
            <w:pPr>
              <w:pStyle w:val="TableContents"/>
              <w:spacing w:before="0" w:after="283"/>
              <w:rPr>
                <w:sz w:val="4"/>
                <w:szCs w:val="4"/>
              </w:rPr>
            </w:pPr>
            <w:r>
              <w:rPr>
                <w:sz w:val="4"/>
                <w:szCs w:val="4"/>
              </w:rPr>
            </w:r>
          </w:p>
        </w:tc>
        <w:tc>
          <w:tcPr>
            <w:tcW w:w="54"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349" w:type="dxa"/>
            <w:tcBorders/>
            <w:shd w:fill="auto" w:val="clear"/>
            <w:vAlign w:val="center"/>
          </w:tcPr>
          <w:p>
            <w:pPr>
              <w:pStyle w:val="TableContents"/>
              <w:spacing w:before="0" w:after="0"/>
              <w:ind w:left="0" w:right="0" w:firstLine="30"/>
              <w:rPr/>
            </w:pPr>
            <w:r>
              <w:rPr/>
              <w:t> </w:t>
            </w:r>
          </w:p>
        </w:tc>
        <w:tc>
          <w:tcPr>
            <w:tcW w:w="126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Remainder of 2019</w:t>
            </w:r>
          </w:p>
        </w:tc>
        <w:tc>
          <w:tcPr>
            <w:tcW w:w="90" w:type="dxa"/>
            <w:tcBorders/>
            <w:shd w:fill="auto" w:val="clear"/>
            <w:vAlign w:val="center"/>
          </w:tcPr>
          <w:p>
            <w:pPr>
              <w:pStyle w:val="TableContents"/>
              <w:spacing w:before="0" w:after="0"/>
              <w:ind w:left="0" w:right="0" w:firstLine="30"/>
              <w:rPr/>
            </w:pPr>
            <w:r>
              <w:rPr/>
              <w:t> </w:t>
            </w:r>
          </w:p>
        </w:tc>
        <w:tc>
          <w:tcPr>
            <w:tcW w:w="64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2020</w:t>
            </w:r>
          </w:p>
        </w:tc>
        <w:tc>
          <w:tcPr>
            <w:tcW w:w="90" w:type="dxa"/>
            <w:tcBorders/>
            <w:shd w:fill="auto" w:val="clear"/>
            <w:vAlign w:val="center"/>
          </w:tcPr>
          <w:p>
            <w:pPr>
              <w:pStyle w:val="TableContents"/>
              <w:spacing w:before="0" w:after="0"/>
              <w:ind w:left="0" w:right="0" w:firstLine="30"/>
              <w:rPr/>
            </w:pPr>
            <w:r>
              <w:rPr/>
              <w:t> </w:t>
            </w:r>
          </w:p>
        </w:tc>
        <w:tc>
          <w:tcPr>
            <w:tcW w:w="64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2021</w:t>
            </w:r>
          </w:p>
        </w:tc>
        <w:tc>
          <w:tcPr>
            <w:tcW w:w="90" w:type="dxa"/>
            <w:tcBorders/>
            <w:shd w:fill="auto" w:val="clear"/>
            <w:vAlign w:val="center"/>
          </w:tcPr>
          <w:p>
            <w:pPr>
              <w:pStyle w:val="TableContents"/>
              <w:spacing w:before="0" w:after="0"/>
              <w:ind w:left="0" w:right="0" w:firstLine="30"/>
              <w:rPr/>
            </w:pPr>
            <w:r>
              <w:rPr/>
              <w:t> </w:t>
            </w:r>
          </w:p>
        </w:tc>
        <w:tc>
          <w:tcPr>
            <w:tcW w:w="64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2022</w:t>
            </w:r>
          </w:p>
        </w:tc>
        <w:tc>
          <w:tcPr>
            <w:tcW w:w="90" w:type="dxa"/>
            <w:tcBorders/>
            <w:shd w:fill="auto" w:val="clear"/>
            <w:vAlign w:val="center"/>
          </w:tcPr>
          <w:p>
            <w:pPr>
              <w:pStyle w:val="TableContents"/>
              <w:spacing w:before="0" w:after="0"/>
              <w:ind w:left="0" w:right="0" w:firstLine="30"/>
              <w:rPr/>
            </w:pPr>
            <w:r>
              <w:rPr/>
              <w:t> </w:t>
            </w:r>
          </w:p>
        </w:tc>
        <w:tc>
          <w:tcPr>
            <w:tcW w:w="64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2023</w:t>
            </w:r>
          </w:p>
        </w:tc>
        <w:tc>
          <w:tcPr>
            <w:tcW w:w="90" w:type="dxa"/>
            <w:tcBorders/>
            <w:shd w:fill="auto" w:val="clear"/>
            <w:vAlign w:val="center"/>
          </w:tcPr>
          <w:p>
            <w:pPr>
              <w:pStyle w:val="TableContents"/>
              <w:spacing w:before="0" w:after="0"/>
              <w:ind w:left="0" w:right="0" w:firstLine="30"/>
              <w:rPr/>
            </w:pPr>
            <w:r>
              <w:rPr/>
              <w:t> </w:t>
            </w:r>
          </w:p>
        </w:tc>
        <w:tc>
          <w:tcPr>
            <w:tcW w:w="133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2024 and Thereafter</w:t>
            </w:r>
          </w:p>
        </w:tc>
        <w:tc>
          <w:tcPr>
            <w:tcW w:w="90" w:type="dxa"/>
            <w:tcBorders/>
            <w:shd w:fill="auto" w:val="clear"/>
            <w:vAlign w:val="center"/>
          </w:tcPr>
          <w:p>
            <w:pPr>
              <w:pStyle w:val="TableContents"/>
              <w:spacing w:before="0" w:after="0"/>
              <w:ind w:left="0" w:right="0" w:firstLine="30"/>
              <w:rPr/>
            </w:pPr>
            <w:r>
              <w:rPr/>
              <w:t> </w:t>
            </w:r>
          </w:p>
        </w:tc>
        <w:tc>
          <w:tcPr>
            <w:tcW w:w="115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Total</w:t>
            </w:r>
          </w:p>
        </w:tc>
      </w:tr>
      <w:tr>
        <w:trPr/>
        <w:tc>
          <w:tcPr>
            <w:tcW w:w="3349" w:type="dxa"/>
            <w:tcBorders/>
            <w:shd w:fill="CCEEFF" w:val="clear"/>
            <w:vAlign w:val="center"/>
          </w:tcPr>
          <w:p>
            <w:pPr>
              <w:pStyle w:val="TableContents"/>
              <w:spacing w:lineRule="auto" w:line="288" w:before="0" w:after="0"/>
              <w:ind w:left="0" w:right="0" w:firstLine="30"/>
              <w:rPr>
                <w:sz w:val="17"/>
              </w:rPr>
            </w:pPr>
            <w:r>
              <w:rPr>
                <w:rFonts w:ascii="inherit" w:hAnsi="inherit"/>
                <w:sz w:val="17"/>
              </w:rPr>
              <w:t xml:space="preserve">Long-term debt and related interest payments </w:t>
            </w:r>
            <w:r>
              <w:rPr>
                <w:rFonts w:ascii="inherit" w:hAnsi="inherit"/>
                <w:sz w:val="12"/>
              </w:rPr>
              <w:t>(1)</w:t>
            </w:r>
          </w:p>
        </w:tc>
        <w:tc>
          <w:tcPr>
            <w:tcW w:w="24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60" w:type="dxa"/>
            <w:tcBorders/>
            <w:shd w:fill="CCEEFF" w:val="clear"/>
            <w:vAlign w:val="center"/>
          </w:tcPr>
          <w:p>
            <w:pPr>
              <w:pStyle w:val="TableContents"/>
              <w:spacing w:before="0" w:after="0"/>
              <w:jc w:val="right"/>
              <w:rPr>
                <w:rFonts w:ascii="inherit" w:hAnsi="inherit"/>
                <w:sz w:val="17"/>
              </w:rPr>
            </w:pPr>
            <w:r>
              <w:rPr>
                <w:rFonts w:ascii="inherit" w:hAnsi="inherit"/>
                <w:sz w:val="17"/>
              </w:rPr>
              <w:t>709</w:t>
            </w:r>
          </w:p>
        </w:tc>
        <w:tc>
          <w:tcPr>
            <w:tcW w:w="5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878</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949</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1,079</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1,599</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2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59" w:type="dxa"/>
            <w:tcBorders/>
            <w:shd w:fill="CCEEFF" w:val="clear"/>
            <w:vAlign w:val="center"/>
          </w:tcPr>
          <w:p>
            <w:pPr>
              <w:pStyle w:val="TableContents"/>
              <w:spacing w:before="0" w:after="0"/>
              <w:jc w:val="right"/>
              <w:rPr>
                <w:rFonts w:ascii="inherit" w:hAnsi="inherit"/>
                <w:sz w:val="17"/>
              </w:rPr>
            </w:pPr>
            <w:r>
              <w:rPr>
                <w:rFonts w:ascii="inherit" w:hAnsi="inherit"/>
                <w:sz w:val="17"/>
              </w:rPr>
              <w:t>8,593</w:t>
            </w:r>
          </w:p>
        </w:tc>
        <w:tc>
          <w:tcPr>
            <w:tcW w:w="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CCEEFF" w:val="clear"/>
            <w:vAlign w:val="center"/>
          </w:tcPr>
          <w:p>
            <w:pPr>
              <w:pStyle w:val="TableContents"/>
              <w:spacing w:before="0" w:after="0"/>
              <w:jc w:val="right"/>
              <w:rPr>
                <w:rFonts w:ascii="inherit" w:hAnsi="inherit"/>
                <w:sz w:val="17"/>
              </w:rPr>
            </w:pPr>
            <w:r>
              <w:rPr>
                <w:rFonts w:ascii="inherit" w:hAnsi="inherit"/>
                <w:sz w:val="17"/>
              </w:rPr>
              <w:t>13,807</w:t>
            </w:r>
          </w:p>
        </w:tc>
        <w:tc>
          <w:tcPr>
            <w:tcW w:w="4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49" w:type="dxa"/>
            <w:tcBorders/>
            <w:shd w:fill="auto" w:val="clear"/>
            <w:vAlign w:val="center"/>
          </w:tcPr>
          <w:p>
            <w:pPr>
              <w:pStyle w:val="TableContents"/>
              <w:spacing w:lineRule="auto" w:line="288" w:before="0" w:after="0"/>
              <w:ind w:left="0" w:right="0" w:firstLine="30"/>
              <w:rPr>
                <w:sz w:val="17"/>
              </w:rPr>
            </w:pPr>
            <w:r>
              <w:rPr>
                <w:rFonts w:ascii="inherit" w:hAnsi="inherit"/>
                <w:sz w:val="17"/>
              </w:rPr>
              <w:t xml:space="preserve">Leases </w:t>
            </w:r>
            <w:r>
              <w:rPr>
                <w:rFonts w:ascii="inherit" w:hAnsi="inherit"/>
                <w:sz w:val="12"/>
              </w:rPr>
              <w:t>(2)</w:t>
            </w:r>
          </w:p>
        </w:tc>
        <w:tc>
          <w:tcPr>
            <w:tcW w:w="120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72</w:t>
            </w:r>
          </w:p>
        </w:tc>
        <w:tc>
          <w:tcPr>
            <w:tcW w:w="5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127</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99</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86</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59</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8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255</w:t>
            </w:r>
          </w:p>
        </w:tc>
        <w:tc>
          <w:tcPr>
            <w:tcW w:w="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698</w:t>
            </w:r>
          </w:p>
        </w:tc>
        <w:tc>
          <w:tcPr>
            <w:tcW w:w="4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49" w:type="dxa"/>
            <w:tcBorders/>
            <w:shd w:fill="CCEEFF" w:val="clear"/>
            <w:vAlign w:val="center"/>
          </w:tcPr>
          <w:p>
            <w:pPr>
              <w:pStyle w:val="TableContents"/>
              <w:spacing w:lineRule="auto" w:line="288" w:before="0" w:after="0"/>
              <w:ind w:left="0" w:right="0" w:firstLine="30"/>
              <w:rPr>
                <w:sz w:val="17"/>
              </w:rPr>
            </w:pPr>
            <w:r>
              <w:rPr>
                <w:rFonts w:ascii="inherit" w:hAnsi="inherit"/>
                <w:sz w:val="17"/>
              </w:rPr>
              <w:t xml:space="preserve">Other obligations </w:t>
            </w:r>
            <w:r>
              <w:rPr>
                <w:rFonts w:ascii="inherit" w:hAnsi="inherit"/>
                <w:sz w:val="12"/>
              </w:rPr>
              <w:t>(3)</w:t>
            </w:r>
          </w:p>
        </w:tc>
        <w:tc>
          <w:tcPr>
            <w:tcW w:w="120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522</w:t>
            </w:r>
          </w:p>
        </w:tc>
        <w:tc>
          <w:tcPr>
            <w:tcW w:w="5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863</w:t>
            </w:r>
          </w:p>
        </w:tc>
        <w:tc>
          <w:tcPr>
            <w:tcW w:w="3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509</w:t>
            </w:r>
          </w:p>
        </w:tc>
        <w:tc>
          <w:tcPr>
            <w:tcW w:w="3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255</w:t>
            </w:r>
          </w:p>
        </w:tc>
        <w:tc>
          <w:tcPr>
            <w:tcW w:w="3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230</w:t>
            </w:r>
          </w:p>
        </w:tc>
        <w:tc>
          <w:tcPr>
            <w:tcW w:w="3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8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1,152</w:t>
            </w:r>
          </w:p>
        </w:tc>
        <w:tc>
          <w:tcPr>
            <w:tcW w:w="5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3,531</w:t>
            </w:r>
          </w:p>
        </w:tc>
        <w:tc>
          <w:tcPr>
            <w:tcW w:w="439" w:type="dxa"/>
            <w:tcBorders>
              <w:bottom w:val="single" w:sz="2" w:space="0" w:color="000000"/>
            </w:tcBorders>
            <w:shd w:fill="CCEEFF"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3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Subtotal</w:t>
            </w:r>
          </w:p>
        </w:tc>
        <w:tc>
          <w:tcPr>
            <w:tcW w:w="120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1,303</w:t>
            </w:r>
          </w:p>
        </w:tc>
        <w:tc>
          <w:tcPr>
            <w:tcW w:w="5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1,868</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1,557</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1,420</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1,888</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128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10,000</w:t>
            </w:r>
          </w:p>
        </w:tc>
        <w:tc>
          <w:tcPr>
            <w:tcW w:w="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18,036</w:t>
            </w:r>
          </w:p>
        </w:tc>
        <w:tc>
          <w:tcPr>
            <w:tcW w:w="4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49" w:type="dxa"/>
            <w:tcBorders/>
            <w:shd w:fill="CCEEFF" w:val="clear"/>
            <w:vAlign w:val="center"/>
          </w:tcPr>
          <w:p>
            <w:pPr>
              <w:pStyle w:val="TableContents"/>
              <w:spacing w:lineRule="auto" w:line="288" w:before="0" w:after="0"/>
              <w:ind w:left="0" w:right="0" w:firstLine="30"/>
              <w:rPr>
                <w:sz w:val="17"/>
              </w:rPr>
            </w:pPr>
            <w:r>
              <w:rPr>
                <w:rFonts w:ascii="inherit" w:hAnsi="inherit"/>
                <w:sz w:val="17"/>
              </w:rPr>
              <w:t xml:space="preserve">Crude oil, NGL and other purchases </w:t>
            </w:r>
            <w:r>
              <w:rPr>
                <w:rFonts w:ascii="inherit" w:hAnsi="inherit"/>
                <w:sz w:val="12"/>
              </w:rPr>
              <w:t>(4)</w:t>
            </w:r>
          </w:p>
        </w:tc>
        <w:tc>
          <w:tcPr>
            <w:tcW w:w="120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4,622</w:t>
            </w:r>
          </w:p>
        </w:tc>
        <w:tc>
          <w:tcPr>
            <w:tcW w:w="5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5,955</w:t>
            </w:r>
          </w:p>
        </w:tc>
        <w:tc>
          <w:tcPr>
            <w:tcW w:w="3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5,554</w:t>
            </w:r>
          </w:p>
        </w:tc>
        <w:tc>
          <w:tcPr>
            <w:tcW w:w="3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5,280</w:t>
            </w:r>
          </w:p>
        </w:tc>
        <w:tc>
          <w:tcPr>
            <w:tcW w:w="3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4,865</w:t>
            </w:r>
          </w:p>
        </w:tc>
        <w:tc>
          <w:tcPr>
            <w:tcW w:w="3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8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10,602</w:t>
            </w:r>
          </w:p>
        </w:tc>
        <w:tc>
          <w:tcPr>
            <w:tcW w:w="5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36,878</w:t>
            </w:r>
          </w:p>
        </w:tc>
        <w:tc>
          <w:tcPr>
            <w:tcW w:w="439" w:type="dxa"/>
            <w:tcBorders>
              <w:bottom w:val="single" w:sz="2" w:space="0" w:color="000000"/>
            </w:tcBorders>
            <w:shd w:fill="CCEEFF"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247"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5,925</w:t>
            </w:r>
          </w:p>
        </w:tc>
        <w:tc>
          <w:tcPr>
            <w:tcW w:w="59"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7,823</w:t>
            </w:r>
          </w:p>
        </w:tc>
        <w:tc>
          <w:tcPr>
            <w:tcW w:w="3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12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7,111</w:t>
            </w:r>
          </w:p>
        </w:tc>
        <w:tc>
          <w:tcPr>
            <w:tcW w:w="3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12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6,700</w:t>
            </w:r>
          </w:p>
        </w:tc>
        <w:tc>
          <w:tcPr>
            <w:tcW w:w="3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12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6,753</w:t>
            </w:r>
          </w:p>
        </w:tc>
        <w:tc>
          <w:tcPr>
            <w:tcW w:w="3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223"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59"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20,602</w:t>
            </w:r>
          </w:p>
        </w:tc>
        <w:tc>
          <w:tcPr>
            <w:tcW w:w="54"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12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54,914</w:t>
            </w:r>
          </w:p>
        </w:tc>
        <w:tc>
          <w:tcPr>
            <w:tcW w:w="439"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sz w:val="4"/>
                <w:szCs w:val="4"/>
              </w:rPr>
            </w:pPr>
            <w:r>
              <w:rPr>
                <w:sz w:val="4"/>
                <w:szCs w:val="4"/>
              </w:rPr>
            </w:r>
          </w:p>
        </w:tc>
      </w:tr>
      <w:tr>
        <w:trPr/>
        <w:tc>
          <w:tcPr>
            <w:tcW w:w="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 w:type="dxa"/>
            <w:tcBorders>
              <w:bottom w:val="single" w:sz="2" w:space="0" w:color="000000"/>
            </w:tcBorders>
            <w:shd w:fill="auto" w:val="clear"/>
            <w:tcMar>
              <w:bottom w:w="30" w:type="dxa"/>
            </w:tcMar>
            <w:vAlign w:val="center"/>
          </w:tcPr>
          <w:p>
            <w:pPr>
              <w:pStyle w:val="TableContents"/>
              <w:spacing w:before="0" w:after="0"/>
              <w:rPr/>
            </w:pPr>
            <w:r>
              <w:rPr/>
              <w:t> </w:t>
            </w:r>
          </w:p>
        </w:tc>
      </w:tr>
    </w:tbl>
    <w:tbl>
      <w:tblPr>
        <w:tblW w:w="10205" w:type="dxa"/>
        <w:jc w:val="left"/>
        <w:tblInd w:w="0" w:type="dxa"/>
        <w:tblCellMar>
          <w:top w:w="0" w:type="dxa"/>
          <w:left w:w="0" w:type="dxa"/>
          <w:bottom w:w="0" w:type="dxa"/>
          <w:right w:w="0" w:type="dxa"/>
        </w:tblCellMar>
      </w:tblPr>
      <w:tblGrid>
        <w:gridCol w:w="168"/>
        <w:gridCol w:w="10037"/>
      </w:tblGrid>
      <w:tr>
        <w:trPr/>
        <w:tc>
          <w:tcPr>
            <w:tcW w:w="168" w:type="dxa"/>
            <w:tcBorders/>
            <w:shd w:fill="auto" w:val="clear"/>
            <w:vAlign w:val="center"/>
          </w:tcPr>
          <w:p>
            <w:pPr>
              <w:pStyle w:val="TableContents"/>
              <w:spacing w:before="0" w:after="283"/>
              <w:rPr>
                <w:sz w:val="4"/>
                <w:szCs w:val="4"/>
              </w:rPr>
            </w:pPr>
            <w:r>
              <w:rPr>
                <w:sz w:val="4"/>
                <w:szCs w:val="4"/>
              </w:rPr>
            </w:r>
          </w:p>
        </w:tc>
        <w:tc>
          <w:tcPr>
            <w:tcW w:w="10037" w:type="dxa"/>
            <w:tcBorders/>
            <w:shd w:fill="auto" w:val="clear"/>
            <w:vAlign w:val="center"/>
          </w:tcPr>
          <w:p>
            <w:pPr>
              <w:pStyle w:val="TableContents"/>
              <w:spacing w:before="0" w:after="283"/>
              <w:rPr>
                <w:sz w:val="4"/>
                <w:szCs w:val="4"/>
              </w:rPr>
            </w:pPr>
            <w:r>
              <w:rPr>
                <w:sz w:val="4"/>
                <w:szCs w:val="4"/>
              </w:rPr>
            </w:r>
          </w:p>
        </w:tc>
      </w:tr>
      <w:tr>
        <w:trPr/>
        <w:tc>
          <w:tcPr>
            <w:tcW w:w="168"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(1)</w:t>
            </w:r>
            <w:r>
              <w:rPr>
                <w:rFonts w:ascii="inherit" w:hAnsi="inherit"/>
                <w:sz w:val="17"/>
              </w:rPr>
              <w:t> </w:t>
            </w:r>
          </w:p>
        </w:tc>
        <w:tc>
          <w:tcPr>
            <w:tcW w:w="10037" w:type="dxa"/>
            <w:tcBorders/>
            <w:shd w:fill="auto" w:val="clear"/>
            <w:vAlign w:val="center"/>
          </w:tcPr>
          <w:p>
            <w:pPr>
              <w:pStyle w:val="TableContents"/>
              <w:spacing w:lineRule="auto" w:line="288" w:before="0" w:after="0"/>
              <w:rPr>
                <w:sz w:val="17"/>
              </w:rPr>
            </w:pPr>
            <w:r>
              <w:rPr>
                <w:rFonts w:ascii="inherit" w:hAnsi="inherit"/>
                <w:sz w:val="17"/>
              </w:rPr>
              <w:t xml:space="preserve">Includes debt service payments, interest payments due on senior notes and the commitment fee on assumed available capacity under our credit facilities, as well as long-term borrowings under our credit agreements and commercial paper program, if any. Although there may be short-term borrowings under our credit agreements and commercial paper program, we historically repay and borrow at varying amounts. As such, we have included only the maximum commitment fee (as if no short-term borrowings were outstanding on the credit agreements or commercial paper program) in the amounts above. For additional information regarding our debt obligations, see </w:t>
            </w:r>
            <w:r>
              <w:rPr>
                <w:b w:val="false"/>
                <w:sz w:val="17"/>
              </w:rPr>
              <w:t>Note 8</w:t>
            </w:r>
            <w:r>
              <w:rPr>
                <w:sz w:val="17"/>
              </w:rPr>
              <w:t xml:space="preserve"> </w:t>
            </w:r>
            <w:r>
              <w:rPr>
                <w:rFonts w:ascii="inherit" w:hAnsi="inherit"/>
                <w:sz w:val="17"/>
              </w:rPr>
              <w:t xml:space="preserve">to our Condensed Consolidated Financial Statements. </w:t>
            </w:r>
          </w:p>
        </w:tc>
      </w:tr>
    </w:tbl>
    <w:tbl>
      <w:tblPr>
        <w:tblW w:w="10205" w:type="dxa"/>
        <w:jc w:val="left"/>
        <w:tblInd w:w="0" w:type="dxa"/>
        <w:tblCellMar>
          <w:top w:w="0" w:type="dxa"/>
          <w:left w:w="0" w:type="dxa"/>
          <w:bottom w:w="0" w:type="dxa"/>
          <w:right w:w="0" w:type="dxa"/>
        </w:tblCellMar>
      </w:tblPr>
      <w:tblGrid>
        <w:gridCol w:w="190"/>
        <w:gridCol w:w="10015"/>
      </w:tblGrid>
      <w:tr>
        <w:trPr/>
        <w:tc>
          <w:tcPr>
            <w:tcW w:w="190" w:type="dxa"/>
            <w:tcBorders/>
            <w:shd w:fill="auto" w:val="clear"/>
            <w:vAlign w:val="center"/>
          </w:tcPr>
          <w:p>
            <w:pPr>
              <w:pStyle w:val="TableContents"/>
              <w:spacing w:before="0" w:after="283"/>
              <w:rPr>
                <w:sz w:val="4"/>
                <w:szCs w:val="4"/>
              </w:rPr>
            </w:pPr>
            <w:r>
              <w:rPr>
                <w:sz w:val="4"/>
                <w:szCs w:val="4"/>
              </w:rPr>
            </w:r>
          </w:p>
        </w:tc>
        <w:tc>
          <w:tcPr>
            <w:tcW w:w="10015" w:type="dxa"/>
            <w:tcBorders/>
            <w:shd w:fill="auto" w:val="clear"/>
            <w:vAlign w:val="center"/>
          </w:tcPr>
          <w:p>
            <w:pPr>
              <w:pStyle w:val="TableContents"/>
              <w:spacing w:before="0" w:after="283"/>
              <w:rPr>
                <w:sz w:val="4"/>
                <w:szCs w:val="4"/>
              </w:rPr>
            </w:pPr>
            <w:r>
              <w:rPr>
                <w:sz w:val="4"/>
                <w:szCs w:val="4"/>
              </w:rPr>
            </w:r>
          </w:p>
        </w:tc>
      </w:tr>
      <w:tr>
        <w:trPr/>
        <w:tc>
          <w:tcPr>
            <w:tcW w:w="190"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(2)</w:t>
            </w:r>
            <w:r>
              <w:rPr>
                <w:rFonts w:ascii="inherit" w:hAnsi="inherit"/>
                <w:sz w:val="17"/>
              </w:rPr>
              <w:t> </w:t>
            </w:r>
          </w:p>
        </w:tc>
        <w:tc>
          <w:tcPr>
            <w:tcW w:w="10015" w:type="dxa"/>
            <w:tcBorders/>
            <w:shd w:fill="auto" w:val="clear"/>
            <w:vAlign w:val="center"/>
          </w:tcPr>
          <w:p>
            <w:pPr>
              <w:pStyle w:val="TableContents"/>
              <w:spacing w:lineRule="auto" w:line="288" w:before="0" w:after="0"/>
              <w:rPr>
                <w:sz w:val="17"/>
              </w:rPr>
            </w:pPr>
            <w:r>
              <w:rPr>
                <w:rFonts w:ascii="inherit" w:hAnsi="inherit"/>
                <w:sz w:val="17"/>
              </w:rPr>
              <w:t xml:space="preserve">Includes both operating and finance leases as defined by FASB guidance. Leases are primarily for (i) railcars, (ii) office space, (iii), land, (iv) vehicles, (v) storage tanks and (vi) tractor trailers. See </w:t>
            </w:r>
            <w:r>
              <w:rPr>
                <w:b w:val="false"/>
                <w:sz w:val="17"/>
              </w:rPr>
              <w:t>Note 11</w:t>
            </w:r>
            <w:r>
              <w:rPr>
                <w:sz w:val="17"/>
              </w:rPr>
              <w:t xml:space="preserve"> </w:t>
            </w:r>
            <w:r>
              <w:rPr>
                <w:rFonts w:ascii="inherit" w:hAnsi="inherit"/>
                <w:sz w:val="17"/>
              </w:rPr>
              <w:t>to our Condensed Consolidated Financial Statements for additional information.  </w:t>
            </w:r>
          </w:p>
        </w:tc>
      </w:tr>
    </w:tbl>
    <w:tbl>
      <w:tblPr>
        <w:tblW w:w="10205" w:type="dxa"/>
        <w:jc w:val="left"/>
        <w:tblInd w:w="0" w:type="dxa"/>
        <w:tblCellMar>
          <w:top w:w="0" w:type="dxa"/>
          <w:left w:w="0" w:type="dxa"/>
          <w:bottom w:w="0" w:type="dxa"/>
          <w:right w:w="0" w:type="dxa"/>
        </w:tblCellMar>
      </w:tblPr>
      <w:tblGrid>
        <w:gridCol w:w="166"/>
        <w:gridCol w:w="10039"/>
      </w:tblGrid>
      <w:tr>
        <w:trPr/>
        <w:tc>
          <w:tcPr>
            <w:tcW w:w="166" w:type="dxa"/>
            <w:tcBorders/>
            <w:shd w:fill="auto" w:val="clear"/>
            <w:vAlign w:val="center"/>
          </w:tcPr>
          <w:p>
            <w:pPr>
              <w:pStyle w:val="TableContents"/>
              <w:spacing w:before="0" w:after="283"/>
              <w:rPr>
                <w:sz w:val="4"/>
                <w:szCs w:val="4"/>
              </w:rPr>
            </w:pPr>
            <w:r>
              <w:rPr>
                <w:sz w:val="4"/>
                <w:szCs w:val="4"/>
              </w:rPr>
            </w:r>
          </w:p>
        </w:tc>
        <w:tc>
          <w:tcPr>
            <w:tcW w:w="10039" w:type="dxa"/>
            <w:tcBorders/>
            <w:shd w:fill="auto" w:val="clear"/>
            <w:vAlign w:val="center"/>
          </w:tcPr>
          <w:p>
            <w:pPr>
              <w:pStyle w:val="TableContents"/>
              <w:spacing w:before="0" w:after="283"/>
              <w:rPr>
                <w:sz w:val="4"/>
                <w:szCs w:val="4"/>
              </w:rPr>
            </w:pPr>
            <w:r>
              <w:rPr>
                <w:sz w:val="4"/>
                <w:szCs w:val="4"/>
              </w:rPr>
            </w:r>
          </w:p>
        </w:tc>
      </w:tr>
      <w:tr>
        <w:trPr/>
        <w:tc>
          <w:tcPr>
            <w:tcW w:w="166"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(3)</w:t>
            </w:r>
            <w:r>
              <w:rPr>
                <w:rFonts w:ascii="inherit" w:hAnsi="inherit"/>
                <w:sz w:val="17"/>
              </w:rPr>
              <w:t> </w:t>
            </w:r>
          </w:p>
        </w:tc>
        <w:tc>
          <w:tcPr>
            <w:tcW w:w="10039" w:type="dxa"/>
            <w:tcBorders/>
            <w:shd w:fill="auto" w:val="clear"/>
            <w:vAlign w:val="center"/>
          </w:tcPr>
          <w:p>
            <w:pPr>
              <w:pStyle w:val="TableContents"/>
              <w:spacing w:lineRule="auto" w:line="288" w:before="0" w:after="0"/>
              <w:rPr>
                <w:sz w:val="17"/>
              </w:rPr>
            </w:pPr>
            <w:r>
              <w:rPr>
                <w:rFonts w:ascii="inherit" w:hAnsi="inherit"/>
                <w:sz w:val="17"/>
              </w:rPr>
              <w:t>Includes (i) other long-term liabilities, (ii) storage, processing and transportation agreements (including certain agreements for which the amount and timing of expected payments is subject to the completion of underlying construction projects), (iii) certain rights-of-way easements and (iv) noncancelable commitments related to our capital expansion projects, including projected contributions for our share of the capital spending of our equity method investments. The transportation agreements include approximately $1.7 billion</w:t>
            </w:r>
            <w:r>
              <w:rPr>
                <w:sz w:val="17"/>
              </w:rPr>
              <w:t xml:space="preserve"> </w:t>
            </w:r>
            <w:r>
              <w:rPr>
                <w:rFonts w:ascii="inherit" w:hAnsi="inherit"/>
                <w:sz w:val="17"/>
              </w:rPr>
              <w:t>associated with agreements to transport crude oil at posted tariff rates on pipelines that are owned by equity method investees. Our commitment to transport is supported by crude oil buy/sell or other agreements with third parties (including Oxy) with commensurate quantities. </w:t>
            </w:r>
          </w:p>
        </w:tc>
      </w:tr>
    </w:tbl>
    <w:tbl>
      <w:tblPr>
        <w:tblW w:w="10205" w:type="dxa"/>
        <w:jc w:val="left"/>
        <w:tblInd w:w="0" w:type="dxa"/>
        <w:tblCellMar>
          <w:top w:w="0" w:type="dxa"/>
          <w:left w:w="0" w:type="dxa"/>
          <w:bottom w:w="0" w:type="dxa"/>
          <w:right w:w="0" w:type="dxa"/>
        </w:tblCellMar>
      </w:tblPr>
      <w:tblGrid>
        <w:gridCol w:w="198"/>
        <w:gridCol w:w="10007"/>
      </w:tblGrid>
      <w:tr>
        <w:trPr/>
        <w:tc>
          <w:tcPr>
            <w:tcW w:w="198" w:type="dxa"/>
            <w:tcBorders/>
            <w:shd w:fill="auto" w:val="clear"/>
            <w:vAlign w:val="center"/>
          </w:tcPr>
          <w:p>
            <w:pPr>
              <w:pStyle w:val="TableContents"/>
              <w:spacing w:before="0" w:after="283"/>
              <w:rPr>
                <w:sz w:val="4"/>
                <w:szCs w:val="4"/>
              </w:rPr>
            </w:pPr>
            <w:r>
              <w:rPr>
                <w:sz w:val="4"/>
                <w:szCs w:val="4"/>
              </w:rPr>
            </w:r>
          </w:p>
        </w:tc>
        <w:tc>
          <w:tcPr>
            <w:tcW w:w="10007" w:type="dxa"/>
            <w:tcBorders/>
            <w:shd w:fill="auto" w:val="clear"/>
            <w:vAlign w:val="center"/>
          </w:tcPr>
          <w:p>
            <w:pPr>
              <w:pStyle w:val="TableContents"/>
              <w:spacing w:before="0" w:after="283"/>
              <w:rPr>
                <w:sz w:val="4"/>
                <w:szCs w:val="4"/>
              </w:rPr>
            </w:pPr>
            <w:r>
              <w:rPr>
                <w:sz w:val="4"/>
                <w:szCs w:val="4"/>
              </w:rPr>
            </w:r>
          </w:p>
        </w:tc>
      </w:tr>
      <w:tr>
        <w:trPr/>
        <w:tc>
          <w:tcPr>
            <w:tcW w:w="198"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2"/>
              </w:rPr>
              <w:t>(4)</w:t>
            </w:r>
            <w:r>
              <w:rPr>
                <w:rFonts w:ascii="inherit" w:hAnsi="inherit"/>
                <w:sz w:val="17"/>
              </w:rPr>
              <w:t> </w:t>
            </w:r>
          </w:p>
        </w:tc>
        <w:tc>
          <w:tcPr>
            <w:tcW w:w="10007" w:type="dxa"/>
            <w:tcBorders/>
            <w:shd w:fill="auto" w:val="clear"/>
            <w:vAlign w:val="center"/>
          </w:tcPr>
          <w:p>
            <w:pPr>
              <w:pStyle w:val="TableContents"/>
              <w:spacing w:lineRule="auto" w:line="288" w:before="0" w:after="0"/>
              <w:rPr>
                <w:sz w:val="17"/>
              </w:rPr>
            </w:pPr>
            <w:r>
              <w:rPr>
                <w:rFonts w:ascii="inherit" w:hAnsi="inherit"/>
                <w:sz w:val="17"/>
              </w:rPr>
              <w:t>Amounts are primarily based on estimated volumes and market prices based on average activity during June</w:t>
            </w:r>
            <w:r>
              <w:rPr>
                <w:sz w:val="17"/>
              </w:rPr>
              <w:t> </w:t>
            </w:r>
            <w:r>
              <w:rPr>
                <w:rFonts w:ascii="inherit" w:hAnsi="inherit"/>
                <w:sz w:val="17"/>
              </w:rPr>
              <w:t xml:space="preserve">2019. The actual physical volume purchased and actual settlement prices will vary from the assumptions used in the table. </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63</w:t>
      </w:r>
      <w:r>
        <w:br w:type="page"/>
      </w:r>
    </w:p>
    <w:p>
      <w:pPr>
        <w:pStyle w:val="TextBody"/>
        <w:spacing w:lineRule="auto" w:line="288" w:before="0" w:after="0"/>
        <w:rPr/>
      </w:pPr>
      <w:hyperlink w:anchor="s3336AD8A685850CC9B7F2572CB2C0BC3">
        <w:r>
          <w:rPr>
            <w:rStyle w:val="InternetLink"/>
            <w:rFonts w:ascii="inherit" w:hAnsi="inherit"/>
            <w:sz w:val="17"/>
          </w:rPr>
          <w:t>Table of Contents</w:t>
        </w:r>
      </w:hyperlink>
      <w:r>
        <w:rPr>
          <w:sz w:val="17"/>
        </w:rPr>
        <w:t xml:space="preserve"> </w:t>
      </w:r>
    </w:p>
    <w:p>
      <w:pPr>
        <w:pStyle w:val="TextBody"/>
        <w:spacing w:before="0" w:after="0"/>
        <w:rPr/>
      </w:pPr>
      <w:r>
        <w:rPr/>
      </w:r>
    </w:p>
    <w:p>
      <w:pPr>
        <w:pStyle w:val="TextBody"/>
        <w:spacing w:lineRule="auto" w:line="288" w:before="0" w:after="0"/>
        <w:ind w:left="0" w:right="0" w:firstLine="720"/>
        <w:rPr>
          <w:rFonts w:ascii="inherit" w:hAnsi="inherit"/>
          <w:sz w:val="17"/>
        </w:rPr>
      </w:pPr>
      <w:r>
        <w:rPr>
          <w:rFonts w:ascii="inherit" w:hAnsi="inherit"/>
          <w:sz w:val="17"/>
        </w:rPr>
        <w:t>Uncertainties involved in these estimates include levels of production at the wellhead, weather conditions, changes in market prices and other conditions beyond our control.</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ind w:left="0" w:right="0" w:firstLine="720"/>
        <w:jc w:val="left"/>
        <w:rPr>
          <w:sz w:val="17"/>
        </w:rPr>
      </w:pPr>
      <w:r>
        <w:rPr>
          <w:rFonts w:ascii="inherit" w:hAnsi="inherit"/>
          <w:i/>
          <w:sz w:val="17"/>
        </w:rPr>
        <w:t>Letters of Credit.</w:t>
      </w:r>
      <w:r>
        <w:rPr>
          <w:sz w:val="17"/>
        </w:rPr>
        <w:t xml:space="preserve"> </w:t>
      </w:r>
      <w:r>
        <w:rPr>
          <w:rFonts w:ascii="inherit" w:hAnsi="inherit"/>
          <w:sz w:val="17"/>
        </w:rPr>
        <w:t>In connection with supply and logistics activities, we provide certain suppliers with irrevocable standby letters of credit to secure our obligation for the purchase and transportation of crude oil, NGL and natural gas. Additionally, we issue letters of credit to support insurance programs, derivative transactions, including hedging-related margin obligations, and construction activities. At June 30, 2019</w:t>
      </w:r>
      <w:r>
        <w:rPr>
          <w:sz w:val="17"/>
        </w:rPr>
        <w:t xml:space="preserve"> </w:t>
      </w:r>
      <w:r>
        <w:rPr>
          <w:rFonts w:ascii="inherit" w:hAnsi="inherit"/>
          <w:sz w:val="17"/>
        </w:rPr>
        <w:t>and December 31, 2018, we had outstanding letters of credit of approximately $153 million</w:t>
      </w:r>
      <w:r>
        <w:rPr>
          <w:sz w:val="17"/>
        </w:rPr>
        <w:t xml:space="preserve"> </w:t>
      </w:r>
      <w:r>
        <w:rPr>
          <w:rFonts w:ascii="inherit" w:hAnsi="inherit"/>
          <w:sz w:val="17"/>
        </w:rPr>
        <w:t>and $184 million, respectively.</w:t>
      </w:r>
    </w:p>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lineRule="auto" w:line="288" w:before="0" w:after="0"/>
        <w:rPr>
          <w:rFonts w:ascii="inherit" w:hAnsi="inherit"/>
          <w:b/>
          <w:sz w:val="17"/>
        </w:rPr>
      </w:pPr>
      <w:bookmarkStart w:id="39" w:name="sBD93EA79A427543BB347E754C23A3AB1"/>
      <w:bookmarkEnd w:id="39"/>
      <w:r>
        <w:rPr>
          <w:rFonts w:ascii="inherit" w:hAnsi="inherit"/>
          <w:b/>
          <w:sz w:val="17"/>
        </w:rPr>
        <w:t>Off-Balance Sheet Arrangements</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We have no off-balance sheet arrangements as defined by Item 303 of Regulation S-K.</w:t>
      </w:r>
    </w:p>
    <w:p>
      <w:pPr>
        <w:pStyle w:val="TextBody"/>
        <w:spacing w:lineRule="auto" w:line="288" w:before="0" w:after="0"/>
        <w:rPr/>
      </w:pPr>
      <w:r>
        <w:rPr/>
        <w:t> </w:t>
      </w:r>
    </w:p>
    <w:p>
      <w:pPr>
        <w:pStyle w:val="TextBody"/>
        <w:spacing w:lineRule="auto" w:line="288" w:before="0" w:after="0"/>
        <w:rPr>
          <w:rFonts w:ascii="inherit" w:hAnsi="inherit"/>
          <w:b/>
          <w:sz w:val="17"/>
        </w:rPr>
      </w:pPr>
      <w:bookmarkStart w:id="40" w:name="s5ABB0435C86859CA8793EFD2E8107760"/>
      <w:bookmarkEnd w:id="40"/>
      <w:r>
        <w:rPr>
          <w:rFonts w:ascii="inherit" w:hAnsi="inherit"/>
          <w:b/>
          <w:sz w:val="17"/>
        </w:rPr>
        <w:t>Recent Accounting Pronouncements</w:t>
      </w:r>
    </w:p>
    <w:p>
      <w:pPr>
        <w:pStyle w:val="TextBody"/>
        <w:spacing w:lineRule="auto" w:line="288" w:before="0" w:after="0"/>
        <w:rPr/>
      </w:pPr>
      <w:r>
        <w:rPr/>
        <w:t> </w:t>
      </w:r>
    </w:p>
    <w:p>
      <w:pPr>
        <w:pStyle w:val="TextBody"/>
        <w:spacing w:lineRule="auto" w:line="288" w:before="0" w:after="0"/>
        <w:ind w:left="0" w:right="0" w:firstLine="720"/>
        <w:rPr>
          <w:sz w:val="17"/>
        </w:rPr>
      </w:pPr>
      <w:r>
        <w:rPr>
          <w:rFonts w:ascii="inherit" w:hAnsi="inherit"/>
          <w:sz w:val="17"/>
        </w:rPr>
        <w:t xml:space="preserve">See </w:t>
      </w:r>
      <w:r>
        <w:rPr>
          <w:b w:val="false"/>
          <w:sz w:val="17"/>
        </w:rPr>
        <w:t>Note 2</w:t>
      </w:r>
      <w:r>
        <w:rPr>
          <w:sz w:val="17"/>
        </w:rPr>
        <w:t xml:space="preserve"> </w:t>
      </w:r>
      <w:r>
        <w:rPr>
          <w:rFonts w:ascii="inherit" w:hAnsi="inherit"/>
          <w:sz w:val="17"/>
        </w:rPr>
        <w:t>to our Condensed Consolidated Financial Statements.</w:t>
      </w:r>
    </w:p>
    <w:p>
      <w:pPr>
        <w:pStyle w:val="TextBody"/>
        <w:spacing w:lineRule="auto" w:line="288" w:before="0" w:after="0"/>
        <w:rPr/>
      </w:pPr>
      <w:r>
        <w:rPr/>
        <w:t> </w:t>
      </w:r>
    </w:p>
    <w:p>
      <w:pPr>
        <w:pStyle w:val="TextBody"/>
        <w:spacing w:lineRule="auto" w:line="288" w:before="0" w:after="0"/>
        <w:rPr>
          <w:rFonts w:ascii="inherit" w:hAnsi="inherit"/>
          <w:b/>
          <w:sz w:val="17"/>
        </w:rPr>
      </w:pPr>
      <w:bookmarkStart w:id="41" w:name="s64A08D929EC857D3A91B89D9FABAE1E8"/>
      <w:bookmarkEnd w:id="41"/>
      <w:r>
        <w:rPr>
          <w:rFonts w:ascii="inherit" w:hAnsi="inherit"/>
          <w:b/>
          <w:sz w:val="17"/>
        </w:rPr>
        <w:t>Critical Accounting Policies and Estimates</w:t>
      </w:r>
    </w:p>
    <w:p>
      <w:pPr>
        <w:pStyle w:val="TextBody"/>
        <w:spacing w:lineRule="auto" w:line="288" w:before="0" w:after="0"/>
        <w:rPr/>
      </w:pPr>
      <w:r>
        <w:rPr/>
        <w:t> </w:t>
      </w:r>
    </w:p>
    <w:p>
      <w:pPr>
        <w:pStyle w:val="TextBody"/>
        <w:spacing w:lineRule="auto" w:line="288" w:before="0" w:after="0"/>
        <w:ind w:left="0" w:right="0" w:firstLine="720"/>
        <w:rPr>
          <w:sz w:val="17"/>
        </w:rPr>
      </w:pPr>
      <w:r>
        <w:rPr>
          <w:rFonts w:ascii="inherit" w:hAnsi="inherit"/>
          <w:sz w:val="17"/>
        </w:rPr>
        <w:t>For a discussion regarding our critical accounting policies and estimates, see “Critical Accounting Policies and Estimates” under Item 7 of our 2018</w:t>
      </w:r>
      <w:r>
        <w:rPr>
          <w:sz w:val="17"/>
        </w:rPr>
        <w:t xml:space="preserve"> </w:t>
      </w:r>
      <w:r>
        <w:rPr>
          <w:rFonts w:ascii="inherit" w:hAnsi="inherit"/>
          <w:sz w:val="17"/>
        </w:rPr>
        <w:t>Annual Report on Form 10-K.</w:t>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64</w:t>
      </w:r>
      <w:r>
        <w:br w:type="page"/>
      </w:r>
    </w:p>
    <w:p>
      <w:pPr>
        <w:pStyle w:val="TextBody"/>
        <w:spacing w:lineRule="auto" w:line="288" w:before="0" w:after="0"/>
        <w:rPr/>
      </w:pPr>
      <w:hyperlink w:anchor="s3336AD8A685850CC9B7F2572CB2C0BC3">
        <w:bookmarkStart w:id="42" w:name="s188AA58A035B512C97AD99DBA7792EB6"/>
        <w:bookmarkEnd w:id="42"/>
        <w:r>
          <w:rPr>
            <w:rStyle w:val="InternetLink"/>
            <w:rFonts w:ascii="inherit" w:hAnsi="inherit"/>
            <w:sz w:val="17"/>
          </w:rPr>
          <w:t>Table of Contents</w:t>
        </w:r>
      </w:hyperlink>
      <w:r>
        <w:rPr>
          <w:sz w:val="17"/>
        </w:rPr>
        <w:t xml:space="preserve"> </w:t>
      </w:r>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FORWARD-LOOKING STATEMENTS</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rPr>
                <w:rFonts w:ascii="inherit" w:hAnsi="inherit"/>
                <w:sz w:val="17"/>
              </w:rPr>
            </w:pPr>
            <w:r>
              <w:rPr>
                <w:rFonts w:ascii="inherit" w:hAnsi="inherit"/>
                <w:sz w:val="17"/>
              </w:rPr>
              <w:t>declines in the actual or expected volume of crude oil and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w:t>
            </w:r>
          </w:p>
        </w:tc>
      </w:tr>
    </w:tbl>
    <w:p>
      <w:pPr>
        <w:pStyle w:val="TextBody"/>
        <w:spacing w:lineRule="auto" w:line="288" w:before="0" w:after="0"/>
        <w:rPr/>
      </w:pPr>
      <w:r>
        <w:rPr/>
        <w:t> </w:t>
      </w:r>
    </w:p>
    <w:tbl>
      <w:tblPr>
        <w:tblW w:w="8920" w:type="dxa"/>
        <w:jc w:val="left"/>
        <w:tblInd w:w="0" w:type="dxa"/>
        <w:tblCellMar>
          <w:top w:w="0" w:type="dxa"/>
          <w:left w:w="0" w:type="dxa"/>
          <w:bottom w:w="0" w:type="dxa"/>
          <w:right w:w="0" w:type="dxa"/>
        </w:tblCellMar>
      </w:tblPr>
      <w:tblGrid>
        <w:gridCol w:w="845"/>
        <w:gridCol w:w="8075"/>
      </w:tblGrid>
      <w:tr>
        <w:trPr/>
        <w:tc>
          <w:tcPr>
            <w:tcW w:w="845" w:type="dxa"/>
            <w:tcBorders/>
            <w:shd w:fill="auto" w:val="clear"/>
            <w:vAlign w:val="center"/>
          </w:tcPr>
          <w:p>
            <w:pPr>
              <w:pStyle w:val="TableContents"/>
              <w:spacing w:before="0" w:after="283"/>
              <w:rPr>
                <w:sz w:val="4"/>
                <w:szCs w:val="4"/>
              </w:rPr>
            </w:pPr>
            <w:r>
              <w:rPr>
                <w:sz w:val="4"/>
                <w:szCs w:val="4"/>
              </w:rPr>
            </w:r>
          </w:p>
        </w:tc>
        <w:tc>
          <w:tcPr>
            <w:tcW w:w="8075"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8075" w:type="dxa"/>
            <w:tcBorders/>
            <w:shd w:fill="auto" w:val="clear"/>
            <w:vAlign w:val="center"/>
          </w:tcPr>
          <w:p>
            <w:pPr>
              <w:pStyle w:val="TableContents"/>
              <w:spacing w:lineRule="auto" w:line="288" w:before="0" w:after="0"/>
              <w:rPr>
                <w:rFonts w:ascii="inherit" w:hAnsi="inherit"/>
                <w:sz w:val="17"/>
              </w:rPr>
            </w:pPr>
            <w:r>
              <w:rPr>
                <w:rFonts w:ascii="inherit" w:hAnsi="inherit"/>
                <w:sz w:val="17"/>
              </w:rPr>
              <w:t>the effects of competition, including the effects of capacity overbuild in areas where we operate;</w:t>
            </w:r>
          </w:p>
        </w:tc>
      </w:tr>
    </w:tbl>
    <w:p>
      <w:pPr>
        <w:pStyle w:val="TextBody"/>
        <w:spacing w:lineRule="auto" w:line="288" w:before="0" w:after="0"/>
        <w:ind w:left="0" w:right="0" w:firstLine="108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rPr>
                <w:rFonts w:ascii="inherit" w:hAnsi="inherit"/>
                <w:sz w:val="17"/>
              </w:rPr>
            </w:pPr>
            <w:r>
              <w:rPr>
                <w:rFonts w:ascii="inherit" w:hAnsi="inherit"/>
                <w:sz w:val="17"/>
              </w:rPr>
              <w:t>market distortions caused by over-commitments to infrastructure projects, which impacts volumes, margins, returns and overall earnings;</w:t>
            </w:r>
          </w:p>
        </w:tc>
      </w:tr>
    </w:tbl>
    <w:p>
      <w:pPr>
        <w:pStyle w:val="TextBody"/>
        <w:spacing w:lineRule="auto" w:line="288" w:before="0" w:after="0"/>
        <w:rPr/>
      </w:pPr>
      <w:r>
        <w:rPr/>
        <w:t>  </w:t>
      </w:r>
    </w:p>
    <w:tbl>
      <w:tblPr>
        <w:tblW w:w="10135" w:type="dxa"/>
        <w:jc w:val="left"/>
        <w:tblInd w:w="0" w:type="dxa"/>
        <w:tblCellMar>
          <w:top w:w="0" w:type="dxa"/>
          <w:left w:w="0" w:type="dxa"/>
          <w:bottom w:w="0" w:type="dxa"/>
          <w:right w:w="0" w:type="dxa"/>
        </w:tblCellMar>
      </w:tblPr>
      <w:tblGrid>
        <w:gridCol w:w="845"/>
        <w:gridCol w:w="9290"/>
      </w:tblGrid>
      <w:tr>
        <w:trPr/>
        <w:tc>
          <w:tcPr>
            <w:tcW w:w="845" w:type="dxa"/>
            <w:tcBorders/>
            <w:shd w:fill="auto" w:val="clear"/>
            <w:vAlign w:val="center"/>
          </w:tcPr>
          <w:p>
            <w:pPr>
              <w:pStyle w:val="TableContents"/>
              <w:spacing w:before="0" w:after="283"/>
              <w:rPr>
                <w:sz w:val="4"/>
                <w:szCs w:val="4"/>
              </w:rPr>
            </w:pPr>
            <w:r>
              <w:rPr>
                <w:sz w:val="4"/>
                <w:szCs w:val="4"/>
              </w:rPr>
            </w:r>
          </w:p>
        </w:tc>
        <w:tc>
          <w:tcPr>
            <w:tcW w:w="929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290" w:type="dxa"/>
            <w:tcBorders/>
            <w:shd w:fill="auto" w:val="clear"/>
            <w:vAlign w:val="center"/>
          </w:tcPr>
          <w:p>
            <w:pPr>
              <w:pStyle w:val="TableContents"/>
              <w:spacing w:lineRule="auto" w:line="288" w:before="0" w:after="0"/>
              <w:rPr>
                <w:rFonts w:ascii="inherit" w:hAnsi="inherit"/>
                <w:sz w:val="17"/>
              </w:rPr>
            </w:pPr>
            <w:r>
              <w:rPr>
                <w:rFonts w:ascii="inherit" w:hAnsi="inherit"/>
                <w:sz w:val="17"/>
              </w:rPr>
              <w:t>unanticipated changes in crude oil and NGL market structure, grade differentials and volatility (or lack thereof);</w:t>
            </w:r>
          </w:p>
        </w:tc>
      </w:tr>
    </w:tbl>
    <w:p>
      <w:pPr>
        <w:pStyle w:val="TextBody"/>
        <w:spacing w:lineRule="auto" w:line="288" w:before="0" w:after="0"/>
        <w:rPr/>
      </w:pPr>
      <w:r>
        <w:rPr/>
        <w:t>  </w:t>
      </w:r>
    </w:p>
    <w:tbl>
      <w:tblPr>
        <w:tblW w:w="9580" w:type="dxa"/>
        <w:jc w:val="left"/>
        <w:tblInd w:w="0" w:type="dxa"/>
        <w:tblCellMar>
          <w:top w:w="0" w:type="dxa"/>
          <w:left w:w="0" w:type="dxa"/>
          <w:bottom w:w="0" w:type="dxa"/>
          <w:right w:w="0" w:type="dxa"/>
        </w:tblCellMar>
      </w:tblPr>
      <w:tblGrid>
        <w:gridCol w:w="845"/>
        <w:gridCol w:w="8735"/>
      </w:tblGrid>
      <w:tr>
        <w:trPr/>
        <w:tc>
          <w:tcPr>
            <w:tcW w:w="845" w:type="dxa"/>
            <w:tcBorders/>
            <w:shd w:fill="auto" w:val="clear"/>
            <w:vAlign w:val="center"/>
          </w:tcPr>
          <w:p>
            <w:pPr>
              <w:pStyle w:val="TableContents"/>
              <w:spacing w:before="0" w:after="283"/>
              <w:rPr>
                <w:sz w:val="4"/>
                <w:szCs w:val="4"/>
              </w:rPr>
            </w:pPr>
            <w:r>
              <w:rPr>
                <w:sz w:val="4"/>
                <w:szCs w:val="4"/>
              </w:rPr>
            </w:r>
          </w:p>
        </w:tc>
        <w:tc>
          <w:tcPr>
            <w:tcW w:w="8735"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8735" w:type="dxa"/>
            <w:tcBorders/>
            <w:shd w:fill="auto" w:val="clear"/>
            <w:vAlign w:val="center"/>
          </w:tcPr>
          <w:p>
            <w:pPr>
              <w:pStyle w:val="TableContents"/>
              <w:spacing w:lineRule="auto" w:line="288" w:before="0" w:after="0"/>
              <w:rPr>
                <w:rFonts w:ascii="inherit" w:hAnsi="inherit"/>
                <w:sz w:val="17"/>
              </w:rPr>
            </w:pPr>
            <w:r>
              <w:rPr>
                <w:rFonts w:ascii="inherit" w:hAnsi="inherit"/>
                <w:sz w:val="17"/>
              </w:rPr>
              <w:t>environmental liabilities or events that are not covered by an indemnity, insurance or existing reserves;</w:t>
            </w:r>
          </w:p>
        </w:tc>
      </w:tr>
    </w:tbl>
    <w:p>
      <w:pPr>
        <w:pStyle w:val="TextBody"/>
        <w:spacing w:lineRule="auto" w:line="288" w:before="0" w:after="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rPr>
                <w:rFonts w:ascii="inherit" w:hAnsi="inherit"/>
                <w:sz w:val="17"/>
              </w:rPr>
            </w:pPr>
            <w:r>
              <w:rPr>
                <w:rFonts w:ascii="inherit" w:hAnsi="inherit"/>
                <w:sz w:val="17"/>
              </w:rPr>
              <w:t>fluctuations in refinery capacity in areas supplied by our mainlines and other factors affecting demand for various grades of crude oil, NGL and natural gas and resulting changes in pricing conditions or transportation throughput requirements;</w:t>
            </w:r>
          </w:p>
        </w:tc>
      </w:tr>
    </w:tbl>
    <w:p>
      <w:pPr>
        <w:pStyle w:val="TextBody"/>
        <w:spacing w:lineRule="auto" w:line="288" w:before="0" w:after="0"/>
        <w:rPr/>
      </w:pPr>
      <w:r>
        <w:rPr/>
        <w:t> </w:t>
      </w:r>
    </w:p>
    <w:tbl>
      <w:tblPr>
        <w:tblW w:w="10150" w:type="dxa"/>
        <w:jc w:val="left"/>
        <w:tblInd w:w="0" w:type="dxa"/>
        <w:tblCellMar>
          <w:top w:w="0" w:type="dxa"/>
          <w:left w:w="0" w:type="dxa"/>
          <w:bottom w:w="0" w:type="dxa"/>
          <w:right w:w="0" w:type="dxa"/>
        </w:tblCellMar>
      </w:tblPr>
      <w:tblGrid>
        <w:gridCol w:w="845"/>
        <w:gridCol w:w="9305"/>
      </w:tblGrid>
      <w:tr>
        <w:trPr/>
        <w:tc>
          <w:tcPr>
            <w:tcW w:w="845" w:type="dxa"/>
            <w:tcBorders/>
            <w:shd w:fill="auto" w:val="clear"/>
            <w:vAlign w:val="center"/>
          </w:tcPr>
          <w:p>
            <w:pPr>
              <w:pStyle w:val="TableContents"/>
              <w:spacing w:before="0" w:after="283"/>
              <w:rPr>
                <w:sz w:val="4"/>
                <w:szCs w:val="4"/>
              </w:rPr>
            </w:pPr>
            <w:r>
              <w:rPr>
                <w:sz w:val="4"/>
                <w:szCs w:val="4"/>
              </w:rPr>
            </w:r>
          </w:p>
        </w:tc>
        <w:tc>
          <w:tcPr>
            <w:tcW w:w="9305"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05" w:type="dxa"/>
            <w:tcBorders/>
            <w:shd w:fill="auto" w:val="clear"/>
            <w:vAlign w:val="center"/>
          </w:tcPr>
          <w:p>
            <w:pPr>
              <w:pStyle w:val="TableContents"/>
              <w:spacing w:lineRule="auto" w:line="288" w:before="0" w:after="0"/>
              <w:rPr>
                <w:rFonts w:ascii="inherit" w:hAnsi="inherit"/>
                <w:sz w:val="17"/>
              </w:rPr>
            </w:pPr>
            <w:r>
              <w:rPr>
                <w:rFonts w:ascii="inherit" w:hAnsi="inherit"/>
                <w:sz w:val="17"/>
              </w:rPr>
              <w:t>maintenance of our credit rating and ability to receive open credit from our suppliers and trade counterparties;</w:t>
            </w:r>
          </w:p>
        </w:tc>
      </w:tr>
    </w:tbl>
    <w:p>
      <w:pPr>
        <w:pStyle w:val="TextBody"/>
        <w:spacing w:lineRule="auto" w:line="288" w:before="0" w:after="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rPr>
                <w:rFonts w:ascii="inherit" w:hAnsi="inherit"/>
                <w:sz w:val="17"/>
              </w:rPr>
            </w:pPr>
            <w:r>
              <w:rPr>
                <w:rFonts w:ascii="inherit" w:hAnsi="inherit"/>
                <w:sz w:val="17"/>
              </w:rPr>
              <w:t>the occurrence of a natural disaster, catastrophe, terrorist attack (including eco-terrorist attacks) or other event, including cyber or other attacks on our electronic and computer systems;</w:t>
            </w:r>
          </w:p>
        </w:tc>
      </w:tr>
    </w:tbl>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rPr>
                <w:rFonts w:ascii="inherit" w:hAnsi="inherit"/>
                <w:sz w:val="17"/>
              </w:rPr>
            </w:pPr>
            <w:r>
              <w:rPr>
                <w:rFonts w:ascii="inherit" w:hAnsi="inherit"/>
                <w:sz w:val="17"/>
              </w:rPr>
              <w:t>failure to implement or capitalize, or delays in implementing or capitalizing, on expansion projects, whether due to permitting delays, permitting withdrawals or other factors;</w:t>
            </w:r>
          </w:p>
        </w:tc>
      </w:tr>
    </w:tbl>
    <w:p>
      <w:pPr>
        <w:pStyle w:val="TextBody"/>
        <w:spacing w:lineRule="auto" w:line="288" w:before="0" w:after="0"/>
        <w:rPr/>
      </w:pPr>
      <w:r>
        <w:rPr/>
        <w:t> </w:t>
      </w:r>
    </w:p>
    <w:tbl>
      <w:tblPr>
        <w:tblW w:w="5785" w:type="dxa"/>
        <w:jc w:val="left"/>
        <w:tblInd w:w="0" w:type="dxa"/>
        <w:tblCellMar>
          <w:top w:w="0" w:type="dxa"/>
          <w:left w:w="0" w:type="dxa"/>
          <w:bottom w:w="0" w:type="dxa"/>
          <w:right w:w="0" w:type="dxa"/>
        </w:tblCellMar>
      </w:tblPr>
      <w:tblGrid>
        <w:gridCol w:w="845"/>
        <w:gridCol w:w="4940"/>
      </w:tblGrid>
      <w:tr>
        <w:trPr/>
        <w:tc>
          <w:tcPr>
            <w:tcW w:w="845" w:type="dxa"/>
            <w:tcBorders/>
            <w:shd w:fill="auto" w:val="clear"/>
            <w:vAlign w:val="center"/>
          </w:tcPr>
          <w:p>
            <w:pPr>
              <w:pStyle w:val="TableContents"/>
              <w:spacing w:before="0" w:after="283"/>
              <w:rPr>
                <w:sz w:val="4"/>
                <w:szCs w:val="4"/>
              </w:rPr>
            </w:pPr>
            <w:r>
              <w:rPr>
                <w:sz w:val="4"/>
                <w:szCs w:val="4"/>
              </w:rPr>
            </w:r>
          </w:p>
        </w:tc>
        <w:tc>
          <w:tcPr>
            <w:tcW w:w="494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4940" w:type="dxa"/>
            <w:tcBorders/>
            <w:shd w:fill="auto" w:val="clear"/>
            <w:vAlign w:val="center"/>
          </w:tcPr>
          <w:p>
            <w:pPr>
              <w:pStyle w:val="TableContents"/>
              <w:spacing w:lineRule="auto" w:line="288" w:before="0" w:after="0"/>
              <w:rPr>
                <w:rFonts w:ascii="inherit" w:hAnsi="inherit"/>
                <w:sz w:val="17"/>
              </w:rPr>
            </w:pPr>
            <w:r>
              <w:rPr>
                <w:rFonts w:ascii="inherit" w:hAnsi="inherit"/>
                <w:sz w:val="17"/>
              </w:rPr>
              <w:t>shortages or cost increases of supplies, materials or labor;</w:t>
            </w:r>
          </w:p>
        </w:tc>
      </w:tr>
    </w:tbl>
    <w:p>
      <w:pPr>
        <w:pStyle w:val="TextBody"/>
        <w:spacing w:lineRule="auto" w:line="288" w:before="0" w:after="0"/>
        <w:ind w:left="0" w:right="0" w:firstLine="108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rPr>
                <w:rFonts w:ascii="inherit" w:hAnsi="inherit"/>
                <w:sz w:val="17"/>
              </w:rPr>
            </w:pPr>
            <w:r>
              <w:rPr>
                <w:rFonts w:ascii="inherit" w:hAnsi="inherit"/>
                <w:sz w:val="17"/>
              </w:rPr>
              <w:t>the impact of current and future laws, rulings, governmental regulations, accounting standards and statements, and related interpretations;</w:t>
            </w:r>
          </w:p>
        </w:tc>
      </w:tr>
    </w:tbl>
    <w:p>
      <w:pPr>
        <w:pStyle w:val="TextBody"/>
        <w:spacing w:lineRule="auto" w:line="288" w:before="0" w:after="0"/>
        <w:ind w:left="0" w:right="0" w:firstLine="108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rPr>
                <w:rFonts w:ascii="inherit" w:hAnsi="inherit"/>
                <w:sz w:val="17"/>
              </w:rPr>
            </w:pPr>
            <w:r>
              <w:rPr>
                <w:rFonts w:ascii="inherit" w:hAnsi="inherit"/>
                <w:sz w:val="17"/>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tc>
      </w:tr>
    </w:tbl>
    <w:p>
      <w:pPr>
        <w:pStyle w:val="TextBody"/>
        <w:spacing w:lineRule="auto" w:line="288" w:before="0" w:after="0"/>
        <w:ind w:left="0" w:right="0" w:firstLine="1080"/>
        <w:rPr>
          <w:rFonts w:ascii="inherit" w:hAnsi="inherit"/>
          <w:sz w:val="17"/>
        </w:rPr>
      </w:pPr>
      <w:r>
        <w:rPr>
          <w:rFonts w:ascii="inherit" w:hAnsi="inherit"/>
          <w:sz w:val="17"/>
        </w:rPr>
      </w:r>
    </w:p>
    <w:tbl>
      <w:tblPr>
        <w:tblW w:w="8470" w:type="dxa"/>
        <w:jc w:val="left"/>
        <w:tblInd w:w="0" w:type="dxa"/>
        <w:tblCellMar>
          <w:top w:w="0" w:type="dxa"/>
          <w:left w:w="0" w:type="dxa"/>
          <w:bottom w:w="0" w:type="dxa"/>
          <w:right w:w="0" w:type="dxa"/>
        </w:tblCellMar>
      </w:tblPr>
      <w:tblGrid>
        <w:gridCol w:w="845"/>
        <w:gridCol w:w="7625"/>
      </w:tblGrid>
      <w:tr>
        <w:trPr/>
        <w:tc>
          <w:tcPr>
            <w:tcW w:w="845" w:type="dxa"/>
            <w:tcBorders/>
            <w:shd w:fill="auto" w:val="clear"/>
            <w:vAlign w:val="center"/>
          </w:tcPr>
          <w:p>
            <w:pPr>
              <w:pStyle w:val="TableContents"/>
              <w:spacing w:before="0" w:after="283"/>
              <w:rPr>
                <w:sz w:val="4"/>
                <w:szCs w:val="4"/>
              </w:rPr>
            </w:pPr>
            <w:r>
              <w:rPr>
                <w:sz w:val="4"/>
                <w:szCs w:val="4"/>
              </w:rPr>
            </w:r>
          </w:p>
        </w:tc>
        <w:tc>
          <w:tcPr>
            <w:tcW w:w="7625"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7625" w:type="dxa"/>
            <w:tcBorders/>
            <w:shd w:fill="auto" w:val="clear"/>
            <w:vAlign w:val="center"/>
          </w:tcPr>
          <w:p>
            <w:pPr>
              <w:pStyle w:val="TableContents"/>
              <w:spacing w:lineRule="auto" w:line="288" w:before="0" w:after="0"/>
              <w:rPr>
                <w:rFonts w:ascii="inherit" w:hAnsi="inherit"/>
                <w:sz w:val="17"/>
              </w:rPr>
            </w:pPr>
            <w:r>
              <w:rPr>
                <w:rFonts w:ascii="inherit" w:hAnsi="inherit"/>
                <w:sz w:val="17"/>
              </w:rPr>
              <w:t>the availability of, and our ability to consummate, acquisition or combination opportunities;</w:t>
            </w:r>
          </w:p>
        </w:tc>
      </w:tr>
    </w:tbl>
    <w:p>
      <w:pPr>
        <w:pStyle w:val="TextBody"/>
        <w:spacing w:lineRule="auto" w:line="288" w:before="0" w:after="0"/>
        <w:ind w:left="0" w:right="0" w:firstLine="108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rPr>
                <w:rFonts w:ascii="inherit" w:hAnsi="inherit"/>
                <w:sz w:val="17"/>
              </w:rPr>
            </w:pPr>
            <w:r>
              <w:rPr>
                <w:rFonts w:ascii="inherit" w:hAnsi="inherit"/>
                <w:sz w:val="17"/>
              </w:rPr>
              <w:t>the successful integration and future performance of acquired assets or businesses and the risks associated with operating in lines of business that are distinct and separate from our historical operations;</w:t>
            </w:r>
          </w:p>
        </w:tc>
      </w:tr>
    </w:tbl>
    <w:p>
      <w:pPr>
        <w:pStyle w:val="TextBody"/>
        <w:spacing w:lineRule="auto" w:line="288" w:before="0" w:after="0"/>
        <w:ind w:left="0" w:right="0" w:firstLine="1080"/>
        <w:rPr>
          <w:rFonts w:ascii="inherit" w:hAnsi="inherit"/>
          <w:sz w:val="17"/>
        </w:rPr>
      </w:pPr>
      <w:r>
        <w:rPr>
          <w:rFonts w:ascii="inherit" w:hAnsi="inherit"/>
          <w:sz w:val="17"/>
        </w:rPr>
      </w:r>
    </w:p>
    <w:tbl>
      <w:tblPr>
        <w:tblW w:w="5155" w:type="dxa"/>
        <w:jc w:val="left"/>
        <w:tblInd w:w="0" w:type="dxa"/>
        <w:tblCellMar>
          <w:top w:w="0" w:type="dxa"/>
          <w:left w:w="0" w:type="dxa"/>
          <w:bottom w:w="0" w:type="dxa"/>
          <w:right w:w="0" w:type="dxa"/>
        </w:tblCellMar>
      </w:tblPr>
      <w:tblGrid>
        <w:gridCol w:w="845"/>
        <w:gridCol w:w="4310"/>
      </w:tblGrid>
      <w:tr>
        <w:trPr/>
        <w:tc>
          <w:tcPr>
            <w:tcW w:w="845" w:type="dxa"/>
            <w:tcBorders/>
            <w:shd w:fill="auto" w:val="clear"/>
            <w:vAlign w:val="center"/>
          </w:tcPr>
          <w:p>
            <w:pPr>
              <w:pStyle w:val="TableContents"/>
              <w:spacing w:before="0" w:after="283"/>
              <w:rPr>
                <w:sz w:val="4"/>
                <w:szCs w:val="4"/>
              </w:rPr>
            </w:pPr>
            <w:r>
              <w:rPr>
                <w:sz w:val="4"/>
                <w:szCs w:val="4"/>
              </w:rPr>
            </w:r>
          </w:p>
        </w:tc>
        <w:tc>
          <w:tcPr>
            <w:tcW w:w="431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4310" w:type="dxa"/>
            <w:tcBorders/>
            <w:shd w:fill="auto" w:val="clear"/>
            <w:vAlign w:val="center"/>
          </w:tcPr>
          <w:p>
            <w:pPr>
              <w:pStyle w:val="TableContents"/>
              <w:spacing w:lineRule="auto" w:line="288" w:before="0" w:after="0"/>
              <w:rPr>
                <w:rFonts w:ascii="inherit" w:hAnsi="inherit"/>
                <w:sz w:val="17"/>
              </w:rPr>
            </w:pPr>
            <w:r>
              <w:rPr>
                <w:rFonts w:ascii="inherit" w:hAnsi="inherit"/>
                <w:sz w:val="17"/>
              </w:rPr>
              <w:t>the currency exchange rate of the Canadian dollar;</w:t>
            </w:r>
          </w:p>
        </w:tc>
      </w:tr>
    </w:tbl>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rPr>
                <w:rFonts w:ascii="inherit" w:hAnsi="inherit"/>
                <w:sz w:val="17"/>
              </w:rPr>
            </w:pPr>
            <w:r>
              <w:rPr>
                <w:rFonts w:ascii="inherit" w:hAnsi="inherit"/>
                <w:sz w:val="17"/>
              </w:rPr>
              <w:t>continued creditworthiness of, and performance by, our counterparties, including financial institutions and trading companies with which we do business;</w:t>
            </w:r>
          </w:p>
        </w:tc>
      </w:tr>
    </w:tbl>
    <w:p>
      <w:pPr>
        <w:pStyle w:val="TextBody"/>
        <w:spacing w:lineRule="auto" w:line="288" w:before="0" w:after="0"/>
        <w:rPr/>
      </w:pPr>
      <w:r>
        <w:rPr/>
        <w:t>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65</w:t>
      </w:r>
      <w:r>
        <w:br w:type="page"/>
      </w:r>
    </w:p>
    <w:p>
      <w:pPr>
        <w:pStyle w:val="TextBody"/>
        <w:spacing w:lineRule="auto" w:line="288" w:before="0" w:after="0"/>
        <w:rPr/>
      </w:pPr>
      <w:hyperlink w:anchor="s3336AD8A685850CC9B7F2572CB2C0BC3">
        <w:r>
          <w:rPr>
            <w:rStyle w:val="InternetLink"/>
            <w:rFonts w:ascii="inherit" w:hAnsi="inherit"/>
            <w:sz w:val="17"/>
          </w:rPr>
          <w:t>Table of Contents</w:t>
        </w:r>
      </w:hyperlink>
      <w:r>
        <w:rPr>
          <w:sz w:val="17"/>
        </w:rPr>
        <w:t xml:space="preserve"> </w:t>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rPr>
                <w:rFonts w:ascii="inherit" w:hAnsi="inherit"/>
                <w:sz w:val="17"/>
              </w:rPr>
            </w:pPr>
            <w:r>
              <w:rPr>
                <w:rFonts w:ascii="inherit" w:hAnsi="inherit"/>
                <w:sz w:val="17"/>
              </w:rPr>
              <w:t>inability to recognize current revenue attributable to deficiency payments received from customers who fail to ship or move more than minimum contracted volumes until the related credits expire or are used;</w:t>
            </w:r>
          </w:p>
        </w:tc>
      </w:tr>
    </w:tbl>
    <w:p>
      <w:pPr>
        <w:pStyle w:val="TextBody"/>
        <w:spacing w:lineRule="auto" w:line="288" w:before="0" w:after="0"/>
        <w:rPr/>
      </w:pPr>
      <w:r>
        <w:rPr/>
        <w:t> </w:t>
      </w:r>
    </w:p>
    <w:tbl>
      <w:tblPr>
        <w:tblW w:w="4345" w:type="dxa"/>
        <w:jc w:val="left"/>
        <w:tblInd w:w="0" w:type="dxa"/>
        <w:tblCellMar>
          <w:top w:w="0" w:type="dxa"/>
          <w:left w:w="0" w:type="dxa"/>
          <w:bottom w:w="0" w:type="dxa"/>
          <w:right w:w="0" w:type="dxa"/>
        </w:tblCellMar>
      </w:tblPr>
      <w:tblGrid>
        <w:gridCol w:w="845"/>
        <w:gridCol w:w="3500"/>
      </w:tblGrid>
      <w:tr>
        <w:trPr/>
        <w:tc>
          <w:tcPr>
            <w:tcW w:w="845" w:type="dxa"/>
            <w:tcBorders/>
            <w:shd w:fill="auto" w:val="clear"/>
            <w:vAlign w:val="center"/>
          </w:tcPr>
          <w:p>
            <w:pPr>
              <w:pStyle w:val="TableContents"/>
              <w:spacing w:before="0" w:after="283"/>
              <w:rPr>
                <w:sz w:val="4"/>
                <w:szCs w:val="4"/>
              </w:rPr>
            </w:pPr>
            <w:r>
              <w:rPr>
                <w:sz w:val="4"/>
                <w:szCs w:val="4"/>
              </w:rPr>
            </w:r>
          </w:p>
        </w:tc>
        <w:tc>
          <w:tcPr>
            <w:tcW w:w="350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3500" w:type="dxa"/>
            <w:tcBorders/>
            <w:shd w:fill="auto" w:val="clear"/>
            <w:vAlign w:val="center"/>
          </w:tcPr>
          <w:p>
            <w:pPr>
              <w:pStyle w:val="TableContents"/>
              <w:spacing w:lineRule="auto" w:line="288" w:before="0" w:after="0"/>
              <w:rPr>
                <w:rFonts w:ascii="inherit" w:hAnsi="inherit"/>
                <w:sz w:val="17"/>
              </w:rPr>
            </w:pPr>
            <w:r>
              <w:rPr>
                <w:rFonts w:ascii="inherit" w:hAnsi="inherit"/>
                <w:sz w:val="17"/>
              </w:rPr>
              <w:t>non-utilization of our assets and facilities;</w:t>
            </w:r>
          </w:p>
        </w:tc>
      </w:tr>
    </w:tbl>
    <w:p>
      <w:pPr>
        <w:pStyle w:val="TextBody"/>
        <w:spacing w:lineRule="auto" w:line="288" w:before="0" w:after="0"/>
        <w:rPr/>
      </w:pPr>
      <w:r>
        <w:rPr/>
        <w:t> </w:t>
      </w:r>
    </w:p>
    <w:tbl>
      <w:tblPr>
        <w:tblW w:w="5185" w:type="dxa"/>
        <w:jc w:val="left"/>
        <w:tblInd w:w="0" w:type="dxa"/>
        <w:tblCellMar>
          <w:top w:w="0" w:type="dxa"/>
          <w:left w:w="0" w:type="dxa"/>
          <w:bottom w:w="0" w:type="dxa"/>
          <w:right w:w="0" w:type="dxa"/>
        </w:tblCellMar>
      </w:tblPr>
      <w:tblGrid>
        <w:gridCol w:w="845"/>
        <w:gridCol w:w="4340"/>
      </w:tblGrid>
      <w:tr>
        <w:trPr/>
        <w:tc>
          <w:tcPr>
            <w:tcW w:w="845" w:type="dxa"/>
            <w:tcBorders/>
            <w:shd w:fill="auto" w:val="clear"/>
            <w:vAlign w:val="center"/>
          </w:tcPr>
          <w:p>
            <w:pPr>
              <w:pStyle w:val="TableContents"/>
              <w:spacing w:before="0" w:after="283"/>
              <w:rPr>
                <w:sz w:val="4"/>
                <w:szCs w:val="4"/>
              </w:rPr>
            </w:pPr>
            <w:r>
              <w:rPr>
                <w:sz w:val="4"/>
                <w:szCs w:val="4"/>
              </w:rPr>
            </w:r>
          </w:p>
        </w:tc>
        <w:tc>
          <w:tcPr>
            <w:tcW w:w="434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4340" w:type="dxa"/>
            <w:tcBorders/>
            <w:shd w:fill="auto" w:val="clear"/>
            <w:vAlign w:val="center"/>
          </w:tcPr>
          <w:p>
            <w:pPr>
              <w:pStyle w:val="TableContents"/>
              <w:spacing w:lineRule="auto" w:line="288" w:before="0" w:after="0"/>
              <w:rPr>
                <w:rFonts w:ascii="inherit" w:hAnsi="inherit"/>
                <w:sz w:val="17"/>
              </w:rPr>
            </w:pPr>
            <w:r>
              <w:rPr>
                <w:rFonts w:ascii="inherit" w:hAnsi="inherit"/>
                <w:sz w:val="17"/>
              </w:rPr>
              <w:t>increased costs, or lack of availability, of insurance;</w:t>
            </w:r>
          </w:p>
        </w:tc>
      </w:tr>
    </w:tbl>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rPr>
                <w:rFonts w:ascii="inherit" w:hAnsi="inherit"/>
                <w:sz w:val="17"/>
              </w:rPr>
            </w:pPr>
            <w:r>
              <w:rPr>
                <w:rFonts w:ascii="inherit" w:hAnsi="inherit"/>
                <w:sz w:val="17"/>
              </w:rPr>
              <w:t>weather interference with business operations or project construction, including the impact of extreme weather events or conditions;</w:t>
            </w:r>
          </w:p>
        </w:tc>
      </w:tr>
    </w:tbl>
    <w:p>
      <w:pPr>
        <w:pStyle w:val="TextBody"/>
        <w:spacing w:lineRule="auto" w:line="288" w:before="0" w:after="0"/>
        <w:rPr/>
      </w:pPr>
      <w:r>
        <w:rPr/>
        <w:t> </w:t>
      </w:r>
    </w:p>
    <w:tbl>
      <w:tblPr>
        <w:tblW w:w="5230" w:type="dxa"/>
        <w:jc w:val="left"/>
        <w:tblInd w:w="0" w:type="dxa"/>
        <w:tblCellMar>
          <w:top w:w="0" w:type="dxa"/>
          <w:left w:w="0" w:type="dxa"/>
          <w:bottom w:w="0" w:type="dxa"/>
          <w:right w:w="0" w:type="dxa"/>
        </w:tblCellMar>
      </w:tblPr>
      <w:tblGrid>
        <w:gridCol w:w="845"/>
        <w:gridCol w:w="4385"/>
      </w:tblGrid>
      <w:tr>
        <w:trPr/>
        <w:tc>
          <w:tcPr>
            <w:tcW w:w="845" w:type="dxa"/>
            <w:tcBorders/>
            <w:shd w:fill="auto" w:val="clear"/>
            <w:vAlign w:val="center"/>
          </w:tcPr>
          <w:p>
            <w:pPr>
              <w:pStyle w:val="TableContents"/>
              <w:spacing w:before="0" w:after="283"/>
              <w:rPr>
                <w:sz w:val="4"/>
                <w:szCs w:val="4"/>
              </w:rPr>
            </w:pPr>
            <w:r>
              <w:rPr>
                <w:sz w:val="4"/>
                <w:szCs w:val="4"/>
              </w:rPr>
            </w:r>
          </w:p>
        </w:tc>
        <w:tc>
          <w:tcPr>
            <w:tcW w:w="4385"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4385" w:type="dxa"/>
            <w:tcBorders/>
            <w:shd w:fill="auto" w:val="clear"/>
            <w:vAlign w:val="center"/>
          </w:tcPr>
          <w:p>
            <w:pPr>
              <w:pStyle w:val="TableContents"/>
              <w:spacing w:lineRule="auto" w:line="288" w:before="0" w:after="0"/>
              <w:rPr>
                <w:rFonts w:ascii="inherit" w:hAnsi="inherit"/>
                <w:sz w:val="17"/>
              </w:rPr>
            </w:pPr>
            <w:r>
              <w:rPr>
                <w:rFonts w:ascii="inherit" w:hAnsi="inherit"/>
                <w:sz w:val="17"/>
              </w:rPr>
              <w:t>the effectiveness of our risk management activities;</w:t>
            </w:r>
          </w:p>
        </w:tc>
      </w:tr>
    </w:tbl>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rPr>
                <w:rFonts w:ascii="inherit" w:hAnsi="inherit"/>
                <w:sz w:val="17"/>
              </w:rPr>
            </w:pPr>
            <w:r>
              <w:rPr>
                <w:rFonts w:ascii="inherit" w:hAnsi="inherit"/>
                <w:sz w:val="17"/>
              </w:rPr>
              <w:t>fluctuations in the debt and equity markets, including the price of our units at the time of vesting under our long-term incentive plans;</w:t>
            </w:r>
          </w:p>
        </w:tc>
      </w:tr>
    </w:tbl>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rPr>
                <w:rFonts w:ascii="inherit" w:hAnsi="inherit"/>
                <w:sz w:val="17"/>
              </w:rPr>
            </w:pPr>
            <w:r>
              <w:rPr>
                <w:rFonts w:ascii="inherit" w:hAnsi="inherit"/>
                <w:sz w:val="17"/>
              </w:rPr>
              <w:t>risks related to the development and operation of our assets, including our ability to satisfy our contractual obligations to our customers;</w:t>
            </w:r>
          </w:p>
        </w:tc>
      </w:tr>
    </w:tbl>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rPr>
                <w:rFonts w:ascii="inherit" w:hAnsi="inherit"/>
                <w:sz w:val="17"/>
              </w:rPr>
            </w:pPr>
            <w:r>
              <w:rPr>
                <w:rFonts w:ascii="inherit" w:hAnsi="inherit"/>
                <w:sz w:val="17"/>
              </w:rPr>
              <w:t>general economic, market or business conditions and the amplification of other risks caused by volatile financial markets, capital constraints and pervasive liquidity concerns; and</w:t>
            </w:r>
          </w:p>
        </w:tc>
      </w:tr>
    </w:tbl>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845"/>
        <w:gridCol w:w="9360"/>
      </w:tblGrid>
      <w:tr>
        <w:trPr/>
        <w:tc>
          <w:tcPr>
            <w:tcW w:w="845" w:type="dxa"/>
            <w:tcBorders/>
            <w:shd w:fill="auto" w:val="clear"/>
            <w:vAlign w:val="center"/>
          </w:tcPr>
          <w:p>
            <w:pPr>
              <w:pStyle w:val="TableContents"/>
              <w:spacing w:before="0" w:after="283"/>
              <w:rPr>
                <w:sz w:val="4"/>
                <w:szCs w:val="4"/>
              </w:rPr>
            </w:pPr>
            <w:r>
              <w:rPr>
                <w:sz w:val="4"/>
                <w:szCs w:val="4"/>
              </w:rPr>
            </w:r>
          </w:p>
        </w:tc>
        <w:tc>
          <w:tcPr>
            <w:tcW w:w="9360" w:type="dxa"/>
            <w:tcBorders/>
            <w:shd w:fill="auto" w:val="clear"/>
            <w:vAlign w:val="center"/>
          </w:tcPr>
          <w:p>
            <w:pPr>
              <w:pStyle w:val="TableContents"/>
              <w:spacing w:before="0" w:after="283"/>
              <w:rPr>
                <w:sz w:val="4"/>
                <w:szCs w:val="4"/>
              </w:rPr>
            </w:pPr>
            <w:r>
              <w:rPr>
                <w:sz w:val="4"/>
                <w:szCs w:val="4"/>
              </w:rPr>
            </w:r>
          </w:p>
        </w:tc>
      </w:tr>
      <w:tr>
        <w:trPr/>
        <w:tc>
          <w:tcPr>
            <w:tcW w:w="845" w:type="dxa"/>
            <w:tcBorders/>
            <w:shd w:fill="auto" w:val="clear"/>
            <w:vAlign w:val="center"/>
          </w:tcPr>
          <w:p>
            <w:pPr>
              <w:pStyle w:val="TableContents"/>
              <w:spacing w:lineRule="auto" w:line="288" w:before="0" w:after="0"/>
              <w:ind w:left="0" w:right="0" w:firstLine="720"/>
              <w:rPr/>
            </w:pPr>
            <w:r>
              <w:rPr/>
              <w:t>•</w:t>
            </w:r>
          </w:p>
        </w:tc>
        <w:tc>
          <w:tcPr>
            <w:tcW w:w="9360" w:type="dxa"/>
            <w:tcBorders/>
            <w:shd w:fill="auto" w:val="clear"/>
            <w:vAlign w:val="center"/>
          </w:tcPr>
          <w:p>
            <w:pPr>
              <w:pStyle w:val="TableContents"/>
              <w:spacing w:lineRule="auto" w:line="288" w:before="0" w:after="0"/>
              <w:rPr>
                <w:rFonts w:ascii="inherit" w:hAnsi="inherit"/>
                <w:sz w:val="17"/>
              </w:rPr>
            </w:pPr>
            <w:r>
              <w:rPr>
                <w:rFonts w:ascii="inherit" w:hAnsi="inherit"/>
                <w:sz w:val="17"/>
              </w:rPr>
              <w:t>other factors and uncertainties inherent in the transportation, storage, terminalling and marketing of crude oil, as well as in the storage of natural gas and the processing, transportation, fractionation, storage and marketing of natural gas liquids. </w:t>
            </w:r>
          </w:p>
        </w:tc>
      </w:tr>
    </w:tbl>
    <w:p>
      <w:pPr>
        <w:pStyle w:val="TextBody"/>
        <w:spacing w:lineRule="auto" w:line="288" w:before="0" w:after="0"/>
        <w:rPr/>
      </w:pPr>
      <w:r>
        <w:rPr/>
        <w:t> </w:t>
      </w:r>
    </w:p>
    <w:p>
      <w:pPr>
        <w:pStyle w:val="TextBody"/>
        <w:spacing w:lineRule="auto" w:line="288" w:before="0" w:after="0"/>
        <w:ind w:left="0" w:right="0" w:firstLine="720"/>
        <w:rPr>
          <w:sz w:val="17"/>
        </w:rPr>
      </w:pPr>
      <w:r>
        <w:rPr>
          <w:rFonts w:ascii="inherit" w:hAnsi="inherit"/>
          <w:sz w:val="17"/>
        </w:rPr>
        <w:t>Other factors described herein, as well as factors that are unknown or unpredictable, could also have a material adverse effect on future results. Please read “Risk Factors” discussed in Item 1A. of our 2018</w:t>
      </w:r>
      <w:r>
        <w:rPr>
          <w:sz w:val="17"/>
        </w:rPr>
        <w:t xml:space="preserve"> </w:t>
      </w:r>
      <w:r>
        <w:rPr>
          <w:rFonts w:ascii="inherit" w:hAnsi="inherit"/>
          <w:sz w:val="17"/>
        </w:rPr>
        <w:t>Annual Report on Form 10-K. Except as required by applicable securities laws, we do not intend to update these forward-looking statements and information.</w:t>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66</w:t>
      </w:r>
      <w:r>
        <w:br w:type="page"/>
      </w:r>
    </w:p>
    <w:p>
      <w:pPr>
        <w:pStyle w:val="TextBody"/>
        <w:spacing w:lineRule="auto" w:line="288" w:before="0" w:after="0"/>
        <w:rPr/>
      </w:pPr>
      <w:hyperlink w:anchor="s3336AD8A685850CC9B7F2572CB2C0BC3">
        <w:bookmarkStart w:id="43" w:name="s5E3E06A496C15353817322CEC50ED1CA"/>
        <w:bookmarkEnd w:id="43"/>
        <w:r>
          <w:rPr>
            <w:rStyle w:val="InternetLink"/>
            <w:rFonts w:ascii="inherit" w:hAnsi="inherit"/>
            <w:sz w:val="17"/>
          </w:rPr>
          <w:t>Table of Contents</w:t>
        </w:r>
      </w:hyperlink>
      <w:r>
        <w:rPr>
          <w:sz w:val="17"/>
        </w:rPr>
        <w:t xml:space="preserve"> </w:t>
      </w:r>
    </w:p>
    <w:p>
      <w:pPr>
        <w:pStyle w:val="TextBody"/>
        <w:spacing w:before="0" w:after="0"/>
        <w:rPr/>
      </w:pPr>
      <w:r>
        <w:rPr/>
      </w:r>
    </w:p>
    <w:p>
      <w:pPr>
        <w:pStyle w:val="TextBody"/>
        <w:spacing w:lineRule="auto" w:line="288" w:before="0" w:after="0"/>
        <w:rPr>
          <w:rFonts w:ascii="inherit" w:hAnsi="inherit"/>
          <w:b/>
          <w:sz w:val="17"/>
        </w:rPr>
      </w:pPr>
      <w:r>
        <w:rPr>
          <w:rFonts w:ascii="inherit" w:hAnsi="inherit"/>
          <w:b/>
          <w:sz w:val="17"/>
        </w:rPr>
        <w:t>Item 3. QUANTITATIVE AND QUALITATIVE DISCLOSURES ABOUT MARKET RISK</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pStyle w:val="TextBody"/>
        <w:spacing w:lineRule="auto" w:line="288" w:before="0" w:after="0"/>
        <w:rPr/>
      </w:pPr>
      <w:r>
        <w:rPr/>
        <w:t> </w:t>
      </w:r>
    </w:p>
    <w:p>
      <w:pPr>
        <w:pStyle w:val="TextBody"/>
        <w:spacing w:lineRule="auto" w:line="288" w:before="0" w:after="0"/>
        <w:rPr>
          <w:rFonts w:ascii="inherit" w:hAnsi="inherit"/>
          <w:b/>
          <w:sz w:val="17"/>
        </w:rPr>
      </w:pPr>
      <w:r>
        <w:rPr>
          <w:rFonts w:ascii="inherit" w:hAnsi="inherit"/>
          <w:b/>
          <w:sz w:val="17"/>
        </w:rPr>
        <w:t>Commodity Price Risk</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We use derivative instruments to hedge price risk associated with the following commodities:</w:t>
      </w:r>
    </w:p>
    <w:p>
      <w:pPr>
        <w:pStyle w:val="TextBody"/>
        <w:spacing w:lineRule="auto" w:line="288" w:before="0" w:after="0"/>
        <w:rPr/>
      </w:pPr>
      <w:r>
        <w:rPr/>
        <w:t> </w:t>
      </w:r>
    </w:p>
    <w:p>
      <w:pPr>
        <w:pStyle w:val="TextBody"/>
        <w:spacing w:lineRule="auto" w:line="288" w:before="0" w:after="0"/>
        <w:ind w:left="0" w:right="0" w:firstLine="720"/>
        <w:rPr/>
      </w:pPr>
      <w:r>
        <w:rPr/>
        <w:t>•</w:t>
      </w:r>
      <w:r>
        <w:rPr>
          <w:rFonts w:ascii="inherit" w:hAnsi="inherit"/>
          <w:i/>
          <w:sz w:val="17"/>
          <w:u w:val="single"/>
        </w:rPr>
        <w:t>Crude oil</w:t>
      </w:r>
    </w:p>
    <w:p>
      <w:pPr>
        <w:pStyle w:val="TextBody"/>
        <w:spacing w:lineRule="auto" w:line="288" w:before="0" w:after="0"/>
        <w:rPr/>
      </w:pPr>
      <w:r>
        <w:rPr/>
        <w:t> </w:t>
      </w:r>
    </w:p>
    <w:p>
      <w:pPr>
        <w:pStyle w:val="TextBody"/>
        <w:spacing w:lineRule="auto" w:line="288" w:before="0" w:after="0"/>
        <w:ind w:left="0" w:right="0" w:firstLine="1440"/>
        <w:rPr>
          <w:rFonts w:ascii="inherit" w:hAnsi="inherit"/>
          <w:sz w:val="17"/>
        </w:rPr>
      </w:pPr>
      <w:r>
        <w:rPr>
          <w:rFonts w:ascii="inherit" w:hAnsi="inherit"/>
          <w:sz w:val="17"/>
        </w:rPr>
        <w:t>We utilize crude oil derivatives to hedge commodity price risk inherent in our Supply and Logistics and Transportation segments. Our objectives for these derivatives include hedging anticipated purchases and sales, stored inventory, basis differentials and storage capacity utilization. We manage these exposures with various instruments including futures, forwards, swaps and options.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ind w:left="0" w:right="0" w:firstLine="720"/>
        <w:rPr/>
      </w:pPr>
      <w:r>
        <w:rPr/>
        <w:t>•</w:t>
      </w:r>
      <w:r>
        <w:rPr>
          <w:rFonts w:ascii="inherit" w:hAnsi="inherit"/>
          <w:i/>
          <w:sz w:val="17"/>
          <w:u w:val="single"/>
        </w:rPr>
        <w:t>Natural gas</w:t>
      </w:r>
    </w:p>
    <w:p>
      <w:pPr>
        <w:pStyle w:val="TextBody"/>
        <w:spacing w:lineRule="auto" w:line="288" w:before="0" w:after="0"/>
        <w:rPr/>
      </w:pPr>
      <w:r>
        <w:rPr/>
        <w:t> </w:t>
      </w:r>
    </w:p>
    <w:p>
      <w:pPr>
        <w:pStyle w:val="TextBody"/>
        <w:spacing w:lineRule="auto" w:line="288" w:before="0" w:after="0"/>
        <w:ind w:left="0" w:right="0" w:firstLine="1440"/>
        <w:rPr>
          <w:rFonts w:ascii="inherit" w:hAnsi="inherit"/>
          <w:sz w:val="17"/>
        </w:rPr>
      </w:pPr>
      <w:r>
        <w:rPr>
          <w:rFonts w:ascii="inherit" w:hAnsi="inherit"/>
          <w:sz w:val="17"/>
        </w:rPr>
        <w:t>We utilize natural gas derivatives to hedge commodity price risk inherent in our Supply and Logistics and Facilities segments. Our objectives for these derivatives include hedging anticipated purchases of natural gas. We manage these exposures with various instruments including futures, swaps and options.</w:t>
      </w:r>
    </w:p>
    <w:p>
      <w:pPr>
        <w:pStyle w:val="TextBody"/>
        <w:spacing w:lineRule="auto" w:line="288" w:before="0" w:after="0"/>
        <w:rPr/>
      </w:pPr>
      <w:r>
        <w:rPr/>
        <w:t> </w:t>
      </w:r>
    </w:p>
    <w:p>
      <w:pPr>
        <w:pStyle w:val="TextBody"/>
        <w:spacing w:lineRule="auto" w:line="288" w:before="0" w:after="0"/>
        <w:ind w:left="0" w:right="0" w:firstLine="720"/>
        <w:rPr/>
      </w:pPr>
      <w:r>
        <w:rPr/>
        <w:t>•</w:t>
      </w:r>
      <w:r>
        <w:rPr>
          <w:rFonts w:ascii="inherit" w:hAnsi="inherit"/>
          <w:i/>
          <w:sz w:val="17"/>
          <w:u w:val="single"/>
        </w:rPr>
        <w:t>NGL and other</w:t>
      </w:r>
    </w:p>
    <w:p>
      <w:pPr>
        <w:pStyle w:val="TextBody"/>
        <w:spacing w:lineRule="auto" w:line="288" w:before="0" w:after="0"/>
        <w:rPr/>
      </w:pPr>
      <w:r>
        <w:rPr/>
        <w:t> </w:t>
      </w:r>
    </w:p>
    <w:p>
      <w:pPr>
        <w:pStyle w:val="TextBody"/>
        <w:spacing w:lineRule="auto" w:line="288" w:before="0" w:after="0"/>
        <w:ind w:left="0" w:right="0" w:firstLine="1440"/>
        <w:rPr>
          <w:rFonts w:ascii="inherit" w:hAnsi="inherit"/>
          <w:sz w:val="17"/>
        </w:rPr>
      </w:pPr>
      <w:r>
        <w:rPr>
          <w:rFonts w:ascii="inherit" w:hAnsi="inherit"/>
          <w:sz w:val="17"/>
        </w:rPr>
        <w:t>We utilize NGL derivatives, primarily propane and butane derivatives, to hedge commodity price risk inherent in our Supply and Logistics segment. Our objectives for these derivatives include hedging anticipated purchases and sales and stored inventory. We manage these exposures with various instruments including futures, forwards, swaps and options.</w:t>
      </w:r>
    </w:p>
    <w:p>
      <w:pPr>
        <w:pStyle w:val="TextBody"/>
        <w:spacing w:lineRule="auto" w:line="288" w:before="0" w:after="0"/>
        <w:rPr/>
      </w:pPr>
      <w:r>
        <w:rPr/>
        <w:t> </w:t>
      </w:r>
    </w:p>
    <w:p>
      <w:pPr>
        <w:pStyle w:val="TextBody"/>
        <w:spacing w:lineRule="auto" w:line="288" w:before="0" w:after="0"/>
        <w:ind w:left="0" w:right="0" w:firstLine="720"/>
        <w:rPr>
          <w:sz w:val="17"/>
        </w:rPr>
      </w:pPr>
      <w:r>
        <w:rPr>
          <w:rFonts w:ascii="inherit" w:hAnsi="inherit"/>
          <w:sz w:val="17"/>
        </w:rPr>
        <w:t xml:space="preserve">See </w:t>
      </w:r>
      <w:r>
        <w:rPr>
          <w:b w:val="false"/>
          <w:sz w:val="17"/>
        </w:rPr>
        <w:t>Note 10</w:t>
      </w:r>
      <w:r>
        <w:rPr>
          <w:sz w:val="17"/>
        </w:rPr>
        <w:t xml:space="preserve"> </w:t>
      </w:r>
      <w:r>
        <w:rPr>
          <w:rFonts w:ascii="inherit" w:hAnsi="inherit"/>
          <w:sz w:val="17"/>
        </w:rPr>
        <w:t>to our Condensed Consolidated Financial Statements for further discussion regarding our hedging strategies and objectives.</w:t>
      </w:r>
    </w:p>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lineRule="auto" w:line="288" w:before="0" w:after="0"/>
        <w:ind w:left="0" w:right="0" w:firstLine="720"/>
        <w:rPr>
          <w:sz w:val="17"/>
        </w:rPr>
      </w:pPr>
      <w:r>
        <w:rPr>
          <w:rFonts w:ascii="inherit" w:hAnsi="inherit"/>
          <w:sz w:val="17"/>
        </w:rPr>
        <w:t>The fair value of our commodity derivatives and the change in fair value as of June 30, 2019</w:t>
      </w:r>
      <w:r>
        <w:rPr>
          <w:sz w:val="17"/>
        </w:rPr>
        <w:t xml:space="preserve"> </w:t>
      </w:r>
      <w:r>
        <w:rPr>
          <w:rFonts w:ascii="inherit" w:hAnsi="inherit"/>
          <w:sz w:val="17"/>
        </w:rPr>
        <w:t>that would be expected from a 10% price increase or decrease is shown in the table below (in millions): </w:t>
      </w:r>
    </w:p>
    <w:tbl>
      <w:tblPr>
        <w:tblW w:w="4550" w:type="dxa"/>
        <w:jc w:val="left"/>
        <w:tblInd w:w="0" w:type="dxa"/>
        <w:tblCellMar>
          <w:top w:w="0" w:type="dxa"/>
          <w:left w:w="0" w:type="dxa"/>
          <w:bottom w:w="0" w:type="dxa"/>
          <w:right w:w="0" w:type="dxa"/>
        </w:tblCellMar>
      </w:tblPr>
      <w:tblGrid>
        <w:gridCol w:w="1325"/>
        <w:gridCol w:w="175"/>
        <w:gridCol w:w="470"/>
        <w:gridCol w:w="155"/>
        <w:gridCol w:w="90"/>
        <w:gridCol w:w="258"/>
        <w:gridCol w:w="599"/>
        <w:gridCol w:w="228"/>
        <w:gridCol w:w="90"/>
        <w:gridCol w:w="263"/>
        <w:gridCol w:w="485"/>
        <w:gridCol w:w="412"/>
      </w:tblGrid>
      <w:tr>
        <w:trPr/>
        <w:tc>
          <w:tcPr>
            <w:tcW w:w="4550" w:type="dxa"/>
            <w:gridSpan w:val="12"/>
            <w:tcBorders/>
            <w:shd w:fill="auto" w:val="clear"/>
            <w:vAlign w:val="center"/>
          </w:tcPr>
          <w:p>
            <w:pPr>
              <w:pStyle w:val="TableContents"/>
              <w:spacing w:before="0" w:after="283"/>
              <w:rPr>
                <w:sz w:val="4"/>
                <w:szCs w:val="4"/>
              </w:rPr>
            </w:pPr>
            <w:r>
              <w:rPr>
                <w:sz w:val="4"/>
                <w:szCs w:val="4"/>
              </w:rPr>
            </w:r>
          </w:p>
        </w:tc>
      </w:tr>
      <w:tr>
        <w:trPr/>
        <w:tc>
          <w:tcPr>
            <w:tcW w:w="132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325" w:type="dxa"/>
            <w:tcBorders/>
            <w:shd w:fill="auto" w:val="clear"/>
            <w:vAlign w:val="center"/>
          </w:tcPr>
          <w:p>
            <w:pPr>
              <w:pStyle w:val="TableContents"/>
              <w:spacing w:before="0" w:after="0"/>
              <w:ind w:left="0" w:right="0" w:firstLine="30"/>
              <w:rPr/>
            </w:pPr>
            <w:r>
              <w:rPr/>
              <w:t> </w:t>
            </w:r>
          </w:p>
        </w:tc>
        <w:tc>
          <w:tcPr>
            <w:tcW w:w="80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Fair Value</w:t>
            </w:r>
          </w:p>
        </w:tc>
        <w:tc>
          <w:tcPr>
            <w:tcW w:w="90" w:type="dxa"/>
            <w:tcBorders/>
            <w:shd w:fill="auto" w:val="clear"/>
            <w:vAlign w:val="center"/>
          </w:tcPr>
          <w:p>
            <w:pPr>
              <w:pStyle w:val="TableContents"/>
              <w:spacing w:before="0" w:after="0"/>
              <w:ind w:left="0" w:right="0" w:firstLine="30"/>
              <w:rPr/>
            </w:pPr>
            <w:r>
              <w:rPr/>
              <w:t> </w:t>
            </w:r>
          </w:p>
        </w:tc>
        <w:tc>
          <w:tcPr>
            <w:tcW w:w="108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Effect of 10%</w:t>
              <w:br/>
              <w:t>Price Increase</w:t>
            </w:r>
          </w:p>
        </w:tc>
        <w:tc>
          <w:tcPr>
            <w:tcW w:w="90" w:type="dxa"/>
            <w:tcBorders/>
            <w:shd w:fill="auto" w:val="clear"/>
            <w:vAlign w:val="center"/>
          </w:tcPr>
          <w:p>
            <w:pPr>
              <w:pStyle w:val="TableContents"/>
              <w:spacing w:before="0" w:after="0"/>
              <w:ind w:left="0" w:right="0" w:firstLine="30"/>
              <w:rPr/>
            </w:pPr>
            <w:r>
              <w:rPr/>
              <w:t> </w:t>
            </w:r>
          </w:p>
        </w:tc>
        <w:tc>
          <w:tcPr>
            <w:tcW w:w="116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Effect of 10%</w:t>
              <w:br/>
              <w:t>Price Decrease</w:t>
            </w:r>
          </w:p>
        </w:tc>
      </w:tr>
      <w:tr>
        <w:trPr/>
        <w:tc>
          <w:tcPr>
            <w:tcW w:w="13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Crude oil</w:t>
            </w:r>
          </w:p>
        </w:tc>
        <w:tc>
          <w:tcPr>
            <w:tcW w:w="17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70" w:type="dxa"/>
            <w:tcBorders/>
            <w:shd w:fill="CCEEFF" w:val="clear"/>
            <w:vAlign w:val="center"/>
          </w:tcPr>
          <w:p>
            <w:pPr>
              <w:pStyle w:val="TableContents"/>
              <w:spacing w:before="0" w:after="0"/>
              <w:jc w:val="right"/>
              <w:rPr>
                <w:rFonts w:ascii="inherit" w:hAnsi="inherit"/>
                <w:sz w:val="17"/>
              </w:rPr>
            </w:pPr>
            <w:r>
              <w:rPr>
                <w:rFonts w:ascii="inherit" w:hAnsi="inherit"/>
                <w:sz w:val="17"/>
              </w:rPr>
              <w:t>237</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5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99" w:type="dxa"/>
            <w:tcBorders/>
            <w:shd w:fill="CCEEFF" w:val="clear"/>
            <w:vAlign w:val="center"/>
          </w:tcPr>
          <w:p>
            <w:pPr>
              <w:pStyle w:val="TableContents"/>
              <w:spacing w:before="0" w:after="0"/>
              <w:jc w:val="right"/>
              <w:rPr>
                <w:rFonts w:ascii="inherit" w:hAnsi="inherit"/>
                <w:sz w:val="17"/>
              </w:rPr>
            </w:pPr>
            <w:r>
              <w:rPr>
                <w:rFonts w:ascii="inherit" w:hAnsi="inherit"/>
                <w:sz w:val="17"/>
              </w:rPr>
              <w:t>(14</w:t>
            </w:r>
          </w:p>
        </w:tc>
        <w:tc>
          <w:tcPr>
            <w:tcW w:w="2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26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20</w:t>
            </w:r>
          </w:p>
        </w:tc>
        <w:tc>
          <w:tcPr>
            <w:tcW w:w="41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3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Natural gas</w:t>
            </w:r>
          </w:p>
        </w:tc>
        <w:tc>
          <w:tcPr>
            <w:tcW w:w="6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25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9" w:type="dxa"/>
            <w:tcBorders/>
            <w:shd w:fill="auto" w:val="clear"/>
            <w:vAlign w:val="center"/>
          </w:tcPr>
          <w:p>
            <w:pPr>
              <w:pStyle w:val="TableContents"/>
              <w:spacing w:before="0" w:after="0"/>
              <w:jc w:val="right"/>
              <w:rPr>
                <w:rFonts w:ascii="inherit" w:hAnsi="inherit"/>
                <w:sz w:val="17"/>
              </w:rPr>
            </w:pPr>
            <w:r>
              <w:rPr>
                <w:rFonts w:ascii="inherit" w:hAnsi="inherit"/>
                <w:sz w:val="17"/>
              </w:rPr>
              <w:t>9</w:t>
            </w:r>
          </w:p>
        </w:tc>
        <w:tc>
          <w:tcPr>
            <w:tcW w:w="2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6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auto" w:val="clear"/>
            <w:vAlign w:val="center"/>
          </w:tcPr>
          <w:p>
            <w:pPr>
              <w:pStyle w:val="TableContents"/>
              <w:spacing w:before="0" w:after="0"/>
              <w:jc w:val="right"/>
              <w:rPr>
                <w:rFonts w:ascii="inherit" w:hAnsi="inherit"/>
                <w:sz w:val="17"/>
              </w:rPr>
            </w:pPr>
            <w:r>
              <w:rPr>
                <w:rFonts w:ascii="inherit" w:hAnsi="inherit"/>
                <w:sz w:val="17"/>
              </w:rPr>
              <w:t>(9</w:t>
            </w:r>
          </w:p>
        </w:tc>
        <w:tc>
          <w:tcPr>
            <w:tcW w:w="41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13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NGL and other</w:t>
            </w:r>
          </w:p>
        </w:tc>
        <w:tc>
          <w:tcPr>
            <w:tcW w:w="64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88</w:t>
            </w:r>
          </w:p>
        </w:tc>
        <w:tc>
          <w:tcPr>
            <w:tcW w:w="15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5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99" w:type="dxa"/>
            <w:tcBorders/>
            <w:shd w:fill="CCEEFF" w:val="clear"/>
            <w:vAlign w:val="center"/>
          </w:tcPr>
          <w:p>
            <w:pPr>
              <w:pStyle w:val="TableContents"/>
              <w:spacing w:before="0" w:after="0"/>
              <w:jc w:val="right"/>
              <w:rPr>
                <w:rFonts w:ascii="inherit" w:hAnsi="inherit"/>
                <w:sz w:val="17"/>
              </w:rPr>
            </w:pPr>
            <w:r>
              <w:rPr>
                <w:rFonts w:ascii="inherit" w:hAnsi="inherit"/>
                <w:sz w:val="17"/>
              </w:rPr>
              <w:t>(34</w:t>
            </w:r>
          </w:p>
        </w:tc>
        <w:tc>
          <w:tcPr>
            <w:tcW w:w="2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26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34</w:t>
            </w:r>
          </w:p>
        </w:tc>
        <w:tc>
          <w:tcPr>
            <w:tcW w:w="412"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13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fair value</w:t>
            </w:r>
          </w:p>
        </w:tc>
        <w:tc>
          <w:tcPr>
            <w:tcW w:w="17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7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309</w:t>
            </w:r>
          </w:p>
        </w:tc>
        <w:tc>
          <w:tcPr>
            <w:tcW w:w="155"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7" w:type="dxa"/>
            <w:gridSpan w:val="2"/>
            <w:tcBorders/>
            <w:shd w:fill="auto" w:val="clear"/>
            <w:vAlign w:val="center"/>
          </w:tcPr>
          <w:p>
            <w:pPr>
              <w:pStyle w:val="TableContents"/>
              <w:spacing w:before="0" w:after="0"/>
              <w:jc w:val="right"/>
              <w:rPr/>
            </w:pPr>
            <w:r>
              <w:rPr/>
              <w:t> </w:t>
            </w:r>
          </w:p>
        </w:tc>
        <w:tc>
          <w:tcPr>
            <w:tcW w:w="2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48" w:type="dxa"/>
            <w:gridSpan w:val="2"/>
            <w:tcBorders/>
            <w:shd w:fill="auto" w:val="clear"/>
            <w:vAlign w:val="center"/>
          </w:tcPr>
          <w:p>
            <w:pPr>
              <w:pStyle w:val="TableContents"/>
              <w:spacing w:before="0" w:after="0"/>
              <w:jc w:val="right"/>
              <w:rPr/>
            </w:pPr>
            <w:r>
              <w:rPr/>
              <w:t> </w:t>
            </w:r>
          </w:p>
        </w:tc>
        <w:tc>
          <w:tcPr>
            <w:tcW w:w="412"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pStyle w:val="TextBody"/>
        <w:spacing w:lineRule="auto" w:line="288" w:before="0" w:after="0"/>
        <w:rPr/>
      </w:pPr>
      <w:r>
        <w:rPr/>
        <w:t>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67</w:t>
      </w:r>
      <w:r>
        <w:br w:type="page"/>
      </w:r>
    </w:p>
    <w:p>
      <w:pPr>
        <w:pStyle w:val="TextBody"/>
        <w:spacing w:lineRule="auto" w:line="288" w:before="0" w:after="0"/>
        <w:rPr/>
      </w:pPr>
      <w:hyperlink w:anchor="s3336AD8A685850CC9B7F2572CB2C0BC3">
        <w:r>
          <w:rPr>
            <w:rStyle w:val="InternetLink"/>
            <w:rFonts w:ascii="inherit" w:hAnsi="inherit"/>
            <w:sz w:val="17"/>
          </w:rPr>
          <w:t>Table of Contents</w:t>
        </w:r>
      </w:hyperlink>
      <w:r>
        <w:rPr>
          <w:sz w:val="17"/>
        </w:rPr>
        <w:t xml:space="preserve"> </w:t>
      </w:r>
    </w:p>
    <w:p>
      <w:pPr>
        <w:pStyle w:val="TextBody"/>
        <w:spacing w:before="0" w:after="0"/>
        <w:rPr/>
      </w:pPr>
      <w:r>
        <w:rPr/>
      </w:r>
    </w:p>
    <w:p>
      <w:pPr>
        <w:pStyle w:val="TextBody"/>
        <w:spacing w:lineRule="auto" w:line="288" w:before="0" w:after="0"/>
        <w:rPr>
          <w:rFonts w:ascii="inherit" w:hAnsi="inherit"/>
          <w:b/>
          <w:sz w:val="17"/>
        </w:rPr>
      </w:pPr>
      <w:r>
        <w:rPr>
          <w:rFonts w:ascii="inherit" w:hAnsi="inherit"/>
          <w:b/>
          <w:sz w:val="17"/>
        </w:rPr>
        <w:t>Interest Rate Risk</w:t>
      </w:r>
    </w:p>
    <w:p>
      <w:pPr>
        <w:pStyle w:val="TextBody"/>
        <w:spacing w:lineRule="auto" w:line="288" w:before="0" w:after="0"/>
        <w:rPr/>
      </w:pPr>
      <w:r>
        <w:rPr/>
        <w:t> </w:t>
      </w:r>
    </w:p>
    <w:p>
      <w:pPr>
        <w:pStyle w:val="TextBody"/>
        <w:spacing w:lineRule="auto" w:line="288" w:before="0" w:after="0"/>
        <w:ind w:left="0" w:right="0" w:firstLine="720"/>
        <w:rPr>
          <w:sz w:val="17"/>
        </w:rPr>
      </w:pPr>
      <w:r>
        <w:rPr>
          <w:rFonts w:ascii="inherit" w:hAnsi="inherit"/>
          <w:sz w:val="17"/>
        </w:rPr>
        <w:t>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our senior notes are fixed rate notes and thus are not subject to interest rate risk. Our variable rate debt outstanding at June 30, 2019, approximately $518 million, was subject to interest rate re-sets that generally range from one day to approximately one month. The average interest rate on variable rate debt that was outstanding during the six months ended June 30, 2019</w:t>
      </w:r>
      <w:r>
        <w:rPr>
          <w:sz w:val="17"/>
        </w:rPr>
        <w:t xml:space="preserve"> </w:t>
      </w:r>
      <w:r>
        <w:rPr>
          <w:rFonts w:ascii="inherit" w:hAnsi="inherit"/>
          <w:sz w:val="17"/>
        </w:rPr>
        <w:t>was 3.3%, based upon rates in effect during such period. The fair value of our interest rate derivatives was a liability</w:t>
      </w:r>
      <w:r>
        <w:rPr>
          <w:sz w:val="17"/>
        </w:rPr>
        <w:t xml:space="preserve"> </w:t>
      </w:r>
      <w:r>
        <w:rPr>
          <w:rFonts w:ascii="inherit" w:hAnsi="inherit"/>
          <w:sz w:val="17"/>
        </w:rPr>
        <w:t>of $43 million</w:t>
      </w:r>
      <w:r>
        <w:rPr>
          <w:sz w:val="17"/>
        </w:rPr>
        <w:t xml:space="preserve"> </w:t>
      </w:r>
      <w:r>
        <w:rPr>
          <w:rFonts w:ascii="inherit" w:hAnsi="inherit"/>
          <w:sz w:val="17"/>
        </w:rPr>
        <w:t>as of June 30, 2019. A 10% increase in the forward LIBOR curve as of June 30, 2019</w:t>
      </w:r>
      <w:r>
        <w:rPr>
          <w:sz w:val="17"/>
        </w:rPr>
        <w:t xml:space="preserve"> </w:t>
      </w:r>
      <w:r>
        <w:rPr>
          <w:rFonts w:ascii="inherit" w:hAnsi="inherit"/>
          <w:sz w:val="17"/>
        </w:rPr>
        <w:t>would have resulted in an increase of $19 million</w:t>
      </w:r>
      <w:r>
        <w:rPr>
          <w:sz w:val="17"/>
        </w:rPr>
        <w:t xml:space="preserve"> </w:t>
      </w:r>
      <w:r>
        <w:rPr>
          <w:rFonts w:ascii="inherit" w:hAnsi="inherit"/>
          <w:sz w:val="17"/>
        </w:rPr>
        <w:t>to the fair value of our interest rate derivatives. A 10% decrease in the forward LIBOR curve as of June 30, 2019</w:t>
      </w:r>
      <w:r>
        <w:rPr>
          <w:sz w:val="17"/>
        </w:rPr>
        <w:t xml:space="preserve"> </w:t>
      </w:r>
      <w:r>
        <w:rPr>
          <w:rFonts w:ascii="inherit" w:hAnsi="inherit"/>
          <w:sz w:val="17"/>
        </w:rPr>
        <w:t>would have resulted in a decrease of $19 million</w:t>
      </w:r>
      <w:r>
        <w:rPr>
          <w:sz w:val="17"/>
        </w:rPr>
        <w:t xml:space="preserve"> </w:t>
      </w:r>
      <w:r>
        <w:rPr>
          <w:rFonts w:ascii="inherit" w:hAnsi="inherit"/>
          <w:sz w:val="17"/>
        </w:rPr>
        <w:t xml:space="preserve">to the fair value of our interest rate derivatives. See </w:t>
      </w:r>
      <w:r>
        <w:rPr>
          <w:b w:val="false"/>
          <w:sz w:val="17"/>
        </w:rPr>
        <w:t>Note 10</w:t>
      </w:r>
      <w:r>
        <w:rPr>
          <w:sz w:val="17"/>
        </w:rPr>
        <w:t xml:space="preserve"> </w:t>
      </w:r>
      <w:r>
        <w:rPr>
          <w:rFonts w:ascii="inherit" w:hAnsi="inherit"/>
          <w:sz w:val="17"/>
        </w:rPr>
        <w:t>to our Condensed Consolidated Financial Statements for a discussion of our interest rate risk hedging activities.</w:t>
      </w:r>
    </w:p>
    <w:p>
      <w:pPr>
        <w:pStyle w:val="TextBody"/>
        <w:spacing w:lineRule="auto" w:line="288" w:before="0" w:after="0"/>
        <w:rPr/>
      </w:pPr>
      <w:r>
        <w:rPr/>
        <w:t> </w:t>
      </w:r>
    </w:p>
    <w:p>
      <w:pPr>
        <w:pStyle w:val="TextBody"/>
        <w:spacing w:lineRule="auto" w:line="288" w:before="0" w:after="0"/>
        <w:rPr>
          <w:rFonts w:ascii="inherit" w:hAnsi="inherit"/>
          <w:b/>
          <w:sz w:val="17"/>
        </w:rPr>
      </w:pPr>
      <w:r>
        <w:rPr>
          <w:rFonts w:ascii="inherit" w:hAnsi="inherit"/>
          <w:b/>
          <w:sz w:val="17"/>
        </w:rPr>
        <w:t>Currency Exchange Rate Risk</w:t>
      </w:r>
    </w:p>
    <w:p>
      <w:pPr>
        <w:pStyle w:val="TextBody"/>
        <w:spacing w:lineRule="auto" w:line="288" w:before="0" w:after="0"/>
        <w:rPr/>
      </w:pPr>
      <w:r>
        <w:rPr/>
        <w:t> </w:t>
      </w:r>
    </w:p>
    <w:p>
      <w:pPr>
        <w:pStyle w:val="TextBody"/>
        <w:spacing w:lineRule="auto" w:line="288" w:before="0" w:after="0"/>
        <w:ind w:left="0" w:right="0" w:firstLine="720"/>
        <w:rPr>
          <w:sz w:val="17"/>
        </w:rPr>
      </w:pPr>
      <w:r>
        <w:rPr>
          <w:rFonts w:ascii="inherit" w:hAnsi="inherit"/>
          <w:sz w:val="17"/>
        </w:rPr>
        <w:t>We use foreign currency derivatives to hedge foreign currency exchange rate risk associated with our exposure to fluctuations in the USD-to-CAD exchange rate. Because a significant portion of our Canadian business is conducted in CAD, we use certain financial instruments to minimize the risks of unfavorable changes in exchange rates. These instruments include foreign currency exchange contracts, forwards and options. The fair value of our foreign currency derivatives was an asset</w:t>
      </w:r>
      <w:r>
        <w:rPr>
          <w:sz w:val="17"/>
        </w:rPr>
        <w:t xml:space="preserve"> </w:t>
      </w:r>
      <w:r>
        <w:rPr>
          <w:rFonts w:ascii="inherit" w:hAnsi="inherit"/>
          <w:sz w:val="17"/>
        </w:rPr>
        <w:t>of $3 million</w:t>
      </w:r>
      <w:r>
        <w:rPr>
          <w:sz w:val="17"/>
        </w:rPr>
        <w:t xml:space="preserve"> </w:t>
      </w:r>
      <w:r>
        <w:rPr>
          <w:rFonts w:ascii="inherit" w:hAnsi="inherit"/>
          <w:sz w:val="17"/>
        </w:rPr>
        <w:t>as of June 30, 2019. A 10% increase in the exchange rate (USD-to-CAD) would have resulted in a decrease of $10 million</w:t>
      </w:r>
      <w:r>
        <w:rPr>
          <w:sz w:val="17"/>
        </w:rPr>
        <w:t xml:space="preserve"> </w:t>
      </w:r>
      <w:r>
        <w:rPr>
          <w:rFonts w:ascii="inherit" w:hAnsi="inherit"/>
          <w:sz w:val="17"/>
        </w:rPr>
        <w:t>to the fair value of our foreign currency derivatives. A 10% decrease in the exchange rate (USD-to-CAD) would have resulted in an increase of $10 million</w:t>
      </w:r>
      <w:r>
        <w:rPr>
          <w:sz w:val="17"/>
        </w:rPr>
        <w:t xml:space="preserve"> </w:t>
      </w:r>
      <w:r>
        <w:rPr>
          <w:rFonts w:ascii="inherit" w:hAnsi="inherit"/>
          <w:sz w:val="17"/>
        </w:rPr>
        <w:t xml:space="preserve">to the fair value of our foreign currency derivatives. See </w:t>
      </w:r>
      <w:r>
        <w:rPr>
          <w:b w:val="false"/>
          <w:sz w:val="17"/>
        </w:rPr>
        <w:t>Note 10</w:t>
      </w:r>
      <w:r>
        <w:rPr>
          <w:sz w:val="17"/>
        </w:rPr>
        <w:t xml:space="preserve"> </w:t>
      </w:r>
      <w:r>
        <w:rPr>
          <w:rFonts w:ascii="inherit" w:hAnsi="inherit"/>
          <w:sz w:val="17"/>
        </w:rPr>
        <w:t>to our Condensed Consolidated Financial Statements for a discussion of our currency exchange rate risk hedging.</w:t>
      </w:r>
    </w:p>
    <w:p>
      <w:pPr>
        <w:pStyle w:val="TextBody"/>
        <w:spacing w:lineRule="auto" w:line="288" w:before="0" w:after="0"/>
        <w:rPr/>
      </w:pPr>
      <w:r>
        <w:rPr/>
        <w:t> </w:t>
      </w:r>
    </w:p>
    <w:p>
      <w:pPr>
        <w:pStyle w:val="TextBody"/>
        <w:spacing w:lineRule="auto" w:line="288" w:before="0" w:after="0"/>
        <w:rPr>
          <w:rFonts w:ascii="inherit" w:hAnsi="inherit"/>
          <w:b/>
          <w:sz w:val="17"/>
        </w:rPr>
      </w:pPr>
      <w:r>
        <w:rPr>
          <w:rFonts w:ascii="inherit" w:hAnsi="inherit"/>
          <w:b/>
          <w:sz w:val="17"/>
        </w:rPr>
        <w:t>Preferred Distribution Rate Reset Option</w:t>
      </w:r>
    </w:p>
    <w:p>
      <w:pPr>
        <w:pStyle w:val="TextBody"/>
        <w:spacing w:lineRule="auto" w:line="288" w:before="0" w:after="0"/>
        <w:rPr/>
      </w:pPr>
      <w:r>
        <w:rPr/>
        <w:t> </w:t>
      </w:r>
    </w:p>
    <w:p>
      <w:pPr>
        <w:pStyle w:val="TextBody"/>
        <w:spacing w:lineRule="auto" w:line="288" w:before="0" w:after="0"/>
        <w:ind w:left="0" w:right="0" w:firstLine="720"/>
        <w:rPr>
          <w:sz w:val="17"/>
        </w:rPr>
      </w:pPr>
      <w:r>
        <w:rPr>
          <w:rFonts w:ascii="inherit" w:hAnsi="inherit"/>
          <w:sz w:val="17"/>
        </w:rPr>
        <w:t>The Preferred Distribution Rate Reset Option of our Series A preferred units is an embedded derivative that must be bifurcated from the related host contract, our partnership agreement, and recorded at fair value in our Condensed Consolidated Balance Sheets. The valuation model utilized for this embedded derivative contains inputs including our common unit price, ten-year U.S. treasury rates, default probabilities and timing estimates to ultimately calculate the fair value of our Series A preferred units with and without the Preferred Distribution Rate Reset Option. The fair value of this embedded derivative was a liability</w:t>
      </w:r>
      <w:r>
        <w:rPr>
          <w:sz w:val="17"/>
        </w:rPr>
        <w:t xml:space="preserve"> </w:t>
      </w:r>
      <w:r>
        <w:rPr>
          <w:rFonts w:ascii="inherit" w:hAnsi="inherit"/>
          <w:sz w:val="17"/>
        </w:rPr>
        <w:t>of $20 million</w:t>
      </w:r>
      <w:r>
        <w:rPr>
          <w:sz w:val="17"/>
        </w:rPr>
        <w:t xml:space="preserve"> </w:t>
      </w:r>
      <w:r>
        <w:rPr>
          <w:rFonts w:ascii="inherit" w:hAnsi="inherit"/>
          <w:sz w:val="17"/>
        </w:rPr>
        <w:t xml:space="preserve">as of June 30, 2019. A 10% increase or decrease in the fair value would have an impact of $2 million. See </w:t>
      </w:r>
      <w:r>
        <w:rPr>
          <w:b w:val="false"/>
          <w:sz w:val="17"/>
        </w:rPr>
        <w:t>Note 10</w:t>
      </w:r>
      <w:r>
        <w:rPr>
          <w:sz w:val="17"/>
        </w:rPr>
        <w:t xml:space="preserve"> </w:t>
      </w:r>
      <w:r>
        <w:rPr>
          <w:rFonts w:ascii="inherit" w:hAnsi="inherit"/>
          <w:sz w:val="17"/>
        </w:rPr>
        <w:t>to our Condensed Consolidated Financial Statements for a discussion of embedded derivatives.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b/>
          <w:sz w:val="17"/>
        </w:rPr>
      </w:pPr>
      <w:bookmarkStart w:id="44" w:name="s367F9C15871057A994E78BFDD5FC7825"/>
      <w:bookmarkEnd w:id="44"/>
      <w:r>
        <w:rPr>
          <w:rFonts w:ascii="inherit" w:hAnsi="inherit"/>
          <w:b/>
          <w:sz w:val="17"/>
        </w:rPr>
        <w:t>Item 4. CONTROLS AND PROCEDURES</w:t>
      </w:r>
    </w:p>
    <w:p>
      <w:pPr>
        <w:pStyle w:val="TextBody"/>
        <w:spacing w:lineRule="auto" w:line="288" w:before="0" w:after="0"/>
        <w:rPr/>
      </w:pPr>
      <w:r>
        <w:rPr/>
        <w:t> </w:t>
      </w:r>
    </w:p>
    <w:p>
      <w:pPr>
        <w:pStyle w:val="TextBody"/>
        <w:spacing w:lineRule="auto" w:line="288" w:before="0" w:after="0"/>
        <w:rPr>
          <w:rFonts w:ascii="inherit" w:hAnsi="inherit"/>
          <w:b/>
          <w:i/>
          <w:sz w:val="17"/>
        </w:rPr>
      </w:pPr>
      <w:r>
        <w:rPr>
          <w:rFonts w:ascii="inherit" w:hAnsi="inherit"/>
          <w:b/>
          <w:i/>
          <w:sz w:val="17"/>
        </w:rPr>
        <w:t>Disclosure Controls and Procedures</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Applicable SEC rules require an evaluation of the effectiveness of our DCP. Management, under the supervision and with the participation of our Chief Executive Officer and Chief Financial Officer, has evaluated the effectiveness of our DCP as of June 30, 2019, the end of the period covered by this report, and, based on such evaluation, our Chief Executive Officer and Chief Financial Officer have concluded that our DCP is effective.</w:t>
      </w:r>
    </w:p>
    <w:p>
      <w:pPr>
        <w:pStyle w:val="TextBody"/>
        <w:spacing w:lineRule="auto" w:line="288" w:before="0" w:after="0"/>
        <w:rPr/>
      </w:pPr>
      <w:r>
        <w:rPr/>
        <w:t> </w:t>
      </w:r>
    </w:p>
    <w:p>
      <w:pPr>
        <w:pStyle w:val="TextBody"/>
        <w:spacing w:lineRule="auto" w:line="288" w:before="0" w:after="0"/>
        <w:rPr>
          <w:rFonts w:ascii="inherit" w:hAnsi="inherit"/>
          <w:b/>
          <w:i/>
          <w:sz w:val="17"/>
        </w:rPr>
      </w:pPr>
      <w:r>
        <w:rPr>
          <w:rFonts w:ascii="inherit" w:hAnsi="inherit"/>
          <w:b/>
          <w:i/>
          <w:sz w:val="17"/>
        </w:rPr>
        <w:t>Changes in Internal Control over Financial Reporting</w:t>
      </w:r>
    </w:p>
    <w:p>
      <w:pPr>
        <w:pStyle w:val="TextBody"/>
        <w:spacing w:lineRule="auto" w:line="288" w:before="0" w:after="0"/>
        <w:rPr/>
      </w:pPr>
      <w:r>
        <w:rPr/>
        <w:t> </w:t>
      </w:r>
    </w:p>
    <w:p>
      <w:pPr>
        <w:pStyle w:val="TextBody"/>
        <w:spacing w:lineRule="auto" w:line="288" w:before="0" w:after="0"/>
        <w:ind w:left="0" w:right="0" w:firstLine="720"/>
        <w:rPr>
          <w:sz w:val="17"/>
        </w:rPr>
      </w:pPr>
      <w:r>
        <w:rPr>
          <w:rFonts w:ascii="inherit" w:hAnsi="inherit"/>
          <w:sz w:val="17"/>
        </w:rPr>
        <w:t xml:space="preserve">In addition to the information concerning our DCP, we are required to disclose certain changes in internal control over financial reporting. We implemented new processes and internal controls in connection with our adoption on January 1, 2019 of FASB accounting standard ASU 2016-02, </w:t>
      </w:r>
      <w:r>
        <w:rPr>
          <w:rFonts w:ascii="inherit" w:hAnsi="inherit"/>
          <w:i/>
          <w:sz w:val="17"/>
        </w:rPr>
        <w:t>Leases (Topic 842)</w:t>
      </w:r>
      <w:r>
        <w:rPr>
          <w:rFonts w:ascii="inherit" w:hAnsi="inherit"/>
          <w:sz w:val="17"/>
        </w:rPr>
        <w:t>, and we also implemented a new lease accounting system during the second quarter of 2019.</w:t>
      </w:r>
    </w:p>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68</w:t>
      </w:r>
      <w:r>
        <w:br w:type="page"/>
      </w:r>
    </w:p>
    <w:p>
      <w:pPr>
        <w:pStyle w:val="TextBody"/>
        <w:spacing w:lineRule="auto" w:line="288" w:before="0" w:after="0"/>
        <w:rPr/>
      </w:pPr>
      <w:hyperlink w:anchor="s3336AD8A685850CC9B7F2572CB2C0BC3">
        <w:r>
          <w:rPr>
            <w:rStyle w:val="InternetLink"/>
            <w:rFonts w:ascii="inherit" w:hAnsi="inherit"/>
            <w:sz w:val="17"/>
          </w:rPr>
          <w:t>Table of Contents</w:t>
        </w:r>
      </w:hyperlink>
      <w:r>
        <w:rPr>
          <w:sz w:val="17"/>
        </w:rPr>
        <w:t xml:space="preserve"> </w:t>
      </w:r>
    </w:p>
    <w:p>
      <w:pPr>
        <w:pStyle w:val="TextBody"/>
        <w:spacing w:before="0" w:after="0"/>
        <w:rPr/>
      </w:pPr>
      <w:r>
        <w:rPr/>
      </w:r>
    </w:p>
    <w:p>
      <w:pPr>
        <w:pStyle w:val="TextBody"/>
        <w:spacing w:lineRule="auto" w:line="288" w:before="0" w:after="0"/>
        <w:ind w:left="0" w:right="0" w:firstLine="720"/>
        <w:rPr>
          <w:sz w:val="17"/>
        </w:rPr>
      </w:pPr>
      <w:r>
        <w:rPr>
          <w:rFonts w:ascii="inherit" w:hAnsi="inherit"/>
          <w:sz w:val="17"/>
        </w:rPr>
        <w:t>Except as discussed above, there have been no other changes in our internal control over financial reporting during the second</w:t>
      </w:r>
      <w:r>
        <w:rPr>
          <w:sz w:val="17"/>
        </w:rPr>
        <w:t xml:space="preserve"> </w:t>
      </w:r>
      <w:r>
        <w:rPr>
          <w:rFonts w:ascii="inherit" w:hAnsi="inherit"/>
          <w:sz w:val="17"/>
        </w:rPr>
        <w:t>quarter of 2019</w:t>
      </w:r>
      <w:r>
        <w:rPr>
          <w:sz w:val="17"/>
        </w:rPr>
        <w:t xml:space="preserve"> </w:t>
      </w:r>
      <w:r>
        <w:rPr>
          <w:rFonts w:ascii="inherit" w:hAnsi="inherit"/>
          <w:sz w:val="17"/>
        </w:rPr>
        <w:t xml:space="preserve">that have materially affected, or are reasonably likely to materially affect, our internal control over financial reporting. </w:t>
      </w:r>
    </w:p>
    <w:p>
      <w:pPr>
        <w:pStyle w:val="TextBody"/>
        <w:spacing w:lineRule="auto" w:line="288" w:before="0" w:after="0"/>
        <w:rPr/>
      </w:pPr>
      <w:r>
        <w:rPr/>
        <w:t> </w:t>
      </w:r>
    </w:p>
    <w:p>
      <w:pPr>
        <w:pStyle w:val="TextBody"/>
        <w:spacing w:lineRule="auto" w:line="288" w:before="0" w:after="0"/>
        <w:rPr>
          <w:rFonts w:ascii="inherit" w:hAnsi="inherit"/>
          <w:b/>
          <w:i/>
          <w:sz w:val="17"/>
        </w:rPr>
      </w:pPr>
      <w:r>
        <w:rPr>
          <w:rFonts w:ascii="inherit" w:hAnsi="inherit"/>
          <w:b/>
          <w:i/>
          <w:sz w:val="17"/>
        </w:rPr>
        <w:t>Certifications</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center"/>
        <w:rPr>
          <w:rFonts w:ascii="inherit" w:hAnsi="inherit"/>
          <w:b/>
          <w:sz w:val="17"/>
        </w:rPr>
      </w:pPr>
      <w:bookmarkStart w:id="45" w:name="sC27B3B3E36C05D5995332682127F12C9"/>
      <w:bookmarkEnd w:id="45"/>
      <w:r>
        <w:rPr>
          <w:rFonts w:ascii="inherit" w:hAnsi="inherit"/>
          <w:b/>
          <w:sz w:val="17"/>
        </w:rPr>
        <w:t>PART II. OTHER INFORMATION</w:t>
      </w:r>
    </w:p>
    <w:p>
      <w:pPr>
        <w:pStyle w:val="TextBody"/>
        <w:spacing w:lineRule="auto" w:line="288" w:before="0" w:after="0"/>
        <w:rPr/>
      </w:pPr>
      <w:r>
        <w:rPr/>
        <w:t> </w:t>
      </w:r>
    </w:p>
    <w:p>
      <w:pPr>
        <w:pStyle w:val="TextBody"/>
        <w:spacing w:lineRule="auto" w:line="288" w:before="0" w:after="0"/>
        <w:rPr>
          <w:sz w:val="17"/>
        </w:rPr>
      </w:pPr>
      <w:bookmarkStart w:id="46" w:name="s8F7C8498644B50CD8FCB1E45EC622CD4"/>
      <w:bookmarkEnd w:id="46"/>
      <w:r>
        <w:rPr>
          <w:rFonts w:ascii="inherit" w:hAnsi="inherit"/>
          <w:b/>
          <w:sz w:val="17"/>
        </w:rPr>
        <w:t>Item 1.</w:t>
      </w:r>
      <w:r>
        <w:rPr>
          <w:sz w:val="17"/>
        </w:rPr>
        <w:t xml:space="preserve">   </w:t>
      </w:r>
      <w:r>
        <w:rPr>
          <w:rFonts w:ascii="inherit" w:hAnsi="inherit"/>
          <w:b/>
          <w:sz w:val="17"/>
        </w:rPr>
        <w:t>LEGAL PROCEEDINGS</w:t>
      </w:r>
    </w:p>
    <w:p>
      <w:pPr>
        <w:pStyle w:val="TextBody"/>
        <w:spacing w:lineRule="auto" w:line="288" w:before="0" w:after="0"/>
        <w:rPr/>
      </w:pPr>
      <w:r>
        <w:rPr/>
        <w:t> </w:t>
      </w:r>
    </w:p>
    <w:p>
      <w:pPr>
        <w:pStyle w:val="TextBody"/>
        <w:spacing w:lineRule="auto" w:line="288" w:before="0" w:after="0"/>
        <w:ind w:left="0" w:right="0" w:firstLine="720"/>
        <w:rPr>
          <w:sz w:val="17"/>
        </w:rPr>
      </w:pPr>
      <w:r>
        <w:rPr>
          <w:rFonts w:ascii="inherit" w:hAnsi="inherit"/>
          <w:sz w:val="17"/>
        </w:rPr>
        <w:t xml:space="preserve">The information required by this item is included in </w:t>
      </w:r>
      <w:r>
        <w:rPr>
          <w:b w:val="false"/>
          <w:sz w:val="17"/>
        </w:rPr>
        <w:t>Note 13</w:t>
      </w:r>
      <w:r>
        <w:rPr>
          <w:sz w:val="17"/>
        </w:rPr>
        <w:t xml:space="preserve"> </w:t>
      </w:r>
      <w:r>
        <w:rPr>
          <w:rFonts w:ascii="inherit" w:hAnsi="inherit"/>
          <w:sz w:val="17"/>
        </w:rPr>
        <w:t>to our Condensed Consolidated Financial Statements, and is incorporated herein by reference thereto.</w:t>
      </w:r>
    </w:p>
    <w:p>
      <w:pPr>
        <w:pStyle w:val="TextBody"/>
        <w:spacing w:lineRule="auto" w:line="288" w:before="0" w:after="0"/>
        <w:rPr/>
      </w:pPr>
      <w:r>
        <w:rPr/>
        <w:t> </w:t>
      </w:r>
    </w:p>
    <w:p>
      <w:pPr>
        <w:pStyle w:val="TextBody"/>
        <w:spacing w:lineRule="auto" w:line="288" w:before="0" w:after="0"/>
        <w:rPr>
          <w:rFonts w:ascii="inherit" w:hAnsi="inherit"/>
          <w:b/>
          <w:sz w:val="17"/>
        </w:rPr>
      </w:pPr>
      <w:bookmarkStart w:id="47" w:name="s0107D8B40495585AAC8FAE4A9004BA77"/>
      <w:bookmarkEnd w:id="47"/>
      <w:r>
        <w:rPr>
          <w:rFonts w:ascii="inherit" w:hAnsi="inherit"/>
          <w:b/>
          <w:sz w:val="17"/>
        </w:rPr>
        <w:t>Item 1A. RISK FACTORS</w:t>
      </w:r>
    </w:p>
    <w:p>
      <w:pPr>
        <w:pStyle w:val="TextBody"/>
        <w:spacing w:lineRule="auto" w:line="288" w:before="0" w:after="0"/>
        <w:rPr/>
      </w:pPr>
      <w:r>
        <w:rPr/>
        <w:t> </w:t>
      </w:r>
    </w:p>
    <w:p>
      <w:pPr>
        <w:pStyle w:val="TextBody"/>
        <w:spacing w:lineRule="auto" w:line="288" w:before="0" w:after="0"/>
        <w:ind w:left="0" w:right="0" w:firstLine="720"/>
        <w:rPr>
          <w:sz w:val="17"/>
        </w:rPr>
      </w:pPr>
      <w:r>
        <w:rPr>
          <w:rFonts w:ascii="inherit" w:hAnsi="inherit"/>
          <w:sz w:val="17"/>
        </w:rPr>
        <w:t>For a discussion regarding our risk factors, see Item 1A. of our 2018</w:t>
      </w:r>
      <w:r>
        <w:rPr>
          <w:sz w:val="17"/>
        </w:rPr>
        <w:t xml:space="preserve"> </w:t>
      </w:r>
      <w:r>
        <w:rPr>
          <w:rFonts w:ascii="inherit" w:hAnsi="inherit"/>
          <w:sz w:val="17"/>
        </w:rPr>
        <w:t>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pStyle w:val="TextBody"/>
        <w:spacing w:lineRule="auto" w:line="288" w:before="0" w:after="0"/>
        <w:rPr/>
      </w:pPr>
      <w:r>
        <w:rPr/>
        <w:t> </w:t>
      </w:r>
    </w:p>
    <w:p>
      <w:pPr>
        <w:pStyle w:val="TextBody"/>
        <w:spacing w:lineRule="auto" w:line="288" w:before="0" w:after="0"/>
        <w:rPr>
          <w:sz w:val="17"/>
        </w:rPr>
      </w:pPr>
      <w:bookmarkStart w:id="48" w:name="sA064BF9253FF53278855FCEAD66A06D0"/>
      <w:bookmarkEnd w:id="48"/>
      <w:r>
        <w:rPr>
          <w:rFonts w:ascii="inherit" w:hAnsi="inherit"/>
          <w:b/>
          <w:sz w:val="17"/>
        </w:rPr>
        <w:t>Item 2.</w:t>
      </w:r>
      <w:r>
        <w:rPr>
          <w:sz w:val="17"/>
        </w:rPr>
        <w:t xml:space="preserve">   </w:t>
      </w:r>
      <w:r>
        <w:rPr>
          <w:rFonts w:ascii="inherit" w:hAnsi="inherit"/>
          <w:b/>
          <w:sz w:val="17"/>
        </w:rPr>
        <w:t>UNREGISTERED SALES OF EQUITY SECURITIES AND USE OF PROCEEDS</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The Omnibus Agreement, entered into as part of the Simplification Transactions, which closed on November 15, 2016, provides for the mechanics by which (i) the total number of PAGP’s outstanding Class A shares will equal the number of AAP units held by PAGP, and (ii) the total number of our common units held by AAP will equal the sum of the number of outstanding Class A units of AAP (“AAP units”) and the number of AAP units that are issuable to the holders of vested and earned Class B units of AAP (“AAP Management Units”). As such, we are obligated to issue common units to AAP upon any AAP Management Units becoming earned that were not earned as of the date of the closing of the Simplification Transactions. During the three months ended June 30, 2019, we issued 35,350 common units to AAP associated with AAP Management Units that became earned effective March 31, 2019. This issuance was exempt from the registration requirements of the Securities Act of 1933, as amended, pursuant to Section 4(a)(2) thereof.</w:t>
      </w:r>
    </w:p>
    <w:p>
      <w:pPr>
        <w:pStyle w:val="TextBody"/>
        <w:spacing w:lineRule="auto" w:line="288" w:before="0" w:after="0"/>
        <w:ind w:left="0" w:right="0" w:firstLine="720"/>
        <w:rPr/>
      </w:pPr>
      <w:r>
        <w:rPr/>
        <w:t>    </w:t>
      </w:r>
    </w:p>
    <w:p>
      <w:pPr>
        <w:pStyle w:val="TextBody"/>
        <w:spacing w:lineRule="auto" w:line="288" w:before="0" w:after="0"/>
        <w:rPr>
          <w:sz w:val="17"/>
        </w:rPr>
      </w:pPr>
      <w:bookmarkStart w:id="49" w:name="sA6E46B3406385FAFB34259B765A20D18"/>
      <w:bookmarkEnd w:id="49"/>
      <w:r>
        <w:rPr>
          <w:rFonts w:ascii="inherit" w:hAnsi="inherit"/>
          <w:b/>
          <w:sz w:val="17"/>
        </w:rPr>
        <w:t>Item 3.</w:t>
      </w:r>
      <w:r>
        <w:rPr>
          <w:sz w:val="17"/>
        </w:rPr>
        <w:t xml:space="preserve">   </w:t>
      </w:r>
      <w:r>
        <w:rPr>
          <w:rFonts w:ascii="inherit" w:hAnsi="inherit"/>
          <w:b/>
          <w:sz w:val="17"/>
        </w:rPr>
        <w:t>DEFAULTS UPON SENIOR SECURITIES</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None.</w:t>
      </w:r>
    </w:p>
    <w:p>
      <w:pPr>
        <w:pStyle w:val="TextBody"/>
        <w:spacing w:lineRule="auto" w:line="288" w:before="0" w:after="0"/>
        <w:rPr/>
      </w:pPr>
      <w:r>
        <w:rPr/>
        <w:t> </w:t>
      </w:r>
    </w:p>
    <w:p>
      <w:pPr>
        <w:pStyle w:val="TextBody"/>
        <w:spacing w:lineRule="auto" w:line="288" w:before="0" w:after="0"/>
        <w:rPr>
          <w:sz w:val="17"/>
        </w:rPr>
      </w:pPr>
      <w:bookmarkStart w:id="50" w:name="sFCC86352AA30506788502B11AAD0CBD8"/>
      <w:bookmarkEnd w:id="50"/>
      <w:r>
        <w:rPr>
          <w:rFonts w:ascii="inherit" w:hAnsi="inherit"/>
          <w:b/>
          <w:sz w:val="17"/>
        </w:rPr>
        <w:t>Item 4.</w:t>
      </w:r>
      <w:r>
        <w:rPr>
          <w:sz w:val="17"/>
        </w:rPr>
        <w:t xml:space="preserve">   </w:t>
      </w:r>
      <w:r>
        <w:rPr>
          <w:rFonts w:ascii="inherit" w:hAnsi="inherit"/>
          <w:b/>
          <w:sz w:val="17"/>
        </w:rPr>
        <w:t>MINE SAFETY DISCLOSURES</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Not applicable.</w:t>
      </w:r>
    </w:p>
    <w:p>
      <w:pPr>
        <w:pStyle w:val="TextBody"/>
        <w:spacing w:lineRule="auto" w:line="288" w:before="0" w:after="0"/>
        <w:rPr/>
      </w:pPr>
      <w:r>
        <w:rPr/>
        <w:t> </w:t>
      </w:r>
    </w:p>
    <w:p>
      <w:pPr>
        <w:pStyle w:val="TextBody"/>
        <w:spacing w:lineRule="auto" w:line="288" w:before="0" w:after="0"/>
        <w:rPr>
          <w:sz w:val="17"/>
        </w:rPr>
      </w:pPr>
      <w:bookmarkStart w:id="51" w:name="s5DAE7AC9389F5310ABAB788A5D5D0045"/>
      <w:bookmarkEnd w:id="51"/>
      <w:r>
        <w:rPr>
          <w:rFonts w:ascii="inherit" w:hAnsi="inherit"/>
          <w:b/>
          <w:sz w:val="17"/>
        </w:rPr>
        <w:t>Item 5.</w:t>
      </w:r>
      <w:r>
        <w:rPr>
          <w:sz w:val="17"/>
        </w:rPr>
        <w:t xml:space="preserve">   </w:t>
      </w:r>
      <w:r>
        <w:rPr>
          <w:rFonts w:ascii="inherit" w:hAnsi="inherit"/>
          <w:b/>
          <w:sz w:val="17"/>
        </w:rPr>
        <w:t>OTHER INFORMATION</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None. </w:t>
      </w:r>
    </w:p>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69</w:t>
      </w:r>
      <w:r>
        <w:br w:type="page"/>
      </w:r>
    </w:p>
    <w:p>
      <w:pPr>
        <w:pStyle w:val="TextBody"/>
        <w:spacing w:lineRule="auto" w:line="288" w:before="0" w:after="0"/>
        <w:rPr/>
      </w:pPr>
      <w:hyperlink w:anchor="s3336AD8A685850CC9B7F2572CB2C0BC3">
        <w:bookmarkStart w:id="52" w:name="s660F83499D065B579A9261BDC63E0CE2"/>
        <w:bookmarkEnd w:id="52"/>
        <w:r>
          <w:rPr>
            <w:rStyle w:val="InternetLink"/>
            <w:rFonts w:ascii="inherit" w:hAnsi="inherit"/>
            <w:sz w:val="17"/>
          </w:rPr>
          <w:t>Table of Contents</w:t>
        </w:r>
      </w:hyperlink>
      <w:r>
        <w:rPr>
          <w:sz w:val="17"/>
        </w:rPr>
        <w:t xml:space="preserve"> </w:t>
      </w:r>
    </w:p>
    <w:p>
      <w:pPr>
        <w:pStyle w:val="TextBody"/>
        <w:spacing w:before="0" w:after="0"/>
        <w:rPr/>
      </w:pPr>
      <w:r>
        <w:rPr/>
      </w:r>
    </w:p>
    <w:p>
      <w:pPr>
        <w:pStyle w:val="TextBody"/>
        <w:spacing w:lineRule="auto" w:line="288" w:before="0" w:after="0"/>
        <w:rPr>
          <w:sz w:val="17"/>
        </w:rPr>
      </w:pPr>
      <w:r>
        <w:rPr>
          <w:rFonts w:ascii="inherit" w:hAnsi="inherit"/>
          <w:b/>
          <w:sz w:val="17"/>
        </w:rPr>
        <w:t>Item 6.</w:t>
      </w:r>
      <w:r>
        <w:rPr>
          <w:sz w:val="17"/>
        </w:rPr>
        <w:t xml:space="preserve">   </w:t>
      </w:r>
      <w:r>
        <w:rPr>
          <w:rFonts w:ascii="inherit" w:hAnsi="inherit"/>
          <w:b/>
          <w:sz w:val="17"/>
        </w:rPr>
        <w:t>EXHIBITS</w:t>
      </w:r>
    </w:p>
    <w:p>
      <w:pPr>
        <w:pStyle w:val="TextBody"/>
        <w:spacing w:lineRule="auto" w:line="288" w:before="0" w:after="0"/>
        <w:rPr/>
      </w:pPr>
      <w:r>
        <w:rPr/>
        <w:t> </w:t>
      </w:r>
    </w:p>
    <w:p>
      <w:pPr>
        <w:pStyle w:val="Normal"/>
        <w:spacing w:before="0" w:after="0"/>
        <w:ind w:left="0" w:right="0" w:hanging="0"/>
        <w:rPr>
          <w:sz w:val="4"/>
          <w:szCs w:val="4"/>
        </w:rPr>
      </w:pPr>
      <w:r>
        <w:rPr>
          <w:sz w:val="4"/>
          <w:szCs w:val="4"/>
        </w:rPr>
      </w:r>
      <w:bookmarkStart w:id="53" w:name="sE2E532E2A72059C1BEC7C445EC28D6D5"/>
      <w:bookmarkStart w:id="54" w:name="sE2E532E2A72059C1BEC7C445EC28D6D5"/>
      <w:bookmarkEnd w:id="54"/>
    </w:p>
    <w:tbl>
      <w:tblPr>
        <w:tblW w:w="10205" w:type="dxa"/>
        <w:jc w:val="left"/>
        <w:tblInd w:w="0" w:type="dxa"/>
        <w:tblCellMar>
          <w:top w:w="0" w:type="dxa"/>
          <w:left w:w="0" w:type="dxa"/>
          <w:bottom w:w="0" w:type="dxa"/>
          <w:right w:w="0" w:type="dxa"/>
        </w:tblCellMar>
      </w:tblPr>
      <w:tblGrid>
        <w:gridCol w:w="761"/>
        <w:gridCol w:w="290"/>
        <w:gridCol w:w="9154"/>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76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915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761"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Exhibit No.</w:t>
            </w:r>
          </w:p>
        </w:tc>
        <w:tc>
          <w:tcPr>
            <w:tcW w:w="290" w:type="dxa"/>
            <w:tcBorders/>
            <w:shd w:fill="auto" w:val="clear"/>
            <w:vAlign w:val="center"/>
          </w:tcPr>
          <w:p>
            <w:pPr>
              <w:pStyle w:val="TableContents"/>
              <w:spacing w:before="0" w:after="0"/>
              <w:ind w:left="0" w:right="0" w:firstLine="30"/>
              <w:rPr/>
            </w:pPr>
            <w:r>
              <w:rPr/>
              <w:t> </w:t>
            </w:r>
          </w:p>
        </w:tc>
        <w:tc>
          <w:tcPr>
            <w:tcW w:w="9154"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5"/>
              </w:rPr>
            </w:pPr>
            <w:r>
              <w:rPr>
                <w:rFonts w:ascii="inherit" w:hAnsi="inherit"/>
                <w:b/>
                <w:sz w:val="15"/>
              </w:rPr>
              <w:t>Description</w:t>
            </w:r>
          </w:p>
        </w:tc>
      </w:tr>
      <w:tr>
        <w:trPr/>
        <w:tc>
          <w:tcPr>
            <w:tcW w:w="761" w:type="dxa"/>
            <w:tcBorders/>
            <w:shd w:fill="auto" w:val="clear"/>
            <w:vAlign w:val="center"/>
          </w:tcPr>
          <w:p>
            <w:pPr>
              <w:pStyle w:val="TableContents"/>
              <w:spacing w:before="0" w:after="0"/>
              <w:ind w:left="0" w:right="0" w:firstLine="30"/>
              <w:rPr/>
            </w:pPr>
            <w:r>
              <w:rPr/>
              <w:t> </w:t>
            </w:r>
          </w:p>
        </w:tc>
        <w:tc>
          <w:tcPr>
            <w:tcW w:w="290" w:type="dxa"/>
            <w:tcBorders/>
            <w:shd w:fill="auto" w:val="clear"/>
            <w:vAlign w:val="center"/>
          </w:tcPr>
          <w:p>
            <w:pPr>
              <w:pStyle w:val="TableContents"/>
              <w:spacing w:before="0" w:after="0"/>
              <w:ind w:left="0" w:right="0" w:firstLine="30"/>
              <w:rPr/>
            </w:pPr>
            <w:r>
              <w:rPr/>
              <w:t> </w:t>
            </w:r>
          </w:p>
        </w:tc>
        <w:tc>
          <w:tcPr>
            <w:tcW w:w="9154" w:type="dxa"/>
            <w:tcBorders/>
            <w:shd w:fill="auto" w:val="clear"/>
            <w:vAlign w:val="center"/>
          </w:tcPr>
          <w:p>
            <w:pPr>
              <w:pStyle w:val="TableContents"/>
              <w:spacing w:before="0" w:after="0"/>
              <w:ind w:left="0" w:right="0" w:firstLine="30"/>
              <w:rPr/>
            </w:pPr>
            <w:r>
              <w:rPr/>
              <w:t> </w:t>
            </w:r>
          </w:p>
        </w:tc>
      </w:tr>
      <w:tr>
        <w:trPr/>
        <w:tc>
          <w:tcPr>
            <w:tcW w:w="761"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3.1</w:t>
            </w:r>
          </w:p>
        </w:tc>
        <w:tc>
          <w:tcPr>
            <w:tcW w:w="290" w:type="dxa"/>
            <w:tcBorders/>
            <w:shd w:fill="auto" w:val="clear"/>
            <w:vAlign w:val="center"/>
          </w:tcPr>
          <w:p>
            <w:pPr>
              <w:pStyle w:val="TableContents"/>
              <w:spacing w:before="0" w:after="0"/>
              <w:ind w:left="0" w:right="0" w:firstLine="30"/>
              <w:jc w:val="center"/>
              <w:rPr/>
            </w:pPr>
            <w:r>
              <w:rPr/>
              <w:t>—</w:t>
            </w:r>
          </w:p>
        </w:tc>
        <w:tc>
          <w:tcPr>
            <w:tcW w:w="9154" w:type="dxa"/>
            <w:tcBorders/>
            <w:shd w:fill="auto" w:val="clear"/>
            <w:vAlign w:val="center"/>
          </w:tcPr>
          <w:p>
            <w:pPr>
              <w:pStyle w:val="TableContents"/>
              <w:spacing w:before="0" w:after="0"/>
              <w:ind w:left="0" w:right="0" w:firstLine="30"/>
              <w:rPr/>
            </w:pPr>
            <w:r>
              <w:fldChar w:fldCharType="begin"/>
            </w:r>
            <w:r>
              <w:rPr>
                <w:rStyle w:val="InternetLink"/>
                <w:sz w:val="17"/>
                <w:u w:val="single"/>
                <w:rFonts w:ascii="inherit" w:hAnsi="inherit"/>
              </w:rPr>
              <w:instrText> HYPERLINK "http://www.sec.gov/Archives/edgar/data/1070423/000110465917061889/a17-22685_5ex3d1.htm" \l "Exhibit3_1_122228"</w:instrText>
            </w:r>
            <w:r>
              <w:rPr>
                <w:rStyle w:val="InternetLink"/>
                <w:sz w:val="17"/>
                <w:u w:val="single"/>
                <w:rFonts w:ascii="inherit" w:hAnsi="inherit"/>
              </w:rPr>
              <w:fldChar w:fldCharType="separate"/>
            </w:r>
            <w:r>
              <w:rPr>
                <w:rStyle w:val="InternetLink"/>
                <w:rFonts w:ascii="inherit" w:hAnsi="inherit"/>
                <w:color w:val="0000FF"/>
                <w:sz w:val="17"/>
                <w:u w:val="single"/>
              </w:rPr>
              <w:t>Seventh Amended and Restated Agreement of Limited Partnership of Plains All American Pipeline, L.P., dated as of October 10, 2017 (incorporated by reference to Exhibit 3.1 to our Current Report on Form 8-K filed October 12, 2017).</w:t>
            </w:r>
            <w:r>
              <w:rPr>
                <w:rStyle w:val="InternetLink"/>
                <w:sz w:val="17"/>
                <w:u w:val="single"/>
                <w:rFonts w:ascii="inherit" w:hAnsi="inherit"/>
              </w:rPr>
              <w:fldChar w:fldCharType="end"/>
            </w:r>
          </w:p>
        </w:tc>
      </w:tr>
      <w:tr>
        <w:trPr/>
        <w:tc>
          <w:tcPr>
            <w:tcW w:w="761" w:type="dxa"/>
            <w:tcBorders/>
            <w:shd w:fill="auto" w:val="clear"/>
            <w:vAlign w:val="center"/>
          </w:tcPr>
          <w:p>
            <w:pPr>
              <w:pStyle w:val="TableContents"/>
              <w:spacing w:before="0" w:after="0"/>
              <w:ind w:left="0" w:right="0" w:firstLine="30"/>
              <w:jc w:val="center"/>
              <w:rPr/>
            </w:pPr>
            <w:r>
              <w:rPr/>
              <w:t> </w:t>
            </w:r>
          </w:p>
        </w:tc>
        <w:tc>
          <w:tcPr>
            <w:tcW w:w="290" w:type="dxa"/>
            <w:tcBorders/>
            <w:shd w:fill="auto" w:val="clear"/>
            <w:vAlign w:val="center"/>
          </w:tcPr>
          <w:p>
            <w:pPr>
              <w:pStyle w:val="TableContents"/>
              <w:spacing w:before="0" w:after="0"/>
              <w:ind w:left="0" w:right="0" w:firstLine="30"/>
              <w:jc w:val="center"/>
              <w:rPr/>
            </w:pPr>
            <w:r>
              <w:rPr/>
              <w:t> </w:t>
            </w:r>
          </w:p>
        </w:tc>
        <w:tc>
          <w:tcPr>
            <w:tcW w:w="9154" w:type="dxa"/>
            <w:tcBorders/>
            <w:shd w:fill="auto" w:val="clear"/>
            <w:vAlign w:val="center"/>
          </w:tcPr>
          <w:p>
            <w:pPr>
              <w:pStyle w:val="TableContents"/>
              <w:spacing w:before="0" w:after="0"/>
              <w:ind w:left="0" w:right="0" w:firstLine="30"/>
              <w:jc w:val="left"/>
              <w:rPr/>
            </w:pPr>
            <w:r>
              <w:rPr/>
              <w:t> </w:t>
            </w:r>
          </w:p>
        </w:tc>
      </w:tr>
      <w:tr>
        <w:trPr/>
        <w:tc>
          <w:tcPr>
            <w:tcW w:w="761"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3.2</w:t>
            </w:r>
          </w:p>
        </w:tc>
        <w:tc>
          <w:tcPr>
            <w:tcW w:w="290" w:type="dxa"/>
            <w:tcBorders/>
            <w:shd w:fill="auto" w:val="clear"/>
            <w:vAlign w:val="center"/>
          </w:tcPr>
          <w:p>
            <w:pPr>
              <w:pStyle w:val="TableContents"/>
              <w:spacing w:before="0" w:after="0"/>
              <w:ind w:left="0" w:right="0" w:firstLine="30"/>
              <w:jc w:val="center"/>
              <w:rPr/>
            </w:pPr>
            <w:r>
              <w:rPr/>
              <w:t>—</w:t>
            </w:r>
          </w:p>
        </w:tc>
        <w:tc>
          <w:tcPr>
            <w:tcW w:w="9154" w:type="dxa"/>
            <w:tcBorders/>
            <w:shd w:fill="auto" w:val="clear"/>
            <w:vAlign w:val="center"/>
          </w:tcPr>
          <w:p>
            <w:pPr>
              <w:pStyle w:val="TableContents"/>
              <w:spacing w:before="0" w:after="0"/>
              <w:ind w:left="0" w:right="0" w:firstLine="30"/>
              <w:rPr/>
            </w:pPr>
            <w:hyperlink r:id="rId2">
              <w:r>
                <w:rPr>
                  <w:rStyle w:val="InternetLink"/>
                  <w:rFonts w:ascii="inherit" w:hAnsi="inherit"/>
                  <w:color w:val="0000FF"/>
                  <w:sz w:val="17"/>
                  <w:u w:val="single"/>
                </w:rPr>
                <w:t>Third Amended and Restated Agreement of Limited Partnership of Plains Marketing, L.P. dated as of April 1, 2004 (incorporated by reference to Exhibit 3.2 to our Quarterly Report on Form 10-Q for the quarter ended March 31, 2004).</w:t>
              </w:r>
            </w:hyperlink>
          </w:p>
        </w:tc>
      </w:tr>
      <w:tr>
        <w:trPr/>
        <w:tc>
          <w:tcPr>
            <w:tcW w:w="761" w:type="dxa"/>
            <w:tcBorders/>
            <w:shd w:fill="auto" w:val="clear"/>
            <w:vAlign w:val="center"/>
          </w:tcPr>
          <w:p>
            <w:pPr>
              <w:pStyle w:val="TableContents"/>
              <w:spacing w:before="0" w:after="0"/>
              <w:ind w:left="0" w:right="0" w:firstLine="30"/>
              <w:jc w:val="center"/>
              <w:rPr/>
            </w:pPr>
            <w:r>
              <w:rPr/>
              <w:t> </w:t>
            </w:r>
          </w:p>
        </w:tc>
        <w:tc>
          <w:tcPr>
            <w:tcW w:w="290" w:type="dxa"/>
            <w:tcBorders/>
            <w:shd w:fill="auto" w:val="clear"/>
            <w:vAlign w:val="center"/>
          </w:tcPr>
          <w:p>
            <w:pPr>
              <w:pStyle w:val="TableContents"/>
              <w:spacing w:before="0" w:after="0"/>
              <w:ind w:left="0" w:right="0" w:firstLine="30"/>
              <w:jc w:val="center"/>
              <w:rPr/>
            </w:pPr>
            <w:r>
              <w:rPr/>
              <w:t> </w:t>
            </w:r>
          </w:p>
        </w:tc>
        <w:tc>
          <w:tcPr>
            <w:tcW w:w="9154" w:type="dxa"/>
            <w:tcBorders/>
            <w:shd w:fill="auto" w:val="clear"/>
            <w:vAlign w:val="center"/>
          </w:tcPr>
          <w:p>
            <w:pPr>
              <w:pStyle w:val="TableContents"/>
              <w:spacing w:before="0" w:after="0"/>
              <w:ind w:left="0" w:right="0" w:firstLine="30"/>
              <w:jc w:val="left"/>
              <w:rPr/>
            </w:pPr>
            <w:r>
              <w:rPr/>
              <w:t> </w:t>
            </w:r>
          </w:p>
        </w:tc>
      </w:tr>
      <w:tr>
        <w:trPr/>
        <w:tc>
          <w:tcPr>
            <w:tcW w:w="761"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3.3</w:t>
            </w:r>
          </w:p>
        </w:tc>
        <w:tc>
          <w:tcPr>
            <w:tcW w:w="290" w:type="dxa"/>
            <w:tcBorders/>
            <w:shd w:fill="auto" w:val="clear"/>
            <w:vAlign w:val="center"/>
          </w:tcPr>
          <w:p>
            <w:pPr>
              <w:pStyle w:val="TableContents"/>
              <w:spacing w:before="0" w:after="0"/>
              <w:ind w:left="0" w:right="0" w:firstLine="30"/>
              <w:jc w:val="center"/>
              <w:rPr/>
            </w:pPr>
            <w:r>
              <w:rPr/>
              <w:t>—</w:t>
            </w:r>
          </w:p>
        </w:tc>
        <w:tc>
          <w:tcPr>
            <w:tcW w:w="9154" w:type="dxa"/>
            <w:tcBorders/>
            <w:shd w:fill="auto" w:val="clear"/>
            <w:vAlign w:val="center"/>
          </w:tcPr>
          <w:p>
            <w:pPr>
              <w:pStyle w:val="TableContents"/>
              <w:spacing w:before="0" w:after="0"/>
              <w:ind w:left="0" w:right="0" w:firstLine="30"/>
              <w:rPr/>
            </w:pPr>
            <w:hyperlink r:id="rId3">
              <w:r>
                <w:rPr>
                  <w:rStyle w:val="InternetLink"/>
                  <w:rFonts w:ascii="inherit" w:hAnsi="inherit"/>
                  <w:color w:val="0000FF"/>
                  <w:sz w:val="17"/>
                  <w:u w:val="single"/>
                </w:rPr>
                <w:t>Amendment No. 1 dated December 31, 2010 to the Third Amended and Restated Agreement of Limited Partnership of Plains Marketing, L.P. (incorporated by reference to Exhibit 3.9 to our Annual Report on Form 10-K for the year ended December 31, 2010).</w:t>
              </w:r>
            </w:hyperlink>
          </w:p>
        </w:tc>
      </w:tr>
      <w:tr>
        <w:trPr/>
        <w:tc>
          <w:tcPr>
            <w:tcW w:w="761" w:type="dxa"/>
            <w:tcBorders/>
            <w:shd w:fill="auto" w:val="clear"/>
            <w:vAlign w:val="center"/>
          </w:tcPr>
          <w:p>
            <w:pPr>
              <w:pStyle w:val="TableContents"/>
              <w:spacing w:before="0" w:after="0"/>
              <w:ind w:left="0" w:right="0" w:firstLine="30"/>
              <w:jc w:val="center"/>
              <w:rPr/>
            </w:pPr>
            <w:r>
              <w:rPr/>
              <w:t> </w:t>
            </w:r>
          </w:p>
        </w:tc>
        <w:tc>
          <w:tcPr>
            <w:tcW w:w="290" w:type="dxa"/>
            <w:tcBorders/>
            <w:shd w:fill="auto" w:val="clear"/>
            <w:vAlign w:val="center"/>
          </w:tcPr>
          <w:p>
            <w:pPr>
              <w:pStyle w:val="TableContents"/>
              <w:spacing w:before="0" w:after="0"/>
              <w:ind w:left="0" w:right="0" w:firstLine="30"/>
              <w:jc w:val="center"/>
              <w:rPr/>
            </w:pPr>
            <w:r>
              <w:rPr/>
              <w:t> </w:t>
            </w:r>
          </w:p>
        </w:tc>
        <w:tc>
          <w:tcPr>
            <w:tcW w:w="9154" w:type="dxa"/>
            <w:tcBorders/>
            <w:shd w:fill="auto" w:val="clear"/>
            <w:vAlign w:val="center"/>
          </w:tcPr>
          <w:p>
            <w:pPr>
              <w:pStyle w:val="TableContents"/>
              <w:spacing w:before="0" w:after="0"/>
              <w:ind w:left="0" w:right="0" w:firstLine="30"/>
              <w:jc w:val="left"/>
              <w:rPr/>
            </w:pPr>
            <w:r>
              <w:rPr/>
              <w:t> </w:t>
            </w:r>
          </w:p>
        </w:tc>
      </w:tr>
      <w:tr>
        <w:trPr/>
        <w:tc>
          <w:tcPr>
            <w:tcW w:w="761"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3.4</w:t>
            </w:r>
          </w:p>
        </w:tc>
        <w:tc>
          <w:tcPr>
            <w:tcW w:w="290" w:type="dxa"/>
            <w:tcBorders/>
            <w:shd w:fill="auto" w:val="clear"/>
            <w:vAlign w:val="center"/>
          </w:tcPr>
          <w:p>
            <w:pPr>
              <w:pStyle w:val="TableContents"/>
              <w:spacing w:before="0" w:after="0"/>
              <w:ind w:left="0" w:right="0" w:firstLine="30"/>
              <w:jc w:val="center"/>
              <w:rPr/>
            </w:pPr>
            <w:r>
              <w:rPr/>
              <w:t>—</w:t>
            </w:r>
          </w:p>
        </w:tc>
        <w:tc>
          <w:tcPr>
            <w:tcW w:w="9154" w:type="dxa"/>
            <w:tcBorders/>
            <w:shd w:fill="auto" w:val="clear"/>
            <w:vAlign w:val="center"/>
          </w:tcPr>
          <w:p>
            <w:pPr>
              <w:pStyle w:val="TableContents"/>
              <w:spacing w:before="0" w:after="0"/>
              <w:ind w:left="0" w:right="0" w:firstLine="30"/>
              <w:rPr/>
            </w:pPr>
            <w:hyperlink r:id="rId4">
              <w:r>
                <w:rPr>
                  <w:rStyle w:val="InternetLink"/>
                  <w:rFonts w:ascii="inherit" w:hAnsi="inherit"/>
                  <w:color w:val="0000FF"/>
                  <w:sz w:val="17"/>
                  <w:u w:val="single"/>
                </w:rPr>
                <w:t>Amendment No. 2 dated January 1, 2011 to the Third Amended and Restated Agreement of Limited Partnership of Plains Marketing, L.P. (incorporated by reference to Exhibit 3.10 to our Annual Report on Form 10-K for the year ended December 31, 2010).</w:t>
              </w:r>
            </w:hyperlink>
          </w:p>
        </w:tc>
      </w:tr>
      <w:tr>
        <w:trPr/>
        <w:tc>
          <w:tcPr>
            <w:tcW w:w="761" w:type="dxa"/>
            <w:tcBorders/>
            <w:shd w:fill="auto" w:val="clear"/>
            <w:vAlign w:val="center"/>
          </w:tcPr>
          <w:p>
            <w:pPr>
              <w:pStyle w:val="TableContents"/>
              <w:spacing w:before="0" w:after="0"/>
              <w:ind w:left="0" w:right="0" w:firstLine="30"/>
              <w:jc w:val="center"/>
              <w:rPr/>
            </w:pPr>
            <w:r>
              <w:rPr/>
              <w:t> </w:t>
            </w:r>
          </w:p>
        </w:tc>
        <w:tc>
          <w:tcPr>
            <w:tcW w:w="290" w:type="dxa"/>
            <w:tcBorders/>
            <w:shd w:fill="auto" w:val="clear"/>
            <w:vAlign w:val="center"/>
          </w:tcPr>
          <w:p>
            <w:pPr>
              <w:pStyle w:val="TableContents"/>
              <w:spacing w:before="0" w:after="0"/>
              <w:ind w:left="0" w:right="0" w:firstLine="30"/>
              <w:jc w:val="center"/>
              <w:rPr/>
            </w:pPr>
            <w:r>
              <w:rPr/>
              <w:t> </w:t>
            </w:r>
          </w:p>
        </w:tc>
        <w:tc>
          <w:tcPr>
            <w:tcW w:w="9154" w:type="dxa"/>
            <w:tcBorders/>
            <w:shd w:fill="auto" w:val="clear"/>
            <w:vAlign w:val="center"/>
          </w:tcPr>
          <w:p>
            <w:pPr>
              <w:pStyle w:val="TableContents"/>
              <w:spacing w:before="0" w:after="0"/>
              <w:ind w:left="0" w:right="0" w:firstLine="30"/>
              <w:jc w:val="left"/>
              <w:rPr/>
            </w:pPr>
            <w:r>
              <w:rPr/>
              <w:t> </w:t>
            </w:r>
          </w:p>
        </w:tc>
      </w:tr>
      <w:tr>
        <w:trPr/>
        <w:tc>
          <w:tcPr>
            <w:tcW w:w="761"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3.5</w:t>
            </w:r>
          </w:p>
        </w:tc>
        <w:tc>
          <w:tcPr>
            <w:tcW w:w="290" w:type="dxa"/>
            <w:tcBorders/>
            <w:shd w:fill="auto" w:val="clear"/>
            <w:vAlign w:val="center"/>
          </w:tcPr>
          <w:p>
            <w:pPr>
              <w:pStyle w:val="TableContents"/>
              <w:spacing w:before="0" w:after="0"/>
              <w:ind w:left="0" w:right="0" w:firstLine="30"/>
              <w:jc w:val="center"/>
              <w:rPr/>
            </w:pPr>
            <w:r>
              <w:rPr/>
              <w:t>—</w:t>
            </w:r>
          </w:p>
        </w:tc>
        <w:tc>
          <w:tcPr>
            <w:tcW w:w="9154" w:type="dxa"/>
            <w:tcBorders/>
            <w:shd w:fill="auto" w:val="clear"/>
            <w:vAlign w:val="center"/>
          </w:tcPr>
          <w:p>
            <w:pPr>
              <w:pStyle w:val="TableContents"/>
              <w:spacing w:before="0" w:after="0"/>
              <w:ind w:left="0" w:right="0" w:firstLine="30"/>
              <w:rPr/>
            </w:pPr>
            <w:hyperlink r:id="rId5">
              <w:r>
                <w:rPr>
                  <w:rStyle w:val="InternetLink"/>
                  <w:rFonts w:ascii="inherit" w:hAnsi="inherit"/>
                  <w:color w:val="0000FF"/>
                  <w:sz w:val="17"/>
                  <w:u w:val="single"/>
                </w:rPr>
                <w:t>Amendment No. 3 dated June 30, 2011 to the Third Amended and Restated Agreement of Limited Partnership of Plains Marketing, L.P. (incorporated by reference to Exhibit 3.7 to our Annual Report on Form 10-K for the year ended December 31, 2013).</w:t>
              </w:r>
            </w:hyperlink>
          </w:p>
        </w:tc>
      </w:tr>
      <w:tr>
        <w:trPr/>
        <w:tc>
          <w:tcPr>
            <w:tcW w:w="761" w:type="dxa"/>
            <w:tcBorders/>
            <w:shd w:fill="auto" w:val="clear"/>
            <w:vAlign w:val="center"/>
          </w:tcPr>
          <w:p>
            <w:pPr>
              <w:pStyle w:val="TableContents"/>
              <w:spacing w:before="0" w:after="0"/>
              <w:ind w:left="0" w:right="0" w:firstLine="30"/>
              <w:jc w:val="center"/>
              <w:rPr/>
            </w:pPr>
            <w:r>
              <w:rPr/>
              <w:t> </w:t>
            </w:r>
          </w:p>
        </w:tc>
        <w:tc>
          <w:tcPr>
            <w:tcW w:w="290" w:type="dxa"/>
            <w:tcBorders/>
            <w:shd w:fill="auto" w:val="clear"/>
            <w:vAlign w:val="center"/>
          </w:tcPr>
          <w:p>
            <w:pPr>
              <w:pStyle w:val="TableContents"/>
              <w:spacing w:before="0" w:after="0"/>
              <w:ind w:left="0" w:right="0" w:firstLine="30"/>
              <w:jc w:val="center"/>
              <w:rPr/>
            </w:pPr>
            <w:r>
              <w:rPr/>
              <w:t> </w:t>
            </w:r>
          </w:p>
        </w:tc>
        <w:tc>
          <w:tcPr>
            <w:tcW w:w="9154" w:type="dxa"/>
            <w:tcBorders/>
            <w:shd w:fill="auto" w:val="clear"/>
            <w:vAlign w:val="center"/>
          </w:tcPr>
          <w:p>
            <w:pPr>
              <w:pStyle w:val="TableContents"/>
              <w:spacing w:before="0" w:after="0"/>
              <w:ind w:left="0" w:right="0" w:firstLine="30"/>
              <w:jc w:val="left"/>
              <w:rPr/>
            </w:pPr>
            <w:r>
              <w:rPr/>
              <w:t> </w:t>
            </w:r>
          </w:p>
        </w:tc>
      </w:tr>
      <w:tr>
        <w:trPr/>
        <w:tc>
          <w:tcPr>
            <w:tcW w:w="761"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3.6</w:t>
            </w:r>
          </w:p>
        </w:tc>
        <w:tc>
          <w:tcPr>
            <w:tcW w:w="290" w:type="dxa"/>
            <w:tcBorders/>
            <w:shd w:fill="auto" w:val="clear"/>
            <w:vAlign w:val="center"/>
          </w:tcPr>
          <w:p>
            <w:pPr>
              <w:pStyle w:val="TableContents"/>
              <w:spacing w:before="0" w:after="0"/>
              <w:ind w:left="0" w:right="0" w:firstLine="30"/>
              <w:jc w:val="center"/>
              <w:rPr/>
            </w:pPr>
            <w:r>
              <w:rPr/>
              <w:t>—</w:t>
            </w:r>
          </w:p>
        </w:tc>
        <w:tc>
          <w:tcPr>
            <w:tcW w:w="9154" w:type="dxa"/>
            <w:tcBorders/>
            <w:shd w:fill="auto" w:val="clear"/>
            <w:vAlign w:val="center"/>
          </w:tcPr>
          <w:p>
            <w:pPr>
              <w:pStyle w:val="TableContents"/>
              <w:spacing w:before="0" w:after="0"/>
              <w:ind w:left="0" w:right="0" w:firstLine="30"/>
              <w:rPr/>
            </w:pPr>
            <w:hyperlink r:id="rId6">
              <w:r>
                <w:rPr>
                  <w:rStyle w:val="InternetLink"/>
                  <w:rFonts w:ascii="inherit" w:hAnsi="inherit"/>
                  <w:color w:val="0000FF"/>
                  <w:sz w:val="17"/>
                  <w:u w:val="single"/>
                </w:rPr>
                <w:t>Amendment No. 4 dated January 1, 2013 to the Third Amended and Restated Agreement of Limited Partnership of Plains Marketing, L.P (incorporated by reference to Exhibit 3.8 to our Annual Report on Form 10-K for the year ended December 31, 2013).</w:t>
              </w:r>
            </w:hyperlink>
          </w:p>
        </w:tc>
      </w:tr>
      <w:tr>
        <w:trPr/>
        <w:tc>
          <w:tcPr>
            <w:tcW w:w="761" w:type="dxa"/>
            <w:tcBorders/>
            <w:shd w:fill="auto" w:val="clear"/>
            <w:vAlign w:val="center"/>
          </w:tcPr>
          <w:p>
            <w:pPr>
              <w:pStyle w:val="TableContents"/>
              <w:spacing w:before="0" w:after="0"/>
              <w:ind w:left="0" w:right="0" w:firstLine="30"/>
              <w:jc w:val="center"/>
              <w:rPr/>
            </w:pPr>
            <w:r>
              <w:rPr/>
              <w:t> </w:t>
            </w:r>
          </w:p>
        </w:tc>
        <w:tc>
          <w:tcPr>
            <w:tcW w:w="290" w:type="dxa"/>
            <w:tcBorders/>
            <w:shd w:fill="auto" w:val="clear"/>
            <w:vAlign w:val="center"/>
          </w:tcPr>
          <w:p>
            <w:pPr>
              <w:pStyle w:val="TableContents"/>
              <w:spacing w:before="0" w:after="0"/>
              <w:ind w:left="0" w:right="0" w:firstLine="30"/>
              <w:jc w:val="center"/>
              <w:rPr/>
            </w:pPr>
            <w:r>
              <w:rPr/>
              <w:t> </w:t>
            </w:r>
          </w:p>
        </w:tc>
        <w:tc>
          <w:tcPr>
            <w:tcW w:w="9154" w:type="dxa"/>
            <w:tcBorders/>
            <w:shd w:fill="auto" w:val="clear"/>
            <w:vAlign w:val="center"/>
          </w:tcPr>
          <w:p>
            <w:pPr>
              <w:pStyle w:val="TableContents"/>
              <w:spacing w:before="0" w:after="0"/>
              <w:ind w:left="0" w:right="0" w:firstLine="30"/>
              <w:jc w:val="left"/>
              <w:rPr/>
            </w:pPr>
            <w:r>
              <w:rPr/>
              <w:t> </w:t>
            </w:r>
          </w:p>
        </w:tc>
      </w:tr>
      <w:tr>
        <w:trPr/>
        <w:tc>
          <w:tcPr>
            <w:tcW w:w="761"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3.7</w:t>
            </w:r>
          </w:p>
        </w:tc>
        <w:tc>
          <w:tcPr>
            <w:tcW w:w="290" w:type="dxa"/>
            <w:tcBorders/>
            <w:shd w:fill="auto" w:val="clear"/>
            <w:vAlign w:val="center"/>
          </w:tcPr>
          <w:p>
            <w:pPr>
              <w:pStyle w:val="TableContents"/>
              <w:spacing w:before="0" w:after="0"/>
              <w:ind w:left="0" w:right="0" w:firstLine="30"/>
              <w:jc w:val="center"/>
              <w:rPr/>
            </w:pPr>
            <w:r>
              <w:rPr/>
              <w:t>—</w:t>
            </w:r>
          </w:p>
        </w:tc>
        <w:tc>
          <w:tcPr>
            <w:tcW w:w="9154" w:type="dxa"/>
            <w:tcBorders/>
            <w:shd w:fill="auto" w:val="clear"/>
            <w:vAlign w:val="center"/>
          </w:tcPr>
          <w:p>
            <w:pPr>
              <w:pStyle w:val="TableContents"/>
              <w:spacing w:before="0" w:after="0"/>
              <w:ind w:left="0" w:right="0" w:firstLine="30"/>
              <w:rPr/>
            </w:pPr>
            <w:hyperlink r:id="rId7">
              <w:r>
                <w:rPr>
                  <w:rStyle w:val="InternetLink"/>
                  <w:rFonts w:ascii="inherit" w:hAnsi="inherit"/>
                  <w:color w:val="0000FF"/>
                  <w:sz w:val="17"/>
                  <w:u w:val="single"/>
                </w:rPr>
                <w:t>Third Amended and Restated Agreement of Limited Partnership of Plains Pipeline, L.P. dated as of April 1, 2004 (incorporated by reference to Exhibit 3.3 to our Quarterly Report on Form 10-Q for the quarter ended March 31, 2004).</w:t>
              </w:r>
            </w:hyperlink>
          </w:p>
        </w:tc>
      </w:tr>
      <w:tr>
        <w:trPr/>
        <w:tc>
          <w:tcPr>
            <w:tcW w:w="761" w:type="dxa"/>
            <w:tcBorders/>
            <w:shd w:fill="auto" w:val="clear"/>
            <w:vAlign w:val="center"/>
          </w:tcPr>
          <w:p>
            <w:pPr>
              <w:pStyle w:val="TableContents"/>
              <w:spacing w:before="0" w:after="0"/>
              <w:ind w:left="0" w:right="0" w:firstLine="30"/>
              <w:jc w:val="center"/>
              <w:rPr/>
            </w:pPr>
            <w:r>
              <w:rPr/>
              <w:t> </w:t>
            </w:r>
          </w:p>
        </w:tc>
        <w:tc>
          <w:tcPr>
            <w:tcW w:w="290" w:type="dxa"/>
            <w:tcBorders/>
            <w:shd w:fill="auto" w:val="clear"/>
            <w:vAlign w:val="center"/>
          </w:tcPr>
          <w:p>
            <w:pPr>
              <w:pStyle w:val="TableContents"/>
              <w:spacing w:before="0" w:after="0"/>
              <w:ind w:left="0" w:right="0" w:firstLine="30"/>
              <w:jc w:val="center"/>
              <w:rPr/>
            </w:pPr>
            <w:r>
              <w:rPr/>
              <w:t> </w:t>
            </w:r>
          </w:p>
        </w:tc>
        <w:tc>
          <w:tcPr>
            <w:tcW w:w="9154" w:type="dxa"/>
            <w:tcBorders/>
            <w:shd w:fill="auto" w:val="clear"/>
            <w:vAlign w:val="center"/>
          </w:tcPr>
          <w:p>
            <w:pPr>
              <w:pStyle w:val="TableContents"/>
              <w:spacing w:before="0" w:after="0"/>
              <w:ind w:left="0" w:right="0" w:firstLine="30"/>
              <w:jc w:val="left"/>
              <w:rPr/>
            </w:pPr>
            <w:r>
              <w:rPr/>
              <w:t> </w:t>
            </w:r>
          </w:p>
        </w:tc>
      </w:tr>
      <w:tr>
        <w:trPr/>
        <w:tc>
          <w:tcPr>
            <w:tcW w:w="761"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3.8</w:t>
            </w:r>
          </w:p>
        </w:tc>
        <w:tc>
          <w:tcPr>
            <w:tcW w:w="290" w:type="dxa"/>
            <w:tcBorders/>
            <w:shd w:fill="auto" w:val="clear"/>
            <w:vAlign w:val="center"/>
          </w:tcPr>
          <w:p>
            <w:pPr>
              <w:pStyle w:val="TableContents"/>
              <w:spacing w:before="0" w:after="0"/>
              <w:ind w:left="0" w:right="0" w:firstLine="30"/>
              <w:jc w:val="center"/>
              <w:rPr/>
            </w:pPr>
            <w:r>
              <w:rPr/>
              <w:t>—</w:t>
            </w:r>
          </w:p>
        </w:tc>
        <w:tc>
          <w:tcPr>
            <w:tcW w:w="9154" w:type="dxa"/>
            <w:tcBorders/>
            <w:shd w:fill="auto" w:val="clear"/>
            <w:vAlign w:val="center"/>
          </w:tcPr>
          <w:p>
            <w:pPr>
              <w:pStyle w:val="TableContents"/>
              <w:spacing w:before="0" w:after="0"/>
              <w:ind w:left="0" w:right="0" w:firstLine="30"/>
              <w:rPr/>
            </w:pPr>
            <w:hyperlink r:id="rId8">
              <w:r>
                <w:rPr>
                  <w:rStyle w:val="InternetLink"/>
                  <w:rFonts w:ascii="inherit" w:hAnsi="inherit"/>
                  <w:color w:val="0000FF"/>
                  <w:sz w:val="17"/>
                  <w:u w:val="single"/>
                </w:rPr>
                <w:t>Amendment No. 1 dated January 1, 2013 to the Third Amended and Restated Agreement of Limited Partnership of Plains Pipeline, L.P. (incorporated by reference to Exhibit 3.10 to our Annual Report on Form 10-K for the year ended December 31, 2013).</w:t>
              </w:r>
            </w:hyperlink>
          </w:p>
        </w:tc>
      </w:tr>
      <w:tr>
        <w:trPr/>
        <w:tc>
          <w:tcPr>
            <w:tcW w:w="761" w:type="dxa"/>
            <w:tcBorders/>
            <w:shd w:fill="auto" w:val="clear"/>
            <w:vAlign w:val="center"/>
          </w:tcPr>
          <w:p>
            <w:pPr>
              <w:pStyle w:val="TableContents"/>
              <w:spacing w:before="0" w:after="0"/>
              <w:ind w:left="0" w:right="0" w:firstLine="30"/>
              <w:jc w:val="center"/>
              <w:rPr/>
            </w:pPr>
            <w:r>
              <w:rPr/>
              <w:t> </w:t>
            </w:r>
          </w:p>
        </w:tc>
        <w:tc>
          <w:tcPr>
            <w:tcW w:w="290" w:type="dxa"/>
            <w:tcBorders/>
            <w:shd w:fill="auto" w:val="clear"/>
            <w:vAlign w:val="center"/>
          </w:tcPr>
          <w:p>
            <w:pPr>
              <w:pStyle w:val="TableContents"/>
              <w:spacing w:before="0" w:after="0"/>
              <w:ind w:left="0" w:right="0" w:firstLine="30"/>
              <w:jc w:val="center"/>
              <w:rPr/>
            </w:pPr>
            <w:r>
              <w:rPr/>
              <w:t> </w:t>
            </w:r>
          </w:p>
        </w:tc>
        <w:tc>
          <w:tcPr>
            <w:tcW w:w="9154" w:type="dxa"/>
            <w:tcBorders/>
            <w:shd w:fill="auto" w:val="clear"/>
            <w:vAlign w:val="center"/>
          </w:tcPr>
          <w:p>
            <w:pPr>
              <w:pStyle w:val="TableContents"/>
              <w:spacing w:before="0" w:after="0"/>
              <w:ind w:left="0" w:right="0" w:firstLine="30"/>
              <w:jc w:val="left"/>
              <w:rPr/>
            </w:pPr>
            <w:r>
              <w:rPr/>
              <w:t> </w:t>
            </w:r>
          </w:p>
        </w:tc>
      </w:tr>
      <w:tr>
        <w:trPr/>
        <w:tc>
          <w:tcPr>
            <w:tcW w:w="761"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3.9</w:t>
            </w:r>
          </w:p>
        </w:tc>
        <w:tc>
          <w:tcPr>
            <w:tcW w:w="290" w:type="dxa"/>
            <w:tcBorders/>
            <w:shd w:fill="auto" w:val="clear"/>
            <w:vAlign w:val="center"/>
          </w:tcPr>
          <w:p>
            <w:pPr>
              <w:pStyle w:val="TableContents"/>
              <w:spacing w:before="0" w:after="0"/>
              <w:ind w:left="0" w:right="0" w:firstLine="30"/>
              <w:jc w:val="center"/>
              <w:rPr/>
            </w:pPr>
            <w:r>
              <w:rPr/>
              <w:t>—</w:t>
            </w:r>
          </w:p>
        </w:tc>
        <w:tc>
          <w:tcPr>
            <w:tcW w:w="9154" w:type="dxa"/>
            <w:tcBorders/>
            <w:shd w:fill="auto" w:val="clear"/>
            <w:vAlign w:val="center"/>
          </w:tcPr>
          <w:p>
            <w:pPr>
              <w:pStyle w:val="TableContents"/>
              <w:spacing w:before="0" w:after="0"/>
              <w:ind w:left="0" w:right="0" w:firstLine="30"/>
              <w:rPr/>
            </w:pPr>
            <w:hyperlink r:id="rId9">
              <w:r>
                <w:rPr>
                  <w:rStyle w:val="InternetLink"/>
                  <w:rFonts w:ascii="inherit" w:hAnsi="inherit"/>
                  <w:color w:val="0000FF"/>
                  <w:sz w:val="17"/>
                  <w:u w:val="single"/>
                </w:rPr>
                <w:t>Seventh Amended and Restated Limited Liability Company Agreement of Plains All American GP LLC dated November 15, 2016 (incorporated by reference to Exhibit 3.3 to our Current Report on Form 8-K filed November 21, 2016).</w:t>
              </w:r>
            </w:hyperlink>
          </w:p>
        </w:tc>
      </w:tr>
      <w:tr>
        <w:trPr/>
        <w:tc>
          <w:tcPr>
            <w:tcW w:w="761" w:type="dxa"/>
            <w:tcBorders/>
            <w:shd w:fill="auto" w:val="clear"/>
            <w:vAlign w:val="center"/>
          </w:tcPr>
          <w:p>
            <w:pPr>
              <w:pStyle w:val="TableContents"/>
              <w:spacing w:before="0" w:after="0"/>
              <w:ind w:left="0" w:right="0" w:firstLine="30"/>
              <w:jc w:val="center"/>
              <w:rPr/>
            </w:pPr>
            <w:r>
              <w:rPr/>
              <w:t> </w:t>
            </w:r>
          </w:p>
        </w:tc>
        <w:tc>
          <w:tcPr>
            <w:tcW w:w="290" w:type="dxa"/>
            <w:tcBorders/>
            <w:shd w:fill="auto" w:val="clear"/>
            <w:vAlign w:val="center"/>
          </w:tcPr>
          <w:p>
            <w:pPr>
              <w:pStyle w:val="TableContents"/>
              <w:spacing w:before="0" w:after="0"/>
              <w:ind w:left="0" w:right="0" w:firstLine="30"/>
              <w:jc w:val="center"/>
              <w:rPr/>
            </w:pPr>
            <w:r>
              <w:rPr/>
              <w:t> </w:t>
            </w:r>
          </w:p>
        </w:tc>
        <w:tc>
          <w:tcPr>
            <w:tcW w:w="9154" w:type="dxa"/>
            <w:tcBorders/>
            <w:shd w:fill="auto" w:val="clear"/>
            <w:vAlign w:val="center"/>
          </w:tcPr>
          <w:p>
            <w:pPr>
              <w:pStyle w:val="TableContents"/>
              <w:spacing w:before="0" w:after="0"/>
              <w:ind w:left="0" w:right="0" w:firstLine="30"/>
              <w:jc w:val="left"/>
              <w:rPr/>
            </w:pPr>
            <w:r>
              <w:rPr/>
              <w:t> </w:t>
            </w:r>
          </w:p>
        </w:tc>
      </w:tr>
      <w:tr>
        <w:trPr/>
        <w:tc>
          <w:tcPr>
            <w:tcW w:w="761"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3.10</w:t>
            </w:r>
          </w:p>
        </w:tc>
        <w:tc>
          <w:tcPr>
            <w:tcW w:w="290" w:type="dxa"/>
            <w:tcBorders/>
            <w:shd w:fill="auto" w:val="clear"/>
            <w:vAlign w:val="center"/>
          </w:tcPr>
          <w:p>
            <w:pPr>
              <w:pStyle w:val="TableContents"/>
              <w:spacing w:before="0" w:after="0"/>
              <w:ind w:left="0" w:right="0" w:firstLine="30"/>
              <w:jc w:val="center"/>
              <w:rPr/>
            </w:pPr>
            <w:r>
              <w:rPr/>
              <w:t>—</w:t>
            </w:r>
          </w:p>
        </w:tc>
        <w:tc>
          <w:tcPr>
            <w:tcW w:w="9154" w:type="dxa"/>
            <w:tcBorders/>
            <w:shd w:fill="auto" w:val="clear"/>
            <w:vAlign w:val="center"/>
          </w:tcPr>
          <w:p>
            <w:pPr>
              <w:pStyle w:val="TableContents"/>
              <w:spacing w:before="0" w:after="0"/>
              <w:ind w:left="0" w:right="0" w:firstLine="30"/>
              <w:rPr/>
            </w:pPr>
            <w:hyperlink r:id="rId10">
              <w:r>
                <w:rPr>
                  <w:rStyle w:val="InternetLink"/>
                  <w:rFonts w:ascii="inherit" w:hAnsi="inherit"/>
                  <w:color w:val="0000FF"/>
                  <w:sz w:val="17"/>
                  <w:u w:val="single"/>
                </w:rPr>
                <w:t>Eighth Amended and Restated Limited Partnership Agreement of Plains AAP, L.P. dated November 15, 2016 (incorporated by reference to Exhibit 3.4 to our Current Report on Form 8-K filed November 21, 2016).</w:t>
              </w:r>
            </w:hyperlink>
          </w:p>
        </w:tc>
      </w:tr>
      <w:tr>
        <w:trPr/>
        <w:tc>
          <w:tcPr>
            <w:tcW w:w="761" w:type="dxa"/>
            <w:tcBorders/>
            <w:shd w:fill="auto" w:val="clear"/>
            <w:vAlign w:val="center"/>
          </w:tcPr>
          <w:p>
            <w:pPr>
              <w:pStyle w:val="TableContents"/>
              <w:spacing w:before="0" w:after="0"/>
              <w:ind w:left="0" w:right="0" w:firstLine="30"/>
              <w:rPr/>
            </w:pPr>
            <w:r>
              <w:rPr/>
              <w:t> </w:t>
            </w:r>
          </w:p>
        </w:tc>
        <w:tc>
          <w:tcPr>
            <w:tcW w:w="290" w:type="dxa"/>
            <w:tcBorders/>
            <w:shd w:fill="auto" w:val="clear"/>
            <w:vAlign w:val="center"/>
          </w:tcPr>
          <w:p>
            <w:pPr>
              <w:pStyle w:val="TableContents"/>
              <w:spacing w:before="0" w:after="0"/>
              <w:ind w:left="0" w:right="0" w:firstLine="30"/>
              <w:jc w:val="center"/>
              <w:rPr/>
            </w:pPr>
            <w:r>
              <w:rPr/>
              <w:t> </w:t>
            </w:r>
          </w:p>
        </w:tc>
        <w:tc>
          <w:tcPr>
            <w:tcW w:w="9154" w:type="dxa"/>
            <w:tcBorders/>
            <w:shd w:fill="auto" w:val="clear"/>
            <w:vAlign w:val="center"/>
          </w:tcPr>
          <w:p>
            <w:pPr>
              <w:pStyle w:val="TableContents"/>
              <w:spacing w:before="0" w:after="0"/>
              <w:ind w:left="0" w:right="0" w:firstLine="30"/>
              <w:jc w:val="left"/>
              <w:rPr/>
            </w:pPr>
            <w:r>
              <w:rPr/>
              <w:t> </w:t>
            </w:r>
          </w:p>
        </w:tc>
      </w:tr>
      <w:tr>
        <w:trPr/>
        <w:tc>
          <w:tcPr>
            <w:tcW w:w="761"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3.11</w:t>
            </w:r>
          </w:p>
        </w:tc>
        <w:tc>
          <w:tcPr>
            <w:tcW w:w="290" w:type="dxa"/>
            <w:tcBorders/>
            <w:shd w:fill="auto" w:val="clear"/>
            <w:vAlign w:val="center"/>
          </w:tcPr>
          <w:p>
            <w:pPr>
              <w:pStyle w:val="TableContents"/>
              <w:spacing w:before="0" w:after="0"/>
              <w:ind w:left="0" w:right="0" w:firstLine="30"/>
              <w:jc w:val="center"/>
              <w:rPr/>
            </w:pPr>
            <w:r>
              <w:rPr/>
              <w:t>—</w:t>
            </w:r>
          </w:p>
        </w:tc>
        <w:tc>
          <w:tcPr>
            <w:tcW w:w="9154" w:type="dxa"/>
            <w:tcBorders/>
            <w:shd w:fill="auto" w:val="clear"/>
            <w:vAlign w:val="center"/>
          </w:tcPr>
          <w:p>
            <w:pPr>
              <w:pStyle w:val="TableContents"/>
              <w:spacing w:before="0" w:after="0"/>
              <w:ind w:left="0" w:right="0" w:firstLine="30"/>
              <w:rPr/>
            </w:pPr>
            <w:hyperlink r:id="rId11">
              <w:r>
                <w:rPr>
                  <w:rStyle w:val="InternetLink"/>
                  <w:rFonts w:ascii="inherit" w:hAnsi="inherit"/>
                  <w:color w:val="0000FF"/>
                  <w:sz w:val="17"/>
                  <w:u w:val="single"/>
                </w:rPr>
                <w:t>Amendment No. 1 dated September 26, 2018 to the Eighth Amended and Restated Limited Partnership Agreement of Plains AAP, L.P. (incorporated by reference to Exhibit 3.1 to our Current Report on Form 8-K filed October 2, 2018).</w:t>
              </w:r>
            </w:hyperlink>
          </w:p>
        </w:tc>
      </w:tr>
      <w:tr>
        <w:trPr/>
        <w:tc>
          <w:tcPr>
            <w:tcW w:w="761" w:type="dxa"/>
            <w:tcBorders/>
            <w:shd w:fill="auto" w:val="clear"/>
            <w:vAlign w:val="center"/>
          </w:tcPr>
          <w:p>
            <w:pPr>
              <w:pStyle w:val="TableContents"/>
              <w:spacing w:before="0" w:after="0"/>
              <w:ind w:left="0" w:right="0" w:firstLine="30"/>
              <w:rPr/>
            </w:pPr>
            <w:r>
              <w:rPr/>
              <w:t> </w:t>
            </w:r>
          </w:p>
        </w:tc>
        <w:tc>
          <w:tcPr>
            <w:tcW w:w="290" w:type="dxa"/>
            <w:tcBorders/>
            <w:shd w:fill="auto" w:val="clear"/>
            <w:vAlign w:val="center"/>
          </w:tcPr>
          <w:p>
            <w:pPr>
              <w:pStyle w:val="TableContents"/>
              <w:spacing w:before="0" w:after="0"/>
              <w:ind w:left="0" w:right="0" w:firstLine="30"/>
              <w:rPr/>
            </w:pPr>
            <w:r>
              <w:rPr/>
              <w:t> </w:t>
            </w:r>
          </w:p>
        </w:tc>
        <w:tc>
          <w:tcPr>
            <w:tcW w:w="9154" w:type="dxa"/>
            <w:tcBorders/>
            <w:shd w:fill="auto" w:val="clear"/>
            <w:vAlign w:val="center"/>
          </w:tcPr>
          <w:p>
            <w:pPr>
              <w:pStyle w:val="TableContents"/>
              <w:spacing w:before="0" w:after="0"/>
              <w:ind w:left="0" w:right="0" w:firstLine="30"/>
              <w:rPr/>
            </w:pPr>
            <w:r>
              <w:rPr/>
              <w:t> </w:t>
            </w:r>
          </w:p>
        </w:tc>
      </w:tr>
      <w:tr>
        <w:trPr/>
        <w:tc>
          <w:tcPr>
            <w:tcW w:w="761"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3.12</w:t>
            </w:r>
          </w:p>
        </w:tc>
        <w:tc>
          <w:tcPr>
            <w:tcW w:w="290" w:type="dxa"/>
            <w:tcBorders/>
            <w:shd w:fill="auto" w:val="clear"/>
            <w:vAlign w:val="center"/>
          </w:tcPr>
          <w:p>
            <w:pPr>
              <w:pStyle w:val="TableContents"/>
              <w:spacing w:before="0" w:after="0"/>
              <w:ind w:left="0" w:right="0" w:firstLine="30"/>
              <w:jc w:val="center"/>
              <w:rPr/>
            </w:pPr>
            <w:r>
              <w:rPr/>
              <w:t>—</w:t>
            </w:r>
          </w:p>
        </w:tc>
        <w:tc>
          <w:tcPr>
            <w:tcW w:w="9154" w:type="dxa"/>
            <w:tcBorders/>
            <w:shd w:fill="auto" w:val="clear"/>
            <w:vAlign w:val="center"/>
          </w:tcPr>
          <w:p>
            <w:pPr>
              <w:pStyle w:val="TableContents"/>
              <w:spacing w:before="0" w:after="0"/>
              <w:ind w:left="0" w:right="0" w:firstLine="30"/>
              <w:rPr/>
            </w:pPr>
            <w:hyperlink r:id="rId12">
              <w:r>
                <w:rPr>
                  <w:rStyle w:val="InternetLink"/>
                  <w:rFonts w:ascii="inherit" w:hAnsi="inherit"/>
                  <w:color w:val="0000FF"/>
                  <w:sz w:val="17"/>
                  <w:u w:val="single"/>
                </w:rPr>
                <w:t>Amendment No. 2 dated May 23, 2019 to the Eighth Amended and Restated Limited Partnership Agreement of Plains AAP, L.P. (incorporated by reference to Exhibit 3.1 to our Current Report on Form 8-K filed May 30, 2019).</w:t>
              </w:r>
            </w:hyperlink>
          </w:p>
        </w:tc>
      </w:tr>
      <w:tr>
        <w:trPr/>
        <w:tc>
          <w:tcPr>
            <w:tcW w:w="761" w:type="dxa"/>
            <w:tcBorders/>
            <w:shd w:fill="auto" w:val="clear"/>
            <w:vAlign w:val="center"/>
          </w:tcPr>
          <w:p>
            <w:pPr>
              <w:pStyle w:val="TableContents"/>
              <w:spacing w:before="0" w:after="0"/>
              <w:ind w:left="0" w:right="0" w:firstLine="30"/>
              <w:rPr/>
            </w:pPr>
            <w:r>
              <w:rPr/>
              <w:t> </w:t>
            </w:r>
          </w:p>
        </w:tc>
        <w:tc>
          <w:tcPr>
            <w:tcW w:w="290" w:type="dxa"/>
            <w:tcBorders/>
            <w:shd w:fill="auto" w:val="clear"/>
            <w:vAlign w:val="center"/>
          </w:tcPr>
          <w:p>
            <w:pPr>
              <w:pStyle w:val="TableContents"/>
              <w:spacing w:before="0" w:after="0"/>
              <w:ind w:left="0" w:right="0" w:firstLine="30"/>
              <w:rPr/>
            </w:pPr>
            <w:r>
              <w:rPr/>
              <w:t> </w:t>
            </w:r>
          </w:p>
        </w:tc>
        <w:tc>
          <w:tcPr>
            <w:tcW w:w="9154" w:type="dxa"/>
            <w:tcBorders/>
            <w:shd w:fill="auto" w:val="clear"/>
            <w:vAlign w:val="center"/>
          </w:tcPr>
          <w:p>
            <w:pPr>
              <w:pStyle w:val="TableContents"/>
              <w:spacing w:before="0" w:after="0"/>
              <w:ind w:left="0" w:right="0" w:firstLine="30"/>
              <w:rPr/>
            </w:pPr>
            <w:r>
              <w:rPr/>
              <w:t> </w:t>
            </w:r>
          </w:p>
        </w:tc>
      </w:tr>
      <w:tr>
        <w:trPr/>
        <w:tc>
          <w:tcPr>
            <w:tcW w:w="761"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3.13</w:t>
            </w:r>
          </w:p>
        </w:tc>
        <w:tc>
          <w:tcPr>
            <w:tcW w:w="290" w:type="dxa"/>
            <w:tcBorders/>
            <w:shd w:fill="auto" w:val="clear"/>
            <w:vAlign w:val="center"/>
          </w:tcPr>
          <w:p>
            <w:pPr>
              <w:pStyle w:val="TableContents"/>
              <w:spacing w:before="0" w:after="0"/>
              <w:ind w:left="0" w:right="0" w:firstLine="30"/>
              <w:jc w:val="center"/>
              <w:rPr/>
            </w:pPr>
            <w:r>
              <w:rPr/>
              <w:t>—</w:t>
            </w:r>
          </w:p>
        </w:tc>
        <w:tc>
          <w:tcPr>
            <w:tcW w:w="9154" w:type="dxa"/>
            <w:tcBorders/>
            <w:shd w:fill="auto" w:val="clear"/>
            <w:vAlign w:val="center"/>
          </w:tcPr>
          <w:p>
            <w:pPr>
              <w:pStyle w:val="TableContents"/>
              <w:spacing w:before="0" w:after="0"/>
              <w:ind w:left="0" w:right="0" w:firstLine="30"/>
              <w:rPr/>
            </w:pPr>
            <w:hyperlink r:id="rId13">
              <w:r>
                <w:rPr>
                  <w:rStyle w:val="InternetLink"/>
                  <w:rFonts w:ascii="inherit" w:hAnsi="inherit"/>
                  <w:color w:val="0000FF"/>
                  <w:sz w:val="17"/>
                  <w:u w:val="single"/>
                </w:rPr>
                <w:t>Certificate of Incorporation of PAA Finance Corp. (f/k/a Pacific Energy Finance Corporation, successor-by-merger to PAA Finance Corp.) (incorporated by reference to Exhibit 3.10 to our Annual Report on Form 10-K for the year ended December 31, 2006).</w:t>
              </w:r>
            </w:hyperlink>
          </w:p>
        </w:tc>
      </w:tr>
      <w:tr>
        <w:trPr/>
        <w:tc>
          <w:tcPr>
            <w:tcW w:w="761" w:type="dxa"/>
            <w:tcBorders/>
            <w:shd w:fill="auto" w:val="clear"/>
            <w:vAlign w:val="center"/>
          </w:tcPr>
          <w:p>
            <w:pPr>
              <w:pStyle w:val="TableContents"/>
              <w:spacing w:before="0" w:after="0"/>
              <w:ind w:left="0" w:right="0" w:firstLine="30"/>
              <w:jc w:val="center"/>
              <w:rPr/>
            </w:pPr>
            <w:r>
              <w:rPr/>
              <w:t> </w:t>
            </w:r>
          </w:p>
        </w:tc>
        <w:tc>
          <w:tcPr>
            <w:tcW w:w="290" w:type="dxa"/>
            <w:tcBorders/>
            <w:shd w:fill="auto" w:val="clear"/>
            <w:vAlign w:val="center"/>
          </w:tcPr>
          <w:p>
            <w:pPr>
              <w:pStyle w:val="TableContents"/>
              <w:spacing w:before="0" w:after="0"/>
              <w:ind w:left="0" w:right="0" w:firstLine="30"/>
              <w:rPr/>
            </w:pPr>
            <w:r>
              <w:rPr/>
              <w:t> </w:t>
            </w:r>
          </w:p>
        </w:tc>
        <w:tc>
          <w:tcPr>
            <w:tcW w:w="9154" w:type="dxa"/>
            <w:tcBorders/>
            <w:shd w:fill="auto" w:val="clear"/>
            <w:vAlign w:val="center"/>
          </w:tcPr>
          <w:p>
            <w:pPr>
              <w:pStyle w:val="TableContents"/>
              <w:spacing w:before="0" w:after="0"/>
              <w:ind w:left="0" w:right="0" w:firstLine="30"/>
              <w:rPr/>
            </w:pPr>
            <w:r>
              <w:rPr/>
              <w:t> </w:t>
            </w:r>
          </w:p>
        </w:tc>
      </w:tr>
      <w:tr>
        <w:trPr/>
        <w:tc>
          <w:tcPr>
            <w:tcW w:w="761"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3.14</w:t>
            </w:r>
          </w:p>
        </w:tc>
        <w:tc>
          <w:tcPr>
            <w:tcW w:w="290" w:type="dxa"/>
            <w:tcBorders/>
            <w:shd w:fill="auto" w:val="clear"/>
            <w:vAlign w:val="center"/>
          </w:tcPr>
          <w:p>
            <w:pPr>
              <w:pStyle w:val="TableContents"/>
              <w:spacing w:before="0" w:after="0"/>
              <w:ind w:left="0" w:right="0" w:firstLine="30"/>
              <w:jc w:val="center"/>
              <w:rPr/>
            </w:pPr>
            <w:r>
              <w:rPr/>
              <w:t>—</w:t>
            </w:r>
          </w:p>
        </w:tc>
        <w:tc>
          <w:tcPr>
            <w:tcW w:w="9154" w:type="dxa"/>
            <w:tcBorders/>
            <w:shd w:fill="auto" w:val="clear"/>
            <w:vAlign w:val="center"/>
          </w:tcPr>
          <w:p>
            <w:pPr>
              <w:pStyle w:val="TableContents"/>
              <w:spacing w:before="0" w:after="0"/>
              <w:ind w:left="0" w:right="0" w:firstLine="30"/>
              <w:rPr/>
            </w:pPr>
            <w:hyperlink r:id="rId14">
              <w:r>
                <w:rPr>
                  <w:rStyle w:val="InternetLink"/>
                  <w:rFonts w:ascii="inherit" w:hAnsi="inherit"/>
                  <w:color w:val="0000FF"/>
                  <w:sz w:val="17"/>
                  <w:u w:val="single"/>
                </w:rPr>
                <w:t>Bylaws of PAA Finance Corp. (f/k/a Pacific Energy Finance Corporation, successor-by-merger to PAA Finance Corp.) (incorporated by reference to Exhibit 3.11 to our Annual Report on Form 10-K for the year ended December 31, 2006).</w:t>
              </w:r>
            </w:hyperlink>
          </w:p>
        </w:tc>
      </w:tr>
      <w:tr>
        <w:trPr/>
        <w:tc>
          <w:tcPr>
            <w:tcW w:w="761" w:type="dxa"/>
            <w:tcBorders/>
            <w:shd w:fill="auto" w:val="clear"/>
            <w:vAlign w:val="center"/>
          </w:tcPr>
          <w:p>
            <w:pPr>
              <w:pStyle w:val="TableContents"/>
              <w:spacing w:before="0" w:after="0"/>
              <w:ind w:left="0" w:right="0" w:firstLine="30"/>
              <w:jc w:val="center"/>
              <w:rPr/>
            </w:pPr>
            <w:r>
              <w:rPr/>
              <w:t> </w:t>
            </w:r>
          </w:p>
        </w:tc>
        <w:tc>
          <w:tcPr>
            <w:tcW w:w="290" w:type="dxa"/>
            <w:tcBorders/>
            <w:shd w:fill="auto" w:val="clear"/>
            <w:vAlign w:val="center"/>
          </w:tcPr>
          <w:p>
            <w:pPr>
              <w:pStyle w:val="TableContents"/>
              <w:spacing w:before="0" w:after="0"/>
              <w:ind w:left="0" w:right="0" w:firstLine="30"/>
              <w:jc w:val="center"/>
              <w:rPr/>
            </w:pPr>
            <w:r>
              <w:rPr/>
              <w:t> </w:t>
            </w:r>
          </w:p>
        </w:tc>
        <w:tc>
          <w:tcPr>
            <w:tcW w:w="9154" w:type="dxa"/>
            <w:tcBorders/>
            <w:shd w:fill="auto" w:val="clear"/>
            <w:vAlign w:val="center"/>
          </w:tcPr>
          <w:p>
            <w:pPr>
              <w:pStyle w:val="TableContents"/>
              <w:spacing w:before="0" w:after="0"/>
              <w:ind w:left="0" w:right="0" w:firstLine="30"/>
              <w:jc w:val="left"/>
              <w:rPr/>
            </w:pPr>
            <w:r>
              <w:rPr/>
              <w:t> </w:t>
            </w:r>
          </w:p>
        </w:tc>
      </w:tr>
      <w:tr>
        <w:trPr/>
        <w:tc>
          <w:tcPr>
            <w:tcW w:w="761"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3.15</w:t>
            </w:r>
          </w:p>
        </w:tc>
        <w:tc>
          <w:tcPr>
            <w:tcW w:w="290" w:type="dxa"/>
            <w:tcBorders/>
            <w:shd w:fill="auto" w:val="clear"/>
            <w:vAlign w:val="center"/>
          </w:tcPr>
          <w:p>
            <w:pPr>
              <w:pStyle w:val="TableContents"/>
              <w:spacing w:before="0" w:after="0"/>
              <w:ind w:left="0" w:right="0" w:firstLine="30"/>
              <w:jc w:val="center"/>
              <w:rPr/>
            </w:pPr>
            <w:r>
              <w:rPr/>
              <w:t>—</w:t>
            </w:r>
          </w:p>
        </w:tc>
        <w:tc>
          <w:tcPr>
            <w:tcW w:w="9154" w:type="dxa"/>
            <w:tcBorders/>
            <w:shd w:fill="auto" w:val="clear"/>
            <w:vAlign w:val="center"/>
          </w:tcPr>
          <w:p>
            <w:pPr>
              <w:pStyle w:val="TableContents"/>
              <w:spacing w:before="0" w:after="0"/>
              <w:ind w:left="0" w:right="0" w:firstLine="30"/>
              <w:rPr/>
            </w:pPr>
            <w:hyperlink r:id="rId15">
              <w:r>
                <w:rPr>
                  <w:rStyle w:val="InternetLink"/>
                  <w:rFonts w:ascii="inherit" w:hAnsi="inherit"/>
                  <w:color w:val="0000FF"/>
                  <w:sz w:val="17"/>
                  <w:u w:val="single"/>
                </w:rPr>
                <w:t>Limited Liability Company Agreement of PAA GP LLC dated December 28, 2007 (incorporated by reference to Exhibit 3.3 to our Current Report on Form 8-K filed January 4, 2008).</w:t>
              </w:r>
            </w:hyperlink>
          </w:p>
        </w:tc>
      </w:tr>
      <w:tr>
        <w:trPr/>
        <w:tc>
          <w:tcPr>
            <w:tcW w:w="761" w:type="dxa"/>
            <w:tcBorders/>
            <w:shd w:fill="auto" w:val="clear"/>
            <w:vAlign w:val="center"/>
          </w:tcPr>
          <w:p>
            <w:pPr>
              <w:pStyle w:val="TableContents"/>
              <w:spacing w:before="0" w:after="0"/>
              <w:ind w:left="0" w:right="0" w:firstLine="30"/>
              <w:rPr/>
            </w:pPr>
            <w:r>
              <w:rPr/>
              <w:t> </w:t>
            </w:r>
          </w:p>
        </w:tc>
        <w:tc>
          <w:tcPr>
            <w:tcW w:w="290" w:type="dxa"/>
            <w:tcBorders/>
            <w:shd w:fill="auto" w:val="clear"/>
            <w:vAlign w:val="center"/>
          </w:tcPr>
          <w:p>
            <w:pPr>
              <w:pStyle w:val="TableContents"/>
              <w:spacing w:before="0" w:after="0"/>
              <w:ind w:left="0" w:right="0" w:firstLine="30"/>
              <w:jc w:val="center"/>
              <w:rPr/>
            </w:pPr>
            <w:r>
              <w:rPr/>
              <w:t> </w:t>
            </w:r>
          </w:p>
        </w:tc>
        <w:tc>
          <w:tcPr>
            <w:tcW w:w="9154" w:type="dxa"/>
            <w:tcBorders/>
            <w:shd w:fill="auto" w:val="clear"/>
            <w:vAlign w:val="center"/>
          </w:tcPr>
          <w:p>
            <w:pPr>
              <w:pStyle w:val="TableContents"/>
              <w:spacing w:before="0" w:after="0"/>
              <w:ind w:left="0" w:right="0" w:firstLine="30"/>
              <w:jc w:val="left"/>
              <w:rPr/>
            </w:pPr>
            <w:r>
              <w:rPr/>
              <w:t> </w:t>
            </w:r>
          </w:p>
        </w:tc>
      </w:tr>
      <w:tr>
        <w:trPr/>
        <w:tc>
          <w:tcPr>
            <w:tcW w:w="761"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3.16</w:t>
            </w:r>
          </w:p>
        </w:tc>
        <w:tc>
          <w:tcPr>
            <w:tcW w:w="290" w:type="dxa"/>
            <w:tcBorders/>
            <w:shd w:fill="auto" w:val="clear"/>
            <w:vAlign w:val="center"/>
          </w:tcPr>
          <w:p>
            <w:pPr>
              <w:pStyle w:val="TableContents"/>
              <w:spacing w:before="0" w:after="0"/>
              <w:ind w:left="0" w:right="0" w:firstLine="30"/>
              <w:jc w:val="center"/>
              <w:rPr/>
            </w:pPr>
            <w:r>
              <w:rPr/>
              <w:t>—</w:t>
            </w:r>
          </w:p>
        </w:tc>
        <w:tc>
          <w:tcPr>
            <w:tcW w:w="9154" w:type="dxa"/>
            <w:tcBorders/>
            <w:shd w:fill="auto" w:val="clear"/>
            <w:vAlign w:val="center"/>
          </w:tcPr>
          <w:p>
            <w:pPr>
              <w:pStyle w:val="TableContents"/>
              <w:spacing w:before="0" w:after="0"/>
              <w:ind w:left="0" w:right="0" w:firstLine="30"/>
              <w:rPr/>
            </w:pPr>
            <w:hyperlink r:id="rId16">
              <w:r>
                <w:rPr>
                  <w:rStyle w:val="InternetLink"/>
                  <w:rFonts w:ascii="inherit" w:hAnsi="inherit"/>
                  <w:color w:val="0000FF"/>
                  <w:sz w:val="17"/>
                  <w:u w:val="single"/>
                </w:rPr>
                <w:t>Certificate of Limited Partnership of Plains GP Holdings, L.P. (incorporated by reference to Exhibit 3.1 to PAGP’s Registration Statement on Form S-1 (333-190227) filed July 29, 2013).</w:t>
              </w:r>
            </w:hyperlink>
          </w:p>
        </w:tc>
      </w:tr>
      <w:tr>
        <w:trPr/>
        <w:tc>
          <w:tcPr>
            <w:tcW w:w="761" w:type="dxa"/>
            <w:tcBorders/>
            <w:shd w:fill="auto" w:val="clear"/>
            <w:vAlign w:val="center"/>
          </w:tcPr>
          <w:p>
            <w:pPr>
              <w:pStyle w:val="TableContents"/>
              <w:spacing w:before="0" w:after="0"/>
              <w:ind w:left="0" w:right="0" w:firstLine="30"/>
              <w:rPr/>
            </w:pPr>
            <w:r>
              <w:rPr/>
              <w:t> </w:t>
            </w:r>
          </w:p>
        </w:tc>
        <w:tc>
          <w:tcPr>
            <w:tcW w:w="290" w:type="dxa"/>
            <w:tcBorders/>
            <w:shd w:fill="auto" w:val="clear"/>
            <w:vAlign w:val="center"/>
          </w:tcPr>
          <w:p>
            <w:pPr>
              <w:pStyle w:val="TableContents"/>
              <w:spacing w:before="0" w:after="0"/>
              <w:ind w:left="0" w:right="0" w:firstLine="30"/>
              <w:rPr/>
            </w:pPr>
            <w:r>
              <w:rPr/>
              <w:t> </w:t>
            </w:r>
          </w:p>
        </w:tc>
        <w:tc>
          <w:tcPr>
            <w:tcW w:w="9154" w:type="dxa"/>
            <w:tcBorders/>
            <w:shd w:fill="auto" w:val="clear"/>
            <w:vAlign w:val="center"/>
          </w:tcPr>
          <w:p>
            <w:pPr>
              <w:pStyle w:val="TableContents"/>
              <w:spacing w:before="0" w:after="0"/>
              <w:rPr/>
            </w:pPr>
            <w:r>
              <w:rPr/>
              <w:t> </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70</w:t>
      </w:r>
      <w:r>
        <w:br w:type="page"/>
      </w:r>
    </w:p>
    <w:p>
      <w:pPr>
        <w:pStyle w:val="TextBody"/>
        <w:spacing w:lineRule="auto" w:line="288" w:before="0" w:after="0"/>
        <w:rPr/>
      </w:pPr>
      <w:hyperlink w:anchor="s3336AD8A685850CC9B7F2572CB2C0BC3">
        <w:r>
          <w:rPr>
            <w:rStyle w:val="InternetLink"/>
            <w:rFonts w:ascii="inherit" w:hAnsi="inherit"/>
            <w:sz w:val="17"/>
          </w:rPr>
          <w:t>Table of Contents</w:t>
        </w:r>
      </w:hyperlink>
      <w:r>
        <w:rPr>
          <w:sz w:val="17"/>
        </w:rPr>
        <w:t xml:space="preserve"> </w:t>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425"/>
        <w:gridCol w:w="290"/>
        <w:gridCol w:w="9490"/>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425"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94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2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3.17</w:t>
            </w:r>
          </w:p>
        </w:tc>
        <w:tc>
          <w:tcPr>
            <w:tcW w:w="290" w:type="dxa"/>
            <w:tcBorders/>
            <w:shd w:fill="auto" w:val="clear"/>
            <w:vAlign w:val="center"/>
          </w:tcPr>
          <w:p>
            <w:pPr>
              <w:pStyle w:val="TableContents"/>
              <w:spacing w:before="0" w:after="0"/>
              <w:ind w:left="0" w:right="0" w:firstLine="30"/>
              <w:jc w:val="center"/>
              <w:rPr/>
            </w:pPr>
            <w:r>
              <w:rPr/>
              <w:t>—</w:t>
            </w:r>
          </w:p>
        </w:tc>
        <w:tc>
          <w:tcPr>
            <w:tcW w:w="9490" w:type="dxa"/>
            <w:tcBorders/>
            <w:shd w:fill="auto" w:val="clear"/>
            <w:vAlign w:val="center"/>
          </w:tcPr>
          <w:p>
            <w:pPr>
              <w:pStyle w:val="TableContents"/>
              <w:spacing w:before="0" w:after="0"/>
              <w:ind w:left="0" w:right="0" w:firstLine="30"/>
              <w:rPr/>
            </w:pPr>
            <w:hyperlink r:id="rId17">
              <w:r>
                <w:rPr>
                  <w:rStyle w:val="InternetLink"/>
                  <w:rFonts w:ascii="inherit" w:hAnsi="inherit"/>
                  <w:color w:val="0000FF"/>
                  <w:sz w:val="17"/>
                  <w:u w:val="single"/>
                </w:rPr>
                <w:t>Second Amended and Restated Agreement of Limited Partnership of Plains GP Holdings, L.P. dated November 15, 2016 (incorporated by reference to Exhibit 3.2 to PAGP’s Current Report on Form 8-K filed November 21, 2016).</w:t>
              </w:r>
            </w:hyperlink>
          </w:p>
        </w:tc>
      </w:tr>
      <w:tr>
        <w:trPr/>
        <w:tc>
          <w:tcPr>
            <w:tcW w:w="425" w:type="dxa"/>
            <w:tcBorders/>
            <w:shd w:fill="auto" w:val="clear"/>
            <w:vAlign w:val="center"/>
          </w:tcPr>
          <w:p>
            <w:pPr>
              <w:pStyle w:val="TableContents"/>
              <w:spacing w:before="0" w:after="0"/>
              <w:ind w:left="0" w:right="0" w:firstLine="30"/>
              <w:rPr/>
            </w:pPr>
            <w:r>
              <w:rPr/>
              <w:t> </w:t>
            </w:r>
          </w:p>
        </w:tc>
        <w:tc>
          <w:tcPr>
            <w:tcW w:w="290" w:type="dxa"/>
            <w:tcBorders/>
            <w:shd w:fill="auto" w:val="clear"/>
            <w:vAlign w:val="center"/>
          </w:tcPr>
          <w:p>
            <w:pPr>
              <w:pStyle w:val="TableContents"/>
              <w:spacing w:before="0" w:after="0"/>
              <w:ind w:left="0" w:right="0" w:firstLine="30"/>
              <w:rPr/>
            </w:pPr>
            <w:r>
              <w:rPr/>
              <w:t> </w:t>
            </w:r>
          </w:p>
        </w:tc>
        <w:tc>
          <w:tcPr>
            <w:tcW w:w="9490" w:type="dxa"/>
            <w:tcBorders/>
            <w:shd w:fill="auto" w:val="clear"/>
            <w:vAlign w:val="center"/>
          </w:tcPr>
          <w:p>
            <w:pPr>
              <w:pStyle w:val="TableContents"/>
              <w:spacing w:before="0" w:after="0"/>
              <w:ind w:left="0" w:right="0" w:firstLine="30"/>
              <w:rPr/>
            </w:pPr>
            <w:r>
              <w:rPr/>
              <w:t> </w:t>
            </w:r>
          </w:p>
        </w:tc>
      </w:tr>
      <w:tr>
        <w:trPr/>
        <w:tc>
          <w:tcPr>
            <w:tcW w:w="42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3.18</w:t>
            </w:r>
          </w:p>
        </w:tc>
        <w:tc>
          <w:tcPr>
            <w:tcW w:w="290" w:type="dxa"/>
            <w:tcBorders/>
            <w:shd w:fill="auto" w:val="clear"/>
            <w:vAlign w:val="center"/>
          </w:tcPr>
          <w:p>
            <w:pPr>
              <w:pStyle w:val="TableContents"/>
              <w:spacing w:before="0" w:after="0"/>
              <w:ind w:left="0" w:right="0" w:firstLine="30"/>
              <w:jc w:val="center"/>
              <w:rPr/>
            </w:pPr>
            <w:r>
              <w:rPr/>
              <w:t>—</w:t>
            </w:r>
          </w:p>
        </w:tc>
        <w:tc>
          <w:tcPr>
            <w:tcW w:w="9490" w:type="dxa"/>
            <w:tcBorders/>
            <w:shd w:fill="auto" w:val="clear"/>
            <w:vAlign w:val="center"/>
          </w:tcPr>
          <w:p>
            <w:pPr>
              <w:pStyle w:val="TableContents"/>
              <w:spacing w:before="0" w:after="0"/>
              <w:ind w:left="0" w:right="0" w:firstLine="30"/>
              <w:rPr/>
            </w:pPr>
            <w:hyperlink r:id="rId18">
              <w:r>
                <w:rPr>
                  <w:rStyle w:val="InternetLink"/>
                  <w:rFonts w:ascii="inherit" w:hAnsi="inherit"/>
                  <w:color w:val="0000FF"/>
                  <w:sz w:val="17"/>
                  <w:u w:val="single"/>
                </w:rPr>
                <w:t>Certificate of Formation of PAA GP Holdings LLC (incorporated by reference to Exhibit 3.3 to PAGP’s Registration Statement on Form S-1 (333-190227) filed July 29, 2013).</w:t>
              </w:r>
            </w:hyperlink>
          </w:p>
        </w:tc>
      </w:tr>
      <w:tr>
        <w:trPr/>
        <w:tc>
          <w:tcPr>
            <w:tcW w:w="425" w:type="dxa"/>
            <w:tcBorders/>
            <w:shd w:fill="auto" w:val="clear"/>
            <w:vAlign w:val="center"/>
          </w:tcPr>
          <w:p>
            <w:pPr>
              <w:pStyle w:val="TableContents"/>
              <w:spacing w:before="0" w:after="0"/>
              <w:ind w:left="0" w:right="0" w:firstLine="30"/>
              <w:rPr/>
            </w:pPr>
            <w:r>
              <w:rPr/>
              <w:t> </w:t>
            </w:r>
          </w:p>
        </w:tc>
        <w:tc>
          <w:tcPr>
            <w:tcW w:w="290" w:type="dxa"/>
            <w:tcBorders/>
            <w:shd w:fill="auto" w:val="clear"/>
            <w:vAlign w:val="center"/>
          </w:tcPr>
          <w:p>
            <w:pPr>
              <w:pStyle w:val="TableContents"/>
              <w:spacing w:before="0" w:after="0"/>
              <w:ind w:left="0" w:right="0" w:firstLine="30"/>
              <w:rPr/>
            </w:pPr>
            <w:r>
              <w:rPr/>
              <w:t> </w:t>
            </w:r>
          </w:p>
        </w:tc>
        <w:tc>
          <w:tcPr>
            <w:tcW w:w="9490" w:type="dxa"/>
            <w:tcBorders/>
            <w:shd w:fill="auto" w:val="clear"/>
            <w:vAlign w:val="center"/>
          </w:tcPr>
          <w:p>
            <w:pPr>
              <w:pStyle w:val="TableContents"/>
              <w:spacing w:before="0" w:after="0"/>
              <w:ind w:left="0" w:right="0" w:firstLine="30"/>
              <w:rPr/>
            </w:pPr>
            <w:r>
              <w:rPr/>
              <w:t> </w:t>
            </w:r>
          </w:p>
        </w:tc>
      </w:tr>
      <w:tr>
        <w:trPr/>
        <w:tc>
          <w:tcPr>
            <w:tcW w:w="42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3.19</w:t>
            </w:r>
          </w:p>
        </w:tc>
        <w:tc>
          <w:tcPr>
            <w:tcW w:w="290" w:type="dxa"/>
            <w:tcBorders/>
            <w:shd w:fill="auto" w:val="clear"/>
            <w:vAlign w:val="center"/>
          </w:tcPr>
          <w:p>
            <w:pPr>
              <w:pStyle w:val="TableContents"/>
              <w:spacing w:before="0" w:after="0"/>
              <w:ind w:left="0" w:right="0" w:firstLine="30"/>
              <w:jc w:val="center"/>
              <w:rPr/>
            </w:pPr>
            <w:r>
              <w:rPr/>
              <w:t>—</w:t>
            </w:r>
          </w:p>
        </w:tc>
        <w:tc>
          <w:tcPr>
            <w:tcW w:w="9490" w:type="dxa"/>
            <w:tcBorders/>
            <w:shd w:fill="auto" w:val="clear"/>
            <w:vAlign w:val="center"/>
          </w:tcPr>
          <w:p>
            <w:pPr>
              <w:pStyle w:val="TableContents"/>
              <w:spacing w:before="0" w:after="0"/>
              <w:ind w:left="0" w:right="0" w:firstLine="30"/>
              <w:rPr/>
            </w:pPr>
            <w:hyperlink r:id="rId19">
              <w:r>
                <w:rPr>
                  <w:rStyle w:val="InternetLink"/>
                  <w:rFonts w:ascii="inherit" w:hAnsi="inherit"/>
                  <w:color w:val="0000FF"/>
                  <w:sz w:val="17"/>
                  <w:u w:val="single"/>
                </w:rPr>
                <w:t>Third Amended and Restated Limited Liability Company Agreement of PAA GP Holdings LLC dated as of February 16, 2017 (incorporated by reference to Exhibit 3.1 to our Current Report on Form 8-K filed February 21, 2017).</w:t>
              </w:r>
            </w:hyperlink>
          </w:p>
        </w:tc>
      </w:tr>
      <w:tr>
        <w:trPr/>
        <w:tc>
          <w:tcPr>
            <w:tcW w:w="425" w:type="dxa"/>
            <w:tcBorders/>
            <w:shd w:fill="auto" w:val="clear"/>
            <w:vAlign w:val="center"/>
          </w:tcPr>
          <w:p>
            <w:pPr>
              <w:pStyle w:val="TableContents"/>
              <w:spacing w:before="0" w:after="0"/>
              <w:ind w:left="0" w:right="0" w:firstLine="30"/>
              <w:rPr/>
            </w:pPr>
            <w:r>
              <w:rPr/>
              <w:t> </w:t>
            </w:r>
          </w:p>
        </w:tc>
        <w:tc>
          <w:tcPr>
            <w:tcW w:w="290" w:type="dxa"/>
            <w:tcBorders/>
            <w:shd w:fill="auto" w:val="clear"/>
            <w:vAlign w:val="center"/>
          </w:tcPr>
          <w:p>
            <w:pPr>
              <w:pStyle w:val="TableContents"/>
              <w:spacing w:before="0" w:after="0"/>
              <w:ind w:left="0" w:right="0" w:firstLine="30"/>
              <w:rPr/>
            </w:pPr>
            <w:r>
              <w:rPr/>
              <w:t> </w:t>
            </w:r>
          </w:p>
        </w:tc>
        <w:tc>
          <w:tcPr>
            <w:tcW w:w="9490" w:type="dxa"/>
            <w:tcBorders/>
            <w:shd w:fill="auto" w:val="clear"/>
            <w:vAlign w:val="center"/>
          </w:tcPr>
          <w:p>
            <w:pPr>
              <w:pStyle w:val="TableContents"/>
              <w:spacing w:before="0" w:after="0"/>
              <w:ind w:left="0" w:right="0" w:firstLine="30"/>
              <w:rPr/>
            </w:pPr>
            <w:r>
              <w:rPr/>
              <w:t> </w:t>
            </w:r>
          </w:p>
        </w:tc>
      </w:tr>
      <w:tr>
        <w:trPr/>
        <w:tc>
          <w:tcPr>
            <w:tcW w:w="42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3.20</w:t>
            </w:r>
          </w:p>
        </w:tc>
        <w:tc>
          <w:tcPr>
            <w:tcW w:w="290" w:type="dxa"/>
            <w:tcBorders/>
            <w:shd w:fill="auto" w:val="clear"/>
            <w:vAlign w:val="center"/>
          </w:tcPr>
          <w:p>
            <w:pPr>
              <w:pStyle w:val="TableContents"/>
              <w:spacing w:before="0" w:after="0"/>
              <w:ind w:left="0" w:right="0" w:firstLine="30"/>
              <w:jc w:val="center"/>
              <w:rPr/>
            </w:pPr>
            <w:r>
              <w:rPr/>
              <w:t>—</w:t>
            </w:r>
          </w:p>
        </w:tc>
        <w:tc>
          <w:tcPr>
            <w:tcW w:w="9490" w:type="dxa"/>
            <w:tcBorders/>
            <w:shd w:fill="auto" w:val="clear"/>
            <w:vAlign w:val="center"/>
          </w:tcPr>
          <w:p>
            <w:pPr>
              <w:pStyle w:val="TableContents"/>
              <w:spacing w:before="0" w:after="0"/>
              <w:ind w:left="0" w:right="0" w:firstLine="30"/>
              <w:rPr/>
            </w:pPr>
            <w:hyperlink r:id="rId20">
              <w:r>
                <w:rPr>
                  <w:rStyle w:val="InternetLink"/>
                  <w:rFonts w:ascii="inherit" w:hAnsi="inherit"/>
                  <w:color w:val="0000FF"/>
                  <w:sz w:val="17"/>
                  <w:u w:val="single"/>
                </w:rPr>
                <w:t>Amendment No. 1 dated October 1, 2018 to the Third Amended and Restated Limited Liability Company Agreement of PAA GP Holdings LLC (incorporated by reference to Exhibit 3.1 to our Current Report on Form 8-K filed August 20, 2018).</w:t>
              </w:r>
            </w:hyperlink>
          </w:p>
        </w:tc>
      </w:tr>
      <w:tr>
        <w:trPr/>
        <w:tc>
          <w:tcPr>
            <w:tcW w:w="425" w:type="dxa"/>
            <w:tcBorders/>
            <w:shd w:fill="auto" w:val="clear"/>
            <w:vAlign w:val="center"/>
          </w:tcPr>
          <w:p>
            <w:pPr>
              <w:pStyle w:val="TableContents"/>
              <w:spacing w:before="0" w:after="0"/>
              <w:ind w:left="0" w:right="0" w:firstLine="30"/>
              <w:rPr/>
            </w:pPr>
            <w:r>
              <w:rPr/>
              <w:t> </w:t>
            </w:r>
          </w:p>
        </w:tc>
        <w:tc>
          <w:tcPr>
            <w:tcW w:w="290" w:type="dxa"/>
            <w:tcBorders/>
            <w:shd w:fill="auto" w:val="clear"/>
            <w:vAlign w:val="center"/>
          </w:tcPr>
          <w:p>
            <w:pPr>
              <w:pStyle w:val="TableContents"/>
              <w:spacing w:before="0" w:after="0"/>
              <w:ind w:left="0" w:right="0" w:firstLine="30"/>
              <w:rPr/>
            </w:pPr>
            <w:r>
              <w:rPr/>
              <w:t> </w:t>
            </w:r>
          </w:p>
        </w:tc>
        <w:tc>
          <w:tcPr>
            <w:tcW w:w="9490" w:type="dxa"/>
            <w:tcBorders/>
            <w:shd w:fill="auto" w:val="clear"/>
            <w:vAlign w:val="center"/>
          </w:tcPr>
          <w:p>
            <w:pPr>
              <w:pStyle w:val="TableContents"/>
              <w:spacing w:before="0" w:after="0"/>
              <w:ind w:left="0" w:right="0" w:firstLine="30"/>
              <w:rPr/>
            </w:pPr>
            <w:r>
              <w:rPr/>
              <w:t> </w:t>
            </w:r>
          </w:p>
        </w:tc>
      </w:tr>
      <w:tr>
        <w:trPr/>
        <w:tc>
          <w:tcPr>
            <w:tcW w:w="42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3.21</w:t>
            </w:r>
          </w:p>
        </w:tc>
        <w:tc>
          <w:tcPr>
            <w:tcW w:w="290" w:type="dxa"/>
            <w:tcBorders/>
            <w:shd w:fill="auto" w:val="clear"/>
            <w:vAlign w:val="center"/>
          </w:tcPr>
          <w:p>
            <w:pPr>
              <w:pStyle w:val="TableContents"/>
              <w:spacing w:before="0" w:after="0"/>
              <w:ind w:left="0" w:right="0" w:firstLine="30"/>
              <w:jc w:val="center"/>
              <w:rPr/>
            </w:pPr>
            <w:r>
              <w:rPr/>
              <w:t>—</w:t>
            </w:r>
          </w:p>
        </w:tc>
        <w:tc>
          <w:tcPr>
            <w:tcW w:w="9490" w:type="dxa"/>
            <w:tcBorders/>
            <w:shd w:fill="auto" w:val="clear"/>
            <w:vAlign w:val="center"/>
          </w:tcPr>
          <w:p>
            <w:pPr>
              <w:pStyle w:val="TableContents"/>
              <w:spacing w:before="0" w:after="0"/>
              <w:ind w:left="0" w:right="0" w:firstLine="30"/>
              <w:rPr/>
            </w:pPr>
            <w:hyperlink r:id="rId21">
              <w:r>
                <w:rPr>
                  <w:rStyle w:val="InternetLink"/>
                  <w:rFonts w:ascii="inherit" w:hAnsi="inherit"/>
                  <w:color w:val="0000FF"/>
                  <w:sz w:val="17"/>
                  <w:u w:val="single"/>
                </w:rPr>
                <w:t>Amendment No. 2 dated December 10, 2018 to the Third Amended and Restated Limited Liability Company Agreement of PAA GP Holdings LLC (incorporated by reference to Exhibit 3.1 to our Current Report on Form 8-K filed December 11, 2018).</w:t>
              </w:r>
            </w:hyperlink>
          </w:p>
        </w:tc>
      </w:tr>
      <w:tr>
        <w:trPr/>
        <w:tc>
          <w:tcPr>
            <w:tcW w:w="425" w:type="dxa"/>
            <w:tcBorders/>
            <w:shd w:fill="auto" w:val="clear"/>
            <w:vAlign w:val="center"/>
          </w:tcPr>
          <w:p>
            <w:pPr>
              <w:pStyle w:val="TableContents"/>
              <w:spacing w:before="0" w:after="0"/>
              <w:ind w:left="0" w:right="0" w:firstLine="30"/>
              <w:rPr/>
            </w:pPr>
            <w:r>
              <w:rPr/>
              <w:t> </w:t>
            </w:r>
          </w:p>
        </w:tc>
        <w:tc>
          <w:tcPr>
            <w:tcW w:w="290" w:type="dxa"/>
            <w:tcBorders/>
            <w:shd w:fill="auto" w:val="clear"/>
            <w:vAlign w:val="center"/>
          </w:tcPr>
          <w:p>
            <w:pPr>
              <w:pStyle w:val="TableContents"/>
              <w:spacing w:before="0" w:after="0"/>
              <w:ind w:left="0" w:right="0" w:firstLine="30"/>
              <w:rPr/>
            </w:pPr>
            <w:r>
              <w:rPr/>
              <w:t> </w:t>
            </w:r>
          </w:p>
        </w:tc>
        <w:tc>
          <w:tcPr>
            <w:tcW w:w="9490" w:type="dxa"/>
            <w:tcBorders/>
            <w:shd w:fill="auto" w:val="clear"/>
            <w:vAlign w:val="center"/>
          </w:tcPr>
          <w:p>
            <w:pPr>
              <w:pStyle w:val="TableContents"/>
              <w:spacing w:before="0" w:after="0"/>
              <w:ind w:left="0" w:right="0" w:firstLine="30"/>
              <w:rPr/>
            </w:pPr>
            <w:r>
              <w:rPr/>
              <w:t> </w:t>
            </w:r>
          </w:p>
        </w:tc>
      </w:tr>
      <w:tr>
        <w:trPr/>
        <w:tc>
          <w:tcPr>
            <w:tcW w:w="42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4.1</w:t>
            </w:r>
          </w:p>
        </w:tc>
        <w:tc>
          <w:tcPr>
            <w:tcW w:w="290" w:type="dxa"/>
            <w:tcBorders/>
            <w:shd w:fill="auto" w:val="clear"/>
            <w:vAlign w:val="center"/>
          </w:tcPr>
          <w:p>
            <w:pPr>
              <w:pStyle w:val="TableContents"/>
              <w:spacing w:before="0" w:after="0"/>
              <w:ind w:left="0" w:right="0" w:firstLine="30"/>
              <w:jc w:val="center"/>
              <w:rPr/>
            </w:pPr>
            <w:r>
              <w:rPr/>
              <w:t>—</w:t>
            </w:r>
          </w:p>
        </w:tc>
        <w:tc>
          <w:tcPr>
            <w:tcW w:w="9490" w:type="dxa"/>
            <w:tcBorders/>
            <w:shd w:fill="auto" w:val="clear"/>
            <w:vAlign w:val="center"/>
          </w:tcPr>
          <w:p>
            <w:pPr>
              <w:pStyle w:val="TableContents"/>
              <w:spacing w:before="0" w:after="0"/>
              <w:ind w:left="0" w:right="0" w:firstLine="30"/>
              <w:rPr/>
            </w:pPr>
            <w:hyperlink r:id="rId22">
              <w:r>
                <w:rPr>
                  <w:rStyle w:val="InternetLink"/>
                  <w:rFonts w:ascii="inherit" w:hAnsi="inherit"/>
                  <w:color w:val="0000FF"/>
                  <w:sz w:val="17"/>
                  <w:u w:val="single"/>
                </w:rPr>
                <w:t>Indenture dated September 25, 2002 among Plains All American Pipeline, L.P., PAA Finance Corp. and Wachovia Bank, National Association, as trustee (incorporated by reference to Exhibit 4.1 to our Quarterly Report on Form 10-Q for the quarter ended September 30, 2002).</w:t>
              </w:r>
            </w:hyperlink>
          </w:p>
        </w:tc>
      </w:tr>
      <w:tr>
        <w:trPr/>
        <w:tc>
          <w:tcPr>
            <w:tcW w:w="425" w:type="dxa"/>
            <w:tcBorders/>
            <w:shd w:fill="auto" w:val="clear"/>
            <w:vAlign w:val="center"/>
          </w:tcPr>
          <w:p>
            <w:pPr>
              <w:pStyle w:val="TableContents"/>
              <w:spacing w:before="0" w:after="0"/>
              <w:ind w:left="0" w:right="0" w:firstLine="30"/>
              <w:jc w:val="center"/>
              <w:rPr/>
            </w:pPr>
            <w:r>
              <w:rPr/>
              <w:t> </w:t>
            </w:r>
          </w:p>
        </w:tc>
        <w:tc>
          <w:tcPr>
            <w:tcW w:w="290" w:type="dxa"/>
            <w:tcBorders/>
            <w:shd w:fill="auto" w:val="clear"/>
            <w:vAlign w:val="center"/>
          </w:tcPr>
          <w:p>
            <w:pPr>
              <w:pStyle w:val="TableContents"/>
              <w:spacing w:before="0" w:after="0"/>
              <w:ind w:left="0" w:right="0" w:firstLine="30"/>
              <w:jc w:val="center"/>
              <w:rPr/>
            </w:pPr>
            <w:r>
              <w:rPr/>
              <w:t> </w:t>
            </w:r>
          </w:p>
        </w:tc>
        <w:tc>
          <w:tcPr>
            <w:tcW w:w="9490" w:type="dxa"/>
            <w:tcBorders/>
            <w:shd w:fill="auto" w:val="clear"/>
            <w:vAlign w:val="center"/>
          </w:tcPr>
          <w:p>
            <w:pPr>
              <w:pStyle w:val="TableContents"/>
              <w:spacing w:before="0" w:after="0"/>
              <w:ind w:left="0" w:right="0" w:firstLine="30"/>
              <w:jc w:val="left"/>
              <w:rPr/>
            </w:pPr>
            <w:r>
              <w:rPr/>
              <w:t> </w:t>
            </w:r>
          </w:p>
        </w:tc>
      </w:tr>
      <w:tr>
        <w:trPr/>
        <w:tc>
          <w:tcPr>
            <w:tcW w:w="42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4.2</w:t>
            </w:r>
          </w:p>
        </w:tc>
        <w:tc>
          <w:tcPr>
            <w:tcW w:w="290" w:type="dxa"/>
            <w:tcBorders/>
            <w:shd w:fill="auto" w:val="clear"/>
            <w:vAlign w:val="center"/>
          </w:tcPr>
          <w:p>
            <w:pPr>
              <w:pStyle w:val="TableContents"/>
              <w:spacing w:before="0" w:after="0"/>
              <w:ind w:left="0" w:right="0" w:firstLine="30"/>
              <w:jc w:val="center"/>
              <w:rPr/>
            </w:pPr>
            <w:r>
              <w:rPr/>
              <w:t>—</w:t>
            </w:r>
          </w:p>
        </w:tc>
        <w:tc>
          <w:tcPr>
            <w:tcW w:w="9490" w:type="dxa"/>
            <w:tcBorders/>
            <w:shd w:fill="auto" w:val="clear"/>
            <w:vAlign w:val="center"/>
          </w:tcPr>
          <w:p>
            <w:pPr>
              <w:pStyle w:val="TableContents"/>
              <w:spacing w:before="0" w:after="0"/>
              <w:ind w:left="0" w:right="0" w:firstLine="30"/>
              <w:rPr/>
            </w:pPr>
            <w:hyperlink r:id="rId23">
              <w:r>
                <w:rPr>
                  <w:rStyle w:val="InternetLink"/>
                  <w:rFonts w:ascii="inherit" w:hAnsi="inherit"/>
                  <w:color w:val="0000FF"/>
                  <w:sz w:val="17"/>
                  <w:u w:val="single"/>
                </w:rPr>
                <w:t>Sixth Supplemental Indenture (Series A and Series B 6.70% Senior Notes due 2036) dated May 12, 2006 among Plains All American Pipeline, L.P., PAA Finance Corp., the Subsidiary Guarantors named therein and Wachovia Bank, National Association, as trustee (incorporated by reference to Exhibit 4.1 to our Current Report on Form 8-K filed May 12, 2006).</w:t>
              </w:r>
            </w:hyperlink>
          </w:p>
        </w:tc>
      </w:tr>
      <w:tr>
        <w:trPr/>
        <w:tc>
          <w:tcPr>
            <w:tcW w:w="425" w:type="dxa"/>
            <w:tcBorders/>
            <w:shd w:fill="auto" w:val="clear"/>
            <w:vAlign w:val="center"/>
          </w:tcPr>
          <w:p>
            <w:pPr>
              <w:pStyle w:val="TableContents"/>
              <w:spacing w:before="0" w:after="0"/>
              <w:ind w:left="0" w:right="0" w:firstLine="30"/>
              <w:jc w:val="center"/>
              <w:rPr/>
            </w:pPr>
            <w:r>
              <w:rPr/>
              <w:t> </w:t>
            </w:r>
          </w:p>
        </w:tc>
        <w:tc>
          <w:tcPr>
            <w:tcW w:w="290" w:type="dxa"/>
            <w:tcBorders/>
            <w:shd w:fill="auto" w:val="clear"/>
            <w:vAlign w:val="center"/>
          </w:tcPr>
          <w:p>
            <w:pPr>
              <w:pStyle w:val="TableContents"/>
              <w:spacing w:before="0" w:after="0"/>
              <w:ind w:left="0" w:right="0" w:firstLine="30"/>
              <w:jc w:val="center"/>
              <w:rPr/>
            </w:pPr>
            <w:r>
              <w:rPr/>
              <w:t> </w:t>
            </w:r>
          </w:p>
        </w:tc>
        <w:tc>
          <w:tcPr>
            <w:tcW w:w="9490" w:type="dxa"/>
            <w:tcBorders/>
            <w:shd w:fill="auto" w:val="clear"/>
            <w:vAlign w:val="center"/>
          </w:tcPr>
          <w:p>
            <w:pPr>
              <w:pStyle w:val="TableContents"/>
              <w:spacing w:before="0" w:after="0"/>
              <w:ind w:left="0" w:right="0" w:firstLine="30"/>
              <w:jc w:val="left"/>
              <w:rPr/>
            </w:pPr>
            <w:r>
              <w:rPr/>
              <w:t> </w:t>
            </w:r>
          </w:p>
        </w:tc>
      </w:tr>
      <w:tr>
        <w:trPr/>
        <w:tc>
          <w:tcPr>
            <w:tcW w:w="42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4.3</w:t>
            </w:r>
          </w:p>
        </w:tc>
        <w:tc>
          <w:tcPr>
            <w:tcW w:w="290" w:type="dxa"/>
            <w:tcBorders/>
            <w:shd w:fill="auto" w:val="clear"/>
            <w:vAlign w:val="center"/>
          </w:tcPr>
          <w:p>
            <w:pPr>
              <w:pStyle w:val="TableContents"/>
              <w:spacing w:before="0" w:after="0"/>
              <w:ind w:left="0" w:right="0" w:firstLine="30"/>
              <w:jc w:val="center"/>
              <w:rPr/>
            </w:pPr>
            <w:r>
              <w:rPr/>
              <w:t>—</w:t>
            </w:r>
          </w:p>
        </w:tc>
        <w:tc>
          <w:tcPr>
            <w:tcW w:w="9490" w:type="dxa"/>
            <w:tcBorders/>
            <w:shd w:fill="auto" w:val="clear"/>
            <w:vAlign w:val="center"/>
          </w:tcPr>
          <w:p>
            <w:pPr>
              <w:pStyle w:val="TableContents"/>
              <w:spacing w:before="0" w:after="0"/>
              <w:ind w:left="0" w:right="0" w:firstLine="30"/>
              <w:rPr/>
            </w:pPr>
            <w:hyperlink r:id="rId24">
              <w:r>
                <w:rPr>
                  <w:rStyle w:val="InternetLink"/>
                  <w:rFonts w:ascii="inherit" w:hAnsi="inherit"/>
                  <w:color w:val="0000FF"/>
                  <w:sz w:val="17"/>
                  <w:u w:val="single"/>
                </w:rPr>
                <w:t>Tenth Supplemental Indenture (Series A and Series B 6.650% Senior Notes due 2037) dated October 30, 2006 among Plains All American Pipeline, L.P., PAA Finance Corp., the Subsidiary Guarantors named therein and U.S. Bank National Association, as trustee (incorporated by reference to Exhibit 4.2 to our Current Report on Form 8-K filed October 30, 2006).</w:t>
              </w:r>
            </w:hyperlink>
          </w:p>
        </w:tc>
      </w:tr>
      <w:tr>
        <w:trPr/>
        <w:tc>
          <w:tcPr>
            <w:tcW w:w="425" w:type="dxa"/>
            <w:tcBorders/>
            <w:shd w:fill="auto" w:val="clear"/>
            <w:vAlign w:val="center"/>
          </w:tcPr>
          <w:p>
            <w:pPr>
              <w:pStyle w:val="TableContents"/>
              <w:spacing w:before="0" w:after="0"/>
              <w:ind w:left="0" w:right="0" w:firstLine="30"/>
              <w:jc w:val="center"/>
              <w:rPr/>
            </w:pPr>
            <w:r>
              <w:rPr/>
              <w:t> </w:t>
            </w:r>
          </w:p>
        </w:tc>
        <w:tc>
          <w:tcPr>
            <w:tcW w:w="290" w:type="dxa"/>
            <w:tcBorders/>
            <w:shd w:fill="auto" w:val="clear"/>
            <w:vAlign w:val="center"/>
          </w:tcPr>
          <w:p>
            <w:pPr>
              <w:pStyle w:val="TableContents"/>
              <w:spacing w:before="0" w:after="0"/>
              <w:ind w:left="0" w:right="0" w:firstLine="30"/>
              <w:jc w:val="center"/>
              <w:rPr/>
            </w:pPr>
            <w:r>
              <w:rPr/>
              <w:t> </w:t>
            </w:r>
          </w:p>
        </w:tc>
        <w:tc>
          <w:tcPr>
            <w:tcW w:w="9490" w:type="dxa"/>
            <w:tcBorders/>
            <w:shd w:fill="auto" w:val="clear"/>
            <w:vAlign w:val="center"/>
          </w:tcPr>
          <w:p>
            <w:pPr>
              <w:pStyle w:val="TableContents"/>
              <w:spacing w:before="0" w:after="0"/>
              <w:ind w:left="0" w:right="0" w:firstLine="30"/>
              <w:jc w:val="left"/>
              <w:rPr/>
            </w:pPr>
            <w:r>
              <w:rPr/>
              <w:t> </w:t>
            </w:r>
          </w:p>
        </w:tc>
      </w:tr>
      <w:tr>
        <w:trPr/>
        <w:tc>
          <w:tcPr>
            <w:tcW w:w="42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4.4</w:t>
            </w:r>
          </w:p>
        </w:tc>
        <w:tc>
          <w:tcPr>
            <w:tcW w:w="290" w:type="dxa"/>
            <w:tcBorders/>
            <w:shd w:fill="auto" w:val="clear"/>
            <w:vAlign w:val="center"/>
          </w:tcPr>
          <w:p>
            <w:pPr>
              <w:pStyle w:val="TableContents"/>
              <w:spacing w:before="0" w:after="0"/>
              <w:ind w:left="0" w:right="0" w:firstLine="30"/>
              <w:jc w:val="center"/>
              <w:rPr/>
            </w:pPr>
            <w:r>
              <w:rPr/>
              <w:t>—</w:t>
            </w:r>
          </w:p>
        </w:tc>
        <w:tc>
          <w:tcPr>
            <w:tcW w:w="9490" w:type="dxa"/>
            <w:tcBorders/>
            <w:shd w:fill="auto" w:val="clear"/>
            <w:vAlign w:val="center"/>
          </w:tcPr>
          <w:p>
            <w:pPr>
              <w:pStyle w:val="TableContents"/>
              <w:spacing w:before="0" w:after="0"/>
              <w:ind w:left="0" w:right="0" w:firstLine="30"/>
              <w:rPr/>
            </w:pPr>
            <w:hyperlink r:id="rId25">
              <w:r>
                <w:rPr>
                  <w:rStyle w:val="InternetLink"/>
                  <w:rFonts w:ascii="inherit" w:hAnsi="inherit"/>
                  <w:color w:val="0000FF"/>
                  <w:sz w:val="17"/>
                  <w:u w:val="single"/>
                </w:rPr>
                <w:t>Seventeenth Supplemental Indenture (5.75% Senior Notes due 2020) dated September 4, 2009 among Plains All American Pipeline, L.P., PAA Finance Corp., the Subsidiary Guarantors named therein and U.S. Bank National Association, as trustee (incorporated by reference to Exhibit 4.1 to our Current Report on Form 8-K filed September 4, 2009).</w:t>
              </w:r>
            </w:hyperlink>
          </w:p>
        </w:tc>
      </w:tr>
      <w:tr>
        <w:trPr/>
        <w:tc>
          <w:tcPr>
            <w:tcW w:w="425" w:type="dxa"/>
            <w:tcBorders/>
            <w:shd w:fill="auto" w:val="clear"/>
            <w:vAlign w:val="center"/>
          </w:tcPr>
          <w:p>
            <w:pPr>
              <w:pStyle w:val="TableContents"/>
              <w:spacing w:before="0" w:after="0"/>
              <w:ind w:left="0" w:right="0" w:firstLine="30"/>
              <w:jc w:val="center"/>
              <w:rPr/>
            </w:pPr>
            <w:r>
              <w:rPr/>
              <w:t> </w:t>
            </w:r>
          </w:p>
        </w:tc>
        <w:tc>
          <w:tcPr>
            <w:tcW w:w="290" w:type="dxa"/>
            <w:tcBorders/>
            <w:shd w:fill="auto" w:val="clear"/>
            <w:vAlign w:val="center"/>
          </w:tcPr>
          <w:p>
            <w:pPr>
              <w:pStyle w:val="TableContents"/>
              <w:spacing w:before="0" w:after="0"/>
              <w:ind w:left="0" w:right="0" w:firstLine="30"/>
              <w:jc w:val="center"/>
              <w:rPr/>
            </w:pPr>
            <w:r>
              <w:rPr/>
              <w:t> </w:t>
            </w:r>
          </w:p>
        </w:tc>
        <w:tc>
          <w:tcPr>
            <w:tcW w:w="9490" w:type="dxa"/>
            <w:tcBorders/>
            <w:shd w:fill="auto" w:val="clear"/>
            <w:vAlign w:val="center"/>
          </w:tcPr>
          <w:p>
            <w:pPr>
              <w:pStyle w:val="TableContents"/>
              <w:spacing w:before="0" w:after="0"/>
              <w:ind w:left="0" w:right="0" w:firstLine="30"/>
              <w:jc w:val="left"/>
              <w:rPr/>
            </w:pPr>
            <w:r>
              <w:rPr/>
              <w:t> </w:t>
            </w:r>
          </w:p>
        </w:tc>
      </w:tr>
      <w:tr>
        <w:trPr/>
        <w:tc>
          <w:tcPr>
            <w:tcW w:w="42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4.5</w:t>
            </w:r>
          </w:p>
        </w:tc>
        <w:tc>
          <w:tcPr>
            <w:tcW w:w="290" w:type="dxa"/>
            <w:tcBorders/>
            <w:shd w:fill="auto" w:val="clear"/>
            <w:vAlign w:val="center"/>
          </w:tcPr>
          <w:p>
            <w:pPr>
              <w:pStyle w:val="TableContents"/>
              <w:spacing w:before="0" w:after="0"/>
              <w:ind w:left="0" w:right="0" w:firstLine="30"/>
              <w:jc w:val="center"/>
              <w:rPr/>
            </w:pPr>
            <w:r>
              <w:rPr/>
              <w:t>—</w:t>
            </w:r>
          </w:p>
        </w:tc>
        <w:tc>
          <w:tcPr>
            <w:tcW w:w="9490" w:type="dxa"/>
            <w:tcBorders/>
            <w:shd w:fill="auto" w:val="clear"/>
            <w:vAlign w:val="center"/>
          </w:tcPr>
          <w:p>
            <w:pPr>
              <w:pStyle w:val="TableContents"/>
              <w:spacing w:before="0" w:after="0"/>
              <w:ind w:left="0" w:right="0" w:firstLine="30"/>
              <w:rPr/>
            </w:pPr>
            <w:hyperlink r:id="rId26">
              <w:r>
                <w:rPr>
                  <w:rStyle w:val="InternetLink"/>
                  <w:rFonts w:ascii="inherit" w:hAnsi="inherit"/>
                  <w:color w:val="0000FF"/>
                  <w:sz w:val="17"/>
                  <w:u w:val="single"/>
                </w:rPr>
                <w:t>Nineteenth Supplemental Indenture (5.00% Senior Notes due 2021) dated January 14, 2011 among Plains All American Pipeline, L.P., PAA Finance Corp., the Subsidiary Guarantors named therein and U.S. Bank National Association, as trustee (incorporated by reference to Exhibit 4.1 to our Current Report on Form 8-K filed January 11, 2011).</w:t>
              </w:r>
            </w:hyperlink>
          </w:p>
        </w:tc>
      </w:tr>
      <w:tr>
        <w:trPr/>
        <w:tc>
          <w:tcPr>
            <w:tcW w:w="425" w:type="dxa"/>
            <w:tcBorders/>
            <w:shd w:fill="auto" w:val="clear"/>
            <w:vAlign w:val="center"/>
          </w:tcPr>
          <w:p>
            <w:pPr>
              <w:pStyle w:val="TableContents"/>
              <w:spacing w:before="0" w:after="0"/>
              <w:ind w:left="0" w:right="0" w:firstLine="30"/>
              <w:jc w:val="center"/>
              <w:rPr/>
            </w:pPr>
            <w:r>
              <w:rPr/>
              <w:t> </w:t>
            </w:r>
          </w:p>
        </w:tc>
        <w:tc>
          <w:tcPr>
            <w:tcW w:w="290" w:type="dxa"/>
            <w:tcBorders/>
            <w:shd w:fill="auto" w:val="clear"/>
            <w:vAlign w:val="center"/>
          </w:tcPr>
          <w:p>
            <w:pPr>
              <w:pStyle w:val="TableContents"/>
              <w:spacing w:before="0" w:after="0"/>
              <w:ind w:left="0" w:right="0" w:firstLine="30"/>
              <w:jc w:val="center"/>
              <w:rPr/>
            </w:pPr>
            <w:r>
              <w:rPr/>
              <w:t> </w:t>
            </w:r>
          </w:p>
        </w:tc>
        <w:tc>
          <w:tcPr>
            <w:tcW w:w="9490" w:type="dxa"/>
            <w:tcBorders/>
            <w:shd w:fill="auto" w:val="clear"/>
            <w:vAlign w:val="center"/>
          </w:tcPr>
          <w:p>
            <w:pPr>
              <w:pStyle w:val="TableContents"/>
              <w:spacing w:before="0" w:after="0"/>
              <w:ind w:left="0" w:right="0" w:firstLine="30"/>
              <w:jc w:val="left"/>
              <w:rPr/>
            </w:pPr>
            <w:r>
              <w:rPr/>
              <w:t> </w:t>
            </w:r>
          </w:p>
        </w:tc>
      </w:tr>
      <w:tr>
        <w:trPr/>
        <w:tc>
          <w:tcPr>
            <w:tcW w:w="42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4.6</w:t>
            </w:r>
          </w:p>
        </w:tc>
        <w:tc>
          <w:tcPr>
            <w:tcW w:w="290" w:type="dxa"/>
            <w:tcBorders/>
            <w:shd w:fill="auto" w:val="clear"/>
            <w:vAlign w:val="center"/>
          </w:tcPr>
          <w:p>
            <w:pPr>
              <w:pStyle w:val="TableContents"/>
              <w:spacing w:before="0" w:after="0"/>
              <w:ind w:left="0" w:right="0" w:firstLine="30"/>
              <w:jc w:val="center"/>
              <w:rPr/>
            </w:pPr>
            <w:r>
              <w:rPr/>
              <w:t>—</w:t>
            </w:r>
          </w:p>
        </w:tc>
        <w:tc>
          <w:tcPr>
            <w:tcW w:w="9490" w:type="dxa"/>
            <w:tcBorders/>
            <w:shd w:fill="auto" w:val="clear"/>
            <w:vAlign w:val="center"/>
          </w:tcPr>
          <w:p>
            <w:pPr>
              <w:pStyle w:val="TableContents"/>
              <w:spacing w:before="0" w:after="0"/>
              <w:ind w:left="0" w:right="0" w:firstLine="30"/>
              <w:rPr/>
            </w:pPr>
            <w:hyperlink r:id="rId27">
              <w:r>
                <w:rPr>
                  <w:rStyle w:val="InternetLink"/>
                  <w:rFonts w:ascii="inherit" w:hAnsi="inherit"/>
                  <w:color w:val="0000FF"/>
                  <w:sz w:val="17"/>
                  <w:u w:val="single"/>
                </w:rPr>
                <w:t>Twentieth Supplemental Indenture (3.65% Senior Notes due 2022) dated March 22, 2012 among Plains All American Pipeline, L.P., PAA Finance Corp. and U.S. Bank National Association, as trustee (incorporated by reference to Exhibit 4.1 to our Current Report on Form 8-K filed March 26, 2012).</w:t>
              </w:r>
            </w:hyperlink>
          </w:p>
        </w:tc>
      </w:tr>
      <w:tr>
        <w:trPr/>
        <w:tc>
          <w:tcPr>
            <w:tcW w:w="425" w:type="dxa"/>
            <w:tcBorders/>
            <w:shd w:fill="auto" w:val="clear"/>
            <w:vAlign w:val="center"/>
          </w:tcPr>
          <w:p>
            <w:pPr>
              <w:pStyle w:val="TableContents"/>
              <w:spacing w:before="0" w:after="0"/>
              <w:ind w:left="0" w:right="0" w:firstLine="30"/>
              <w:jc w:val="center"/>
              <w:rPr/>
            </w:pPr>
            <w:r>
              <w:rPr/>
              <w:t> </w:t>
            </w:r>
          </w:p>
        </w:tc>
        <w:tc>
          <w:tcPr>
            <w:tcW w:w="290" w:type="dxa"/>
            <w:tcBorders/>
            <w:shd w:fill="auto" w:val="clear"/>
            <w:vAlign w:val="center"/>
          </w:tcPr>
          <w:p>
            <w:pPr>
              <w:pStyle w:val="TableContents"/>
              <w:spacing w:before="0" w:after="0"/>
              <w:ind w:left="0" w:right="0" w:firstLine="30"/>
              <w:jc w:val="center"/>
              <w:rPr/>
            </w:pPr>
            <w:r>
              <w:rPr/>
              <w:t> </w:t>
            </w:r>
          </w:p>
        </w:tc>
        <w:tc>
          <w:tcPr>
            <w:tcW w:w="9490" w:type="dxa"/>
            <w:tcBorders/>
            <w:shd w:fill="auto" w:val="clear"/>
            <w:vAlign w:val="center"/>
          </w:tcPr>
          <w:p>
            <w:pPr>
              <w:pStyle w:val="TableContents"/>
              <w:spacing w:before="0" w:after="0"/>
              <w:ind w:left="0" w:right="0" w:firstLine="30"/>
              <w:jc w:val="left"/>
              <w:rPr/>
            </w:pPr>
            <w:r>
              <w:rPr/>
              <w:t> </w:t>
            </w:r>
          </w:p>
        </w:tc>
      </w:tr>
      <w:tr>
        <w:trPr/>
        <w:tc>
          <w:tcPr>
            <w:tcW w:w="42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4.7</w:t>
            </w:r>
          </w:p>
        </w:tc>
        <w:tc>
          <w:tcPr>
            <w:tcW w:w="290" w:type="dxa"/>
            <w:tcBorders/>
            <w:shd w:fill="auto" w:val="clear"/>
            <w:vAlign w:val="center"/>
          </w:tcPr>
          <w:p>
            <w:pPr>
              <w:pStyle w:val="TableContents"/>
              <w:spacing w:before="0" w:after="0"/>
              <w:ind w:left="0" w:right="0" w:firstLine="30"/>
              <w:jc w:val="center"/>
              <w:rPr/>
            </w:pPr>
            <w:r>
              <w:rPr/>
              <w:t>—</w:t>
            </w:r>
          </w:p>
        </w:tc>
        <w:tc>
          <w:tcPr>
            <w:tcW w:w="9490" w:type="dxa"/>
            <w:tcBorders/>
            <w:shd w:fill="auto" w:val="clear"/>
            <w:vAlign w:val="center"/>
          </w:tcPr>
          <w:p>
            <w:pPr>
              <w:pStyle w:val="TableContents"/>
              <w:spacing w:before="0" w:after="0"/>
              <w:ind w:left="0" w:right="0" w:firstLine="30"/>
              <w:rPr/>
            </w:pPr>
            <w:hyperlink r:id="rId28">
              <w:r>
                <w:rPr>
                  <w:rStyle w:val="InternetLink"/>
                  <w:rFonts w:ascii="inherit" w:hAnsi="inherit"/>
                  <w:color w:val="0000FF"/>
                  <w:sz w:val="17"/>
                  <w:u w:val="single"/>
                </w:rPr>
                <w:t>Twenty-First Supplemental Indenture (5.15% Senior Notes due 2042) dated March 22, 2012 among Plains All American Pipeline, L.P., PAA Finance Corp. and U.S. Bank National Association, as trustee (incorporated by reference to Exhibit 4.3 to our Current Report on Form 8-K filed March 26, 2012).</w:t>
              </w:r>
            </w:hyperlink>
          </w:p>
        </w:tc>
      </w:tr>
      <w:tr>
        <w:trPr/>
        <w:tc>
          <w:tcPr>
            <w:tcW w:w="425" w:type="dxa"/>
            <w:tcBorders/>
            <w:shd w:fill="auto" w:val="clear"/>
            <w:vAlign w:val="center"/>
          </w:tcPr>
          <w:p>
            <w:pPr>
              <w:pStyle w:val="TableContents"/>
              <w:spacing w:before="0" w:after="0"/>
              <w:ind w:left="0" w:right="0" w:firstLine="30"/>
              <w:jc w:val="center"/>
              <w:rPr/>
            </w:pPr>
            <w:r>
              <w:rPr/>
              <w:t> </w:t>
            </w:r>
          </w:p>
        </w:tc>
        <w:tc>
          <w:tcPr>
            <w:tcW w:w="290" w:type="dxa"/>
            <w:tcBorders/>
            <w:shd w:fill="auto" w:val="clear"/>
            <w:vAlign w:val="center"/>
          </w:tcPr>
          <w:p>
            <w:pPr>
              <w:pStyle w:val="TableContents"/>
              <w:spacing w:before="0" w:after="0"/>
              <w:ind w:left="0" w:right="0" w:firstLine="30"/>
              <w:rPr/>
            </w:pPr>
            <w:r>
              <w:rPr/>
              <w:t> </w:t>
            </w:r>
          </w:p>
        </w:tc>
        <w:tc>
          <w:tcPr>
            <w:tcW w:w="9490" w:type="dxa"/>
            <w:tcBorders/>
            <w:shd w:fill="auto" w:val="clear"/>
            <w:vAlign w:val="center"/>
          </w:tcPr>
          <w:p>
            <w:pPr>
              <w:pStyle w:val="TableContents"/>
              <w:spacing w:before="0" w:after="0"/>
              <w:ind w:left="0" w:right="0" w:firstLine="30"/>
              <w:rPr/>
            </w:pPr>
            <w:r>
              <w:rPr/>
              <w:t> </w:t>
            </w:r>
          </w:p>
        </w:tc>
      </w:tr>
      <w:tr>
        <w:trPr/>
        <w:tc>
          <w:tcPr>
            <w:tcW w:w="42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4.8</w:t>
            </w:r>
          </w:p>
        </w:tc>
        <w:tc>
          <w:tcPr>
            <w:tcW w:w="290" w:type="dxa"/>
            <w:tcBorders/>
            <w:shd w:fill="auto" w:val="clear"/>
            <w:vAlign w:val="center"/>
          </w:tcPr>
          <w:p>
            <w:pPr>
              <w:pStyle w:val="TableContents"/>
              <w:spacing w:before="0" w:after="0"/>
              <w:ind w:left="0" w:right="0" w:firstLine="30"/>
              <w:jc w:val="center"/>
              <w:rPr/>
            </w:pPr>
            <w:r>
              <w:rPr/>
              <w:t>—</w:t>
            </w:r>
          </w:p>
        </w:tc>
        <w:tc>
          <w:tcPr>
            <w:tcW w:w="9490" w:type="dxa"/>
            <w:tcBorders/>
            <w:shd w:fill="auto" w:val="clear"/>
            <w:vAlign w:val="center"/>
          </w:tcPr>
          <w:p>
            <w:pPr>
              <w:pStyle w:val="TableContents"/>
              <w:spacing w:before="0" w:after="0"/>
              <w:ind w:left="0" w:right="0" w:firstLine="30"/>
              <w:rPr/>
            </w:pPr>
            <w:hyperlink r:id="rId29">
              <w:r>
                <w:rPr>
                  <w:rStyle w:val="InternetLink"/>
                  <w:rFonts w:ascii="inherit" w:hAnsi="inherit"/>
                  <w:color w:val="0000FF"/>
                  <w:sz w:val="17"/>
                  <w:u w:val="single"/>
                </w:rPr>
                <w:t>Twenty-Second Supplemental Indenture (2.85% Senior Notes due 2023) dated December 10, 2012, by and among Plains All American Pipeline, L.P., PAA Finance Corp. and U.S. Bank National Association, as trustee (incorporated by reference to Exhibit 4.1 to our Current Report on Form 8-K filed December 12, 2012).</w:t>
              </w:r>
            </w:hyperlink>
          </w:p>
        </w:tc>
      </w:tr>
      <w:tr>
        <w:trPr/>
        <w:tc>
          <w:tcPr>
            <w:tcW w:w="425" w:type="dxa"/>
            <w:tcBorders/>
            <w:shd w:fill="auto" w:val="clear"/>
            <w:vAlign w:val="center"/>
          </w:tcPr>
          <w:p>
            <w:pPr>
              <w:pStyle w:val="TableContents"/>
              <w:spacing w:before="0" w:after="0"/>
              <w:ind w:left="0" w:right="0" w:firstLine="30"/>
              <w:jc w:val="center"/>
              <w:rPr/>
            </w:pPr>
            <w:r>
              <w:rPr/>
              <w:t> </w:t>
            </w:r>
          </w:p>
        </w:tc>
        <w:tc>
          <w:tcPr>
            <w:tcW w:w="290" w:type="dxa"/>
            <w:tcBorders/>
            <w:shd w:fill="auto" w:val="clear"/>
            <w:vAlign w:val="center"/>
          </w:tcPr>
          <w:p>
            <w:pPr>
              <w:pStyle w:val="TableContents"/>
              <w:spacing w:before="0" w:after="0"/>
              <w:ind w:left="0" w:right="0" w:firstLine="30"/>
              <w:rPr/>
            </w:pPr>
            <w:r>
              <w:rPr/>
              <w:t> </w:t>
            </w:r>
          </w:p>
        </w:tc>
        <w:tc>
          <w:tcPr>
            <w:tcW w:w="9490" w:type="dxa"/>
            <w:tcBorders/>
            <w:shd w:fill="auto" w:val="clear"/>
            <w:vAlign w:val="center"/>
          </w:tcPr>
          <w:p>
            <w:pPr>
              <w:pStyle w:val="TableContents"/>
              <w:spacing w:before="0" w:after="0"/>
              <w:ind w:left="0" w:right="0" w:firstLine="30"/>
              <w:rPr/>
            </w:pPr>
            <w:r>
              <w:rPr/>
              <w:t> </w:t>
            </w:r>
          </w:p>
        </w:tc>
      </w:tr>
      <w:tr>
        <w:trPr/>
        <w:tc>
          <w:tcPr>
            <w:tcW w:w="42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4.9</w:t>
            </w:r>
          </w:p>
        </w:tc>
        <w:tc>
          <w:tcPr>
            <w:tcW w:w="290" w:type="dxa"/>
            <w:tcBorders/>
            <w:shd w:fill="auto" w:val="clear"/>
            <w:vAlign w:val="center"/>
          </w:tcPr>
          <w:p>
            <w:pPr>
              <w:pStyle w:val="TableContents"/>
              <w:spacing w:before="0" w:after="0"/>
              <w:ind w:left="0" w:right="0" w:firstLine="30"/>
              <w:jc w:val="center"/>
              <w:rPr/>
            </w:pPr>
            <w:r>
              <w:rPr/>
              <w:t>—</w:t>
            </w:r>
          </w:p>
        </w:tc>
        <w:tc>
          <w:tcPr>
            <w:tcW w:w="9490" w:type="dxa"/>
            <w:tcBorders/>
            <w:shd w:fill="auto" w:val="clear"/>
            <w:vAlign w:val="center"/>
          </w:tcPr>
          <w:p>
            <w:pPr>
              <w:pStyle w:val="TableContents"/>
              <w:spacing w:before="0" w:after="0"/>
              <w:ind w:left="0" w:right="0" w:firstLine="30"/>
              <w:rPr/>
            </w:pPr>
            <w:hyperlink r:id="rId30">
              <w:r>
                <w:rPr>
                  <w:rStyle w:val="InternetLink"/>
                  <w:rFonts w:ascii="inherit" w:hAnsi="inherit"/>
                  <w:color w:val="0000FF"/>
                  <w:sz w:val="17"/>
                  <w:u w:val="single"/>
                </w:rPr>
                <w:t>Twenty-Third Supplemental Indenture (4.30% Senior Notes due 2043) dated December 10, 2012, by and among Plains All American Pipeline, L.P., PAA Finance Corp. and U.S. Bank National Association, as trustee (incorporated by reference to Exhibit 4.3 to our Current Report on Form 8-K filed December 12, 2012).</w:t>
              </w:r>
            </w:hyperlink>
          </w:p>
        </w:tc>
      </w:tr>
      <w:tr>
        <w:trPr/>
        <w:tc>
          <w:tcPr>
            <w:tcW w:w="425" w:type="dxa"/>
            <w:tcBorders/>
            <w:shd w:fill="auto" w:val="clear"/>
            <w:vAlign w:val="center"/>
          </w:tcPr>
          <w:p>
            <w:pPr>
              <w:pStyle w:val="TableContents"/>
              <w:spacing w:before="0" w:after="0"/>
              <w:ind w:left="0" w:right="0" w:firstLine="30"/>
              <w:rPr/>
            </w:pPr>
            <w:r>
              <w:rPr/>
              <w:t> </w:t>
            </w:r>
          </w:p>
        </w:tc>
        <w:tc>
          <w:tcPr>
            <w:tcW w:w="290" w:type="dxa"/>
            <w:tcBorders/>
            <w:shd w:fill="auto" w:val="clear"/>
            <w:vAlign w:val="center"/>
          </w:tcPr>
          <w:p>
            <w:pPr>
              <w:pStyle w:val="TableContents"/>
              <w:spacing w:before="0" w:after="0"/>
              <w:ind w:left="0" w:right="0" w:firstLine="30"/>
              <w:rPr/>
            </w:pPr>
            <w:r>
              <w:rPr/>
              <w:t> </w:t>
            </w:r>
          </w:p>
        </w:tc>
        <w:tc>
          <w:tcPr>
            <w:tcW w:w="9490" w:type="dxa"/>
            <w:tcBorders/>
            <w:shd w:fill="auto" w:val="clear"/>
            <w:vAlign w:val="center"/>
          </w:tcPr>
          <w:p>
            <w:pPr>
              <w:pStyle w:val="TableContents"/>
              <w:spacing w:before="0" w:after="0"/>
              <w:ind w:left="0" w:right="0" w:firstLine="30"/>
              <w:rPr/>
            </w:pPr>
            <w:r>
              <w:rPr/>
              <w:t> </w:t>
            </w:r>
          </w:p>
        </w:tc>
      </w:tr>
      <w:tr>
        <w:trPr/>
        <w:tc>
          <w:tcPr>
            <w:tcW w:w="42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4.10</w:t>
            </w:r>
          </w:p>
        </w:tc>
        <w:tc>
          <w:tcPr>
            <w:tcW w:w="290" w:type="dxa"/>
            <w:tcBorders/>
            <w:shd w:fill="auto" w:val="clear"/>
            <w:vAlign w:val="center"/>
          </w:tcPr>
          <w:p>
            <w:pPr>
              <w:pStyle w:val="TableContents"/>
              <w:spacing w:before="0" w:after="0"/>
              <w:ind w:left="0" w:right="0" w:firstLine="30"/>
              <w:jc w:val="center"/>
              <w:rPr/>
            </w:pPr>
            <w:r>
              <w:rPr/>
              <w:t>—</w:t>
            </w:r>
          </w:p>
        </w:tc>
        <w:tc>
          <w:tcPr>
            <w:tcW w:w="9490" w:type="dxa"/>
            <w:tcBorders/>
            <w:shd w:fill="auto" w:val="clear"/>
            <w:vAlign w:val="center"/>
          </w:tcPr>
          <w:p>
            <w:pPr>
              <w:pStyle w:val="TableContents"/>
              <w:spacing w:before="0" w:after="0"/>
              <w:ind w:left="0" w:right="0" w:firstLine="30"/>
              <w:rPr/>
            </w:pPr>
            <w:hyperlink r:id="rId31">
              <w:r>
                <w:rPr>
                  <w:rStyle w:val="InternetLink"/>
                  <w:rFonts w:ascii="inherit" w:hAnsi="inherit"/>
                  <w:color w:val="0000FF"/>
                  <w:sz w:val="17"/>
                  <w:u w:val="single"/>
                </w:rPr>
                <w:t>Twenty-Fourth Supplemental Indenture (3.85% Senior Notes due 2023) dated August 15, 2013, by and among Plains All American Pipeline, L.P., PAA Finance Corp. and U.S. Bank National Association, as trustee (incorporated by reference to Exhibit 4.1 to our Current Report on Form 8-K filed August 15, 2013).</w:t>
              </w:r>
            </w:hyperlink>
          </w:p>
        </w:tc>
      </w:tr>
      <w:tr>
        <w:trPr/>
        <w:tc>
          <w:tcPr>
            <w:tcW w:w="425" w:type="dxa"/>
            <w:tcBorders/>
            <w:shd w:fill="auto" w:val="clear"/>
            <w:vAlign w:val="center"/>
          </w:tcPr>
          <w:p>
            <w:pPr>
              <w:pStyle w:val="TableContents"/>
              <w:spacing w:before="0" w:after="0"/>
              <w:ind w:left="0" w:right="0" w:firstLine="30"/>
              <w:rPr/>
            </w:pPr>
            <w:r>
              <w:rPr/>
              <w:t> </w:t>
            </w:r>
          </w:p>
        </w:tc>
        <w:tc>
          <w:tcPr>
            <w:tcW w:w="290" w:type="dxa"/>
            <w:tcBorders/>
            <w:shd w:fill="auto" w:val="clear"/>
            <w:vAlign w:val="center"/>
          </w:tcPr>
          <w:p>
            <w:pPr>
              <w:pStyle w:val="TableContents"/>
              <w:spacing w:before="0" w:after="0"/>
              <w:ind w:left="0" w:right="0" w:firstLine="30"/>
              <w:rPr/>
            </w:pPr>
            <w:r>
              <w:rPr/>
              <w:t> </w:t>
            </w:r>
          </w:p>
        </w:tc>
        <w:tc>
          <w:tcPr>
            <w:tcW w:w="9490" w:type="dxa"/>
            <w:tcBorders/>
            <w:shd w:fill="auto" w:val="clear"/>
            <w:vAlign w:val="center"/>
          </w:tcPr>
          <w:p>
            <w:pPr>
              <w:pStyle w:val="TableContents"/>
              <w:spacing w:before="0" w:after="0"/>
              <w:ind w:left="0" w:right="0" w:firstLine="30"/>
              <w:rPr/>
            </w:pPr>
            <w:r>
              <w:rPr/>
              <w:t> </w:t>
            </w:r>
          </w:p>
        </w:tc>
      </w:tr>
      <w:tr>
        <w:trPr/>
        <w:tc>
          <w:tcPr>
            <w:tcW w:w="425"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4.11</w:t>
            </w:r>
          </w:p>
        </w:tc>
        <w:tc>
          <w:tcPr>
            <w:tcW w:w="290" w:type="dxa"/>
            <w:tcBorders/>
            <w:shd w:fill="auto" w:val="clear"/>
            <w:vAlign w:val="center"/>
          </w:tcPr>
          <w:p>
            <w:pPr>
              <w:pStyle w:val="TableContents"/>
              <w:spacing w:before="0" w:after="0"/>
              <w:ind w:left="0" w:right="0" w:firstLine="30"/>
              <w:jc w:val="center"/>
              <w:rPr/>
            </w:pPr>
            <w:r>
              <w:rPr/>
              <w:t>—</w:t>
            </w:r>
          </w:p>
        </w:tc>
        <w:tc>
          <w:tcPr>
            <w:tcW w:w="9490" w:type="dxa"/>
            <w:tcBorders/>
            <w:shd w:fill="auto" w:val="clear"/>
            <w:vAlign w:val="center"/>
          </w:tcPr>
          <w:p>
            <w:pPr>
              <w:pStyle w:val="TableContents"/>
              <w:spacing w:before="0" w:after="0"/>
              <w:ind w:left="0" w:right="0" w:firstLine="30"/>
              <w:rPr/>
            </w:pPr>
            <w:hyperlink r:id="rId32">
              <w:r>
                <w:rPr>
                  <w:rStyle w:val="InternetLink"/>
                  <w:rFonts w:ascii="inherit" w:hAnsi="inherit"/>
                  <w:color w:val="0000FF"/>
                  <w:sz w:val="17"/>
                  <w:u w:val="single"/>
                </w:rPr>
                <w:t>Twenty-Fifth Supplemental Indenture (4.70% Senior Notes due 2044) dated April 23, 2014, by and among Plains All American Pipeline, L.P., PAA Finance Corp. and U.S. Bank National Association, as trustee (incorporated by reference to Exhibit 4.1 to our Current Report on Form 8-K filed April 29, 2014)</w:t>
              </w:r>
            </w:hyperlink>
            <w:r>
              <w:rPr>
                <w:rFonts w:ascii="inherit" w:hAnsi="inherit"/>
                <w:sz w:val="17"/>
              </w:rPr>
              <w:t>.</w:t>
            </w:r>
          </w:p>
        </w:tc>
      </w:tr>
      <w:tr>
        <w:trPr/>
        <w:tc>
          <w:tcPr>
            <w:tcW w:w="425" w:type="dxa"/>
            <w:tcBorders/>
            <w:shd w:fill="auto" w:val="clear"/>
            <w:vAlign w:val="center"/>
          </w:tcPr>
          <w:p>
            <w:pPr>
              <w:pStyle w:val="TableContents"/>
              <w:spacing w:before="0" w:after="0"/>
              <w:ind w:left="0" w:right="0" w:firstLine="30"/>
              <w:rPr/>
            </w:pPr>
            <w:r>
              <w:rPr/>
              <w:t> </w:t>
            </w:r>
          </w:p>
        </w:tc>
        <w:tc>
          <w:tcPr>
            <w:tcW w:w="290" w:type="dxa"/>
            <w:tcBorders/>
            <w:shd w:fill="auto" w:val="clear"/>
            <w:vAlign w:val="center"/>
          </w:tcPr>
          <w:p>
            <w:pPr>
              <w:pStyle w:val="TableContents"/>
              <w:spacing w:before="0" w:after="0"/>
              <w:ind w:left="0" w:right="0" w:firstLine="30"/>
              <w:jc w:val="center"/>
              <w:rPr/>
            </w:pPr>
            <w:r>
              <w:rPr/>
              <w:t> </w:t>
            </w:r>
          </w:p>
        </w:tc>
        <w:tc>
          <w:tcPr>
            <w:tcW w:w="9490" w:type="dxa"/>
            <w:tcBorders/>
            <w:shd w:fill="auto" w:val="clear"/>
            <w:vAlign w:val="center"/>
          </w:tcPr>
          <w:p>
            <w:pPr>
              <w:pStyle w:val="TableContents"/>
              <w:spacing w:before="0" w:after="0"/>
              <w:jc w:val="left"/>
              <w:rPr/>
            </w:pPr>
            <w:r>
              <w:rPr/>
              <w:t> </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71</w:t>
      </w:r>
      <w:r>
        <w:br w:type="page"/>
      </w:r>
    </w:p>
    <w:p>
      <w:pPr>
        <w:pStyle w:val="TextBody"/>
        <w:spacing w:lineRule="auto" w:line="288" w:before="0" w:after="0"/>
        <w:rPr/>
      </w:pPr>
      <w:hyperlink w:anchor="s3336AD8A685850CC9B7F2572CB2C0BC3">
        <w:r>
          <w:rPr>
            <w:rStyle w:val="InternetLink"/>
            <w:rFonts w:ascii="inherit" w:hAnsi="inherit"/>
            <w:sz w:val="17"/>
          </w:rPr>
          <w:t>Table of Contents</w:t>
        </w:r>
      </w:hyperlink>
      <w:r>
        <w:rPr>
          <w:sz w:val="17"/>
        </w:rPr>
        <w:t xml:space="preserve"> </w:t>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564"/>
        <w:gridCol w:w="290"/>
        <w:gridCol w:w="9351"/>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564"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935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6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4.12</w:t>
            </w:r>
          </w:p>
        </w:tc>
        <w:tc>
          <w:tcPr>
            <w:tcW w:w="290" w:type="dxa"/>
            <w:tcBorders/>
            <w:shd w:fill="auto" w:val="clear"/>
            <w:vAlign w:val="center"/>
          </w:tcPr>
          <w:p>
            <w:pPr>
              <w:pStyle w:val="TableContents"/>
              <w:spacing w:before="0" w:after="0"/>
              <w:ind w:left="0" w:right="0" w:firstLine="30"/>
              <w:jc w:val="center"/>
              <w:rPr/>
            </w:pPr>
            <w:r>
              <w:rPr/>
              <w:t>—</w:t>
            </w:r>
          </w:p>
        </w:tc>
        <w:tc>
          <w:tcPr>
            <w:tcW w:w="9351" w:type="dxa"/>
            <w:tcBorders/>
            <w:shd w:fill="auto" w:val="clear"/>
            <w:vAlign w:val="center"/>
          </w:tcPr>
          <w:p>
            <w:pPr>
              <w:pStyle w:val="TableContents"/>
              <w:spacing w:before="0" w:after="0"/>
              <w:ind w:left="0" w:right="0" w:firstLine="30"/>
              <w:rPr/>
            </w:pPr>
            <w:hyperlink r:id="rId33">
              <w:r>
                <w:rPr>
                  <w:rStyle w:val="InternetLink"/>
                  <w:rFonts w:ascii="inherit" w:hAnsi="inherit"/>
                  <w:color w:val="0000FF"/>
                  <w:sz w:val="17"/>
                  <w:u w:val="single"/>
                </w:rPr>
                <w:t>Twenty-Sixth Supplemental Indenture (3.60% Senior Notes due 2024) dated September 9, 2014, by and among Plains All American Pipeline, L.P., PAA Finance Corp. and U.S. Bank National Association, as trustee (incorporated by reference to Exhibit 4.1 to our Current Report on Form 8-K filed September 11, 2014).</w:t>
              </w:r>
            </w:hyperlink>
          </w:p>
        </w:tc>
      </w:tr>
      <w:tr>
        <w:trPr/>
        <w:tc>
          <w:tcPr>
            <w:tcW w:w="564" w:type="dxa"/>
            <w:tcBorders/>
            <w:shd w:fill="auto" w:val="clear"/>
            <w:vAlign w:val="center"/>
          </w:tcPr>
          <w:p>
            <w:pPr>
              <w:pStyle w:val="TableContents"/>
              <w:spacing w:before="0" w:after="0"/>
              <w:ind w:left="0" w:right="0" w:firstLine="30"/>
              <w:rPr/>
            </w:pPr>
            <w:r>
              <w:rPr/>
              <w:t> </w:t>
            </w:r>
          </w:p>
        </w:tc>
        <w:tc>
          <w:tcPr>
            <w:tcW w:w="290" w:type="dxa"/>
            <w:tcBorders/>
            <w:shd w:fill="auto" w:val="clear"/>
            <w:vAlign w:val="center"/>
          </w:tcPr>
          <w:p>
            <w:pPr>
              <w:pStyle w:val="TableContents"/>
              <w:spacing w:before="0" w:after="0"/>
              <w:ind w:left="0" w:right="0" w:firstLine="30"/>
              <w:jc w:val="center"/>
              <w:rPr/>
            </w:pPr>
            <w:r>
              <w:rPr/>
              <w:t> </w:t>
            </w:r>
          </w:p>
        </w:tc>
        <w:tc>
          <w:tcPr>
            <w:tcW w:w="9351" w:type="dxa"/>
            <w:tcBorders/>
            <w:shd w:fill="auto" w:val="clear"/>
            <w:vAlign w:val="center"/>
          </w:tcPr>
          <w:p>
            <w:pPr>
              <w:pStyle w:val="TableContents"/>
              <w:spacing w:before="0" w:after="0"/>
              <w:ind w:left="0" w:right="0" w:firstLine="30"/>
              <w:jc w:val="left"/>
              <w:rPr/>
            </w:pPr>
            <w:r>
              <w:rPr/>
              <w:t> </w:t>
            </w:r>
          </w:p>
        </w:tc>
      </w:tr>
      <w:tr>
        <w:trPr/>
        <w:tc>
          <w:tcPr>
            <w:tcW w:w="56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4.13</w:t>
            </w:r>
          </w:p>
        </w:tc>
        <w:tc>
          <w:tcPr>
            <w:tcW w:w="290" w:type="dxa"/>
            <w:tcBorders/>
            <w:shd w:fill="auto" w:val="clear"/>
            <w:vAlign w:val="center"/>
          </w:tcPr>
          <w:p>
            <w:pPr>
              <w:pStyle w:val="TableContents"/>
              <w:spacing w:before="0" w:after="0"/>
              <w:ind w:left="0" w:right="0" w:firstLine="30"/>
              <w:jc w:val="center"/>
              <w:rPr/>
            </w:pPr>
            <w:r>
              <w:rPr/>
              <w:t>—</w:t>
            </w:r>
          </w:p>
        </w:tc>
        <w:tc>
          <w:tcPr>
            <w:tcW w:w="9351" w:type="dxa"/>
            <w:tcBorders/>
            <w:shd w:fill="auto" w:val="clear"/>
            <w:vAlign w:val="center"/>
          </w:tcPr>
          <w:p>
            <w:pPr>
              <w:pStyle w:val="TableContents"/>
              <w:spacing w:before="0" w:after="0"/>
              <w:ind w:left="0" w:right="0" w:firstLine="30"/>
              <w:rPr/>
            </w:pPr>
            <w:hyperlink r:id="rId34">
              <w:r>
                <w:rPr>
                  <w:rStyle w:val="InternetLink"/>
                  <w:rFonts w:ascii="inherit" w:hAnsi="inherit"/>
                  <w:color w:val="0000FF"/>
                  <w:sz w:val="17"/>
                  <w:u w:val="single"/>
                </w:rPr>
                <w:t>Twenty-Seventh Supplemental Indenture (2.60% Senior Notes due 2019) dated December 9, 2014, by and among Plains All American Pipeline, L.P., PAA Finance Corp. and U.S. Bank National Association, as trustee (incorporated by reference to Exhibit 4.1 to our Current Report on Form 8-K filed December 11, 2014).</w:t>
              </w:r>
            </w:hyperlink>
          </w:p>
        </w:tc>
      </w:tr>
      <w:tr>
        <w:trPr/>
        <w:tc>
          <w:tcPr>
            <w:tcW w:w="564" w:type="dxa"/>
            <w:tcBorders/>
            <w:shd w:fill="auto" w:val="clear"/>
            <w:vAlign w:val="center"/>
          </w:tcPr>
          <w:p>
            <w:pPr>
              <w:pStyle w:val="TableContents"/>
              <w:spacing w:before="0" w:after="0"/>
              <w:ind w:left="0" w:right="0" w:firstLine="30"/>
              <w:jc w:val="center"/>
              <w:rPr/>
            </w:pPr>
            <w:r>
              <w:rPr/>
              <w:t> </w:t>
            </w:r>
          </w:p>
        </w:tc>
        <w:tc>
          <w:tcPr>
            <w:tcW w:w="290" w:type="dxa"/>
            <w:tcBorders/>
            <w:shd w:fill="auto" w:val="clear"/>
            <w:vAlign w:val="center"/>
          </w:tcPr>
          <w:p>
            <w:pPr>
              <w:pStyle w:val="TableContents"/>
              <w:spacing w:before="0" w:after="0"/>
              <w:ind w:left="0" w:right="0" w:firstLine="30"/>
              <w:jc w:val="center"/>
              <w:rPr/>
            </w:pPr>
            <w:r>
              <w:rPr/>
              <w:t> </w:t>
            </w:r>
          </w:p>
        </w:tc>
        <w:tc>
          <w:tcPr>
            <w:tcW w:w="9351" w:type="dxa"/>
            <w:tcBorders/>
            <w:shd w:fill="auto" w:val="clear"/>
            <w:vAlign w:val="center"/>
          </w:tcPr>
          <w:p>
            <w:pPr>
              <w:pStyle w:val="TableContents"/>
              <w:spacing w:before="0" w:after="0"/>
              <w:ind w:left="0" w:right="0" w:firstLine="30"/>
              <w:jc w:val="left"/>
              <w:rPr/>
            </w:pPr>
            <w:r>
              <w:rPr/>
              <w:t> </w:t>
            </w:r>
          </w:p>
        </w:tc>
      </w:tr>
      <w:tr>
        <w:trPr/>
        <w:tc>
          <w:tcPr>
            <w:tcW w:w="56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4.14</w:t>
            </w:r>
          </w:p>
        </w:tc>
        <w:tc>
          <w:tcPr>
            <w:tcW w:w="290" w:type="dxa"/>
            <w:tcBorders/>
            <w:shd w:fill="auto" w:val="clear"/>
            <w:vAlign w:val="center"/>
          </w:tcPr>
          <w:p>
            <w:pPr>
              <w:pStyle w:val="TableContents"/>
              <w:spacing w:before="0" w:after="0"/>
              <w:ind w:left="0" w:right="0" w:firstLine="30"/>
              <w:jc w:val="center"/>
              <w:rPr/>
            </w:pPr>
            <w:r>
              <w:rPr/>
              <w:t>—</w:t>
            </w:r>
          </w:p>
        </w:tc>
        <w:tc>
          <w:tcPr>
            <w:tcW w:w="9351" w:type="dxa"/>
            <w:tcBorders/>
            <w:shd w:fill="auto" w:val="clear"/>
            <w:vAlign w:val="center"/>
          </w:tcPr>
          <w:p>
            <w:pPr>
              <w:pStyle w:val="TableContents"/>
              <w:spacing w:before="0" w:after="0"/>
              <w:ind w:left="0" w:right="0" w:firstLine="30"/>
              <w:rPr/>
            </w:pPr>
            <w:hyperlink r:id="rId35">
              <w:r>
                <w:rPr>
                  <w:rStyle w:val="InternetLink"/>
                  <w:rFonts w:ascii="inherit" w:hAnsi="inherit"/>
                  <w:color w:val="0000FF"/>
                  <w:sz w:val="17"/>
                  <w:u w:val="single"/>
                </w:rPr>
                <w:t>Twenty-Eighth Supplemental Indenture (4.90% Senior Notes due 2045) dated December 9, 2014, by and among Plains All American Pipeline, L.P., PAA Finance Corp. and U.S. Bank National Association, as trustee (incorporated by reference to Exhibit 4.3 to our Current Report on Form 8-K filed December 11, 2014).</w:t>
              </w:r>
            </w:hyperlink>
          </w:p>
        </w:tc>
      </w:tr>
      <w:tr>
        <w:trPr/>
        <w:tc>
          <w:tcPr>
            <w:tcW w:w="564" w:type="dxa"/>
            <w:tcBorders/>
            <w:shd w:fill="auto" w:val="clear"/>
            <w:vAlign w:val="center"/>
          </w:tcPr>
          <w:p>
            <w:pPr>
              <w:pStyle w:val="TableContents"/>
              <w:spacing w:before="0" w:after="0"/>
              <w:ind w:left="0" w:right="0" w:firstLine="30"/>
              <w:jc w:val="center"/>
              <w:rPr/>
            </w:pPr>
            <w:r>
              <w:rPr/>
              <w:t> </w:t>
            </w:r>
          </w:p>
        </w:tc>
        <w:tc>
          <w:tcPr>
            <w:tcW w:w="290" w:type="dxa"/>
            <w:tcBorders/>
            <w:shd w:fill="auto" w:val="clear"/>
            <w:vAlign w:val="center"/>
          </w:tcPr>
          <w:p>
            <w:pPr>
              <w:pStyle w:val="TableContents"/>
              <w:spacing w:before="0" w:after="0"/>
              <w:ind w:left="0" w:right="0" w:firstLine="30"/>
              <w:jc w:val="center"/>
              <w:rPr/>
            </w:pPr>
            <w:r>
              <w:rPr/>
              <w:t> </w:t>
            </w:r>
          </w:p>
        </w:tc>
        <w:tc>
          <w:tcPr>
            <w:tcW w:w="9351" w:type="dxa"/>
            <w:tcBorders/>
            <w:shd w:fill="auto" w:val="clear"/>
            <w:vAlign w:val="center"/>
          </w:tcPr>
          <w:p>
            <w:pPr>
              <w:pStyle w:val="TableContents"/>
              <w:spacing w:before="0" w:after="0"/>
              <w:ind w:left="0" w:right="0" w:firstLine="30"/>
              <w:jc w:val="left"/>
              <w:rPr/>
            </w:pPr>
            <w:r>
              <w:rPr/>
              <w:t> </w:t>
            </w:r>
          </w:p>
        </w:tc>
      </w:tr>
      <w:tr>
        <w:trPr/>
        <w:tc>
          <w:tcPr>
            <w:tcW w:w="56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4.15</w:t>
            </w:r>
          </w:p>
        </w:tc>
        <w:tc>
          <w:tcPr>
            <w:tcW w:w="290" w:type="dxa"/>
            <w:tcBorders/>
            <w:shd w:fill="auto" w:val="clear"/>
            <w:vAlign w:val="center"/>
          </w:tcPr>
          <w:p>
            <w:pPr>
              <w:pStyle w:val="TableContents"/>
              <w:spacing w:before="0" w:after="0"/>
              <w:ind w:left="0" w:right="0" w:firstLine="30"/>
              <w:jc w:val="center"/>
              <w:rPr/>
            </w:pPr>
            <w:r>
              <w:rPr/>
              <w:t>—</w:t>
            </w:r>
          </w:p>
        </w:tc>
        <w:tc>
          <w:tcPr>
            <w:tcW w:w="9351" w:type="dxa"/>
            <w:tcBorders/>
            <w:shd w:fill="auto" w:val="clear"/>
            <w:vAlign w:val="center"/>
          </w:tcPr>
          <w:p>
            <w:pPr>
              <w:pStyle w:val="TableContents"/>
              <w:spacing w:before="0" w:after="0"/>
              <w:ind w:left="0" w:right="0" w:firstLine="30"/>
              <w:rPr/>
            </w:pPr>
            <w:hyperlink r:id="rId36">
              <w:r>
                <w:rPr>
                  <w:rStyle w:val="InternetLink"/>
                  <w:rFonts w:ascii="inherit" w:hAnsi="inherit"/>
                  <w:color w:val="0000FF"/>
                  <w:sz w:val="17"/>
                  <w:u w:val="single"/>
                </w:rPr>
                <w:t>Twenty-Ninth Supplemental Indenture (4.65% Senior Notes due 2025) dated August 24, 2015, by and among Plains All American Pipeline, L.P., PAA Finance Corp. and U.S. Bank National Association, as trustee (incorporated by reference to Exhibit 4.1 to our Current Report on Form 8-K filed August 26, 2015).</w:t>
              </w:r>
            </w:hyperlink>
          </w:p>
        </w:tc>
      </w:tr>
      <w:tr>
        <w:trPr/>
        <w:tc>
          <w:tcPr>
            <w:tcW w:w="564" w:type="dxa"/>
            <w:tcBorders/>
            <w:shd w:fill="auto" w:val="clear"/>
            <w:vAlign w:val="center"/>
          </w:tcPr>
          <w:p>
            <w:pPr>
              <w:pStyle w:val="TableContents"/>
              <w:spacing w:before="0" w:after="0"/>
              <w:ind w:left="0" w:right="0" w:firstLine="30"/>
              <w:jc w:val="center"/>
              <w:rPr/>
            </w:pPr>
            <w:r>
              <w:rPr/>
              <w:t> </w:t>
            </w:r>
          </w:p>
        </w:tc>
        <w:tc>
          <w:tcPr>
            <w:tcW w:w="290" w:type="dxa"/>
            <w:tcBorders/>
            <w:shd w:fill="auto" w:val="clear"/>
            <w:vAlign w:val="center"/>
          </w:tcPr>
          <w:p>
            <w:pPr>
              <w:pStyle w:val="TableContents"/>
              <w:spacing w:before="0" w:after="0"/>
              <w:ind w:left="0" w:right="0" w:firstLine="30"/>
              <w:jc w:val="center"/>
              <w:rPr/>
            </w:pPr>
            <w:r>
              <w:rPr/>
              <w:t> </w:t>
            </w:r>
          </w:p>
        </w:tc>
        <w:tc>
          <w:tcPr>
            <w:tcW w:w="9351" w:type="dxa"/>
            <w:tcBorders/>
            <w:shd w:fill="auto" w:val="clear"/>
            <w:vAlign w:val="center"/>
          </w:tcPr>
          <w:p>
            <w:pPr>
              <w:pStyle w:val="TableContents"/>
              <w:spacing w:before="0" w:after="0"/>
              <w:ind w:left="0" w:right="0" w:firstLine="30"/>
              <w:rPr/>
            </w:pPr>
            <w:r>
              <w:rPr/>
              <w:t> </w:t>
            </w:r>
          </w:p>
        </w:tc>
      </w:tr>
      <w:tr>
        <w:trPr/>
        <w:tc>
          <w:tcPr>
            <w:tcW w:w="56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4.16</w:t>
            </w:r>
          </w:p>
        </w:tc>
        <w:tc>
          <w:tcPr>
            <w:tcW w:w="290" w:type="dxa"/>
            <w:tcBorders/>
            <w:shd w:fill="auto" w:val="clear"/>
            <w:vAlign w:val="center"/>
          </w:tcPr>
          <w:p>
            <w:pPr>
              <w:pStyle w:val="TableContents"/>
              <w:spacing w:before="0" w:after="0"/>
              <w:ind w:left="0" w:right="0" w:firstLine="30"/>
              <w:jc w:val="center"/>
              <w:rPr/>
            </w:pPr>
            <w:r>
              <w:rPr/>
              <w:t>—</w:t>
            </w:r>
          </w:p>
        </w:tc>
        <w:tc>
          <w:tcPr>
            <w:tcW w:w="9351" w:type="dxa"/>
            <w:tcBorders/>
            <w:shd w:fill="auto" w:val="clear"/>
            <w:vAlign w:val="center"/>
          </w:tcPr>
          <w:p>
            <w:pPr>
              <w:pStyle w:val="TableContents"/>
              <w:spacing w:before="0" w:after="0"/>
              <w:ind w:left="0" w:right="0" w:firstLine="30"/>
              <w:rPr/>
            </w:pPr>
            <w:hyperlink r:id="rId37">
              <w:r>
                <w:rPr>
                  <w:rStyle w:val="InternetLink"/>
                  <w:rFonts w:ascii="inherit" w:hAnsi="inherit"/>
                  <w:color w:val="0000FF"/>
                  <w:sz w:val="17"/>
                  <w:u w:val="single"/>
                </w:rPr>
                <w:t>Thirtieth Supplemental Indenture (4.50% Senior Notes due 2026) dated November 22, 2016, by and among Plains All American Pipeline, L.P., PAA Finance Corp. and U.S. Bank National Association, as trustee (incorporated by reference to Exhibit 4.1 to our Current Report on Form 8-K filed November 29, 2016)</w:t>
              </w:r>
            </w:hyperlink>
            <w:r>
              <w:rPr>
                <w:rFonts w:ascii="inherit" w:hAnsi="inherit"/>
                <w:sz w:val="17"/>
              </w:rPr>
              <w:t>.</w:t>
            </w:r>
          </w:p>
        </w:tc>
      </w:tr>
      <w:tr>
        <w:trPr/>
        <w:tc>
          <w:tcPr>
            <w:tcW w:w="564" w:type="dxa"/>
            <w:tcBorders/>
            <w:shd w:fill="auto" w:val="clear"/>
            <w:vAlign w:val="center"/>
          </w:tcPr>
          <w:p>
            <w:pPr>
              <w:pStyle w:val="TableContents"/>
              <w:spacing w:before="0" w:after="0"/>
              <w:ind w:left="0" w:right="0" w:firstLine="30"/>
              <w:jc w:val="center"/>
              <w:rPr/>
            </w:pPr>
            <w:r>
              <w:rPr/>
              <w:t> </w:t>
            </w:r>
          </w:p>
        </w:tc>
        <w:tc>
          <w:tcPr>
            <w:tcW w:w="290" w:type="dxa"/>
            <w:tcBorders/>
            <w:shd w:fill="auto" w:val="clear"/>
            <w:vAlign w:val="center"/>
          </w:tcPr>
          <w:p>
            <w:pPr>
              <w:pStyle w:val="TableContents"/>
              <w:spacing w:before="0" w:after="0"/>
              <w:ind w:left="0" w:right="0" w:firstLine="30"/>
              <w:rPr/>
            </w:pPr>
            <w:r>
              <w:rPr/>
              <w:t> </w:t>
            </w:r>
          </w:p>
        </w:tc>
        <w:tc>
          <w:tcPr>
            <w:tcW w:w="9351" w:type="dxa"/>
            <w:tcBorders/>
            <w:shd w:fill="auto" w:val="clear"/>
            <w:vAlign w:val="center"/>
          </w:tcPr>
          <w:p>
            <w:pPr>
              <w:pStyle w:val="TableContents"/>
              <w:spacing w:before="0" w:after="0"/>
              <w:ind w:left="0" w:right="0" w:firstLine="30"/>
              <w:rPr/>
            </w:pPr>
            <w:r>
              <w:rPr/>
              <w:t> </w:t>
            </w:r>
          </w:p>
        </w:tc>
      </w:tr>
      <w:tr>
        <w:trPr/>
        <w:tc>
          <w:tcPr>
            <w:tcW w:w="56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4.17</w:t>
            </w:r>
          </w:p>
        </w:tc>
        <w:tc>
          <w:tcPr>
            <w:tcW w:w="290" w:type="dxa"/>
            <w:tcBorders/>
            <w:shd w:fill="auto" w:val="clear"/>
            <w:vAlign w:val="center"/>
          </w:tcPr>
          <w:p>
            <w:pPr>
              <w:pStyle w:val="TableContents"/>
              <w:spacing w:before="0" w:after="0"/>
              <w:ind w:left="0" w:right="0" w:firstLine="30"/>
              <w:jc w:val="center"/>
              <w:rPr/>
            </w:pPr>
            <w:r>
              <w:rPr/>
              <w:t>—</w:t>
            </w:r>
          </w:p>
        </w:tc>
        <w:tc>
          <w:tcPr>
            <w:tcW w:w="9351" w:type="dxa"/>
            <w:tcBorders/>
            <w:shd w:fill="auto" w:val="clear"/>
            <w:vAlign w:val="center"/>
          </w:tcPr>
          <w:p>
            <w:pPr>
              <w:pStyle w:val="TableContents"/>
              <w:spacing w:before="0" w:after="0"/>
              <w:ind w:left="0" w:right="0" w:firstLine="30"/>
              <w:rPr/>
            </w:pPr>
            <w:hyperlink r:id="rId38">
              <w:r>
                <w:rPr>
                  <w:rStyle w:val="InternetLink"/>
                  <w:rFonts w:ascii="inherit" w:hAnsi="inherit"/>
                  <w:color w:val="0000FF"/>
                  <w:sz w:val="17"/>
                  <w:u w:val="single"/>
                </w:rPr>
                <w:t>Registration Rights Agreement dated September 3, 2009 by and between Plains All American Pipeline, L.P. and Vulcan Gas Storage LLC (incorporated by reference to Exhibit 4.1 to our Registration Statement on Form S-3, File No. 333-162477).</w:t>
              </w:r>
            </w:hyperlink>
          </w:p>
        </w:tc>
      </w:tr>
      <w:tr>
        <w:trPr/>
        <w:tc>
          <w:tcPr>
            <w:tcW w:w="564" w:type="dxa"/>
            <w:tcBorders/>
            <w:shd w:fill="auto" w:val="clear"/>
            <w:vAlign w:val="center"/>
          </w:tcPr>
          <w:p>
            <w:pPr>
              <w:pStyle w:val="TableContents"/>
              <w:spacing w:before="0" w:after="0"/>
              <w:ind w:left="0" w:right="0" w:firstLine="30"/>
              <w:jc w:val="center"/>
              <w:rPr/>
            </w:pPr>
            <w:r>
              <w:rPr/>
              <w:t> </w:t>
            </w:r>
          </w:p>
        </w:tc>
        <w:tc>
          <w:tcPr>
            <w:tcW w:w="290" w:type="dxa"/>
            <w:tcBorders/>
            <w:shd w:fill="auto" w:val="clear"/>
            <w:vAlign w:val="center"/>
          </w:tcPr>
          <w:p>
            <w:pPr>
              <w:pStyle w:val="TableContents"/>
              <w:spacing w:before="0" w:after="0"/>
              <w:ind w:left="0" w:right="0" w:firstLine="30"/>
              <w:jc w:val="center"/>
              <w:rPr/>
            </w:pPr>
            <w:r>
              <w:rPr/>
              <w:t> </w:t>
            </w:r>
          </w:p>
        </w:tc>
        <w:tc>
          <w:tcPr>
            <w:tcW w:w="9351" w:type="dxa"/>
            <w:tcBorders/>
            <w:shd w:fill="auto" w:val="clear"/>
            <w:vAlign w:val="center"/>
          </w:tcPr>
          <w:p>
            <w:pPr>
              <w:pStyle w:val="TableContents"/>
              <w:spacing w:before="0" w:after="0"/>
              <w:ind w:left="0" w:right="0" w:firstLine="30"/>
              <w:jc w:val="left"/>
              <w:rPr/>
            </w:pPr>
            <w:r>
              <w:rPr/>
              <w:t> </w:t>
            </w:r>
          </w:p>
        </w:tc>
      </w:tr>
      <w:tr>
        <w:trPr/>
        <w:tc>
          <w:tcPr>
            <w:tcW w:w="56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4.18</w:t>
            </w:r>
          </w:p>
        </w:tc>
        <w:tc>
          <w:tcPr>
            <w:tcW w:w="290" w:type="dxa"/>
            <w:tcBorders/>
            <w:shd w:fill="auto" w:val="clear"/>
            <w:vAlign w:val="center"/>
          </w:tcPr>
          <w:p>
            <w:pPr>
              <w:pStyle w:val="TableContents"/>
              <w:spacing w:before="0" w:after="0"/>
              <w:ind w:left="0" w:right="0" w:firstLine="30"/>
              <w:jc w:val="center"/>
              <w:rPr/>
            </w:pPr>
            <w:r>
              <w:rPr/>
              <w:t>—</w:t>
            </w:r>
          </w:p>
        </w:tc>
        <w:tc>
          <w:tcPr>
            <w:tcW w:w="9351" w:type="dxa"/>
            <w:tcBorders/>
            <w:shd w:fill="auto" w:val="clear"/>
            <w:vAlign w:val="center"/>
          </w:tcPr>
          <w:p>
            <w:pPr>
              <w:pStyle w:val="TableContents"/>
              <w:spacing w:before="0" w:after="0"/>
              <w:ind w:left="0" w:right="0" w:firstLine="30"/>
              <w:rPr/>
            </w:pPr>
            <w:hyperlink r:id="rId39">
              <w:r>
                <w:rPr>
                  <w:rStyle w:val="InternetLink"/>
                  <w:rFonts w:ascii="inherit" w:hAnsi="inherit"/>
                  <w:color w:val="0000FF"/>
                  <w:sz w:val="17"/>
                  <w:u w:val="single"/>
                </w:rPr>
                <w:t>Registration Rights Agreement dated as of January 28, 2016 among Plains All American Pipeline, L.P. and the Purchasers named therein (incorporated by reference to Exhibit 4.1 to our Current Report on Form 8-K filed February 2, 2016).</w:t>
              </w:r>
            </w:hyperlink>
          </w:p>
        </w:tc>
      </w:tr>
      <w:tr>
        <w:trPr/>
        <w:tc>
          <w:tcPr>
            <w:tcW w:w="564" w:type="dxa"/>
            <w:tcBorders/>
            <w:shd w:fill="auto" w:val="clear"/>
            <w:vAlign w:val="center"/>
          </w:tcPr>
          <w:p>
            <w:pPr>
              <w:pStyle w:val="TableContents"/>
              <w:spacing w:before="0" w:after="0"/>
              <w:ind w:left="0" w:right="0" w:firstLine="30"/>
              <w:rPr/>
            </w:pPr>
            <w:r>
              <w:rPr/>
              <w:t> </w:t>
            </w:r>
          </w:p>
        </w:tc>
        <w:tc>
          <w:tcPr>
            <w:tcW w:w="290" w:type="dxa"/>
            <w:tcBorders/>
            <w:shd w:fill="auto" w:val="clear"/>
            <w:vAlign w:val="center"/>
          </w:tcPr>
          <w:p>
            <w:pPr>
              <w:pStyle w:val="TableContents"/>
              <w:spacing w:before="0" w:after="0"/>
              <w:ind w:left="0" w:right="0" w:firstLine="30"/>
              <w:jc w:val="center"/>
              <w:rPr/>
            </w:pPr>
            <w:r>
              <w:rPr/>
              <w:t> </w:t>
            </w:r>
          </w:p>
        </w:tc>
        <w:tc>
          <w:tcPr>
            <w:tcW w:w="9351" w:type="dxa"/>
            <w:tcBorders/>
            <w:shd w:fill="auto" w:val="clear"/>
            <w:vAlign w:val="center"/>
          </w:tcPr>
          <w:p>
            <w:pPr>
              <w:pStyle w:val="TableContents"/>
              <w:spacing w:before="0" w:after="0"/>
              <w:ind w:left="0" w:right="0" w:firstLine="30"/>
              <w:jc w:val="left"/>
              <w:rPr/>
            </w:pPr>
            <w:r>
              <w:rPr/>
              <w:t> </w:t>
            </w:r>
          </w:p>
        </w:tc>
      </w:tr>
      <w:tr>
        <w:trPr/>
        <w:tc>
          <w:tcPr>
            <w:tcW w:w="56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4.19</w:t>
            </w:r>
          </w:p>
        </w:tc>
        <w:tc>
          <w:tcPr>
            <w:tcW w:w="290" w:type="dxa"/>
            <w:tcBorders/>
            <w:shd w:fill="auto" w:val="clear"/>
            <w:vAlign w:val="center"/>
          </w:tcPr>
          <w:p>
            <w:pPr>
              <w:pStyle w:val="TableContents"/>
              <w:spacing w:before="0" w:after="0"/>
              <w:ind w:left="0" w:right="0" w:firstLine="30"/>
              <w:jc w:val="center"/>
              <w:rPr/>
            </w:pPr>
            <w:r>
              <w:rPr/>
              <w:t>—</w:t>
            </w:r>
          </w:p>
        </w:tc>
        <w:tc>
          <w:tcPr>
            <w:tcW w:w="9351" w:type="dxa"/>
            <w:tcBorders/>
            <w:shd w:fill="auto" w:val="clear"/>
            <w:vAlign w:val="center"/>
          </w:tcPr>
          <w:p>
            <w:pPr>
              <w:pStyle w:val="TableContents"/>
              <w:spacing w:before="0" w:after="0"/>
              <w:ind w:left="0" w:right="0" w:firstLine="30"/>
              <w:rPr/>
            </w:pPr>
            <w:hyperlink r:id="rId40">
              <w:r>
                <w:rPr>
                  <w:rStyle w:val="InternetLink"/>
                  <w:rFonts w:ascii="inherit" w:hAnsi="inherit"/>
                  <w:color w:val="0000FF"/>
                  <w:sz w:val="17"/>
                  <w:u w:val="single"/>
                </w:rPr>
                <w:t>Registration Rights Agreement by and among Plains All American Pipeline, L.P. and the Holders defined therein, dated November 15, 2016 (incorporated by reference to Exhibit 10.4 to our Current Report on Form 8-K filed November 21, 2016).</w:t>
              </w:r>
            </w:hyperlink>
          </w:p>
        </w:tc>
      </w:tr>
      <w:tr>
        <w:trPr/>
        <w:tc>
          <w:tcPr>
            <w:tcW w:w="564" w:type="dxa"/>
            <w:tcBorders/>
            <w:shd w:fill="auto" w:val="clear"/>
            <w:vAlign w:val="center"/>
          </w:tcPr>
          <w:p>
            <w:pPr>
              <w:pStyle w:val="TableContents"/>
              <w:spacing w:before="0" w:after="0"/>
              <w:ind w:left="0" w:right="0" w:firstLine="30"/>
              <w:rPr/>
            </w:pPr>
            <w:r>
              <w:rPr/>
              <w:t> </w:t>
            </w:r>
          </w:p>
        </w:tc>
        <w:tc>
          <w:tcPr>
            <w:tcW w:w="290" w:type="dxa"/>
            <w:tcBorders/>
            <w:shd w:fill="auto" w:val="clear"/>
            <w:vAlign w:val="center"/>
          </w:tcPr>
          <w:p>
            <w:pPr>
              <w:pStyle w:val="TableContents"/>
              <w:spacing w:before="0" w:after="0"/>
              <w:ind w:left="0" w:right="0" w:firstLine="30"/>
              <w:rPr/>
            </w:pPr>
            <w:r>
              <w:rPr/>
              <w:t> </w:t>
            </w:r>
          </w:p>
        </w:tc>
        <w:tc>
          <w:tcPr>
            <w:tcW w:w="9351" w:type="dxa"/>
            <w:tcBorders/>
            <w:shd w:fill="auto" w:val="clear"/>
            <w:vAlign w:val="center"/>
          </w:tcPr>
          <w:p>
            <w:pPr>
              <w:pStyle w:val="TableContents"/>
              <w:spacing w:before="0" w:after="0"/>
              <w:ind w:left="0" w:right="0" w:firstLine="30"/>
              <w:rPr/>
            </w:pPr>
            <w:r>
              <w:rPr/>
              <w:t> </w:t>
            </w:r>
          </w:p>
        </w:tc>
      </w:tr>
      <w:tr>
        <w:trPr/>
        <w:tc>
          <w:tcPr>
            <w:tcW w:w="56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31.1 †</w:t>
            </w:r>
          </w:p>
        </w:tc>
        <w:tc>
          <w:tcPr>
            <w:tcW w:w="290" w:type="dxa"/>
            <w:tcBorders/>
            <w:shd w:fill="auto" w:val="clear"/>
            <w:vAlign w:val="center"/>
          </w:tcPr>
          <w:p>
            <w:pPr>
              <w:pStyle w:val="TableContents"/>
              <w:spacing w:before="0" w:after="0"/>
              <w:ind w:left="0" w:right="0" w:firstLine="30"/>
              <w:jc w:val="center"/>
              <w:rPr/>
            </w:pPr>
            <w:r>
              <w:rPr/>
              <w:t>—</w:t>
            </w:r>
          </w:p>
        </w:tc>
        <w:tc>
          <w:tcPr>
            <w:tcW w:w="9351" w:type="dxa"/>
            <w:tcBorders/>
            <w:shd w:fill="auto" w:val="clear"/>
            <w:vAlign w:val="center"/>
          </w:tcPr>
          <w:p>
            <w:pPr>
              <w:pStyle w:val="TableContents"/>
              <w:spacing w:before="0" w:after="0"/>
              <w:ind w:left="0" w:right="0" w:firstLine="30"/>
              <w:rPr/>
            </w:pPr>
            <w:hyperlink w:anchor="paaq22019exhibit311.htm">
              <w:r>
                <w:rPr>
                  <w:rStyle w:val="InternetLink"/>
                  <w:rFonts w:ascii="inherit" w:hAnsi="inherit"/>
                  <w:color w:val="0000FF"/>
                  <w:sz w:val="17"/>
                  <w:u w:val="single"/>
                </w:rPr>
                <w:t>Certification of Principal Executive Officer pursuant to Exchange Act Rules 13a-14(a) and 15d-14(a).</w:t>
              </w:r>
            </w:hyperlink>
          </w:p>
        </w:tc>
      </w:tr>
      <w:tr>
        <w:trPr/>
        <w:tc>
          <w:tcPr>
            <w:tcW w:w="564" w:type="dxa"/>
            <w:tcBorders/>
            <w:shd w:fill="auto" w:val="clear"/>
            <w:vAlign w:val="center"/>
          </w:tcPr>
          <w:p>
            <w:pPr>
              <w:pStyle w:val="TableContents"/>
              <w:spacing w:before="0" w:after="0"/>
              <w:ind w:left="0" w:right="0" w:firstLine="30"/>
              <w:rPr/>
            </w:pPr>
            <w:r>
              <w:rPr/>
              <w:t> </w:t>
            </w:r>
          </w:p>
        </w:tc>
        <w:tc>
          <w:tcPr>
            <w:tcW w:w="290" w:type="dxa"/>
            <w:tcBorders/>
            <w:shd w:fill="auto" w:val="clear"/>
            <w:vAlign w:val="center"/>
          </w:tcPr>
          <w:p>
            <w:pPr>
              <w:pStyle w:val="TableContents"/>
              <w:spacing w:before="0" w:after="0"/>
              <w:ind w:left="0" w:right="0" w:firstLine="30"/>
              <w:rPr/>
            </w:pPr>
            <w:r>
              <w:rPr/>
              <w:t> </w:t>
            </w:r>
          </w:p>
        </w:tc>
        <w:tc>
          <w:tcPr>
            <w:tcW w:w="9351" w:type="dxa"/>
            <w:tcBorders/>
            <w:shd w:fill="auto" w:val="clear"/>
            <w:vAlign w:val="center"/>
          </w:tcPr>
          <w:p>
            <w:pPr>
              <w:pStyle w:val="TableContents"/>
              <w:spacing w:before="0" w:after="0"/>
              <w:ind w:left="0" w:right="0" w:firstLine="30"/>
              <w:rPr/>
            </w:pPr>
            <w:r>
              <w:rPr/>
              <w:t> </w:t>
            </w:r>
          </w:p>
        </w:tc>
      </w:tr>
      <w:tr>
        <w:trPr/>
        <w:tc>
          <w:tcPr>
            <w:tcW w:w="56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31.2 †</w:t>
            </w:r>
          </w:p>
        </w:tc>
        <w:tc>
          <w:tcPr>
            <w:tcW w:w="290" w:type="dxa"/>
            <w:tcBorders/>
            <w:shd w:fill="auto" w:val="clear"/>
            <w:vAlign w:val="center"/>
          </w:tcPr>
          <w:p>
            <w:pPr>
              <w:pStyle w:val="TableContents"/>
              <w:spacing w:before="0" w:after="0"/>
              <w:ind w:left="0" w:right="0" w:firstLine="30"/>
              <w:jc w:val="center"/>
              <w:rPr/>
            </w:pPr>
            <w:r>
              <w:rPr/>
              <w:t>—</w:t>
            </w:r>
          </w:p>
        </w:tc>
        <w:tc>
          <w:tcPr>
            <w:tcW w:w="9351" w:type="dxa"/>
            <w:tcBorders/>
            <w:shd w:fill="auto" w:val="clear"/>
            <w:vAlign w:val="center"/>
          </w:tcPr>
          <w:p>
            <w:pPr>
              <w:pStyle w:val="TableContents"/>
              <w:spacing w:before="0" w:after="0"/>
              <w:ind w:left="0" w:right="0" w:firstLine="30"/>
              <w:rPr/>
            </w:pPr>
            <w:hyperlink w:anchor="paaq22019exhibit312.htm">
              <w:r>
                <w:rPr>
                  <w:rStyle w:val="InternetLink"/>
                  <w:rFonts w:ascii="inherit" w:hAnsi="inherit"/>
                  <w:color w:val="0000FF"/>
                  <w:sz w:val="17"/>
                  <w:u w:val="single"/>
                </w:rPr>
                <w:t>Certification of Principal Financial Officer pursuant to Exchange Act Rules 13a-14(a) and 15d-14(a).</w:t>
              </w:r>
            </w:hyperlink>
          </w:p>
        </w:tc>
      </w:tr>
      <w:tr>
        <w:trPr/>
        <w:tc>
          <w:tcPr>
            <w:tcW w:w="564" w:type="dxa"/>
            <w:tcBorders/>
            <w:shd w:fill="auto" w:val="clear"/>
            <w:vAlign w:val="center"/>
          </w:tcPr>
          <w:p>
            <w:pPr>
              <w:pStyle w:val="TableContents"/>
              <w:spacing w:before="0" w:after="0"/>
              <w:ind w:left="0" w:right="0" w:firstLine="30"/>
              <w:rPr/>
            </w:pPr>
            <w:r>
              <w:rPr/>
              <w:t> </w:t>
            </w:r>
          </w:p>
        </w:tc>
        <w:tc>
          <w:tcPr>
            <w:tcW w:w="290" w:type="dxa"/>
            <w:tcBorders/>
            <w:shd w:fill="auto" w:val="clear"/>
            <w:vAlign w:val="center"/>
          </w:tcPr>
          <w:p>
            <w:pPr>
              <w:pStyle w:val="TableContents"/>
              <w:spacing w:before="0" w:after="0"/>
              <w:ind w:left="0" w:right="0" w:firstLine="30"/>
              <w:rPr/>
            </w:pPr>
            <w:r>
              <w:rPr/>
              <w:t> </w:t>
            </w:r>
          </w:p>
        </w:tc>
        <w:tc>
          <w:tcPr>
            <w:tcW w:w="9351" w:type="dxa"/>
            <w:tcBorders/>
            <w:shd w:fill="auto" w:val="clear"/>
            <w:vAlign w:val="center"/>
          </w:tcPr>
          <w:p>
            <w:pPr>
              <w:pStyle w:val="TableContents"/>
              <w:spacing w:before="0" w:after="0"/>
              <w:ind w:left="0" w:right="0" w:firstLine="30"/>
              <w:rPr/>
            </w:pPr>
            <w:r>
              <w:rPr/>
              <w:t> </w:t>
            </w:r>
          </w:p>
        </w:tc>
      </w:tr>
      <w:tr>
        <w:trPr/>
        <w:tc>
          <w:tcPr>
            <w:tcW w:w="56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32.1 ††</w:t>
            </w:r>
          </w:p>
        </w:tc>
        <w:tc>
          <w:tcPr>
            <w:tcW w:w="290" w:type="dxa"/>
            <w:tcBorders/>
            <w:shd w:fill="auto" w:val="clear"/>
            <w:vAlign w:val="center"/>
          </w:tcPr>
          <w:p>
            <w:pPr>
              <w:pStyle w:val="TableContents"/>
              <w:spacing w:before="0" w:after="0"/>
              <w:ind w:left="0" w:right="0" w:firstLine="30"/>
              <w:jc w:val="center"/>
              <w:rPr/>
            </w:pPr>
            <w:r>
              <w:rPr/>
              <w:t>—</w:t>
            </w:r>
          </w:p>
        </w:tc>
        <w:tc>
          <w:tcPr>
            <w:tcW w:w="9351" w:type="dxa"/>
            <w:tcBorders/>
            <w:shd w:fill="auto" w:val="clear"/>
            <w:vAlign w:val="center"/>
          </w:tcPr>
          <w:p>
            <w:pPr>
              <w:pStyle w:val="TableContents"/>
              <w:spacing w:before="0" w:after="0"/>
              <w:ind w:left="0" w:right="0" w:firstLine="30"/>
              <w:rPr/>
            </w:pPr>
            <w:hyperlink w:anchor="paaq22019exhibit321.htm">
              <w:r>
                <w:rPr>
                  <w:rStyle w:val="InternetLink"/>
                  <w:rFonts w:ascii="inherit" w:hAnsi="inherit"/>
                  <w:color w:val="0000FF"/>
                  <w:sz w:val="17"/>
                  <w:u w:val="single"/>
                </w:rPr>
                <w:t>Certification of Principal Executive Officer pursuant to 18 U.S.C. 1350.</w:t>
              </w:r>
            </w:hyperlink>
          </w:p>
        </w:tc>
      </w:tr>
      <w:tr>
        <w:trPr/>
        <w:tc>
          <w:tcPr>
            <w:tcW w:w="564" w:type="dxa"/>
            <w:tcBorders/>
            <w:shd w:fill="auto" w:val="clear"/>
            <w:vAlign w:val="center"/>
          </w:tcPr>
          <w:p>
            <w:pPr>
              <w:pStyle w:val="TableContents"/>
              <w:spacing w:before="0" w:after="0"/>
              <w:ind w:left="0" w:right="0" w:firstLine="30"/>
              <w:rPr/>
            </w:pPr>
            <w:r>
              <w:rPr/>
              <w:t> </w:t>
            </w:r>
          </w:p>
        </w:tc>
        <w:tc>
          <w:tcPr>
            <w:tcW w:w="290" w:type="dxa"/>
            <w:tcBorders/>
            <w:shd w:fill="auto" w:val="clear"/>
            <w:vAlign w:val="center"/>
          </w:tcPr>
          <w:p>
            <w:pPr>
              <w:pStyle w:val="TableContents"/>
              <w:spacing w:before="0" w:after="0"/>
              <w:ind w:left="0" w:right="0" w:firstLine="30"/>
              <w:rPr/>
            </w:pPr>
            <w:r>
              <w:rPr/>
              <w:t> </w:t>
            </w:r>
          </w:p>
        </w:tc>
        <w:tc>
          <w:tcPr>
            <w:tcW w:w="9351" w:type="dxa"/>
            <w:tcBorders/>
            <w:shd w:fill="auto" w:val="clear"/>
            <w:vAlign w:val="center"/>
          </w:tcPr>
          <w:p>
            <w:pPr>
              <w:pStyle w:val="TableContents"/>
              <w:spacing w:before="0" w:after="0"/>
              <w:ind w:left="0" w:right="0" w:firstLine="30"/>
              <w:rPr/>
            </w:pPr>
            <w:r>
              <w:rPr/>
              <w:t> </w:t>
            </w:r>
          </w:p>
        </w:tc>
      </w:tr>
      <w:tr>
        <w:trPr/>
        <w:tc>
          <w:tcPr>
            <w:tcW w:w="56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32.2 ††</w:t>
            </w:r>
          </w:p>
        </w:tc>
        <w:tc>
          <w:tcPr>
            <w:tcW w:w="290" w:type="dxa"/>
            <w:tcBorders/>
            <w:shd w:fill="auto" w:val="clear"/>
            <w:vAlign w:val="center"/>
          </w:tcPr>
          <w:p>
            <w:pPr>
              <w:pStyle w:val="TableContents"/>
              <w:spacing w:before="0" w:after="0"/>
              <w:ind w:left="0" w:right="0" w:firstLine="30"/>
              <w:jc w:val="center"/>
              <w:rPr/>
            </w:pPr>
            <w:r>
              <w:rPr/>
              <w:t>—</w:t>
            </w:r>
          </w:p>
        </w:tc>
        <w:tc>
          <w:tcPr>
            <w:tcW w:w="9351" w:type="dxa"/>
            <w:tcBorders/>
            <w:shd w:fill="auto" w:val="clear"/>
            <w:vAlign w:val="center"/>
          </w:tcPr>
          <w:p>
            <w:pPr>
              <w:pStyle w:val="TableContents"/>
              <w:spacing w:before="0" w:after="0"/>
              <w:ind w:left="0" w:right="0" w:firstLine="30"/>
              <w:rPr/>
            </w:pPr>
            <w:hyperlink w:anchor="paaq22019exhibit322.htm">
              <w:r>
                <w:rPr>
                  <w:rStyle w:val="InternetLink"/>
                  <w:rFonts w:ascii="inherit" w:hAnsi="inherit"/>
                  <w:color w:val="0000FF"/>
                  <w:sz w:val="17"/>
                  <w:u w:val="single"/>
                </w:rPr>
                <w:t>Certification of Principal Financial Officer pursuant to 18 U.S.C. 1350.</w:t>
              </w:r>
            </w:hyperlink>
          </w:p>
        </w:tc>
      </w:tr>
      <w:tr>
        <w:trPr/>
        <w:tc>
          <w:tcPr>
            <w:tcW w:w="564" w:type="dxa"/>
            <w:tcBorders/>
            <w:shd w:fill="auto" w:val="clear"/>
            <w:vAlign w:val="center"/>
          </w:tcPr>
          <w:p>
            <w:pPr>
              <w:pStyle w:val="TableContents"/>
              <w:spacing w:before="0" w:after="0"/>
              <w:ind w:left="0" w:right="0" w:firstLine="30"/>
              <w:rPr/>
            </w:pPr>
            <w:r>
              <w:rPr/>
              <w:t> </w:t>
            </w:r>
          </w:p>
        </w:tc>
        <w:tc>
          <w:tcPr>
            <w:tcW w:w="290" w:type="dxa"/>
            <w:tcBorders/>
            <w:shd w:fill="auto" w:val="clear"/>
            <w:vAlign w:val="center"/>
          </w:tcPr>
          <w:p>
            <w:pPr>
              <w:pStyle w:val="TableContents"/>
              <w:spacing w:before="0" w:after="0"/>
              <w:ind w:left="0" w:right="0" w:firstLine="30"/>
              <w:rPr/>
            </w:pPr>
            <w:r>
              <w:rPr/>
              <w:t> </w:t>
            </w:r>
          </w:p>
        </w:tc>
        <w:tc>
          <w:tcPr>
            <w:tcW w:w="9351" w:type="dxa"/>
            <w:tcBorders/>
            <w:shd w:fill="auto" w:val="clear"/>
            <w:vAlign w:val="center"/>
          </w:tcPr>
          <w:p>
            <w:pPr>
              <w:pStyle w:val="TableContents"/>
              <w:spacing w:before="0" w:after="0"/>
              <w:ind w:left="0" w:right="0" w:firstLine="30"/>
              <w:rPr/>
            </w:pPr>
            <w:r>
              <w:rPr/>
              <w:t> </w:t>
            </w:r>
          </w:p>
        </w:tc>
      </w:tr>
      <w:tr>
        <w:trPr/>
        <w:tc>
          <w:tcPr>
            <w:tcW w:w="56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101.INS†</w:t>
            </w:r>
          </w:p>
        </w:tc>
        <w:tc>
          <w:tcPr>
            <w:tcW w:w="290" w:type="dxa"/>
            <w:tcBorders/>
            <w:shd w:fill="auto" w:val="clear"/>
            <w:vAlign w:val="center"/>
          </w:tcPr>
          <w:p>
            <w:pPr>
              <w:pStyle w:val="TableContents"/>
              <w:spacing w:before="0" w:after="0"/>
              <w:ind w:left="0" w:right="0" w:firstLine="30"/>
              <w:jc w:val="center"/>
              <w:rPr/>
            </w:pPr>
            <w:r>
              <w:rPr/>
              <w:t>—</w:t>
            </w:r>
          </w:p>
        </w:tc>
        <w:tc>
          <w:tcPr>
            <w:tcW w:w="93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Instance Document - the instance document does not appear in the Interactive Data File because its XBRL tags are embedded within the Inline XBRL document.</w:t>
            </w:r>
          </w:p>
        </w:tc>
      </w:tr>
      <w:tr>
        <w:trPr/>
        <w:tc>
          <w:tcPr>
            <w:tcW w:w="564" w:type="dxa"/>
            <w:tcBorders/>
            <w:shd w:fill="auto" w:val="clear"/>
            <w:vAlign w:val="center"/>
          </w:tcPr>
          <w:p>
            <w:pPr>
              <w:pStyle w:val="TableContents"/>
              <w:spacing w:before="0" w:after="0"/>
              <w:ind w:left="0" w:right="0" w:firstLine="30"/>
              <w:rPr/>
            </w:pPr>
            <w:r>
              <w:rPr/>
              <w:t> </w:t>
            </w:r>
          </w:p>
        </w:tc>
        <w:tc>
          <w:tcPr>
            <w:tcW w:w="290" w:type="dxa"/>
            <w:tcBorders/>
            <w:shd w:fill="auto" w:val="clear"/>
            <w:vAlign w:val="center"/>
          </w:tcPr>
          <w:p>
            <w:pPr>
              <w:pStyle w:val="TableContents"/>
              <w:spacing w:before="0" w:after="0"/>
              <w:ind w:left="0" w:right="0" w:firstLine="30"/>
              <w:rPr/>
            </w:pPr>
            <w:r>
              <w:rPr/>
              <w:t> </w:t>
            </w:r>
          </w:p>
        </w:tc>
        <w:tc>
          <w:tcPr>
            <w:tcW w:w="9351" w:type="dxa"/>
            <w:tcBorders/>
            <w:shd w:fill="auto" w:val="clear"/>
            <w:vAlign w:val="center"/>
          </w:tcPr>
          <w:p>
            <w:pPr>
              <w:pStyle w:val="TableContents"/>
              <w:spacing w:before="0" w:after="0"/>
              <w:ind w:left="0" w:right="0" w:firstLine="30"/>
              <w:rPr/>
            </w:pPr>
            <w:r>
              <w:rPr/>
              <w:t> </w:t>
            </w:r>
          </w:p>
        </w:tc>
      </w:tr>
      <w:tr>
        <w:trPr/>
        <w:tc>
          <w:tcPr>
            <w:tcW w:w="56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101.SCH†</w:t>
            </w:r>
          </w:p>
        </w:tc>
        <w:tc>
          <w:tcPr>
            <w:tcW w:w="290" w:type="dxa"/>
            <w:tcBorders/>
            <w:shd w:fill="auto" w:val="clear"/>
            <w:vAlign w:val="center"/>
          </w:tcPr>
          <w:p>
            <w:pPr>
              <w:pStyle w:val="TableContents"/>
              <w:spacing w:before="0" w:after="0"/>
              <w:ind w:left="0" w:right="0" w:firstLine="30"/>
              <w:jc w:val="center"/>
              <w:rPr/>
            </w:pPr>
            <w:r>
              <w:rPr/>
              <w:t>—</w:t>
            </w:r>
          </w:p>
        </w:tc>
        <w:tc>
          <w:tcPr>
            <w:tcW w:w="93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Inline XBRL Taxonomy Extension Schema Document</w:t>
            </w:r>
          </w:p>
        </w:tc>
      </w:tr>
      <w:tr>
        <w:trPr/>
        <w:tc>
          <w:tcPr>
            <w:tcW w:w="564" w:type="dxa"/>
            <w:tcBorders/>
            <w:shd w:fill="auto" w:val="clear"/>
            <w:vAlign w:val="center"/>
          </w:tcPr>
          <w:p>
            <w:pPr>
              <w:pStyle w:val="TableContents"/>
              <w:spacing w:before="0" w:after="0"/>
              <w:ind w:left="0" w:right="0" w:firstLine="30"/>
              <w:rPr/>
            </w:pPr>
            <w:r>
              <w:rPr/>
              <w:t> </w:t>
            </w:r>
          </w:p>
        </w:tc>
        <w:tc>
          <w:tcPr>
            <w:tcW w:w="290" w:type="dxa"/>
            <w:tcBorders/>
            <w:shd w:fill="auto" w:val="clear"/>
            <w:vAlign w:val="center"/>
          </w:tcPr>
          <w:p>
            <w:pPr>
              <w:pStyle w:val="TableContents"/>
              <w:spacing w:before="0" w:after="0"/>
              <w:ind w:left="0" w:right="0" w:firstLine="30"/>
              <w:rPr/>
            </w:pPr>
            <w:r>
              <w:rPr/>
              <w:t> </w:t>
            </w:r>
          </w:p>
        </w:tc>
        <w:tc>
          <w:tcPr>
            <w:tcW w:w="9351" w:type="dxa"/>
            <w:tcBorders/>
            <w:shd w:fill="auto" w:val="clear"/>
            <w:vAlign w:val="center"/>
          </w:tcPr>
          <w:p>
            <w:pPr>
              <w:pStyle w:val="TableContents"/>
              <w:spacing w:before="0" w:after="0"/>
              <w:ind w:left="0" w:right="0" w:firstLine="30"/>
              <w:rPr/>
            </w:pPr>
            <w:r>
              <w:rPr/>
              <w:t> </w:t>
            </w:r>
          </w:p>
        </w:tc>
      </w:tr>
      <w:tr>
        <w:trPr/>
        <w:tc>
          <w:tcPr>
            <w:tcW w:w="56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101.CAL†</w:t>
            </w:r>
          </w:p>
        </w:tc>
        <w:tc>
          <w:tcPr>
            <w:tcW w:w="290" w:type="dxa"/>
            <w:tcBorders/>
            <w:shd w:fill="auto" w:val="clear"/>
            <w:vAlign w:val="center"/>
          </w:tcPr>
          <w:p>
            <w:pPr>
              <w:pStyle w:val="TableContents"/>
              <w:spacing w:before="0" w:after="0"/>
              <w:ind w:left="0" w:right="0" w:firstLine="30"/>
              <w:jc w:val="center"/>
              <w:rPr/>
            </w:pPr>
            <w:r>
              <w:rPr/>
              <w:t>—</w:t>
            </w:r>
          </w:p>
        </w:tc>
        <w:tc>
          <w:tcPr>
            <w:tcW w:w="93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Inline XBRL Taxonomy Extension Calculation Linkbase Document</w:t>
            </w:r>
          </w:p>
        </w:tc>
      </w:tr>
      <w:tr>
        <w:trPr/>
        <w:tc>
          <w:tcPr>
            <w:tcW w:w="564" w:type="dxa"/>
            <w:tcBorders/>
            <w:shd w:fill="auto" w:val="clear"/>
            <w:vAlign w:val="center"/>
          </w:tcPr>
          <w:p>
            <w:pPr>
              <w:pStyle w:val="TableContents"/>
              <w:spacing w:before="0" w:after="0"/>
              <w:ind w:left="0" w:right="0" w:firstLine="30"/>
              <w:rPr/>
            </w:pPr>
            <w:r>
              <w:rPr/>
              <w:t> </w:t>
            </w:r>
          </w:p>
        </w:tc>
        <w:tc>
          <w:tcPr>
            <w:tcW w:w="290" w:type="dxa"/>
            <w:tcBorders/>
            <w:shd w:fill="auto" w:val="clear"/>
            <w:vAlign w:val="center"/>
          </w:tcPr>
          <w:p>
            <w:pPr>
              <w:pStyle w:val="TableContents"/>
              <w:spacing w:before="0" w:after="0"/>
              <w:ind w:left="0" w:right="0" w:firstLine="30"/>
              <w:rPr/>
            </w:pPr>
            <w:r>
              <w:rPr/>
              <w:t> </w:t>
            </w:r>
          </w:p>
        </w:tc>
        <w:tc>
          <w:tcPr>
            <w:tcW w:w="9351" w:type="dxa"/>
            <w:tcBorders/>
            <w:shd w:fill="auto" w:val="clear"/>
            <w:vAlign w:val="center"/>
          </w:tcPr>
          <w:p>
            <w:pPr>
              <w:pStyle w:val="TableContents"/>
              <w:spacing w:before="0" w:after="0"/>
              <w:ind w:left="0" w:right="0" w:firstLine="30"/>
              <w:rPr/>
            </w:pPr>
            <w:r>
              <w:rPr/>
              <w:t> </w:t>
            </w:r>
          </w:p>
        </w:tc>
      </w:tr>
      <w:tr>
        <w:trPr/>
        <w:tc>
          <w:tcPr>
            <w:tcW w:w="56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101.DEF†</w:t>
            </w:r>
          </w:p>
        </w:tc>
        <w:tc>
          <w:tcPr>
            <w:tcW w:w="290" w:type="dxa"/>
            <w:tcBorders/>
            <w:shd w:fill="auto" w:val="clear"/>
            <w:vAlign w:val="center"/>
          </w:tcPr>
          <w:p>
            <w:pPr>
              <w:pStyle w:val="TableContents"/>
              <w:spacing w:before="0" w:after="0"/>
              <w:ind w:left="0" w:right="0" w:firstLine="30"/>
              <w:jc w:val="center"/>
              <w:rPr/>
            </w:pPr>
            <w:r>
              <w:rPr/>
              <w:t>—</w:t>
            </w:r>
          </w:p>
        </w:tc>
        <w:tc>
          <w:tcPr>
            <w:tcW w:w="93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Inline XBRL Taxonomy Extension Definition Linkbase Document</w:t>
            </w:r>
          </w:p>
        </w:tc>
      </w:tr>
      <w:tr>
        <w:trPr/>
        <w:tc>
          <w:tcPr>
            <w:tcW w:w="564" w:type="dxa"/>
            <w:tcBorders/>
            <w:shd w:fill="auto" w:val="clear"/>
            <w:vAlign w:val="center"/>
          </w:tcPr>
          <w:p>
            <w:pPr>
              <w:pStyle w:val="TableContents"/>
              <w:spacing w:before="0" w:after="0"/>
              <w:ind w:left="0" w:right="0" w:firstLine="30"/>
              <w:rPr/>
            </w:pPr>
            <w:r>
              <w:rPr/>
              <w:t> </w:t>
            </w:r>
          </w:p>
        </w:tc>
        <w:tc>
          <w:tcPr>
            <w:tcW w:w="290" w:type="dxa"/>
            <w:tcBorders/>
            <w:shd w:fill="auto" w:val="clear"/>
            <w:vAlign w:val="center"/>
          </w:tcPr>
          <w:p>
            <w:pPr>
              <w:pStyle w:val="TableContents"/>
              <w:spacing w:before="0" w:after="0"/>
              <w:ind w:left="0" w:right="0" w:firstLine="30"/>
              <w:rPr/>
            </w:pPr>
            <w:r>
              <w:rPr/>
              <w:t> </w:t>
            </w:r>
          </w:p>
        </w:tc>
        <w:tc>
          <w:tcPr>
            <w:tcW w:w="9351" w:type="dxa"/>
            <w:tcBorders/>
            <w:shd w:fill="auto" w:val="clear"/>
            <w:vAlign w:val="center"/>
          </w:tcPr>
          <w:p>
            <w:pPr>
              <w:pStyle w:val="TableContents"/>
              <w:spacing w:before="0" w:after="0"/>
              <w:ind w:left="0" w:right="0" w:firstLine="30"/>
              <w:rPr/>
            </w:pPr>
            <w:r>
              <w:rPr/>
              <w:t> </w:t>
            </w:r>
          </w:p>
        </w:tc>
      </w:tr>
      <w:tr>
        <w:trPr/>
        <w:tc>
          <w:tcPr>
            <w:tcW w:w="56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101.LAB†</w:t>
            </w:r>
          </w:p>
        </w:tc>
        <w:tc>
          <w:tcPr>
            <w:tcW w:w="290" w:type="dxa"/>
            <w:tcBorders/>
            <w:shd w:fill="auto" w:val="clear"/>
            <w:vAlign w:val="center"/>
          </w:tcPr>
          <w:p>
            <w:pPr>
              <w:pStyle w:val="TableContents"/>
              <w:spacing w:before="0" w:after="0"/>
              <w:ind w:left="0" w:right="0" w:firstLine="30"/>
              <w:jc w:val="center"/>
              <w:rPr/>
            </w:pPr>
            <w:r>
              <w:rPr/>
              <w:t>—</w:t>
            </w:r>
          </w:p>
        </w:tc>
        <w:tc>
          <w:tcPr>
            <w:tcW w:w="93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Inline XBRL Taxonomy Extension Label Linkbase Document</w:t>
            </w:r>
          </w:p>
        </w:tc>
      </w:tr>
      <w:tr>
        <w:trPr/>
        <w:tc>
          <w:tcPr>
            <w:tcW w:w="564" w:type="dxa"/>
            <w:tcBorders/>
            <w:shd w:fill="auto" w:val="clear"/>
            <w:vAlign w:val="center"/>
          </w:tcPr>
          <w:p>
            <w:pPr>
              <w:pStyle w:val="TableContents"/>
              <w:spacing w:before="0" w:after="0"/>
              <w:ind w:left="0" w:right="0" w:firstLine="30"/>
              <w:rPr/>
            </w:pPr>
            <w:r>
              <w:rPr/>
              <w:t> </w:t>
            </w:r>
          </w:p>
        </w:tc>
        <w:tc>
          <w:tcPr>
            <w:tcW w:w="290" w:type="dxa"/>
            <w:tcBorders/>
            <w:shd w:fill="auto" w:val="clear"/>
            <w:vAlign w:val="center"/>
          </w:tcPr>
          <w:p>
            <w:pPr>
              <w:pStyle w:val="TableContents"/>
              <w:spacing w:before="0" w:after="0"/>
              <w:ind w:left="0" w:right="0" w:firstLine="30"/>
              <w:rPr/>
            </w:pPr>
            <w:r>
              <w:rPr/>
              <w:t> </w:t>
            </w:r>
          </w:p>
        </w:tc>
        <w:tc>
          <w:tcPr>
            <w:tcW w:w="9351" w:type="dxa"/>
            <w:tcBorders/>
            <w:shd w:fill="auto" w:val="clear"/>
            <w:vAlign w:val="center"/>
          </w:tcPr>
          <w:p>
            <w:pPr>
              <w:pStyle w:val="TableContents"/>
              <w:spacing w:before="0" w:after="0"/>
              <w:ind w:left="0" w:right="0" w:firstLine="30"/>
              <w:rPr/>
            </w:pPr>
            <w:r>
              <w:rPr/>
              <w:t> </w:t>
            </w:r>
          </w:p>
        </w:tc>
      </w:tr>
      <w:tr>
        <w:trPr/>
        <w:tc>
          <w:tcPr>
            <w:tcW w:w="56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101.PRE†</w:t>
            </w:r>
          </w:p>
        </w:tc>
        <w:tc>
          <w:tcPr>
            <w:tcW w:w="290" w:type="dxa"/>
            <w:tcBorders/>
            <w:shd w:fill="auto" w:val="clear"/>
            <w:vAlign w:val="center"/>
          </w:tcPr>
          <w:p>
            <w:pPr>
              <w:pStyle w:val="TableContents"/>
              <w:spacing w:before="0" w:after="0"/>
              <w:ind w:left="0" w:right="0" w:firstLine="30"/>
              <w:jc w:val="center"/>
              <w:rPr/>
            </w:pPr>
            <w:r>
              <w:rPr/>
              <w:t>—</w:t>
            </w:r>
          </w:p>
        </w:tc>
        <w:tc>
          <w:tcPr>
            <w:tcW w:w="9351" w:type="dxa"/>
            <w:tcBorders/>
            <w:shd w:fill="auto" w:val="clear"/>
            <w:vAlign w:val="center"/>
          </w:tcPr>
          <w:p>
            <w:pPr>
              <w:pStyle w:val="TableContents"/>
              <w:spacing w:before="0" w:after="0"/>
              <w:jc w:val="left"/>
              <w:rPr>
                <w:rFonts w:ascii="inherit" w:hAnsi="inherit"/>
                <w:sz w:val="17"/>
              </w:rPr>
            </w:pPr>
            <w:r>
              <w:rPr>
                <w:rFonts w:ascii="inherit" w:hAnsi="inherit"/>
                <w:sz w:val="17"/>
              </w:rPr>
              <w:t>Inline XBRL Taxonomy Extension Presentation Linkbase Document</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sz w:val="4"/>
                <w:szCs w:val="4"/>
              </w:rPr>
            </w:pPr>
            <w:r>
              <w:rPr>
                <w:sz w:val="4"/>
                <w:szCs w:val="4"/>
              </w:rPr>
            </w:r>
          </w:p>
        </w:tc>
      </w:tr>
      <w:tr>
        <w:trPr/>
        <w:tc>
          <w:tcPr>
            <w:tcW w:w="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 w:type="dxa"/>
            <w:tcBorders>
              <w:bottom w:val="single" w:sz="2" w:space="0" w:color="000000"/>
            </w:tcBorders>
            <w:shd w:fill="auto" w:val="clear"/>
            <w:tcMar>
              <w:bottom w:w="30" w:type="dxa"/>
            </w:tcMar>
            <w:vAlign w:val="center"/>
          </w:tcPr>
          <w:p>
            <w:pPr>
              <w:pStyle w:val="TableContents"/>
              <w:spacing w:before="0" w:after="0"/>
              <w:rPr/>
            </w:pPr>
            <w:r>
              <w:rPr/>
              <w:t> </w:t>
            </w:r>
          </w:p>
        </w:tc>
      </w:tr>
    </w:tbl>
    <w:tbl>
      <w:tblPr>
        <w:tblW w:w="1405" w:type="dxa"/>
        <w:jc w:val="left"/>
        <w:tblInd w:w="0" w:type="dxa"/>
        <w:tblCellMar>
          <w:top w:w="0" w:type="dxa"/>
          <w:left w:w="0" w:type="dxa"/>
          <w:bottom w:w="0" w:type="dxa"/>
          <w:right w:w="0" w:type="dxa"/>
        </w:tblCellMar>
      </w:tblPr>
      <w:tblGrid>
        <w:gridCol w:w="155"/>
        <w:gridCol w:w="1250"/>
      </w:tblGrid>
      <w:tr>
        <w:trPr/>
        <w:tc>
          <w:tcPr>
            <w:tcW w:w="155"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r>
      <w:tr>
        <w:trPr/>
        <w:tc>
          <w:tcPr>
            <w:tcW w:w="155" w:type="dxa"/>
            <w:tcBorders/>
            <w:shd w:fill="auto" w:val="clear"/>
            <w:vAlign w:val="center"/>
          </w:tcPr>
          <w:p>
            <w:pPr>
              <w:pStyle w:val="TableContents"/>
              <w:spacing w:lineRule="auto" w:line="288" w:before="0" w:after="0"/>
              <w:ind w:left="0" w:right="0" w:hanging="0"/>
              <w:rPr/>
            </w:pPr>
            <w:r>
              <w:rPr/>
              <w:t>†</w:t>
            </w:r>
          </w:p>
        </w:tc>
        <w:tc>
          <w:tcPr>
            <w:tcW w:w="1250" w:type="dxa"/>
            <w:tcBorders/>
            <w:shd w:fill="auto" w:val="clear"/>
            <w:vAlign w:val="center"/>
          </w:tcPr>
          <w:p>
            <w:pPr>
              <w:pStyle w:val="TableContents"/>
              <w:spacing w:lineRule="auto" w:line="288" w:before="0" w:after="0"/>
              <w:rPr>
                <w:rFonts w:ascii="inherit" w:hAnsi="inherit"/>
                <w:sz w:val="17"/>
              </w:rPr>
            </w:pPr>
            <w:r>
              <w:rPr>
                <w:rFonts w:ascii="inherit" w:hAnsi="inherit"/>
                <w:sz w:val="17"/>
              </w:rPr>
              <w:t>Filed herewith.</w:t>
            </w:r>
          </w:p>
        </w:tc>
      </w:tr>
    </w:tbl>
    <w:tbl>
      <w:tblPr>
        <w:tblW w:w="1960" w:type="dxa"/>
        <w:jc w:val="left"/>
        <w:tblInd w:w="0" w:type="dxa"/>
        <w:tblCellMar>
          <w:top w:w="0" w:type="dxa"/>
          <w:left w:w="0" w:type="dxa"/>
          <w:bottom w:w="0" w:type="dxa"/>
          <w:right w:w="0" w:type="dxa"/>
        </w:tblCellMar>
      </w:tblPr>
      <w:tblGrid>
        <w:gridCol w:w="275"/>
        <w:gridCol w:w="1685"/>
      </w:tblGrid>
      <w:tr>
        <w:trPr/>
        <w:tc>
          <w:tcPr>
            <w:tcW w:w="275" w:type="dxa"/>
            <w:tcBorders/>
            <w:shd w:fill="auto" w:val="clear"/>
            <w:vAlign w:val="center"/>
          </w:tcPr>
          <w:p>
            <w:pPr>
              <w:pStyle w:val="TableContents"/>
              <w:spacing w:before="0" w:after="283"/>
              <w:rPr>
                <w:sz w:val="4"/>
                <w:szCs w:val="4"/>
              </w:rPr>
            </w:pPr>
            <w:r>
              <w:rPr>
                <w:sz w:val="4"/>
                <w:szCs w:val="4"/>
              </w:rPr>
            </w:r>
          </w:p>
        </w:tc>
        <w:tc>
          <w:tcPr>
            <w:tcW w:w="1685" w:type="dxa"/>
            <w:tcBorders/>
            <w:shd w:fill="auto" w:val="clear"/>
            <w:vAlign w:val="center"/>
          </w:tcPr>
          <w:p>
            <w:pPr>
              <w:pStyle w:val="TableContents"/>
              <w:spacing w:before="0" w:after="283"/>
              <w:rPr>
                <w:sz w:val="4"/>
                <w:szCs w:val="4"/>
              </w:rPr>
            </w:pPr>
            <w:r>
              <w:rPr>
                <w:sz w:val="4"/>
                <w:szCs w:val="4"/>
              </w:rPr>
            </w:r>
          </w:p>
        </w:tc>
      </w:tr>
      <w:tr>
        <w:trPr/>
        <w:tc>
          <w:tcPr>
            <w:tcW w:w="275" w:type="dxa"/>
            <w:tcBorders/>
            <w:shd w:fill="auto" w:val="clear"/>
            <w:vAlign w:val="center"/>
          </w:tcPr>
          <w:p>
            <w:pPr>
              <w:pStyle w:val="TableContents"/>
              <w:spacing w:lineRule="auto" w:line="288" w:before="0" w:after="0"/>
              <w:ind w:left="0" w:right="0" w:hanging="0"/>
              <w:rPr/>
            </w:pPr>
            <w:r>
              <w:rPr/>
              <w:t>††</w:t>
            </w:r>
          </w:p>
        </w:tc>
        <w:tc>
          <w:tcPr>
            <w:tcW w:w="1685" w:type="dxa"/>
            <w:tcBorders/>
            <w:shd w:fill="auto" w:val="clear"/>
            <w:vAlign w:val="center"/>
          </w:tcPr>
          <w:p>
            <w:pPr>
              <w:pStyle w:val="TableContents"/>
              <w:spacing w:lineRule="auto" w:line="288" w:before="0" w:after="0"/>
              <w:rPr>
                <w:rFonts w:ascii="inherit" w:hAnsi="inherit"/>
                <w:sz w:val="17"/>
              </w:rPr>
            </w:pPr>
            <w:r>
              <w:rPr>
                <w:rFonts w:ascii="inherit" w:hAnsi="inherit"/>
                <w:sz w:val="17"/>
              </w:rPr>
              <w:t>Furnished herewith.</w:t>
            </w:r>
          </w:p>
        </w:tc>
      </w:tr>
    </w:tbl>
    <w:p>
      <w:pPr>
        <w:pStyle w:val="TextBody"/>
        <w:spacing w:lineRule="auto" w:line="288" w:before="0" w:after="0"/>
        <w:ind w:left="0" w:right="0" w:hanging="720"/>
        <w:rPr>
          <w:rFonts w:ascii="inherit" w:hAnsi="inherit"/>
          <w:sz w:val="17"/>
        </w:rPr>
      </w:pPr>
      <w:r>
        <w:rPr>
          <w:rFonts w:ascii="inherit" w:hAnsi="inherit"/>
          <w:sz w:val="17"/>
        </w:rPr>
      </w:r>
    </w:p>
    <w:p>
      <w:pPr>
        <w:pStyle w:val="TextBody"/>
        <w:spacing w:lineRule="auto" w:line="288" w:before="0" w:after="0"/>
        <w:ind w:left="0" w:right="0" w:hanging="72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72</w:t>
      </w:r>
      <w:r>
        <w:br w:type="page"/>
      </w:r>
    </w:p>
    <w:p>
      <w:pPr>
        <w:pStyle w:val="TextBody"/>
        <w:spacing w:lineRule="auto" w:line="288" w:before="0" w:after="0"/>
        <w:rPr/>
      </w:pPr>
      <w:hyperlink w:anchor="s3336AD8A685850CC9B7F2572CB2C0BC3">
        <w:bookmarkStart w:id="55" w:name="s52D00F353E835E718592DA0398789C79"/>
        <w:bookmarkEnd w:id="55"/>
        <w:r>
          <w:rPr>
            <w:rStyle w:val="InternetLink"/>
            <w:rFonts w:ascii="inherit" w:hAnsi="inherit"/>
            <w:sz w:val="17"/>
          </w:rPr>
          <w:t>Table of Contents</w:t>
        </w:r>
      </w:hyperlink>
      <w:r>
        <w:rPr>
          <w:sz w:val="17"/>
        </w:rPr>
        <w:t xml:space="preserve"> </w:t>
      </w:r>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SIGNATURES</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Pursuant to the requirements of the Securities Exchange Act of 1934, the registrant has duly caused this report to be signed on its behalf by the undersigned, thereunto duly authorized.</w:t>
      </w:r>
    </w:p>
    <w:p>
      <w:pPr>
        <w:pStyle w:val="TextBody"/>
        <w:spacing w:lineRule="auto" w:line="288" w:before="0" w:after="0"/>
        <w:rPr/>
      </w:pPr>
      <w:r>
        <w:rPr/>
        <w:t> </w:t>
      </w:r>
    </w:p>
    <w:tbl>
      <w:tblPr>
        <w:tblW w:w="9390" w:type="dxa"/>
        <w:jc w:val="left"/>
        <w:tblInd w:w="0" w:type="dxa"/>
        <w:tblCellMar>
          <w:top w:w="0" w:type="dxa"/>
          <w:left w:w="0" w:type="dxa"/>
          <w:bottom w:w="0" w:type="dxa"/>
          <w:right w:w="0" w:type="dxa"/>
        </w:tblCellMar>
      </w:tblPr>
      <w:tblGrid>
        <w:gridCol w:w="1310"/>
        <w:gridCol w:w="335"/>
        <w:gridCol w:w="7745"/>
      </w:tblGrid>
      <w:tr>
        <w:trPr/>
        <w:tc>
          <w:tcPr>
            <w:tcW w:w="9390" w:type="dxa"/>
            <w:gridSpan w:val="3"/>
            <w:tcBorders/>
            <w:shd w:fill="auto" w:val="clear"/>
            <w:vAlign w:val="center"/>
          </w:tcPr>
          <w:p>
            <w:pPr>
              <w:pStyle w:val="TableContents"/>
              <w:spacing w:before="0" w:after="283"/>
              <w:rPr>
                <w:sz w:val="4"/>
                <w:szCs w:val="4"/>
              </w:rPr>
            </w:pPr>
            <w:r>
              <w:rPr>
                <w:sz w:val="4"/>
                <w:szCs w:val="4"/>
              </w:rPr>
            </w:r>
          </w:p>
        </w:tc>
      </w:tr>
      <w:tr>
        <w:trPr/>
        <w:tc>
          <w:tcPr>
            <w:tcW w:w="131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774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310" w:type="dxa"/>
            <w:tcBorders/>
            <w:shd w:fill="auto" w:val="clear"/>
            <w:vAlign w:val="center"/>
          </w:tcPr>
          <w:p>
            <w:pPr>
              <w:pStyle w:val="TableContents"/>
              <w:spacing w:before="0" w:after="0"/>
              <w:ind w:left="0" w:right="0" w:firstLine="30"/>
              <w:jc w:val="left"/>
              <w:rPr/>
            </w:pPr>
            <w:r>
              <w:rPr/>
              <w:t> </w:t>
            </w:r>
          </w:p>
        </w:tc>
        <w:tc>
          <w:tcPr>
            <w:tcW w:w="8080" w:type="dxa"/>
            <w:gridSpan w:val="2"/>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PLAINS ALL AMERICAN PIPELINE, L.P.</w:t>
            </w:r>
          </w:p>
        </w:tc>
      </w:tr>
      <w:tr>
        <w:trPr/>
        <w:tc>
          <w:tcPr>
            <w:tcW w:w="1310" w:type="dxa"/>
            <w:tcBorders/>
            <w:shd w:fill="auto" w:val="clear"/>
            <w:vAlign w:val="center"/>
          </w:tcPr>
          <w:p>
            <w:pPr>
              <w:pStyle w:val="TableContents"/>
              <w:spacing w:before="0" w:after="0"/>
              <w:ind w:left="0" w:right="0" w:firstLine="30"/>
              <w:jc w:val="left"/>
              <w:rPr/>
            </w:pPr>
            <w:r>
              <w:rPr/>
              <w:t> </w:t>
            </w:r>
          </w:p>
        </w:tc>
        <w:tc>
          <w:tcPr>
            <w:tcW w:w="335" w:type="dxa"/>
            <w:tcBorders/>
            <w:shd w:fill="auto" w:val="clear"/>
            <w:vAlign w:val="center"/>
          </w:tcPr>
          <w:p>
            <w:pPr>
              <w:pStyle w:val="TableContents"/>
              <w:spacing w:before="0" w:after="0"/>
              <w:ind w:left="0" w:right="0" w:firstLine="30"/>
              <w:jc w:val="left"/>
              <w:rPr/>
            </w:pPr>
            <w:r>
              <w:rPr/>
              <w:t> </w:t>
            </w:r>
          </w:p>
        </w:tc>
        <w:tc>
          <w:tcPr>
            <w:tcW w:w="7745" w:type="dxa"/>
            <w:tcBorders/>
            <w:shd w:fill="auto" w:val="clear"/>
            <w:vAlign w:val="center"/>
          </w:tcPr>
          <w:p>
            <w:pPr>
              <w:pStyle w:val="TableContents"/>
              <w:spacing w:before="0" w:after="0"/>
              <w:ind w:left="0" w:right="0" w:firstLine="30"/>
              <w:jc w:val="left"/>
              <w:rPr/>
            </w:pPr>
            <w:r>
              <w:rPr/>
              <w:t> </w:t>
            </w:r>
          </w:p>
        </w:tc>
      </w:tr>
      <w:tr>
        <w:trPr/>
        <w:tc>
          <w:tcPr>
            <w:tcW w:w="1310" w:type="dxa"/>
            <w:tcBorders/>
            <w:shd w:fill="auto" w:val="clear"/>
            <w:vAlign w:val="center"/>
          </w:tcPr>
          <w:p>
            <w:pPr>
              <w:pStyle w:val="TableContents"/>
              <w:spacing w:before="0" w:after="0"/>
              <w:ind w:left="0" w:right="0" w:firstLine="30"/>
              <w:jc w:val="left"/>
              <w:rPr/>
            </w:pPr>
            <w:r>
              <w:rPr/>
              <w:t> </w:t>
            </w:r>
          </w:p>
        </w:tc>
        <w:tc>
          <w:tcPr>
            <w:tcW w:w="3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By:</w:t>
            </w:r>
          </w:p>
        </w:tc>
        <w:tc>
          <w:tcPr>
            <w:tcW w:w="77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PAA GP LLC,</w:t>
            </w:r>
          </w:p>
        </w:tc>
      </w:tr>
      <w:tr>
        <w:trPr/>
        <w:tc>
          <w:tcPr>
            <w:tcW w:w="1310" w:type="dxa"/>
            <w:tcBorders/>
            <w:shd w:fill="auto" w:val="clear"/>
            <w:vAlign w:val="center"/>
          </w:tcPr>
          <w:p>
            <w:pPr>
              <w:pStyle w:val="TableContents"/>
              <w:spacing w:before="0" w:after="0"/>
              <w:ind w:left="0" w:right="0" w:firstLine="30"/>
              <w:jc w:val="left"/>
              <w:rPr/>
            </w:pPr>
            <w:r>
              <w:rPr/>
              <w:t> </w:t>
            </w:r>
          </w:p>
        </w:tc>
        <w:tc>
          <w:tcPr>
            <w:tcW w:w="335" w:type="dxa"/>
            <w:tcBorders/>
            <w:shd w:fill="auto" w:val="clear"/>
            <w:vAlign w:val="center"/>
          </w:tcPr>
          <w:p>
            <w:pPr>
              <w:pStyle w:val="TableContents"/>
              <w:spacing w:before="0" w:after="0"/>
              <w:ind w:left="0" w:right="0" w:firstLine="30"/>
              <w:jc w:val="left"/>
              <w:rPr/>
            </w:pPr>
            <w:r>
              <w:rPr/>
              <w:t> </w:t>
            </w:r>
          </w:p>
        </w:tc>
        <w:tc>
          <w:tcPr>
            <w:tcW w:w="7745" w:type="dxa"/>
            <w:tcBorders/>
            <w:shd w:fill="auto" w:val="clear"/>
            <w:vAlign w:val="center"/>
          </w:tcPr>
          <w:p>
            <w:pPr>
              <w:pStyle w:val="TableContents"/>
              <w:spacing w:before="0" w:after="0"/>
              <w:ind w:left="0" w:right="0" w:firstLine="30"/>
              <w:jc w:val="left"/>
              <w:rPr>
                <w:rFonts w:ascii="inherit" w:hAnsi="inherit"/>
                <w:i/>
                <w:sz w:val="17"/>
              </w:rPr>
            </w:pPr>
            <w:r>
              <w:rPr>
                <w:rFonts w:ascii="inherit" w:hAnsi="inherit"/>
                <w:i/>
                <w:sz w:val="17"/>
              </w:rPr>
              <w:t>its general partner</w:t>
            </w:r>
          </w:p>
        </w:tc>
      </w:tr>
      <w:tr>
        <w:trPr/>
        <w:tc>
          <w:tcPr>
            <w:tcW w:w="1310" w:type="dxa"/>
            <w:tcBorders/>
            <w:shd w:fill="auto" w:val="clear"/>
            <w:vAlign w:val="center"/>
          </w:tcPr>
          <w:p>
            <w:pPr>
              <w:pStyle w:val="TableContents"/>
              <w:spacing w:before="0" w:after="0"/>
              <w:ind w:left="0" w:right="0" w:firstLine="30"/>
              <w:jc w:val="left"/>
              <w:rPr/>
            </w:pPr>
            <w:r>
              <w:rPr/>
              <w:t> </w:t>
            </w:r>
          </w:p>
        </w:tc>
        <w:tc>
          <w:tcPr>
            <w:tcW w:w="335" w:type="dxa"/>
            <w:tcBorders/>
            <w:shd w:fill="auto" w:val="clear"/>
            <w:vAlign w:val="center"/>
          </w:tcPr>
          <w:p>
            <w:pPr>
              <w:pStyle w:val="TableContents"/>
              <w:spacing w:before="0" w:after="0"/>
              <w:ind w:left="0" w:right="0" w:firstLine="30"/>
              <w:jc w:val="left"/>
              <w:rPr/>
            </w:pPr>
            <w:r>
              <w:rPr/>
              <w:t> </w:t>
            </w:r>
          </w:p>
        </w:tc>
        <w:tc>
          <w:tcPr>
            <w:tcW w:w="7745" w:type="dxa"/>
            <w:tcBorders/>
            <w:shd w:fill="auto" w:val="clear"/>
            <w:vAlign w:val="center"/>
          </w:tcPr>
          <w:p>
            <w:pPr>
              <w:pStyle w:val="TableContents"/>
              <w:spacing w:before="0" w:after="0"/>
              <w:ind w:left="0" w:right="0" w:firstLine="30"/>
              <w:jc w:val="left"/>
              <w:rPr/>
            </w:pPr>
            <w:r>
              <w:rPr/>
              <w:t> </w:t>
            </w:r>
          </w:p>
        </w:tc>
      </w:tr>
      <w:tr>
        <w:trPr/>
        <w:tc>
          <w:tcPr>
            <w:tcW w:w="1310" w:type="dxa"/>
            <w:tcBorders/>
            <w:shd w:fill="auto" w:val="clear"/>
            <w:vAlign w:val="center"/>
          </w:tcPr>
          <w:p>
            <w:pPr>
              <w:pStyle w:val="TableContents"/>
              <w:spacing w:before="0" w:after="0"/>
              <w:ind w:left="0" w:right="0" w:firstLine="30"/>
              <w:jc w:val="left"/>
              <w:rPr/>
            </w:pPr>
            <w:r>
              <w:rPr/>
              <w:t> </w:t>
            </w:r>
          </w:p>
        </w:tc>
        <w:tc>
          <w:tcPr>
            <w:tcW w:w="3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By:</w:t>
            </w:r>
          </w:p>
        </w:tc>
        <w:tc>
          <w:tcPr>
            <w:tcW w:w="77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Plains AAP, L.P.,</w:t>
            </w:r>
          </w:p>
        </w:tc>
      </w:tr>
      <w:tr>
        <w:trPr/>
        <w:tc>
          <w:tcPr>
            <w:tcW w:w="1310" w:type="dxa"/>
            <w:tcBorders/>
            <w:shd w:fill="auto" w:val="clear"/>
            <w:vAlign w:val="center"/>
          </w:tcPr>
          <w:p>
            <w:pPr>
              <w:pStyle w:val="TableContents"/>
              <w:spacing w:before="0" w:after="0"/>
              <w:ind w:left="0" w:right="0" w:firstLine="30"/>
              <w:jc w:val="left"/>
              <w:rPr/>
            </w:pPr>
            <w:r>
              <w:rPr/>
              <w:t> </w:t>
            </w:r>
          </w:p>
        </w:tc>
        <w:tc>
          <w:tcPr>
            <w:tcW w:w="335" w:type="dxa"/>
            <w:tcBorders/>
            <w:shd w:fill="auto" w:val="clear"/>
            <w:vAlign w:val="center"/>
          </w:tcPr>
          <w:p>
            <w:pPr>
              <w:pStyle w:val="TableContents"/>
              <w:spacing w:before="0" w:after="0"/>
              <w:ind w:left="0" w:right="0" w:firstLine="30"/>
              <w:jc w:val="left"/>
              <w:rPr/>
            </w:pPr>
            <w:r>
              <w:rPr/>
              <w:t> </w:t>
            </w:r>
          </w:p>
        </w:tc>
        <w:tc>
          <w:tcPr>
            <w:tcW w:w="7745" w:type="dxa"/>
            <w:tcBorders/>
            <w:shd w:fill="auto" w:val="clear"/>
            <w:vAlign w:val="center"/>
          </w:tcPr>
          <w:p>
            <w:pPr>
              <w:pStyle w:val="TableContents"/>
              <w:spacing w:before="0" w:after="0"/>
              <w:ind w:left="0" w:right="0" w:firstLine="30"/>
              <w:jc w:val="left"/>
              <w:rPr>
                <w:rFonts w:ascii="inherit" w:hAnsi="inherit"/>
                <w:i/>
                <w:sz w:val="17"/>
              </w:rPr>
            </w:pPr>
            <w:r>
              <w:rPr>
                <w:rFonts w:ascii="inherit" w:hAnsi="inherit"/>
                <w:i/>
                <w:sz w:val="17"/>
              </w:rPr>
              <w:t>its sole member</w:t>
            </w:r>
          </w:p>
        </w:tc>
      </w:tr>
      <w:tr>
        <w:trPr/>
        <w:tc>
          <w:tcPr>
            <w:tcW w:w="1310" w:type="dxa"/>
            <w:tcBorders/>
            <w:shd w:fill="auto" w:val="clear"/>
            <w:vAlign w:val="center"/>
          </w:tcPr>
          <w:p>
            <w:pPr>
              <w:pStyle w:val="TableContents"/>
              <w:spacing w:before="0" w:after="0"/>
              <w:ind w:left="0" w:right="0" w:firstLine="30"/>
              <w:jc w:val="left"/>
              <w:rPr/>
            </w:pPr>
            <w:r>
              <w:rPr/>
              <w:t> </w:t>
            </w:r>
          </w:p>
        </w:tc>
        <w:tc>
          <w:tcPr>
            <w:tcW w:w="335" w:type="dxa"/>
            <w:tcBorders/>
            <w:shd w:fill="auto" w:val="clear"/>
            <w:vAlign w:val="center"/>
          </w:tcPr>
          <w:p>
            <w:pPr>
              <w:pStyle w:val="TableContents"/>
              <w:spacing w:before="0" w:after="0"/>
              <w:ind w:left="0" w:right="0" w:firstLine="30"/>
              <w:jc w:val="left"/>
              <w:rPr/>
            </w:pPr>
            <w:r>
              <w:rPr/>
              <w:t> </w:t>
            </w:r>
          </w:p>
        </w:tc>
        <w:tc>
          <w:tcPr>
            <w:tcW w:w="7745" w:type="dxa"/>
            <w:tcBorders/>
            <w:shd w:fill="auto" w:val="clear"/>
            <w:vAlign w:val="center"/>
          </w:tcPr>
          <w:p>
            <w:pPr>
              <w:pStyle w:val="TableContents"/>
              <w:spacing w:before="0" w:after="0"/>
              <w:ind w:left="0" w:right="0" w:firstLine="30"/>
              <w:jc w:val="left"/>
              <w:rPr/>
            </w:pPr>
            <w:r>
              <w:rPr/>
              <w:t> </w:t>
            </w:r>
          </w:p>
        </w:tc>
      </w:tr>
      <w:tr>
        <w:trPr/>
        <w:tc>
          <w:tcPr>
            <w:tcW w:w="1310" w:type="dxa"/>
            <w:tcBorders/>
            <w:shd w:fill="auto" w:val="clear"/>
            <w:vAlign w:val="center"/>
          </w:tcPr>
          <w:p>
            <w:pPr>
              <w:pStyle w:val="TableContents"/>
              <w:spacing w:before="0" w:after="0"/>
              <w:ind w:left="0" w:right="0" w:firstLine="30"/>
              <w:jc w:val="left"/>
              <w:rPr/>
            </w:pPr>
            <w:r>
              <w:rPr/>
              <w:t> </w:t>
            </w:r>
          </w:p>
        </w:tc>
        <w:tc>
          <w:tcPr>
            <w:tcW w:w="3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By:</w:t>
            </w:r>
          </w:p>
        </w:tc>
        <w:tc>
          <w:tcPr>
            <w:tcW w:w="77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PLAINS ALL AMERICAN GP LLC,</w:t>
            </w:r>
          </w:p>
        </w:tc>
      </w:tr>
      <w:tr>
        <w:trPr/>
        <w:tc>
          <w:tcPr>
            <w:tcW w:w="1310" w:type="dxa"/>
            <w:tcBorders/>
            <w:shd w:fill="auto" w:val="clear"/>
            <w:vAlign w:val="center"/>
          </w:tcPr>
          <w:p>
            <w:pPr>
              <w:pStyle w:val="TableContents"/>
              <w:spacing w:before="0" w:after="0"/>
              <w:ind w:left="0" w:right="0" w:firstLine="30"/>
              <w:jc w:val="left"/>
              <w:rPr/>
            </w:pPr>
            <w:r>
              <w:rPr/>
              <w:t> </w:t>
            </w:r>
          </w:p>
        </w:tc>
        <w:tc>
          <w:tcPr>
            <w:tcW w:w="335" w:type="dxa"/>
            <w:tcBorders/>
            <w:shd w:fill="auto" w:val="clear"/>
            <w:vAlign w:val="center"/>
          </w:tcPr>
          <w:p>
            <w:pPr>
              <w:pStyle w:val="TableContents"/>
              <w:spacing w:before="0" w:after="0"/>
              <w:ind w:left="0" w:right="0" w:firstLine="30"/>
              <w:jc w:val="left"/>
              <w:rPr/>
            </w:pPr>
            <w:r>
              <w:rPr/>
              <w:t> </w:t>
            </w:r>
          </w:p>
        </w:tc>
        <w:tc>
          <w:tcPr>
            <w:tcW w:w="7745" w:type="dxa"/>
            <w:tcBorders/>
            <w:shd w:fill="auto" w:val="clear"/>
            <w:vAlign w:val="center"/>
          </w:tcPr>
          <w:p>
            <w:pPr>
              <w:pStyle w:val="TableContents"/>
              <w:spacing w:before="0" w:after="0"/>
              <w:ind w:left="0" w:right="0" w:firstLine="30"/>
              <w:jc w:val="left"/>
              <w:rPr>
                <w:rFonts w:ascii="inherit" w:hAnsi="inherit"/>
                <w:i/>
                <w:sz w:val="17"/>
              </w:rPr>
            </w:pPr>
            <w:r>
              <w:rPr>
                <w:rFonts w:ascii="inherit" w:hAnsi="inherit"/>
                <w:i/>
                <w:sz w:val="17"/>
              </w:rPr>
              <w:t>its general partner</w:t>
            </w:r>
          </w:p>
        </w:tc>
      </w:tr>
      <w:tr>
        <w:trPr/>
        <w:tc>
          <w:tcPr>
            <w:tcW w:w="1310" w:type="dxa"/>
            <w:tcBorders/>
            <w:shd w:fill="auto" w:val="clear"/>
            <w:vAlign w:val="center"/>
          </w:tcPr>
          <w:p>
            <w:pPr>
              <w:pStyle w:val="TableContents"/>
              <w:spacing w:before="0" w:after="0"/>
              <w:ind w:left="0" w:right="0" w:firstLine="30"/>
              <w:jc w:val="left"/>
              <w:rPr/>
            </w:pPr>
            <w:r>
              <w:rPr/>
              <w:t> </w:t>
            </w:r>
          </w:p>
        </w:tc>
        <w:tc>
          <w:tcPr>
            <w:tcW w:w="335" w:type="dxa"/>
            <w:tcBorders/>
            <w:shd w:fill="auto" w:val="clear"/>
            <w:vAlign w:val="center"/>
          </w:tcPr>
          <w:p>
            <w:pPr>
              <w:pStyle w:val="TableContents"/>
              <w:spacing w:before="0" w:after="0"/>
              <w:ind w:left="0" w:right="0" w:firstLine="30"/>
              <w:jc w:val="left"/>
              <w:rPr/>
            </w:pPr>
            <w:r>
              <w:rPr/>
              <w:t> </w:t>
            </w:r>
          </w:p>
        </w:tc>
        <w:tc>
          <w:tcPr>
            <w:tcW w:w="7745" w:type="dxa"/>
            <w:tcBorders/>
            <w:shd w:fill="auto" w:val="clear"/>
            <w:vAlign w:val="center"/>
          </w:tcPr>
          <w:p>
            <w:pPr>
              <w:pStyle w:val="TableContents"/>
              <w:spacing w:before="0" w:after="0"/>
              <w:ind w:left="0" w:right="0" w:firstLine="30"/>
              <w:jc w:val="left"/>
              <w:rPr/>
            </w:pPr>
            <w:r>
              <w:rPr/>
              <w:t> </w:t>
            </w:r>
          </w:p>
        </w:tc>
      </w:tr>
      <w:tr>
        <w:trPr/>
        <w:tc>
          <w:tcPr>
            <w:tcW w:w="1310" w:type="dxa"/>
            <w:tcBorders/>
            <w:shd w:fill="auto" w:val="clear"/>
            <w:vAlign w:val="center"/>
          </w:tcPr>
          <w:p>
            <w:pPr>
              <w:pStyle w:val="TableContents"/>
              <w:spacing w:before="0" w:after="0"/>
              <w:ind w:left="0" w:right="0" w:firstLine="30"/>
              <w:jc w:val="left"/>
              <w:rPr/>
            </w:pPr>
            <w:r>
              <w:rPr/>
              <w:t> </w:t>
            </w:r>
          </w:p>
        </w:tc>
        <w:tc>
          <w:tcPr>
            <w:tcW w:w="3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By:</w:t>
            </w:r>
          </w:p>
        </w:tc>
        <w:tc>
          <w:tcPr>
            <w:tcW w:w="774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Willie Chiang</w:t>
            </w:r>
          </w:p>
        </w:tc>
      </w:tr>
      <w:tr>
        <w:trPr/>
        <w:tc>
          <w:tcPr>
            <w:tcW w:w="1310" w:type="dxa"/>
            <w:tcBorders/>
            <w:shd w:fill="auto" w:val="clear"/>
            <w:vAlign w:val="center"/>
          </w:tcPr>
          <w:p>
            <w:pPr>
              <w:pStyle w:val="TableContents"/>
              <w:spacing w:before="0" w:after="0"/>
              <w:ind w:left="0" w:right="0" w:firstLine="30"/>
              <w:jc w:val="left"/>
              <w:rPr/>
            </w:pPr>
            <w:r>
              <w:rPr/>
              <w:t> </w:t>
            </w:r>
          </w:p>
        </w:tc>
        <w:tc>
          <w:tcPr>
            <w:tcW w:w="335" w:type="dxa"/>
            <w:tcBorders/>
            <w:shd w:fill="auto" w:val="clear"/>
            <w:vAlign w:val="center"/>
          </w:tcPr>
          <w:p>
            <w:pPr>
              <w:pStyle w:val="TableContents"/>
              <w:spacing w:before="0" w:after="0"/>
              <w:ind w:left="0" w:right="0" w:firstLine="30"/>
              <w:jc w:val="left"/>
              <w:rPr/>
            </w:pPr>
            <w:r>
              <w:rPr/>
              <w:t> </w:t>
            </w:r>
          </w:p>
        </w:tc>
        <w:tc>
          <w:tcPr>
            <w:tcW w:w="7745"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Willie Chiang,</w:t>
            </w:r>
          </w:p>
        </w:tc>
      </w:tr>
      <w:tr>
        <w:trPr/>
        <w:tc>
          <w:tcPr>
            <w:tcW w:w="1310" w:type="dxa"/>
            <w:tcBorders/>
            <w:shd w:fill="auto" w:val="clear"/>
            <w:vAlign w:val="center"/>
          </w:tcPr>
          <w:p>
            <w:pPr>
              <w:pStyle w:val="TableContents"/>
              <w:spacing w:before="0" w:after="0"/>
              <w:ind w:left="0" w:right="0" w:firstLine="30"/>
              <w:jc w:val="left"/>
              <w:rPr/>
            </w:pPr>
            <w:r>
              <w:rPr/>
              <w:t> </w:t>
            </w:r>
          </w:p>
        </w:tc>
        <w:tc>
          <w:tcPr>
            <w:tcW w:w="335" w:type="dxa"/>
            <w:tcBorders/>
            <w:shd w:fill="auto" w:val="clear"/>
            <w:vAlign w:val="center"/>
          </w:tcPr>
          <w:p>
            <w:pPr>
              <w:pStyle w:val="TableContents"/>
              <w:spacing w:before="0" w:after="0"/>
              <w:ind w:left="0" w:right="0" w:firstLine="30"/>
              <w:jc w:val="left"/>
              <w:rPr/>
            </w:pPr>
            <w:r>
              <w:rPr/>
              <w:t> </w:t>
            </w:r>
          </w:p>
        </w:tc>
        <w:tc>
          <w:tcPr>
            <w:tcW w:w="7745" w:type="dxa"/>
            <w:tcBorders/>
            <w:shd w:fill="auto" w:val="clear"/>
            <w:vAlign w:val="center"/>
          </w:tcPr>
          <w:p>
            <w:pPr>
              <w:pStyle w:val="TableContents"/>
              <w:spacing w:before="0" w:after="0"/>
              <w:ind w:left="0" w:right="0" w:firstLine="30"/>
              <w:jc w:val="left"/>
              <w:rPr>
                <w:rFonts w:ascii="inherit" w:hAnsi="inherit"/>
                <w:b/>
                <w:i/>
                <w:sz w:val="17"/>
              </w:rPr>
            </w:pPr>
            <w:r>
              <w:rPr>
                <w:rFonts w:ascii="inherit" w:hAnsi="inherit"/>
                <w:b/>
                <w:i/>
                <w:sz w:val="17"/>
              </w:rPr>
              <w:t>Chief Executive Officer of Plains All American GP LLC</w:t>
            </w:r>
          </w:p>
        </w:tc>
      </w:tr>
      <w:tr>
        <w:trPr/>
        <w:tc>
          <w:tcPr>
            <w:tcW w:w="1310" w:type="dxa"/>
            <w:tcBorders/>
            <w:shd w:fill="auto" w:val="clear"/>
            <w:vAlign w:val="center"/>
          </w:tcPr>
          <w:p>
            <w:pPr>
              <w:pStyle w:val="TableContents"/>
              <w:spacing w:before="0" w:after="0"/>
              <w:ind w:left="0" w:right="0" w:firstLine="30"/>
              <w:jc w:val="left"/>
              <w:rPr/>
            </w:pPr>
            <w:r>
              <w:rPr/>
              <w:t> </w:t>
            </w:r>
          </w:p>
        </w:tc>
        <w:tc>
          <w:tcPr>
            <w:tcW w:w="335" w:type="dxa"/>
            <w:tcBorders/>
            <w:shd w:fill="auto" w:val="clear"/>
            <w:vAlign w:val="center"/>
          </w:tcPr>
          <w:p>
            <w:pPr>
              <w:pStyle w:val="TableContents"/>
              <w:spacing w:before="0" w:after="0"/>
              <w:ind w:left="0" w:right="0" w:firstLine="30"/>
              <w:jc w:val="left"/>
              <w:rPr/>
            </w:pPr>
            <w:r>
              <w:rPr/>
              <w:t> </w:t>
            </w:r>
          </w:p>
        </w:tc>
        <w:tc>
          <w:tcPr>
            <w:tcW w:w="7745" w:type="dxa"/>
            <w:tcBorders/>
            <w:shd w:fill="auto" w:val="clear"/>
            <w:vAlign w:val="center"/>
          </w:tcPr>
          <w:p>
            <w:pPr>
              <w:pStyle w:val="TableContents"/>
              <w:spacing w:before="0" w:after="0"/>
              <w:ind w:left="0" w:right="0" w:firstLine="30"/>
              <w:jc w:val="left"/>
              <w:rPr>
                <w:rFonts w:ascii="inherit" w:hAnsi="inherit"/>
                <w:b/>
                <w:i/>
                <w:sz w:val="17"/>
              </w:rPr>
            </w:pPr>
            <w:r>
              <w:rPr>
                <w:rFonts w:ascii="inherit" w:hAnsi="inherit"/>
                <w:b/>
                <w:i/>
                <w:sz w:val="17"/>
              </w:rPr>
              <w:t>(Principal Executive Officer)</w:t>
            </w:r>
          </w:p>
        </w:tc>
      </w:tr>
      <w:tr>
        <w:trPr/>
        <w:tc>
          <w:tcPr>
            <w:tcW w:w="1310" w:type="dxa"/>
            <w:tcBorders/>
            <w:shd w:fill="auto" w:val="clear"/>
            <w:vAlign w:val="center"/>
          </w:tcPr>
          <w:p>
            <w:pPr>
              <w:pStyle w:val="TableContents"/>
              <w:spacing w:before="0" w:after="0"/>
              <w:ind w:left="0" w:right="0" w:firstLine="30"/>
              <w:jc w:val="left"/>
              <w:rPr/>
            </w:pPr>
            <w:r>
              <w:rPr/>
              <w:t> </w:t>
            </w:r>
          </w:p>
        </w:tc>
        <w:tc>
          <w:tcPr>
            <w:tcW w:w="335" w:type="dxa"/>
            <w:tcBorders/>
            <w:shd w:fill="auto" w:val="clear"/>
            <w:vAlign w:val="center"/>
          </w:tcPr>
          <w:p>
            <w:pPr>
              <w:pStyle w:val="TableContents"/>
              <w:spacing w:before="0" w:after="0"/>
              <w:ind w:left="0" w:right="0" w:firstLine="30"/>
              <w:jc w:val="left"/>
              <w:rPr/>
            </w:pPr>
            <w:r>
              <w:rPr/>
              <w:t> </w:t>
            </w:r>
          </w:p>
        </w:tc>
        <w:tc>
          <w:tcPr>
            <w:tcW w:w="7745" w:type="dxa"/>
            <w:tcBorders/>
            <w:shd w:fill="auto" w:val="clear"/>
            <w:vAlign w:val="center"/>
          </w:tcPr>
          <w:p>
            <w:pPr>
              <w:pStyle w:val="TableContents"/>
              <w:spacing w:before="0" w:after="0"/>
              <w:ind w:left="0" w:right="0" w:firstLine="30"/>
              <w:jc w:val="left"/>
              <w:rPr/>
            </w:pPr>
            <w:r>
              <w:rPr/>
              <w:t> </w:t>
            </w:r>
          </w:p>
        </w:tc>
      </w:tr>
      <w:tr>
        <w:trPr/>
        <w:tc>
          <w:tcPr>
            <w:tcW w:w="13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August 8, 2019</w:t>
            </w:r>
          </w:p>
        </w:tc>
        <w:tc>
          <w:tcPr>
            <w:tcW w:w="335" w:type="dxa"/>
            <w:tcBorders/>
            <w:shd w:fill="auto" w:val="clear"/>
            <w:vAlign w:val="center"/>
          </w:tcPr>
          <w:p>
            <w:pPr>
              <w:pStyle w:val="TableContents"/>
              <w:spacing w:before="0" w:after="0"/>
              <w:ind w:left="0" w:right="0" w:firstLine="30"/>
              <w:jc w:val="left"/>
              <w:rPr/>
            </w:pPr>
            <w:r>
              <w:rPr/>
              <w:t> </w:t>
            </w:r>
          </w:p>
        </w:tc>
        <w:tc>
          <w:tcPr>
            <w:tcW w:w="7745" w:type="dxa"/>
            <w:tcBorders/>
            <w:shd w:fill="auto" w:val="clear"/>
            <w:vAlign w:val="center"/>
          </w:tcPr>
          <w:p>
            <w:pPr>
              <w:pStyle w:val="TableContents"/>
              <w:spacing w:before="0" w:after="0"/>
              <w:ind w:left="0" w:right="0" w:firstLine="30"/>
              <w:jc w:val="left"/>
              <w:rPr/>
            </w:pPr>
            <w:r>
              <w:rPr/>
              <w:t> </w:t>
            </w:r>
          </w:p>
        </w:tc>
      </w:tr>
      <w:tr>
        <w:trPr/>
        <w:tc>
          <w:tcPr>
            <w:tcW w:w="1310" w:type="dxa"/>
            <w:tcBorders/>
            <w:shd w:fill="auto" w:val="clear"/>
            <w:vAlign w:val="center"/>
          </w:tcPr>
          <w:p>
            <w:pPr>
              <w:pStyle w:val="TableContents"/>
              <w:spacing w:before="0" w:after="0"/>
              <w:ind w:left="0" w:right="0" w:firstLine="30"/>
              <w:jc w:val="left"/>
              <w:rPr/>
            </w:pPr>
            <w:r>
              <w:rPr/>
              <w:t> </w:t>
            </w:r>
          </w:p>
        </w:tc>
        <w:tc>
          <w:tcPr>
            <w:tcW w:w="335" w:type="dxa"/>
            <w:tcBorders/>
            <w:shd w:fill="auto" w:val="clear"/>
            <w:vAlign w:val="center"/>
          </w:tcPr>
          <w:p>
            <w:pPr>
              <w:pStyle w:val="TableContents"/>
              <w:spacing w:before="0" w:after="0"/>
              <w:ind w:left="0" w:right="0" w:firstLine="30"/>
              <w:jc w:val="left"/>
              <w:rPr/>
            </w:pPr>
            <w:r>
              <w:rPr/>
              <w:t> </w:t>
            </w:r>
          </w:p>
        </w:tc>
        <w:tc>
          <w:tcPr>
            <w:tcW w:w="7745" w:type="dxa"/>
            <w:tcBorders/>
            <w:shd w:fill="auto" w:val="clear"/>
            <w:vAlign w:val="center"/>
          </w:tcPr>
          <w:p>
            <w:pPr>
              <w:pStyle w:val="TableContents"/>
              <w:spacing w:before="0" w:after="0"/>
              <w:ind w:left="0" w:right="0" w:firstLine="30"/>
              <w:jc w:val="left"/>
              <w:rPr/>
            </w:pPr>
            <w:r>
              <w:rPr/>
              <w:t> </w:t>
            </w:r>
          </w:p>
        </w:tc>
      </w:tr>
      <w:tr>
        <w:trPr/>
        <w:tc>
          <w:tcPr>
            <w:tcW w:w="1310" w:type="dxa"/>
            <w:tcBorders/>
            <w:shd w:fill="auto" w:val="clear"/>
            <w:vAlign w:val="center"/>
          </w:tcPr>
          <w:p>
            <w:pPr>
              <w:pStyle w:val="TableContents"/>
              <w:spacing w:before="0" w:after="0"/>
              <w:ind w:left="0" w:right="0" w:firstLine="30"/>
              <w:jc w:val="left"/>
              <w:rPr/>
            </w:pPr>
            <w:r>
              <w:rPr/>
              <w:t> </w:t>
            </w:r>
          </w:p>
        </w:tc>
        <w:tc>
          <w:tcPr>
            <w:tcW w:w="3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By:</w:t>
            </w:r>
          </w:p>
        </w:tc>
        <w:tc>
          <w:tcPr>
            <w:tcW w:w="774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Al Swanson</w:t>
            </w:r>
          </w:p>
        </w:tc>
      </w:tr>
      <w:tr>
        <w:trPr/>
        <w:tc>
          <w:tcPr>
            <w:tcW w:w="1310" w:type="dxa"/>
            <w:tcBorders/>
            <w:shd w:fill="auto" w:val="clear"/>
            <w:vAlign w:val="center"/>
          </w:tcPr>
          <w:p>
            <w:pPr>
              <w:pStyle w:val="TableContents"/>
              <w:spacing w:before="0" w:after="0"/>
              <w:ind w:left="0" w:right="0" w:firstLine="30"/>
              <w:jc w:val="left"/>
              <w:rPr/>
            </w:pPr>
            <w:r>
              <w:rPr/>
              <w:t> </w:t>
            </w:r>
          </w:p>
        </w:tc>
        <w:tc>
          <w:tcPr>
            <w:tcW w:w="335" w:type="dxa"/>
            <w:tcBorders/>
            <w:shd w:fill="auto" w:val="clear"/>
            <w:vAlign w:val="center"/>
          </w:tcPr>
          <w:p>
            <w:pPr>
              <w:pStyle w:val="TableContents"/>
              <w:spacing w:before="0" w:after="0"/>
              <w:ind w:left="0" w:right="0" w:firstLine="30"/>
              <w:jc w:val="left"/>
              <w:rPr/>
            </w:pPr>
            <w:r>
              <w:rPr/>
              <w:t> </w:t>
            </w:r>
          </w:p>
        </w:tc>
        <w:tc>
          <w:tcPr>
            <w:tcW w:w="7745"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Al Swanson,</w:t>
            </w:r>
          </w:p>
        </w:tc>
      </w:tr>
      <w:tr>
        <w:trPr/>
        <w:tc>
          <w:tcPr>
            <w:tcW w:w="1310" w:type="dxa"/>
            <w:tcBorders/>
            <w:shd w:fill="auto" w:val="clear"/>
            <w:vAlign w:val="center"/>
          </w:tcPr>
          <w:p>
            <w:pPr>
              <w:pStyle w:val="TableContents"/>
              <w:spacing w:before="0" w:after="0"/>
              <w:ind w:left="0" w:right="0" w:firstLine="30"/>
              <w:jc w:val="left"/>
              <w:rPr/>
            </w:pPr>
            <w:r>
              <w:rPr/>
              <w:t> </w:t>
            </w:r>
          </w:p>
        </w:tc>
        <w:tc>
          <w:tcPr>
            <w:tcW w:w="335" w:type="dxa"/>
            <w:tcBorders/>
            <w:shd w:fill="auto" w:val="clear"/>
            <w:vAlign w:val="center"/>
          </w:tcPr>
          <w:p>
            <w:pPr>
              <w:pStyle w:val="TableContents"/>
              <w:spacing w:before="0" w:after="0"/>
              <w:ind w:left="0" w:right="0" w:firstLine="30"/>
              <w:jc w:val="left"/>
              <w:rPr/>
            </w:pPr>
            <w:r>
              <w:rPr/>
              <w:t> </w:t>
            </w:r>
          </w:p>
        </w:tc>
        <w:tc>
          <w:tcPr>
            <w:tcW w:w="7745" w:type="dxa"/>
            <w:tcBorders/>
            <w:shd w:fill="auto" w:val="clear"/>
            <w:vAlign w:val="center"/>
          </w:tcPr>
          <w:p>
            <w:pPr>
              <w:pStyle w:val="TableContents"/>
              <w:spacing w:before="0" w:after="0"/>
              <w:ind w:left="0" w:right="0" w:firstLine="30"/>
              <w:jc w:val="left"/>
              <w:rPr>
                <w:rFonts w:ascii="inherit" w:hAnsi="inherit"/>
                <w:b/>
                <w:i/>
                <w:sz w:val="17"/>
              </w:rPr>
            </w:pPr>
            <w:r>
              <w:rPr>
                <w:rFonts w:ascii="inherit" w:hAnsi="inherit"/>
                <w:b/>
                <w:i/>
                <w:sz w:val="17"/>
              </w:rPr>
              <w:t>Executive Vice President and Chief Financial Officer of Plains All American GP LLC</w:t>
            </w:r>
          </w:p>
        </w:tc>
      </w:tr>
      <w:tr>
        <w:trPr/>
        <w:tc>
          <w:tcPr>
            <w:tcW w:w="1310" w:type="dxa"/>
            <w:tcBorders/>
            <w:shd w:fill="auto" w:val="clear"/>
            <w:vAlign w:val="center"/>
          </w:tcPr>
          <w:p>
            <w:pPr>
              <w:pStyle w:val="TableContents"/>
              <w:spacing w:before="0" w:after="0"/>
              <w:ind w:left="0" w:right="0" w:firstLine="30"/>
              <w:jc w:val="left"/>
              <w:rPr/>
            </w:pPr>
            <w:r>
              <w:rPr/>
              <w:t> </w:t>
            </w:r>
          </w:p>
        </w:tc>
        <w:tc>
          <w:tcPr>
            <w:tcW w:w="335" w:type="dxa"/>
            <w:tcBorders/>
            <w:shd w:fill="auto" w:val="clear"/>
            <w:vAlign w:val="center"/>
          </w:tcPr>
          <w:p>
            <w:pPr>
              <w:pStyle w:val="TableContents"/>
              <w:spacing w:before="0" w:after="0"/>
              <w:ind w:left="0" w:right="0" w:firstLine="30"/>
              <w:jc w:val="left"/>
              <w:rPr/>
            </w:pPr>
            <w:r>
              <w:rPr/>
              <w:t> </w:t>
            </w:r>
          </w:p>
        </w:tc>
        <w:tc>
          <w:tcPr>
            <w:tcW w:w="7745" w:type="dxa"/>
            <w:tcBorders/>
            <w:shd w:fill="auto" w:val="clear"/>
            <w:vAlign w:val="center"/>
          </w:tcPr>
          <w:p>
            <w:pPr>
              <w:pStyle w:val="TableContents"/>
              <w:spacing w:before="0" w:after="0"/>
              <w:ind w:left="0" w:right="0" w:firstLine="30"/>
              <w:jc w:val="left"/>
              <w:rPr>
                <w:rFonts w:ascii="inherit" w:hAnsi="inherit"/>
                <w:b/>
                <w:i/>
                <w:sz w:val="17"/>
              </w:rPr>
            </w:pPr>
            <w:r>
              <w:rPr>
                <w:rFonts w:ascii="inherit" w:hAnsi="inherit"/>
                <w:b/>
                <w:i/>
                <w:sz w:val="17"/>
              </w:rPr>
              <w:t>(Principal Financial Officer)</w:t>
            </w:r>
          </w:p>
        </w:tc>
      </w:tr>
      <w:tr>
        <w:trPr/>
        <w:tc>
          <w:tcPr>
            <w:tcW w:w="1310" w:type="dxa"/>
            <w:tcBorders/>
            <w:shd w:fill="auto" w:val="clear"/>
            <w:vAlign w:val="center"/>
          </w:tcPr>
          <w:p>
            <w:pPr>
              <w:pStyle w:val="TableContents"/>
              <w:spacing w:before="0" w:after="0"/>
              <w:ind w:left="0" w:right="0" w:firstLine="30"/>
              <w:jc w:val="left"/>
              <w:rPr/>
            </w:pPr>
            <w:r>
              <w:rPr/>
              <w:t> </w:t>
            </w:r>
          </w:p>
        </w:tc>
        <w:tc>
          <w:tcPr>
            <w:tcW w:w="335" w:type="dxa"/>
            <w:tcBorders/>
            <w:shd w:fill="auto" w:val="clear"/>
            <w:vAlign w:val="center"/>
          </w:tcPr>
          <w:p>
            <w:pPr>
              <w:pStyle w:val="TableContents"/>
              <w:spacing w:before="0" w:after="0"/>
              <w:ind w:left="0" w:right="0" w:firstLine="30"/>
              <w:jc w:val="left"/>
              <w:rPr/>
            </w:pPr>
            <w:r>
              <w:rPr/>
              <w:t> </w:t>
            </w:r>
          </w:p>
        </w:tc>
        <w:tc>
          <w:tcPr>
            <w:tcW w:w="7745" w:type="dxa"/>
            <w:tcBorders/>
            <w:shd w:fill="auto" w:val="clear"/>
            <w:vAlign w:val="center"/>
          </w:tcPr>
          <w:p>
            <w:pPr>
              <w:pStyle w:val="TableContents"/>
              <w:spacing w:before="0" w:after="0"/>
              <w:ind w:left="0" w:right="0" w:firstLine="30"/>
              <w:jc w:val="left"/>
              <w:rPr/>
            </w:pPr>
            <w:r>
              <w:rPr/>
              <w:t> </w:t>
            </w:r>
          </w:p>
        </w:tc>
      </w:tr>
      <w:tr>
        <w:trPr/>
        <w:tc>
          <w:tcPr>
            <w:tcW w:w="13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August 8, 2019</w:t>
            </w:r>
          </w:p>
        </w:tc>
        <w:tc>
          <w:tcPr>
            <w:tcW w:w="335" w:type="dxa"/>
            <w:tcBorders/>
            <w:shd w:fill="auto" w:val="clear"/>
            <w:vAlign w:val="center"/>
          </w:tcPr>
          <w:p>
            <w:pPr>
              <w:pStyle w:val="TableContents"/>
              <w:spacing w:before="0" w:after="0"/>
              <w:ind w:left="0" w:right="0" w:firstLine="30"/>
              <w:jc w:val="left"/>
              <w:rPr/>
            </w:pPr>
            <w:r>
              <w:rPr/>
              <w:t> </w:t>
            </w:r>
          </w:p>
        </w:tc>
        <w:tc>
          <w:tcPr>
            <w:tcW w:w="7745" w:type="dxa"/>
            <w:tcBorders/>
            <w:shd w:fill="auto" w:val="clear"/>
            <w:vAlign w:val="center"/>
          </w:tcPr>
          <w:p>
            <w:pPr>
              <w:pStyle w:val="TableContents"/>
              <w:spacing w:before="0" w:after="0"/>
              <w:ind w:left="0" w:right="0" w:firstLine="30"/>
              <w:jc w:val="left"/>
              <w:rPr/>
            </w:pPr>
            <w:r>
              <w:rPr/>
              <w:t> </w:t>
            </w:r>
          </w:p>
        </w:tc>
      </w:tr>
      <w:tr>
        <w:trPr/>
        <w:tc>
          <w:tcPr>
            <w:tcW w:w="1310" w:type="dxa"/>
            <w:tcBorders/>
            <w:shd w:fill="auto" w:val="clear"/>
            <w:vAlign w:val="center"/>
          </w:tcPr>
          <w:p>
            <w:pPr>
              <w:pStyle w:val="TableContents"/>
              <w:spacing w:before="0" w:after="0"/>
              <w:ind w:left="0" w:right="0" w:firstLine="30"/>
              <w:jc w:val="left"/>
              <w:rPr/>
            </w:pPr>
            <w:r>
              <w:rPr/>
              <w:t> </w:t>
            </w:r>
          </w:p>
        </w:tc>
        <w:tc>
          <w:tcPr>
            <w:tcW w:w="335" w:type="dxa"/>
            <w:tcBorders/>
            <w:shd w:fill="auto" w:val="clear"/>
            <w:vAlign w:val="center"/>
          </w:tcPr>
          <w:p>
            <w:pPr>
              <w:pStyle w:val="TableContents"/>
              <w:spacing w:before="0" w:after="0"/>
              <w:ind w:left="0" w:right="0" w:firstLine="30"/>
              <w:jc w:val="left"/>
              <w:rPr/>
            </w:pPr>
            <w:r>
              <w:rPr/>
              <w:t> </w:t>
            </w:r>
          </w:p>
        </w:tc>
        <w:tc>
          <w:tcPr>
            <w:tcW w:w="7745" w:type="dxa"/>
            <w:tcBorders/>
            <w:shd w:fill="auto" w:val="clear"/>
            <w:vAlign w:val="center"/>
          </w:tcPr>
          <w:p>
            <w:pPr>
              <w:pStyle w:val="TableContents"/>
              <w:spacing w:before="0" w:after="0"/>
              <w:ind w:left="0" w:right="0" w:firstLine="30"/>
              <w:jc w:val="left"/>
              <w:rPr/>
            </w:pPr>
            <w:r>
              <w:rPr/>
              <w:t> </w:t>
            </w:r>
          </w:p>
        </w:tc>
      </w:tr>
      <w:tr>
        <w:trPr/>
        <w:tc>
          <w:tcPr>
            <w:tcW w:w="1310" w:type="dxa"/>
            <w:tcBorders/>
            <w:shd w:fill="auto" w:val="clear"/>
            <w:vAlign w:val="center"/>
          </w:tcPr>
          <w:p>
            <w:pPr>
              <w:pStyle w:val="TableContents"/>
              <w:spacing w:before="0" w:after="0"/>
              <w:ind w:left="0" w:right="0" w:firstLine="30"/>
              <w:jc w:val="left"/>
              <w:rPr/>
            </w:pPr>
            <w:r>
              <w:rPr/>
              <w:t> </w:t>
            </w:r>
          </w:p>
        </w:tc>
        <w:tc>
          <w:tcPr>
            <w:tcW w:w="3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By:</w:t>
            </w:r>
          </w:p>
        </w:tc>
        <w:tc>
          <w:tcPr>
            <w:tcW w:w="774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Chris Herbold</w:t>
            </w:r>
          </w:p>
        </w:tc>
      </w:tr>
      <w:tr>
        <w:trPr/>
        <w:tc>
          <w:tcPr>
            <w:tcW w:w="1310" w:type="dxa"/>
            <w:tcBorders/>
            <w:shd w:fill="auto" w:val="clear"/>
            <w:vAlign w:val="center"/>
          </w:tcPr>
          <w:p>
            <w:pPr>
              <w:pStyle w:val="TableContents"/>
              <w:spacing w:before="0" w:after="0"/>
              <w:ind w:left="0" w:right="0" w:firstLine="30"/>
              <w:jc w:val="left"/>
              <w:rPr/>
            </w:pPr>
            <w:r>
              <w:rPr/>
              <w:t> </w:t>
            </w:r>
          </w:p>
        </w:tc>
        <w:tc>
          <w:tcPr>
            <w:tcW w:w="335" w:type="dxa"/>
            <w:tcBorders/>
            <w:shd w:fill="auto" w:val="clear"/>
            <w:vAlign w:val="center"/>
          </w:tcPr>
          <w:p>
            <w:pPr>
              <w:pStyle w:val="TableContents"/>
              <w:spacing w:before="0" w:after="0"/>
              <w:ind w:left="0" w:right="0" w:firstLine="30"/>
              <w:jc w:val="left"/>
              <w:rPr/>
            </w:pPr>
            <w:r>
              <w:rPr/>
              <w:t> </w:t>
            </w:r>
          </w:p>
        </w:tc>
        <w:tc>
          <w:tcPr>
            <w:tcW w:w="7745"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Chris Herbold,</w:t>
            </w:r>
          </w:p>
        </w:tc>
      </w:tr>
      <w:tr>
        <w:trPr/>
        <w:tc>
          <w:tcPr>
            <w:tcW w:w="1310" w:type="dxa"/>
            <w:tcBorders/>
            <w:shd w:fill="auto" w:val="clear"/>
            <w:vAlign w:val="center"/>
          </w:tcPr>
          <w:p>
            <w:pPr>
              <w:pStyle w:val="TableContents"/>
              <w:spacing w:before="0" w:after="0"/>
              <w:ind w:left="0" w:right="0" w:firstLine="30"/>
              <w:jc w:val="left"/>
              <w:rPr/>
            </w:pPr>
            <w:r>
              <w:rPr/>
              <w:t> </w:t>
            </w:r>
          </w:p>
        </w:tc>
        <w:tc>
          <w:tcPr>
            <w:tcW w:w="335" w:type="dxa"/>
            <w:tcBorders/>
            <w:shd w:fill="auto" w:val="clear"/>
            <w:vAlign w:val="center"/>
          </w:tcPr>
          <w:p>
            <w:pPr>
              <w:pStyle w:val="TableContents"/>
              <w:spacing w:before="0" w:after="0"/>
              <w:ind w:left="0" w:right="0" w:firstLine="30"/>
              <w:jc w:val="left"/>
              <w:rPr/>
            </w:pPr>
            <w:r>
              <w:rPr/>
              <w:t> </w:t>
            </w:r>
          </w:p>
        </w:tc>
        <w:tc>
          <w:tcPr>
            <w:tcW w:w="7745" w:type="dxa"/>
            <w:tcBorders/>
            <w:shd w:fill="auto" w:val="clear"/>
            <w:vAlign w:val="center"/>
          </w:tcPr>
          <w:p>
            <w:pPr>
              <w:pStyle w:val="TableContents"/>
              <w:spacing w:before="0" w:after="0"/>
              <w:ind w:left="0" w:right="0" w:firstLine="30"/>
              <w:jc w:val="left"/>
              <w:rPr>
                <w:rFonts w:ascii="inherit" w:hAnsi="inherit"/>
                <w:b/>
                <w:i/>
                <w:sz w:val="17"/>
              </w:rPr>
            </w:pPr>
            <w:r>
              <w:rPr>
                <w:rFonts w:ascii="inherit" w:hAnsi="inherit"/>
                <w:b/>
                <w:i/>
                <w:sz w:val="17"/>
              </w:rPr>
              <w:t>Senior Vice President and Chief Accounting Officer of Plains All American GP LLC</w:t>
            </w:r>
          </w:p>
        </w:tc>
      </w:tr>
      <w:tr>
        <w:trPr/>
        <w:tc>
          <w:tcPr>
            <w:tcW w:w="1310" w:type="dxa"/>
            <w:tcBorders/>
            <w:shd w:fill="auto" w:val="clear"/>
            <w:vAlign w:val="center"/>
          </w:tcPr>
          <w:p>
            <w:pPr>
              <w:pStyle w:val="TableContents"/>
              <w:spacing w:before="0" w:after="0"/>
              <w:ind w:left="0" w:right="0" w:firstLine="30"/>
              <w:jc w:val="left"/>
              <w:rPr/>
            </w:pPr>
            <w:r>
              <w:rPr/>
              <w:t> </w:t>
            </w:r>
          </w:p>
        </w:tc>
        <w:tc>
          <w:tcPr>
            <w:tcW w:w="335" w:type="dxa"/>
            <w:tcBorders/>
            <w:shd w:fill="auto" w:val="clear"/>
            <w:vAlign w:val="center"/>
          </w:tcPr>
          <w:p>
            <w:pPr>
              <w:pStyle w:val="TableContents"/>
              <w:spacing w:before="0" w:after="0"/>
              <w:ind w:left="0" w:right="0" w:firstLine="30"/>
              <w:jc w:val="left"/>
              <w:rPr/>
            </w:pPr>
            <w:r>
              <w:rPr/>
              <w:t> </w:t>
            </w:r>
          </w:p>
        </w:tc>
        <w:tc>
          <w:tcPr>
            <w:tcW w:w="7745" w:type="dxa"/>
            <w:tcBorders/>
            <w:shd w:fill="auto" w:val="clear"/>
            <w:vAlign w:val="center"/>
          </w:tcPr>
          <w:p>
            <w:pPr>
              <w:pStyle w:val="TableContents"/>
              <w:spacing w:before="0" w:after="0"/>
              <w:ind w:left="0" w:right="0" w:firstLine="30"/>
              <w:jc w:val="left"/>
              <w:rPr>
                <w:rFonts w:ascii="inherit" w:hAnsi="inherit"/>
                <w:b/>
                <w:i/>
                <w:sz w:val="17"/>
              </w:rPr>
            </w:pPr>
            <w:r>
              <w:rPr>
                <w:rFonts w:ascii="inherit" w:hAnsi="inherit"/>
                <w:b/>
                <w:i/>
                <w:sz w:val="17"/>
              </w:rPr>
              <w:t>(Principal Accounting Officer)</w:t>
            </w:r>
          </w:p>
        </w:tc>
      </w:tr>
      <w:tr>
        <w:trPr/>
        <w:tc>
          <w:tcPr>
            <w:tcW w:w="1310" w:type="dxa"/>
            <w:tcBorders/>
            <w:shd w:fill="auto" w:val="clear"/>
            <w:vAlign w:val="center"/>
          </w:tcPr>
          <w:p>
            <w:pPr>
              <w:pStyle w:val="TableContents"/>
              <w:spacing w:before="0" w:after="0"/>
              <w:ind w:left="0" w:right="0" w:firstLine="30"/>
              <w:jc w:val="left"/>
              <w:rPr/>
            </w:pPr>
            <w:r>
              <w:rPr/>
              <w:t> </w:t>
            </w:r>
          </w:p>
        </w:tc>
        <w:tc>
          <w:tcPr>
            <w:tcW w:w="8080" w:type="dxa"/>
            <w:gridSpan w:val="2"/>
            <w:tcBorders/>
            <w:shd w:fill="auto" w:val="clear"/>
            <w:vAlign w:val="center"/>
          </w:tcPr>
          <w:p>
            <w:pPr>
              <w:pStyle w:val="TableContents"/>
              <w:spacing w:before="0" w:after="0"/>
              <w:ind w:left="0" w:right="0" w:firstLine="30"/>
              <w:jc w:val="left"/>
              <w:rPr/>
            </w:pPr>
            <w:r>
              <w:rPr/>
              <w:t> </w:t>
            </w:r>
          </w:p>
        </w:tc>
      </w:tr>
      <w:tr>
        <w:trPr/>
        <w:tc>
          <w:tcPr>
            <w:tcW w:w="13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August 8, 2019</w:t>
            </w:r>
          </w:p>
        </w:tc>
        <w:tc>
          <w:tcPr>
            <w:tcW w:w="8080" w:type="dxa"/>
            <w:gridSpan w:val="2"/>
            <w:tcBorders/>
            <w:shd w:fill="auto" w:val="clear"/>
            <w:vAlign w:val="center"/>
          </w:tcPr>
          <w:p>
            <w:pPr>
              <w:pStyle w:val="TableContents"/>
              <w:spacing w:before="0" w:after="0"/>
              <w:jc w:val="left"/>
              <w:rPr/>
            </w:pPr>
            <w:r>
              <w:rPr/>
              <w:t> </w:t>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ind w:left="0" w:right="0" w:hanging="72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73</w:t>
      </w:r>
      <w:r>
        <w:br w:type="page"/>
      </w:r>
    </w:p>
    <w:p>
      <w:pPr>
        <w:pStyle w:val="TextBody"/>
        <w:spacing w:lineRule="auto" w:line="288" w:before="0" w:after="0"/>
        <w:rPr>
          <w:rFonts w:ascii="inherit" w:hAnsi="inherit"/>
          <w:sz w:val="17"/>
        </w:rPr>
      </w:pPr>
      <w:r>
        <w:rPr>
          <w:rFonts w:ascii="inherit" w:hAnsi="inherit"/>
          <w:sz w:val="17"/>
        </w:rPr>
      </w:r>
      <w:bookmarkStart w:id="56" w:name="s90BE36879712526B84FE6FA3C2B78359"/>
      <w:bookmarkStart w:id="57" w:name="paaq22019exhibit311.htm"/>
      <w:bookmarkStart w:id="58" w:name="kspaaq22019exhibit311"/>
      <w:bookmarkStart w:id="59" w:name="s90BE36879712526B84FE6FA3C2B78359"/>
      <w:bookmarkStart w:id="60" w:name="paaq22019exhibit311.htm"/>
      <w:bookmarkStart w:id="61" w:name="kspaaq22019exhibit311"/>
      <w:bookmarkEnd w:id="59"/>
      <w:bookmarkEnd w:id="60"/>
      <w:bookmarkEnd w:id="61"/>
    </w:p>
    <w:p>
      <w:pPr>
        <w:pStyle w:val="TextBody"/>
        <w:spacing w:before="0" w:after="0"/>
        <w:rPr/>
      </w:pPr>
      <w:r>
        <w:rPr/>
      </w:r>
    </w:p>
    <w:p>
      <w:pPr>
        <w:pStyle w:val="TextBody"/>
        <w:spacing w:lineRule="auto" w:line="288" w:before="0" w:after="0"/>
        <w:jc w:val="right"/>
        <w:rPr>
          <w:rFonts w:ascii="inherit" w:hAnsi="inherit"/>
          <w:b/>
          <w:sz w:val="17"/>
        </w:rPr>
      </w:pPr>
      <w:r>
        <w:rPr>
          <w:rFonts w:ascii="inherit" w:hAnsi="inherit"/>
          <w:b/>
          <w:sz w:val="17"/>
        </w:rPr>
        <w:t>EXHIBIT 31.1</w:t>
      </w:r>
    </w:p>
    <w:p>
      <w:pPr>
        <w:pStyle w:val="TextBody"/>
        <w:spacing w:lineRule="auto" w:line="288" w:before="0" w:after="0"/>
        <w:rPr/>
      </w:pPr>
      <w:r>
        <w:rPr/>
        <w:t> </w:t>
      </w:r>
    </w:p>
    <w:p>
      <w:pPr>
        <w:pStyle w:val="TextBody"/>
        <w:spacing w:lineRule="auto" w:line="288" w:before="0" w:after="0"/>
        <w:jc w:val="center"/>
        <w:rPr>
          <w:rFonts w:ascii="inherit" w:hAnsi="inherit"/>
          <w:b/>
          <w:sz w:val="17"/>
        </w:rPr>
      </w:pPr>
      <w:r>
        <w:rPr>
          <w:rFonts w:ascii="inherit" w:hAnsi="inherit"/>
          <w:b/>
          <w:sz w:val="17"/>
        </w:rPr>
        <w:t>CERTIFICATION</w:t>
      </w:r>
    </w:p>
    <w:p>
      <w:pPr>
        <w:pStyle w:val="TextBody"/>
        <w:spacing w:lineRule="auto" w:line="288" w:before="0" w:after="0"/>
        <w:rPr/>
      </w:pPr>
      <w:r>
        <w:rPr/>
        <w:t> </w:t>
      </w:r>
    </w:p>
    <w:p>
      <w:pPr>
        <w:pStyle w:val="TextBody"/>
        <w:spacing w:lineRule="auto" w:line="288" w:before="0" w:after="0"/>
        <w:rPr>
          <w:rFonts w:ascii="inherit" w:hAnsi="inherit"/>
          <w:sz w:val="17"/>
        </w:rPr>
      </w:pPr>
      <w:r>
        <w:rPr>
          <w:rFonts w:ascii="inherit" w:hAnsi="inherit"/>
          <w:sz w:val="17"/>
        </w:rPr>
        <w:t>I, Willie Chiang, certify that:</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1.  I have reviewed this quarterly report on Form 10-Q of Plains All American Pipeline, L.P. (the “registrant”);</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(b)           Any fraud, whether or not material, that involves management or other employees who have a significant role in the registrant’s internal control over financial reporting.</w:t>
      </w:r>
    </w:p>
    <w:p>
      <w:pPr>
        <w:pStyle w:val="TextBody"/>
        <w:spacing w:lineRule="auto" w:line="288" w:before="0" w:after="0"/>
        <w:rPr/>
      </w:pPr>
      <w:r>
        <w:rPr/>
        <w:t> </w:t>
      </w:r>
    </w:p>
    <w:p>
      <w:pPr>
        <w:pStyle w:val="TextBody"/>
        <w:spacing w:lineRule="auto" w:line="288" w:before="0" w:after="0"/>
        <w:rPr>
          <w:sz w:val="17"/>
        </w:rPr>
      </w:pPr>
      <w:r>
        <w:rPr>
          <w:rFonts w:ascii="inherit" w:hAnsi="inherit"/>
          <w:sz w:val="17"/>
        </w:rPr>
        <w:t>Date: August 8, 2019</w:t>
      </w:r>
      <w:r>
        <w:rPr>
          <w:sz w:val="17"/>
        </w:rPr>
        <w:t xml:space="preserve"> </w:t>
      </w:r>
    </w:p>
    <w:p>
      <w:pPr>
        <w:pStyle w:val="TextBody"/>
        <w:spacing w:lineRule="auto" w:line="288" w:before="0" w:after="0"/>
        <w:rPr/>
      </w:pPr>
      <w:r>
        <w:rPr/>
        <w:t> </w:t>
      </w:r>
    </w:p>
    <w:p>
      <w:pPr>
        <w:pStyle w:val="TextBody"/>
        <w:spacing w:lineRule="auto" w:line="288" w:before="0" w:after="0"/>
        <w:rPr/>
      </w:pPr>
      <w:r>
        <w:rPr/>
        <w:t> </w:t>
      </w:r>
    </w:p>
    <w:tbl>
      <w:tblPr>
        <w:tblW w:w="1970" w:type="dxa"/>
        <w:jc w:val="left"/>
        <w:tblInd w:w="0" w:type="dxa"/>
        <w:tblCellMar>
          <w:top w:w="0" w:type="dxa"/>
          <w:left w:w="0" w:type="dxa"/>
          <w:bottom w:w="0" w:type="dxa"/>
          <w:right w:w="0" w:type="dxa"/>
        </w:tblCellMar>
      </w:tblPr>
      <w:tblGrid>
        <w:gridCol w:w="1970"/>
      </w:tblGrid>
      <w:tr>
        <w:trPr/>
        <w:tc>
          <w:tcPr>
            <w:tcW w:w="1970" w:type="dxa"/>
            <w:tcBorders/>
            <w:shd w:fill="auto" w:val="clear"/>
            <w:vAlign w:val="center"/>
          </w:tcPr>
          <w:p>
            <w:pPr>
              <w:pStyle w:val="TableContents"/>
              <w:spacing w:before="0" w:after="283"/>
              <w:rPr>
                <w:sz w:val="4"/>
                <w:szCs w:val="4"/>
              </w:rPr>
            </w:pPr>
            <w:r>
              <w:rPr>
                <w:sz w:val="4"/>
                <w:szCs w:val="4"/>
              </w:rPr>
            </w:r>
          </w:p>
        </w:tc>
      </w:tr>
      <w:tr>
        <w:trPr/>
        <w:tc>
          <w:tcPr>
            <w:tcW w:w="197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97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Willie Chiang</w:t>
            </w:r>
          </w:p>
        </w:tc>
      </w:tr>
      <w:tr>
        <w:trPr/>
        <w:tc>
          <w:tcPr>
            <w:tcW w:w="19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Willie Chiang</w:t>
            </w:r>
          </w:p>
        </w:tc>
      </w:tr>
      <w:tr>
        <w:trPr/>
        <w:tc>
          <w:tcPr>
            <w:tcW w:w="1970" w:type="dxa"/>
            <w:tcBorders/>
            <w:shd w:fill="auto" w:val="clear"/>
            <w:vAlign w:val="center"/>
          </w:tcPr>
          <w:p>
            <w:pPr>
              <w:pStyle w:val="TableContents"/>
              <w:spacing w:before="0" w:after="0"/>
              <w:jc w:val="left"/>
              <w:rPr>
                <w:rFonts w:ascii="inherit" w:hAnsi="inherit"/>
                <w:sz w:val="17"/>
              </w:rPr>
            </w:pPr>
            <w:r>
              <w:rPr>
                <w:rFonts w:ascii="inherit" w:hAnsi="inherit"/>
                <w:sz w:val="17"/>
              </w:rPr>
              <w:t>Chief Executive Officer</w:t>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62" w:name="sD267E5FB7D7450CE93E30E89C16444DA"/>
      <w:bookmarkStart w:id="63" w:name="paaq22019exhibit312.htm"/>
      <w:bookmarkStart w:id="64" w:name="kspaaq22019exhibit312"/>
      <w:bookmarkStart w:id="65" w:name="sD267E5FB7D7450CE93E30E89C16444DA"/>
      <w:bookmarkStart w:id="66" w:name="paaq22019exhibit312.htm"/>
      <w:bookmarkStart w:id="67" w:name="kspaaq22019exhibit312"/>
      <w:bookmarkEnd w:id="65"/>
      <w:bookmarkEnd w:id="66"/>
      <w:bookmarkEnd w:id="67"/>
    </w:p>
    <w:p>
      <w:pPr>
        <w:pStyle w:val="TextBody"/>
        <w:spacing w:before="0" w:after="0"/>
        <w:rPr/>
      </w:pPr>
      <w:r>
        <w:rPr/>
      </w:r>
    </w:p>
    <w:p>
      <w:pPr>
        <w:pStyle w:val="TextBody"/>
        <w:spacing w:lineRule="auto" w:line="288" w:before="0" w:after="0"/>
        <w:jc w:val="right"/>
        <w:rPr>
          <w:rFonts w:ascii="inherit" w:hAnsi="inherit"/>
          <w:b/>
          <w:sz w:val="17"/>
        </w:rPr>
      </w:pPr>
      <w:r>
        <w:rPr>
          <w:rFonts w:ascii="inherit" w:hAnsi="inherit"/>
          <w:b/>
          <w:sz w:val="17"/>
        </w:rPr>
        <w:t>EXHIBIT 31.2</w:t>
      </w:r>
    </w:p>
    <w:p>
      <w:pPr>
        <w:pStyle w:val="TextBody"/>
        <w:spacing w:lineRule="auto" w:line="288" w:before="0" w:after="0"/>
        <w:rPr/>
      </w:pPr>
      <w:r>
        <w:rPr/>
        <w:t> </w:t>
      </w:r>
    </w:p>
    <w:p>
      <w:pPr>
        <w:pStyle w:val="TextBody"/>
        <w:spacing w:lineRule="auto" w:line="288" w:before="0" w:after="0"/>
        <w:jc w:val="center"/>
        <w:rPr>
          <w:rFonts w:ascii="inherit" w:hAnsi="inherit"/>
          <w:b/>
          <w:sz w:val="17"/>
        </w:rPr>
      </w:pPr>
      <w:r>
        <w:rPr>
          <w:rFonts w:ascii="inherit" w:hAnsi="inherit"/>
          <w:b/>
          <w:sz w:val="17"/>
        </w:rPr>
        <w:t>CERTIFICATION</w:t>
      </w:r>
    </w:p>
    <w:p>
      <w:pPr>
        <w:pStyle w:val="TextBody"/>
        <w:spacing w:lineRule="auto" w:line="288" w:before="0" w:after="0"/>
        <w:rPr/>
      </w:pPr>
      <w:r>
        <w:rPr/>
        <w:t> </w:t>
      </w:r>
    </w:p>
    <w:p>
      <w:pPr>
        <w:pStyle w:val="TextBody"/>
        <w:spacing w:lineRule="auto" w:line="288" w:before="0" w:after="0"/>
        <w:rPr>
          <w:rFonts w:ascii="inherit" w:hAnsi="inherit"/>
          <w:sz w:val="17"/>
        </w:rPr>
      </w:pPr>
      <w:r>
        <w:rPr>
          <w:rFonts w:ascii="inherit" w:hAnsi="inherit"/>
          <w:sz w:val="17"/>
        </w:rPr>
        <w:t>I, Al Swanson, certify that:</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1.  I have reviewed this quarterly report on Form 10-Q of Plains All American Pipeline, L.P. (the “registrant”);</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(b)           Any fraud, whether or not material, that involves management or other employees who have a significant role in the registrant’s internal control over financial reporting.</w:t>
      </w:r>
    </w:p>
    <w:p>
      <w:pPr>
        <w:pStyle w:val="TextBody"/>
        <w:spacing w:lineRule="auto" w:line="288" w:before="0" w:after="0"/>
        <w:rPr/>
      </w:pPr>
      <w:r>
        <w:rPr/>
        <w:t> </w:t>
      </w:r>
    </w:p>
    <w:p>
      <w:pPr>
        <w:pStyle w:val="TextBody"/>
        <w:spacing w:lineRule="auto" w:line="288" w:before="0" w:after="0"/>
        <w:rPr>
          <w:sz w:val="17"/>
        </w:rPr>
      </w:pPr>
      <w:r>
        <w:rPr>
          <w:rFonts w:ascii="inherit" w:hAnsi="inherit"/>
          <w:sz w:val="17"/>
        </w:rPr>
        <w:t>Date:  August 8, 2019</w:t>
      </w:r>
      <w:r>
        <w:rPr>
          <w:sz w:val="17"/>
        </w:rPr>
        <w:t xml:space="preserve"> </w:t>
      </w:r>
    </w:p>
    <w:p>
      <w:pPr>
        <w:pStyle w:val="TextBody"/>
        <w:spacing w:lineRule="auto" w:line="288" w:before="0" w:after="0"/>
        <w:rPr/>
      </w:pPr>
      <w:r>
        <w:rPr/>
        <w:t> </w:t>
      </w:r>
    </w:p>
    <w:p>
      <w:pPr>
        <w:pStyle w:val="TextBody"/>
        <w:spacing w:lineRule="auto" w:line="288" w:before="0" w:after="0"/>
        <w:rPr/>
      </w:pPr>
      <w:r>
        <w:rPr/>
        <w:t> </w:t>
      </w:r>
    </w:p>
    <w:tbl>
      <w:tblPr>
        <w:tblW w:w="1880" w:type="dxa"/>
        <w:jc w:val="left"/>
        <w:tblInd w:w="0" w:type="dxa"/>
        <w:tblCellMar>
          <w:top w:w="0" w:type="dxa"/>
          <w:left w:w="0" w:type="dxa"/>
          <w:bottom w:w="0" w:type="dxa"/>
          <w:right w:w="0" w:type="dxa"/>
        </w:tblCellMar>
      </w:tblPr>
      <w:tblGrid>
        <w:gridCol w:w="1880"/>
      </w:tblGrid>
      <w:tr>
        <w:trPr/>
        <w:tc>
          <w:tcPr>
            <w:tcW w:w="1880" w:type="dxa"/>
            <w:tcBorders/>
            <w:shd w:fill="auto" w:val="clear"/>
            <w:vAlign w:val="center"/>
          </w:tcPr>
          <w:p>
            <w:pPr>
              <w:pStyle w:val="TableContents"/>
              <w:spacing w:before="0" w:after="283"/>
              <w:rPr>
                <w:sz w:val="4"/>
                <w:szCs w:val="4"/>
              </w:rPr>
            </w:pPr>
            <w:r>
              <w:rPr>
                <w:sz w:val="4"/>
                <w:szCs w:val="4"/>
              </w:rPr>
            </w:r>
          </w:p>
        </w:tc>
      </w:tr>
      <w:tr>
        <w:trPr/>
        <w:tc>
          <w:tcPr>
            <w:tcW w:w="188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88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Al Swanson</w:t>
            </w:r>
          </w:p>
        </w:tc>
      </w:tr>
      <w:tr>
        <w:trPr/>
        <w:tc>
          <w:tcPr>
            <w:tcW w:w="18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Al Swanson</w:t>
            </w:r>
          </w:p>
        </w:tc>
      </w:tr>
      <w:tr>
        <w:trPr/>
        <w:tc>
          <w:tcPr>
            <w:tcW w:w="1880" w:type="dxa"/>
            <w:tcBorders/>
            <w:shd w:fill="auto" w:val="clear"/>
            <w:vAlign w:val="center"/>
          </w:tcPr>
          <w:p>
            <w:pPr>
              <w:pStyle w:val="TableContents"/>
              <w:spacing w:before="0" w:after="0"/>
              <w:jc w:val="left"/>
              <w:rPr>
                <w:rFonts w:ascii="inherit" w:hAnsi="inherit"/>
                <w:sz w:val="17"/>
              </w:rPr>
            </w:pPr>
            <w:r>
              <w:rPr>
                <w:rFonts w:ascii="inherit" w:hAnsi="inherit"/>
                <w:sz w:val="17"/>
              </w:rPr>
              <w:t>Chief Financial Officer</w:t>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68" w:name="sD95AEF7CCF9B5CF898CDB3A4D47DFB19"/>
      <w:bookmarkStart w:id="69" w:name="paaq22019exhibit321.htm"/>
      <w:bookmarkStart w:id="70" w:name="kspaaq22019exhibit321"/>
      <w:bookmarkStart w:id="71" w:name="sD95AEF7CCF9B5CF898CDB3A4D47DFB19"/>
      <w:bookmarkStart w:id="72" w:name="paaq22019exhibit321.htm"/>
      <w:bookmarkStart w:id="73" w:name="kspaaq22019exhibit321"/>
      <w:bookmarkEnd w:id="71"/>
      <w:bookmarkEnd w:id="72"/>
      <w:bookmarkEnd w:id="73"/>
    </w:p>
    <w:p>
      <w:pPr>
        <w:pStyle w:val="TextBody"/>
        <w:spacing w:before="0" w:after="0"/>
        <w:rPr/>
      </w:pPr>
      <w:r>
        <w:rPr/>
      </w:r>
    </w:p>
    <w:p>
      <w:pPr>
        <w:pStyle w:val="TextBody"/>
        <w:spacing w:lineRule="auto" w:line="288" w:before="0" w:after="0"/>
        <w:jc w:val="right"/>
        <w:rPr>
          <w:rFonts w:ascii="inherit" w:hAnsi="inherit"/>
          <w:b/>
          <w:sz w:val="17"/>
        </w:rPr>
      </w:pPr>
      <w:r>
        <w:rPr>
          <w:rFonts w:ascii="inherit" w:hAnsi="inherit"/>
          <w:b/>
          <w:sz w:val="17"/>
        </w:rPr>
        <w:t>EXHIBIT 32.1</w:t>
      </w:r>
    </w:p>
    <w:p>
      <w:pPr>
        <w:pStyle w:val="TextBody"/>
        <w:spacing w:lineRule="auto" w:line="288" w:before="0" w:after="0"/>
        <w:rPr/>
      </w:pPr>
      <w:r>
        <w:rPr/>
        <w:t> </w:t>
      </w:r>
    </w:p>
    <w:p>
      <w:pPr>
        <w:pStyle w:val="TextBody"/>
        <w:spacing w:lineRule="auto" w:line="288" w:before="0" w:after="0"/>
        <w:jc w:val="center"/>
        <w:rPr>
          <w:rFonts w:ascii="inherit" w:hAnsi="inherit"/>
          <w:b/>
          <w:sz w:val="17"/>
        </w:rPr>
      </w:pPr>
      <w:r>
        <w:rPr>
          <w:rFonts w:ascii="inherit" w:hAnsi="inherit"/>
          <w:b/>
          <w:sz w:val="17"/>
        </w:rPr>
        <w:t>CERTIFICATION OF</w:t>
      </w:r>
    </w:p>
    <w:p>
      <w:pPr>
        <w:pStyle w:val="TextBody"/>
        <w:spacing w:lineRule="auto" w:line="288" w:before="0" w:after="0"/>
        <w:jc w:val="center"/>
        <w:rPr>
          <w:rFonts w:ascii="inherit" w:hAnsi="inherit"/>
          <w:b/>
          <w:sz w:val="17"/>
        </w:rPr>
      </w:pPr>
      <w:r>
        <w:rPr>
          <w:rFonts w:ascii="inherit" w:hAnsi="inherit"/>
          <w:b/>
          <w:sz w:val="17"/>
        </w:rPr>
        <w:t>CHIEF EXECUTIVE OFFICER</w:t>
      </w:r>
    </w:p>
    <w:p>
      <w:pPr>
        <w:pStyle w:val="TextBody"/>
        <w:spacing w:lineRule="auto" w:line="288" w:before="0" w:after="0"/>
        <w:jc w:val="center"/>
        <w:rPr>
          <w:rFonts w:ascii="inherit" w:hAnsi="inherit"/>
          <w:b/>
          <w:sz w:val="17"/>
        </w:rPr>
      </w:pPr>
      <w:r>
        <w:rPr>
          <w:rFonts w:ascii="inherit" w:hAnsi="inherit"/>
          <w:b/>
          <w:sz w:val="17"/>
        </w:rPr>
        <w:t>OF PLAINS ALL AMERICAN PIPELINE, L.P.</w:t>
      </w:r>
    </w:p>
    <w:p>
      <w:pPr>
        <w:pStyle w:val="TextBody"/>
        <w:spacing w:lineRule="auto" w:line="288" w:before="0" w:after="0"/>
        <w:jc w:val="center"/>
        <w:rPr>
          <w:rFonts w:ascii="inherit" w:hAnsi="inherit"/>
          <w:b/>
          <w:sz w:val="17"/>
        </w:rPr>
      </w:pPr>
      <w:r>
        <w:rPr>
          <w:rFonts w:ascii="inherit" w:hAnsi="inherit"/>
          <w:b/>
          <w:sz w:val="17"/>
        </w:rPr>
        <w:t>PURSUANT TO 18 U.S.C. 1350</w:t>
      </w:r>
    </w:p>
    <w:p>
      <w:pPr>
        <w:pStyle w:val="TextBody"/>
        <w:spacing w:lineRule="auto" w:line="288" w:before="0" w:after="0"/>
        <w:rPr/>
      </w:pPr>
      <w:r>
        <w:rPr/>
        <w:t> </w:t>
      </w:r>
    </w:p>
    <w:p>
      <w:pPr>
        <w:pStyle w:val="TextBody"/>
        <w:spacing w:lineRule="auto" w:line="288" w:before="0" w:after="0"/>
        <w:rPr>
          <w:rFonts w:ascii="inherit" w:hAnsi="inherit"/>
          <w:sz w:val="17"/>
        </w:rPr>
      </w:pPr>
      <w:r>
        <w:rPr>
          <w:rFonts w:ascii="inherit" w:hAnsi="inherit"/>
          <w:sz w:val="17"/>
        </w:rPr>
        <w:t>I, Willie Chiang, Chief Executive Officer of Plains All American Pipeline, L.P. (the “Company”), hereby certify that:</w:t>
      </w:r>
    </w:p>
    <w:p>
      <w:pPr>
        <w:pStyle w:val="TextBody"/>
        <w:spacing w:lineRule="auto" w:line="288" w:before="0" w:after="0"/>
        <w:rPr/>
      </w:pPr>
      <w:r>
        <w:rPr/>
        <w:t> </w:t>
      </w:r>
    </w:p>
    <w:p>
      <w:pPr>
        <w:pStyle w:val="TextBody"/>
        <w:spacing w:lineRule="auto" w:line="288" w:before="0" w:after="0"/>
        <w:ind w:left="0" w:right="0" w:firstLine="720"/>
        <w:rPr>
          <w:sz w:val="17"/>
        </w:rPr>
      </w:pPr>
      <w:r>
        <w:rPr>
          <w:rFonts w:ascii="inherit" w:hAnsi="inherit"/>
          <w:sz w:val="17"/>
        </w:rPr>
        <w:t>(i)            the accompanying report on Form 10-Q for the period ended June 30, 2019</w:t>
      </w:r>
      <w:r>
        <w:rPr>
          <w:sz w:val="17"/>
        </w:rPr>
        <w:t xml:space="preserve"> </w:t>
      </w:r>
      <w:r>
        <w:rPr>
          <w:rFonts w:ascii="inherit" w:hAnsi="inherit"/>
          <w:sz w:val="17"/>
        </w:rPr>
        <w:t>and filed with the Securities and Exchange Commission on the date hereof (the “Report”) by the Company fully complies with the requirements of Section 13(a) or 15(d) of the Securities Exchange Act of 1934, as amended; and</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(ii)           the information contained in the Report fairly presents, in all material respects, the financial condition and results of operations of the Company.</w:t>
      </w:r>
    </w:p>
    <w:p>
      <w:pPr>
        <w:pStyle w:val="TextBody"/>
        <w:spacing w:lineRule="auto" w:line="288" w:before="0" w:after="0"/>
        <w:rPr/>
      </w:pPr>
      <w:r>
        <w:rPr/>
        <w:t> </w:t>
      </w:r>
    </w:p>
    <w:p>
      <w:pPr>
        <w:pStyle w:val="TextBody"/>
        <w:spacing w:lineRule="auto" w:line="288" w:before="0" w:after="0"/>
        <w:rPr/>
      </w:pPr>
      <w:r>
        <w:rPr/>
        <w:t> </w:t>
      </w:r>
    </w:p>
    <w:tbl>
      <w:tblPr>
        <w:tblW w:w="1790" w:type="dxa"/>
        <w:jc w:val="righ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79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Willie Chiang</w:t>
            </w:r>
          </w:p>
        </w:tc>
      </w:tr>
      <w:tr>
        <w:trPr/>
        <w:tc>
          <w:tcPr>
            <w:tcW w:w="17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Name: Willie Chiang</w:t>
            </w:r>
          </w:p>
        </w:tc>
      </w:tr>
      <w:tr>
        <w:trPr/>
        <w:tc>
          <w:tcPr>
            <w:tcW w:w="1790" w:type="dxa"/>
            <w:tcBorders/>
            <w:shd w:fill="auto" w:val="clear"/>
            <w:vAlign w:val="center"/>
          </w:tcPr>
          <w:p>
            <w:pPr>
              <w:pStyle w:val="TableContents"/>
              <w:spacing w:before="0" w:after="0"/>
              <w:jc w:val="left"/>
              <w:rPr>
                <w:rFonts w:ascii="inherit" w:hAnsi="inherit"/>
                <w:sz w:val="17"/>
              </w:rPr>
            </w:pPr>
            <w:r>
              <w:rPr>
                <w:rFonts w:ascii="inherit" w:hAnsi="inherit"/>
                <w:sz w:val="17"/>
              </w:rPr>
              <w:t>Date: August 8, 2019</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74" w:name="s3D1D7B4C611D501C975679BE1F99F4D6"/>
      <w:bookmarkStart w:id="75" w:name="paaq22019exhibit322.htm"/>
      <w:bookmarkStart w:id="76" w:name="kspaaq22019exhibit322"/>
      <w:bookmarkStart w:id="77" w:name="s3D1D7B4C611D501C975679BE1F99F4D6"/>
      <w:bookmarkStart w:id="78" w:name="paaq22019exhibit322.htm"/>
      <w:bookmarkStart w:id="79" w:name="kspaaq22019exhibit322"/>
      <w:bookmarkEnd w:id="77"/>
      <w:bookmarkEnd w:id="78"/>
      <w:bookmarkEnd w:id="79"/>
    </w:p>
    <w:p>
      <w:pPr>
        <w:pStyle w:val="TextBody"/>
        <w:spacing w:before="0" w:after="0"/>
        <w:rPr/>
      </w:pPr>
      <w:r>
        <w:rPr/>
      </w:r>
    </w:p>
    <w:p>
      <w:pPr>
        <w:pStyle w:val="TextBody"/>
        <w:spacing w:lineRule="auto" w:line="288" w:before="0" w:after="0"/>
        <w:jc w:val="right"/>
        <w:rPr>
          <w:rFonts w:ascii="inherit" w:hAnsi="inherit"/>
          <w:b/>
          <w:sz w:val="17"/>
        </w:rPr>
      </w:pPr>
      <w:r>
        <w:rPr>
          <w:rFonts w:ascii="inherit" w:hAnsi="inherit"/>
          <w:b/>
          <w:sz w:val="17"/>
        </w:rPr>
        <w:t>EXHIBIT 32.2</w:t>
      </w:r>
    </w:p>
    <w:p>
      <w:pPr>
        <w:pStyle w:val="TextBody"/>
        <w:spacing w:lineRule="auto" w:line="288" w:before="0" w:after="0"/>
        <w:rPr/>
      </w:pPr>
      <w:r>
        <w:rPr/>
        <w:t> </w:t>
      </w:r>
    </w:p>
    <w:p>
      <w:pPr>
        <w:pStyle w:val="TextBody"/>
        <w:spacing w:lineRule="auto" w:line="288" w:before="0" w:after="0"/>
        <w:jc w:val="center"/>
        <w:rPr>
          <w:rFonts w:ascii="inherit" w:hAnsi="inherit"/>
          <w:b/>
          <w:sz w:val="17"/>
        </w:rPr>
      </w:pPr>
      <w:r>
        <w:rPr>
          <w:rFonts w:ascii="inherit" w:hAnsi="inherit"/>
          <w:b/>
          <w:sz w:val="17"/>
        </w:rPr>
        <w:t>CERTIFICATION OF</w:t>
      </w:r>
    </w:p>
    <w:p>
      <w:pPr>
        <w:pStyle w:val="TextBody"/>
        <w:spacing w:lineRule="auto" w:line="288" w:before="0" w:after="0"/>
        <w:jc w:val="center"/>
        <w:rPr>
          <w:rFonts w:ascii="inherit" w:hAnsi="inherit"/>
          <w:b/>
          <w:sz w:val="17"/>
        </w:rPr>
      </w:pPr>
      <w:r>
        <w:rPr>
          <w:rFonts w:ascii="inherit" w:hAnsi="inherit"/>
          <w:b/>
          <w:sz w:val="17"/>
        </w:rPr>
        <w:t>CHIEF FINANCIAL OFFICER</w:t>
      </w:r>
    </w:p>
    <w:p>
      <w:pPr>
        <w:pStyle w:val="TextBody"/>
        <w:spacing w:lineRule="auto" w:line="288" w:before="0" w:after="0"/>
        <w:jc w:val="center"/>
        <w:rPr>
          <w:rFonts w:ascii="inherit" w:hAnsi="inherit"/>
          <w:b/>
          <w:sz w:val="17"/>
        </w:rPr>
      </w:pPr>
      <w:r>
        <w:rPr>
          <w:rFonts w:ascii="inherit" w:hAnsi="inherit"/>
          <w:b/>
          <w:sz w:val="17"/>
        </w:rPr>
        <w:t>OF PLAINS ALL AMERICAN PIPELINE, L.P.</w:t>
      </w:r>
    </w:p>
    <w:p>
      <w:pPr>
        <w:pStyle w:val="TextBody"/>
        <w:spacing w:lineRule="auto" w:line="288" w:before="0" w:after="0"/>
        <w:jc w:val="center"/>
        <w:rPr>
          <w:rFonts w:ascii="inherit" w:hAnsi="inherit"/>
          <w:b/>
          <w:sz w:val="17"/>
        </w:rPr>
      </w:pPr>
      <w:r>
        <w:rPr>
          <w:rFonts w:ascii="inherit" w:hAnsi="inherit"/>
          <w:b/>
          <w:sz w:val="17"/>
        </w:rPr>
        <w:t>PURSUANT TO 18 U.S.C. 1350</w:t>
      </w:r>
    </w:p>
    <w:p>
      <w:pPr>
        <w:pStyle w:val="TextBody"/>
        <w:spacing w:lineRule="auto" w:line="288" w:before="0" w:after="0"/>
        <w:rPr/>
      </w:pPr>
      <w:r>
        <w:rPr/>
        <w:t> </w:t>
      </w:r>
    </w:p>
    <w:p>
      <w:pPr>
        <w:pStyle w:val="TextBody"/>
        <w:spacing w:lineRule="auto" w:line="288" w:before="0" w:after="0"/>
        <w:rPr>
          <w:rFonts w:ascii="inherit" w:hAnsi="inherit"/>
          <w:sz w:val="17"/>
        </w:rPr>
      </w:pPr>
      <w:r>
        <w:rPr>
          <w:rFonts w:ascii="inherit" w:hAnsi="inherit"/>
          <w:sz w:val="17"/>
        </w:rPr>
        <w:t>I, Al Swanson, Chief Financial Officer of Plains All American Pipeline, L.P. (the “Company”), hereby certify that:</w:t>
      </w:r>
    </w:p>
    <w:p>
      <w:pPr>
        <w:pStyle w:val="TextBody"/>
        <w:spacing w:lineRule="auto" w:line="288" w:before="0" w:after="0"/>
        <w:rPr/>
      </w:pPr>
      <w:r>
        <w:rPr/>
        <w:t> </w:t>
      </w:r>
    </w:p>
    <w:p>
      <w:pPr>
        <w:pStyle w:val="TextBody"/>
        <w:spacing w:lineRule="auto" w:line="288" w:before="0" w:after="0"/>
        <w:ind w:left="0" w:right="0" w:firstLine="720"/>
        <w:rPr>
          <w:sz w:val="17"/>
        </w:rPr>
      </w:pPr>
      <w:r>
        <w:rPr>
          <w:rFonts w:ascii="inherit" w:hAnsi="inherit"/>
          <w:sz w:val="17"/>
        </w:rPr>
        <w:t>(i)            the accompanying report on Form 10-Q for the period ended June 30, 2019</w:t>
      </w:r>
      <w:r>
        <w:rPr>
          <w:sz w:val="17"/>
        </w:rPr>
        <w:t xml:space="preserve"> </w:t>
      </w:r>
      <w:r>
        <w:rPr>
          <w:rFonts w:ascii="inherit" w:hAnsi="inherit"/>
          <w:sz w:val="17"/>
        </w:rPr>
        <w:t>and filed with the Securities and Exchange Commission on the date hereof (the “Report”) by the Company fully complies with the requirements of Section 13(a) or 15(d) of the Securities Exchange Act of 1934, as amended; and</w:t>
      </w:r>
    </w:p>
    <w:p>
      <w:pPr>
        <w:pStyle w:val="TextBody"/>
        <w:spacing w:lineRule="auto" w:line="288" w:before="0" w:after="0"/>
        <w:rPr/>
      </w:pPr>
      <w:r>
        <w:rPr/>
        <w:t> </w:t>
      </w:r>
    </w:p>
    <w:p>
      <w:pPr>
        <w:pStyle w:val="TextBody"/>
        <w:spacing w:lineRule="auto" w:line="288" w:before="0" w:after="0"/>
        <w:ind w:left="0" w:right="0" w:firstLine="720"/>
        <w:rPr>
          <w:rFonts w:ascii="inherit" w:hAnsi="inherit"/>
          <w:sz w:val="17"/>
        </w:rPr>
      </w:pPr>
      <w:r>
        <w:rPr>
          <w:rFonts w:ascii="inherit" w:hAnsi="inherit"/>
          <w:sz w:val="17"/>
        </w:rPr>
        <w:t>(ii)           the information contained in the Report fairly presents, in all material respects, the financial condition and results of operations of the Company.</w:t>
      </w:r>
    </w:p>
    <w:p>
      <w:pPr>
        <w:pStyle w:val="TextBody"/>
        <w:spacing w:lineRule="auto" w:line="288" w:before="0" w:after="0"/>
        <w:rPr/>
      </w:pPr>
      <w:r>
        <w:rPr/>
        <w:t> </w:t>
      </w:r>
    </w:p>
    <w:p>
      <w:pPr>
        <w:pStyle w:val="TextBody"/>
        <w:spacing w:lineRule="auto" w:line="288" w:before="0" w:after="0"/>
        <w:rPr/>
      </w:pPr>
      <w:r>
        <w:rPr/>
        <w:t> </w:t>
      </w:r>
    </w:p>
    <w:tbl>
      <w:tblPr>
        <w:tblW w:w="1790" w:type="dxa"/>
        <w:jc w:val="right"/>
        <w:tblInd w:w="0" w:type="dxa"/>
        <w:tblCellMar>
          <w:top w:w="0" w:type="dxa"/>
          <w:left w:w="0" w:type="dxa"/>
          <w:bottom w:w="0" w:type="dxa"/>
          <w:right w:w="0" w:type="dxa"/>
        </w:tblCellMar>
      </w:tblPr>
      <w:tblGrid>
        <w:gridCol w:w="1790"/>
      </w:tblGrid>
      <w:tr>
        <w:trPr/>
        <w:tc>
          <w:tcPr>
            <w:tcW w:w="1790" w:type="dxa"/>
            <w:tcBorders/>
            <w:shd w:fill="auto" w:val="clear"/>
            <w:vAlign w:val="center"/>
          </w:tcPr>
          <w:p>
            <w:pPr>
              <w:pStyle w:val="TableContents"/>
              <w:spacing w:before="0" w:after="283"/>
              <w:rPr>
                <w:sz w:val="4"/>
                <w:szCs w:val="4"/>
              </w:rPr>
            </w:pPr>
            <w:r>
              <w:rPr>
                <w:sz w:val="4"/>
                <w:szCs w:val="4"/>
              </w:rPr>
            </w:r>
          </w:p>
        </w:tc>
      </w:tr>
      <w:tr>
        <w:trPr/>
        <w:tc>
          <w:tcPr>
            <w:tcW w:w="17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79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Al Swanson</w:t>
            </w:r>
          </w:p>
        </w:tc>
      </w:tr>
      <w:tr>
        <w:trPr/>
        <w:tc>
          <w:tcPr>
            <w:tcW w:w="17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Name: Al Swanson</w:t>
            </w:r>
          </w:p>
        </w:tc>
      </w:tr>
      <w:tr>
        <w:trPr/>
        <w:tc>
          <w:tcPr>
            <w:tcW w:w="1790" w:type="dxa"/>
            <w:tcBorders/>
            <w:shd w:fill="auto" w:val="clear"/>
            <w:vAlign w:val="center"/>
          </w:tcPr>
          <w:p>
            <w:pPr>
              <w:pStyle w:val="TableContents"/>
              <w:spacing w:before="0" w:after="0"/>
              <w:jc w:val="left"/>
              <w:rPr>
                <w:rFonts w:ascii="inherit" w:hAnsi="inherit"/>
                <w:sz w:val="17"/>
              </w:rPr>
            </w:pPr>
            <w:r>
              <w:rPr>
                <w:rFonts w:ascii="inherit" w:hAnsi="inherit"/>
                <w:sz w:val="17"/>
              </w:rPr>
              <w:t>Date: August 8, 2019</w:t>
            </w:r>
          </w:p>
        </w:tc>
      </w:tr>
    </w:tbl>
    <w:p>
      <w:pPr>
        <w:pStyle w:val="TextBody"/>
        <w:spacing w:before="0" w:after="0"/>
        <w:rPr/>
      </w:pPr>
      <w:r>
        <w:rPr/>
      </w:r>
    </w:p>
    <w:p>
      <w:pPr>
        <w:pStyle w:val="TextBody"/>
        <w:spacing w:lineRule="auto" w:line="288" w:before="0" w:after="283"/>
        <w:jc w:val="center"/>
        <w:rPr>
          <w:rFonts w:ascii="inherit" w:hAnsi="inherit"/>
          <w:sz w:val="17"/>
        </w:rPr>
      </w:pPr>
      <w:r>
        <w:rPr>
          <w:rFonts w:ascii="inherit" w:hAnsi="inherit"/>
          <w:sz w:val="17"/>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inherit">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070423/000104746904016502/a2135501zex-3_2.htm" TargetMode="External"/><Relationship Id="rId3" Type="http://schemas.openxmlformats.org/officeDocument/2006/relationships/hyperlink" Target="http://www.sec.gov/Archives/edgar/data/1070423/000110465911010359/a11-2319_1ex3d9.htm" TargetMode="External"/><Relationship Id="rId4" Type="http://schemas.openxmlformats.org/officeDocument/2006/relationships/hyperlink" Target="http://www.sec.gov/Archives/edgar/data/1070423/000110465911010359/a11-2319_1ex3d10.htm" TargetMode="External"/><Relationship Id="rId5" Type="http://schemas.openxmlformats.org/officeDocument/2006/relationships/hyperlink" Target="http://www.sec.gov/Archives/edgar/data/1070423/000110465914014322/a13-25941_1ex3d7.htm" TargetMode="External"/><Relationship Id="rId6" Type="http://schemas.openxmlformats.org/officeDocument/2006/relationships/hyperlink" Target="http://www.sec.gov/Archives/edgar/data/1070423/000110465914014322/a13-25941_1ex3d8.htm" TargetMode="External"/><Relationship Id="rId7" Type="http://schemas.openxmlformats.org/officeDocument/2006/relationships/hyperlink" Target="http://www.sec.gov/Archives/edgar/data/1070423/000104746904016502/a2135501zex-3_3.htm" TargetMode="External"/><Relationship Id="rId8" Type="http://schemas.openxmlformats.org/officeDocument/2006/relationships/hyperlink" Target="http://www.sec.gov/Archives/edgar/data/1070423/000110465914014322/a13-25941_1ex3d10.htm" TargetMode="External"/><Relationship Id="rId9" Type="http://schemas.openxmlformats.org/officeDocument/2006/relationships/hyperlink" Target="http://www.sec.gov/Archives/edgar/data/1070423/000110465916158355/a16-21841_1ex3d3.htm" TargetMode="External"/><Relationship Id="rId10" Type="http://schemas.openxmlformats.org/officeDocument/2006/relationships/hyperlink" Target="http://www.sec.gov/Archives/edgar/data/1070423/000110465916158355/a16-21841_1ex3d4.htm" TargetMode="External"/><Relationship Id="rId11" Type="http://schemas.openxmlformats.org/officeDocument/2006/relationships/hyperlink" Target="http://www.sec.gov/Archives/edgar/data/1070423/000110465918060011/a18-36196_1ex3d1.htm" TargetMode="External"/><Relationship Id="rId12" Type="http://schemas.openxmlformats.org/officeDocument/2006/relationships/hyperlink" Target="http://www.sec.gov/Archives/edgar/data/1070423/000110465919032810/a19-10856_1ex3d1.htm" TargetMode="External"/><Relationship Id="rId13" Type="http://schemas.openxmlformats.org/officeDocument/2006/relationships/hyperlink" Target="http://www.sec.gov/Archives/edgar/data/1070423/000095012907001096/h43224exv3w10.htm" TargetMode="External"/><Relationship Id="rId14" Type="http://schemas.openxmlformats.org/officeDocument/2006/relationships/hyperlink" Target="http://www.sec.gov/Archives/edgar/data/1070423/000095012907001096/h43224exv3w11.htm" TargetMode="External"/><Relationship Id="rId15" Type="http://schemas.openxmlformats.org/officeDocument/2006/relationships/hyperlink" Target="http://www.sec.gov/Archives/edgar/data/1070423/000095012908000071/h52770exv3w3.htm" TargetMode="External"/><Relationship Id="rId16" Type="http://schemas.openxmlformats.org/officeDocument/2006/relationships/hyperlink" Target="http://www.sec.gov/Archives/edgar/data/1581990/000104746913007875/a2216069zex-3_1.htm" TargetMode="External"/><Relationship Id="rId17" Type="http://schemas.openxmlformats.org/officeDocument/2006/relationships/hyperlink" Target="http://www.sec.gov/Archives/edgar/data/1581990/000110465916158356/a16-21845_1ex3d2.htm" TargetMode="External"/><Relationship Id="rId18" Type="http://schemas.openxmlformats.org/officeDocument/2006/relationships/hyperlink" Target="http://www.sec.gov/Archives/edgar/data/1581990/000104746913007875/a2216069zex-3_3.htm" TargetMode="External"/><Relationship Id="rId19" Type="http://schemas.openxmlformats.org/officeDocument/2006/relationships/hyperlink" Target="http://www.sec.gov/Archives/edgar/data/1070423/000110465917010601/a17-6891_1ex3d1.htm" TargetMode="External"/><Relationship Id="rId20" Type="http://schemas.openxmlformats.org/officeDocument/2006/relationships/hyperlink" Target="http://www.sec.gov/Archives/edgar/data/1070423/000110465918052848/a18-18381_3ex3d1.htm" TargetMode="External"/><Relationship Id="rId21" Type="http://schemas.openxmlformats.org/officeDocument/2006/relationships/hyperlink" Target="http://www.sec.gov/Archives/edgar/data/1070423/000110465918072384/a18-41341_1ex3d1.htm" TargetMode="External"/><Relationship Id="rId22" Type="http://schemas.openxmlformats.org/officeDocument/2006/relationships/hyperlink" Target="http://www.sec.gov/Archives/edgar/data/1070423/000089924302002834/dex41.txt" TargetMode="External"/><Relationship Id="rId23" Type="http://schemas.openxmlformats.org/officeDocument/2006/relationships/hyperlink" Target="http://www.sec.gov/Archives/edgar/data/1070423/000110465906034368/a06-11663_1ex4d1.htm" TargetMode="External"/><Relationship Id="rId24" Type="http://schemas.openxmlformats.org/officeDocument/2006/relationships/hyperlink" Target="http://www.sec.gov/Archives/edgar/data/1070423/000095012906009235/h40667exv4w2.htm" TargetMode="External"/><Relationship Id="rId25" Type="http://schemas.openxmlformats.org/officeDocument/2006/relationships/hyperlink" Target="http://www.sec.gov/Archives/edgar/data/1070423/000095012309041075/h67912exv4w1.htm" TargetMode="External"/><Relationship Id="rId26" Type="http://schemas.openxmlformats.org/officeDocument/2006/relationships/hyperlink" Target="http://www.sec.gov/Archives/edgar/data/1070423/000095012311002051/h78739exv4w1.htm" TargetMode="External"/><Relationship Id="rId27" Type="http://schemas.openxmlformats.org/officeDocument/2006/relationships/hyperlink" Target="http://www.sec.gov/Archives/edgar/data/1070423/000119312512132295/d321017dex41.htm" TargetMode="External"/><Relationship Id="rId28" Type="http://schemas.openxmlformats.org/officeDocument/2006/relationships/hyperlink" Target="http://www.sec.gov/Archives/edgar/data/1070423/000119312512132295/d321017dex43.htm" TargetMode="External"/><Relationship Id="rId29" Type="http://schemas.openxmlformats.org/officeDocument/2006/relationships/hyperlink" Target="http://www.sec.gov/Archives/edgar/data/1070423/000119312512499932/d453762dex41.htm" TargetMode="External"/><Relationship Id="rId30" Type="http://schemas.openxmlformats.org/officeDocument/2006/relationships/hyperlink" Target="http://www.sec.gov/Archives/edgar/data/1070423/000119312512499932/d453762dex43.htm" TargetMode="External"/><Relationship Id="rId31" Type="http://schemas.openxmlformats.org/officeDocument/2006/relationships/hyperlink" Target="http://www.sec.gov/Archives/edgar/data/1070423/000119312513336066/d581734dex41.htm" TargetMode="External"/><Relationship Id="rId32" Type="http://schemas.openxmlformats.org/officeDocument/2006/relationships/hyperlink" Target="http://www.sec.gov/Archives/edgar/data/1070423/000119312514164183/d713938dex41.htm" TargetMode="External"/><Relationship Id="rId33" Type="http://schemas.openxmlformats.org/officeDocument/2006/relationships/hyperlink" Target="http://www.sec.gov/Archives/edgar/data/1070423/000119312514338289/d787160dex41.htm" TargetMode="External"/><Relationship Id="rId34" Type="http://schemas.openxmlformats.org/officeDocument/2006/relationships/hyperlink" Target="http://www.sec.gov/Archives/edgar/data/1070423/000119312514440007/d833885dex41.htm" TargetMode="External"/><Relationship Id="rId35" Type="http://schemas.openxmlformats.org/officeDocument/2006/relationships/hyperlink" Target="http://www.sec.gov/Archives/edgar/data/1070423/000119312514440007/d833885dex43.htm" TargetMode="External"/><Relationship Id="rId36" Type="http://schemas.openxmlformats.org/officeDocument/2006/relationships/hyperlink" Target="http://www.sec.gov/Archives/edgar/data/1070423/000119312515302829/d45393dex41.htm" TargetMode="External"/><Relationship Id="rId37" Type="http://schemas.openxmlformats.org/officeDocument/2006/relationships/hyperlink" Target="http://www.sec.gov/Archives/edgar/data/1070423/000110465916159593/a16-22232_1ex4d1.htm" TargetMode="External"/><Relationship Id="rId38" Type="http://schemas.openxmlformats.org/officeDocument/2006/relationships/hyperlink" Target="http://www.sec.gov/Archives/edgar/data/1070423/000095012309050401/h68193exv4w1.htm" TargetMode="External"/><Relationship Id="rId39" Type="http://schemas.openxmlformats.org/officeDocument/2006/relationships/hyperlink" Target="http://www.sec.gov/Archives/edgar/data/1070423/000110465916093299/a16-3362_1ex4d1.htm" TargetMode="External"/><Relationship Id="rId40" Type="http://schemas.openxmlformats.org/officeDocument/2006/relationships/hyperlink" Target="http://www.sec.gov/Archives/edgar/data/1070423/000110465916158355/a16-21841_1ex10d4.htm" TargetMode="External"/><Relationship Id="rId41" Type="http://schemas.openxmlformats.org/officeDocument/2006/relationships/fontTable" Target="fontTable.xml"/><Relationship Id="rId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77</Pages>
  <Words>38165</Words>
  <CharactersWithSpaces>241225</CharactersWithSpaces>
  <Paragraphs>10364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