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333-184135</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238760</wp:posOffset>
            </wp:positionV>
            <wp:extent cx="169799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Having an Aggregate Offering Price of Up 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$336,131,718.85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This prospectus supplement and the accompanying base prospectus relate to the issuance and sale from time to time of common units representing limited</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partner interests in Plains All American Pipeline, L.P. having an aggregate offering price of up to $336,131,718.85 through one or more of our sales agents. These</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sales, if any, will be made pursuant to the terms of the equity distribution agreement dated September 13, 2012 between us and the sales agents, which has been</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previously filed as an exhibit to a Current Report on Form 8-K that we filed with the Securities and Exchange Commission on September 13, 2012. This</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prospectus supplement replaces the prospectus supplement filed on September 13, 2012 under our Registration Statement on Form S-3 (No. 333-162476), which</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prospectus supplement related to the issuance and sale under the equity distribution agreement of common units having an aggregate offering price of up to</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$500,000,000. As of the date of this prospectus supplement, common units having an aggregate offering price of $163,868,281.15 have been sold under the equity</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distribution agreement and previous prospectus supplement. The amount of securities covered by this prospectus supplement represents the unsold balance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remaining under the equity distribution agreement.</w:t>
      </w:r>
    </w:p>
    <w:p>
      <w:pPr>
        <w:spacing w:after="0" w:line="165"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Under the terms of the equity distribution agreement, we also may sell common units to any sales agent as principal for its own account at a price agreed upon at the time of the sale. If we sell common units to any such sales agent as principal, we will enter into a separate terms agreement with such sales agent and we will describe that agreement in a separate prospectus supplement or pricing supplement.</w:t>
      </w:r>
    </w:p>
    <w:p>
      <w:pPr>
        <w:spacing w:after="0" w:line="140" w:lineRule="exact"/>
        <w:rPr>
          <w:sz w:val="24"/>
          <w:szCs w:val="24"/>
          <w:color w:val="auto"/>
        </w:rPr>
      </w:pPr>
    </w:p>
    <w:p>
      <w:pPr>
        <w:ind w:right="220" w:firstLine="456"/>
        <w:spacing w:after="0" w:line="256" w:lineRule="auto"/>
        <w:rPr>
          <w:sz w:val="20"/>
          <w:szCs w:val="20"/>
          <w:color w:val="auto"/>
        </w:rPr>
      </w:pPr>
      <w:r>
        <w:rPr>
          <w:rFonts w:ascii="Arial" w:cs="Arial" w:eastAsia="Arial" w:hAnsi="Arial"/>
          <w:sz w:val="18"/>
          <w:szCs w:val="18"/>
          <w:color w:val="auto"/>
        </w:rPr>
        <w:t>Our common units trade on the New York Stock Exchange (the “NYSE”) under the symbol “PAA.” On November 7, 2012, the last reported sale price of our common units on the NYSE was $46.71 per unit. Sales of common units under this prospectus supplement, if any, will be made by means of ordinary brokers’ transactions through the facilities of the NYSE at market prices, in block transactions or as otherwise agreed between us and one or more of the sales agents.</w:t>
      </w:r>
    </w:p>
    <w:p>
      <w:pPr>
        <w:spacing w:after="0" w:line="137" w:lineRule="exact"/>
        <w:rPr>
          <w:sz w:val="24"/>
          <w:szCs w:val="24"/>
          <w:color w:val="auto"/>
        </w:rPr>
      </w:pPr>
    </w:p>
    <w:p>
      <w:pPr>
        <w:jc w:val="both"/>
        <w:ind w:right="14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units involves risks. Limited partnerships are inherently different from corporations. You should carefully consider the risks relating to investing in our common units and each of the risk factors described under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S-4 of this prospectus supplement before you make an investment in our securities.</w:t>
      </w:r>
    </w:p>
    <w:p>
      <w:pPr>
        <w:spacing w:after="0" w:line="200" w:lineRule="exact"/>
        <w:rPr>
          <w:sz w:val="24"/>
          <w:szCs w:val="24"/>
          <w:color w:val="auto"/>
        </w:rPr>
      </w:pPr>
    </w:p>
    <w:p>
      <w:pPr>
        <w:spacing w:after="0" w:line="222" w:lineRule="exact"/>
        <w:rPr>
          <w:sz w:val="24"/>
          <w:szCs w:val="24"/>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compensation of the sales agents for sales of units shall be at a fixed commission rate of up to 2.0% of the gross sales price per common unit, depending upon the number of common units sold. The net proceeds from any sales under this prospectus supplement will be used as described under “Use of Proceeds” in this prospectus supplement.</w:t>
      </w:r>
    </w:p>
    <w:p>
      <w:pPr>
        <w:spacing w:after="0" w:line="140" w:lineRule="exact"/>
        <w:rPr>
          <w:sz w:val="24"/>
          <w:szCs w:val="24"/>
          <w:color w:val="auto"/>
        </w:rPr>
      </w:pPr>
    </w:p>
    <w:p>
      <w:pPr>
        <w:ind w:right="2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these securities or determined if this prospectus supplement or the accompanying base prospectus is truthful or complete. Any representation to the contrary is a criminal offense.</w:t>
      </w:r>
    </w:p>
    <w:p>
      <w:pPr>
        <w:sectPr>
          <w:pgSz w:w="11900" w:h="16838" w:orient="portrait"/>
          <w:cols w:equalWidth="0" w:num="1">
            <w:col w:w="11420"/>
          </w:cols>
          <w:pgMar w:left="240" w:top="230" w:right="239" w:bottom="1440" w:gutter="0" w:footer="0" w:header="0"/>
        </w:sectPr>
      </w:pPr>
    </w:p>
    <w:p>
      <w:pPr>
        <w:spacing w:after="0" w:line="107" w:lineRule="exact"/>
        <w:rPr>
          <w:sz w:val="24"/>
          <w:szCs w:val="24"/>
          <w:color w:val="auto"/>
        </w:rPr>
      </w:pPr>
    </w:p>
    <w:p>
      <w:pPr>
        <w:ind w:left="1100"/>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BofA Merrill Lynch</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Knight</w:t>
      </w:r>
    </w:p>
    <w:p>
      <w:pPr>
        <w:spacing w:after="0" w:line="200" w:lineRule="exact"/>
        <w:rPr>
          <w:sz w:val="24"/>
          <w:szCs w:val="24"/>
          <w:color w:val="auto"/>
        </w:rPr>
      </w:pPr>
    </w:p>
    <w:p>
      <w:pPr>
        <w:sectPr>
          <w:pgSz w:w="11900" w:h="16838" w:orient="portrait"/>
          <w:cols w:equalWidth="0" w:num="4">
            <w:col w:w="2800" w:space="720"/>
            <w:col w:w="2340" w:space="720"/>
            <w:col w:w="2400" w:space="720"/>
            <w:col w:w="1720"/>
          </w:cols>
          <w:pgMar w:left="240" w:top="230" w:right="239" w:bottom="1440" w:gutter="0" w:footer="0" w:header="0"/>
          <w:type w:val="continuous"/>
        </w:sectPr>
      </w:pPr>
    </w:p>
    <w:p>
      <w:pPr>
        <w:spacing w:after="0" w:line="41"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Mizuho Securities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UBS Investment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-3880485</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101600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Wells Fargo Securities</w:t>
      </w:r>
    </w:p>
    <w:p>
      <w:pPr>
        <w:spacing w:after="0" w:line="200" w:lineRule="exact"/>
        <w:rPr>
          <w:sz w:val="24"/>
          <w:szCs w:val="24"/>
          <w:color w:val="auto"/>
        </w:rPr>
      </w:pPr>
    </w:p>
    <w:p>
      <w:pPr>
        <w:sectPr>
          <w:pgSz w:w="11900" w:h="16838" w:orient="portrait"/>
          <w:cols w:equalWidth="0" w:num="4">
            <w:col w:w="2960" w:space="720"/>
            <w:col w:w="1720" w:space="720"/>
            <w:col w:w="2160" w:space="720"/>
            <w:col w:w="2420"/>
          </w:cols>
          <w:pgMar w:left="240" w:top="230"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November 8, 2012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740" w:type="dxa"/>
            <w:vAlign w:val="bottom"/>
            <w:gridSpan w:val="2"/>
          </w:tcPr>
          <w:p>
            <w:pPr>
              <w:ind w:left="72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19"/>
                <w:szCs w:val="19"/>
                <w:color w:val="auto"/>
              </w:rPr>
            </w:pPr>
          </w:p>
        </w:tc>
      </w:tr>
      <w:tr>
        <w:trPr>
          <w:trHeight w:val="419"/>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24"/>
        </w:trPr>
        <w:tc>
          <w:tcPr>
            <w:tcW w:w="8800" w:type="dxa"/>
            <w:vAlign w:val="bottom"/>
            <w:gridSpan w:val="19"/>
          </w:tcPr>
          <w:p>
            <w:pPr>
              <w:spacing w:after="0"/>
              <w:rPr>
                <w:sz w:val="20"/>
                <w:szCs w:val="20"/>
                <w:color w:val="auto"/>
              </w:rPr>
            </w:pPr>
            <w:r>
              <w:rPr>
                <w:rFonts w:ascii="Arial" w:cs="Arial" w:eastAsia="Arial" w:hAnsi="Arial"/>
                <w:sz w:val="18"/>
                <w:szCs w:val="18"/>
                <w:b w:val="1"/>
                <w:bCs w:val="1"/>
                <w:color w:val="auto"/>
              </w:rPr>
              <w:t>Prospectus Supplement</w:t>
            </w:r>
          </w:p>
        </w:tc>
        <w:tc>
          <w:tcPr>
            <w:tcW w:w="2520" w:type="dxa"/>
            <w:vAlign w:val="bottom"/>
          </w:tcPr>
          <w:p>
            <w:pPr>
              <w:spacing w:after="0"/>
              <w:rPr>
                <w:sz w:val="24"/>
                <w:szCs w:val="24"/>
                <w:color w:val="auto"/>
              </w:rPr>
            </w:pPr>
          </w:p>
        </w:tc>
      </w:tr>
      <w:tr>
        <w:trPr>
          <w:trHeight w:val="394"/>
        </w:trPr>
        <w:tc>
          <w:tcPr>
            <w:tcW w:w="64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Important Notice About Information in This Prospectus Supplement and the Accompanying</w:t>
              </w:r>
            </w:hyperlink>
          </w:p>
        </w:tc>
        <w:tc>
          <w:tcPr>
            <w:tcW w:w="2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96"/>
        </w:trPr>
        <w:tc>
          <w:tcPr>
            <w:tcW w:w="1160" w:type="dxa"/>
            <w:vAlign w:val="bottom"/>
            <w:tcBorders>
              <w:bottom w:val="single" w:sz="8" w:color="0000EE"/>
            </w:tcBorders>
            <w:gridSpan w:val="7"/>
          </w:tcPr>
          <w:p>
            <w:pPr>
              <w:spacing w:after="0" w:line="196" w:lineRule="exact"/>
              <w:rPr>
                <w:rFonts w:ascii="Arial" w:cs="Arial" w:eastAsia="Arial" w:hAnsi="Arial"/>
                <w:sz w:val="18"/>
                <w:szCs w:val="18"/>
                <w:color w:val="0000EE"/>
                <w:w w:val="83"/>
              </w:rPr>
            </w:pPr>
            <w:hyperlink w:anchor="page3">
              <w:r>
                <w:rPr>
                  <w:rFonts w:ascii="Arial" w:cs="Arial" w:eastAsia="Arial" w:hAnsi="Arial"/>
                  <w:sz w:val="18"/>
                  <w:szCs w:val="18"/>
                  <w:color w:val="0000EE"/>
                  <w:w w:val="83"/>
                </w:rPr>
                <w:t>Base Prospectus</w:t>
              </w:r>
            </w:hyperlink>
          </w:p>
        </w:tc>
        <w:tc>
          <w:tcPr>
            <w:tcW w:w="7640" w:type="dxa"/>
            <w:vAlign w:val="bottom"/>
            <w:gridSpan w:val="1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40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Cautionary Note Regarding Forward-Looking Statements</w:t>
              </w:r>
            </w:hyperlink>
          </w:p>
        </w:tc>
        <w:tc>
          <w:tcPr>
            <w:tcW w:w="4740" w:type="dxa"/>
            <w:vAlign w:val="bottom"/>
            <w:gridSpan w:val="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8100" w:type="dxa"/>
            <w:vAlign w:val="bottom"/>
            <w:gridSpan w:val="17"/>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7900" w:type="dxa"/>
            <w:vAlign w:val="bottom"/>
            <w:gridSpan w:val="1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Material U.S. Federal Income Tax Consequences</w:t>
              </w:r>
            </w:hyperlink>
          </w:p>
        </w:tc>
        <w:tc>
          <w:tcPr>
            <w:tcW w:w="5340" w:type="dxa"/>
            <w:vAlign w:val="bottom"/>
            <w:gridSpan w:val="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Plan of Distribution</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4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7400" w:type="dxa"/>
            <w:vAlign w:val="bottom"/>
            <w:gridSpan w:val="11"/>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7820" w:type="dxa"/>
            <w:vAlign w:val="bottom"/>
            <w:gridSpan w:val="1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559"/>
        </w:trPr>
        <w:tc>
          <w:tcPr>
            <w:tcW w:w="2800" w:type="dxa"/>
            <w:vAlign w:val="bottom"/>
            <w:tcBorders>
              <w:top w:val="single" w:sz="8" w:color="0000EE"/>
            </w:tcBorders>
            <w:gridSpan w:val="14"/>
          </w:tcPr>
          <w:p>
            <w:pPr>
              <w:spacing w:after="0"/>
              <w:rPr>
                <w:sz w:val="20"/>
                <w:szCs w:val="20"/>
                <w:color w:val="auto"/>
              </w:rPr>
            </w:pPr>
            <w:r>
              <w:rPr>
                <w:rFonts w:ascii="Arial" w:cs="Arial" w:eastAsia="Arial" w:hAnsi="Arial"/>
                <w:sz w:val="18"/>
                <w:szCs w:val="18"/>
                <w:b w:val="1"/>
                <w:bCs w:val="1"/>
                <w:color w:val="auto"/>
              </w:rPr>
              <w:t>Prospectus</w:t>
            </w:r>
          </w:p>
        </w:tc>
        <w:tc>
          <w:tcPr>
            <w:tcW w:w="6000" w:type="dxa"/>
            <w:vAlign w:val="bottom"/>
            <w:gridSpan w:val="5"/>
          </w:tcPr>
          <w:p>
            <w:pPr>
              <w:spacing w:after="0"/>
              <w:rPr>
                <w:sz w:val="24"/>
                <w:szCs w:val="24"/>
                <w:color w:val="auto"/>
              </w:rPr>
            </w:pPr>
          </w:p>
        </w:tc>
        <w:tc>
          <w:tcPr>
            <w:tcW w:w="2520" w:type="dxa"/>
            <w:vAlign w:val="bottom"/>
          </w:tcPr>
          <w:p>
            <w:pPr>
              <w:spacing w:after="0"/>
              <w:rPr>
                <w:sz w:val="24"/>
                <w:szCs w:val="24"/>
                <w:color w:val="auto"/>
              </w:rPr>
            </w:pPr>
          </w:p>
        </w:tc>
      </w:tr>
      <w:tr>
        <w:trPr>
          <w:trHeight w:val="394"/>
        </w:trPr>
        <w:tc>
          <w:tcPr>
            <w:tcW w:w="880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92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6000" w:type="dxa"/>
            <w:vAlign w:val="bottom"/>
            <w:gridSpan w:val="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Who We Are</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7880" w:type="dxa"/>
            <w:vAlign w:val="bottom"/>
            <w:gridSpan w:val="1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Description of Our Debt Securities</w:t>
              </w:r>
            </w:hyperlink>
          </w:p>
        </w:tc>
        <w:tc>
          <w:tcPr>
            <w:tcW w:w="20" w:type="dxa"/>
            <w:vAlign w:val="bottom"/>
            <w:tcBorders>
              <w:top w:val="single" w:sz="8" w:color="0000EE"/>
            </w:tcBorders>
          </w:tcPr>
          <w:p>
            <w:pPr>
              <w:spacing w:after="0"/>
              <w:rPr>
                <w:sz w:val="17"/>
                <w:szCs w:val="17"/>
                <w:color w:val="auto"/>
              </w:rPr>
            </w:pPr>
          </w:p>
        </w:tc>
        <w:tc>
          <w:tcPr>
            <w:tcW w:w="6320" w:type="dxa"/>
            <w:vAlign w:val="bottom"/>
            <w:gridSpan w:val="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Description of Our Common Units</w:t>
              </w:r>
            </w:hyperlink>
          </w:p>
        </w:tc>
        <w:tc>
          <w:tcPr>
            <w:tcW w:w="6340" w:type="dxa"/>
            <w:vAlign w:val="bottom"/>
            <w:gridSpan w:val="7"/>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Cash Distribution Policy</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740" w:type="dxa"/>
            <w:vAlign w:val="bottom"/>
            <w:gridSpan w:val="10"/>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Our Partnership Agreement</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000" w:type="dxa"/>
            <w:vAlign w:val="bottom"/>
            <w:gridSpan w:val="15"/>
            <w:shd w:val="clear" w:color="auto" w:fill="0000EE"/>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Material U.S. Federal Income Tax Consequences</w:t>
              </w:r>
            </w:hyperlink>
          </w:p>
        </w:tc>
        <w:tc>
          <w:tcPr>
            <w:tcW w:w="5340" w:type="dxa"/>
            <w:vAlign w:val="bottom"/>
            <w:gridSpan w:val="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800" w:type="dxa"/>
            <w:vAlign w:val="bottom"/>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7400" w:type="dxa"/>
            <w:vAlign w:val="bottom"/>
            <w:gridSpan w:val="11"/>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7820" w:type="dxa"/>
            <w:vAlign w:val="bottom"/>
            <w:gridSpan w:val="1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AND THE ACCOMPANYING BASE PROSPECTUS</w:t>
      </w:r>
    </w:p>
    <w:p>
      <w:pPr>
        <w:spacing w:after="0" w:line="16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providing information to you about this offering of our common units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base prospectus. Neither we nor any of the sales agents have authorized anyone to provide you with additional or different information. If anyone provides you with different or inconsistent information, you should not rely on it.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making an offer to sell our common units in any jurisdiction where the offer is not permitted.</w:t>
      </w:r>
    </w:p>
    <w:p>
      <w:pPr>
        <w:spacing w:after="0" w:line="171"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None of Plains All American Pipeline, L.P., the sales agents or any of their respective representatives is making any representation to you regarding the legality of an investment in our common units by you under applicable laws. You should consult with your own advisors as to legal, tax, business, financial and related aspects of an investment in the common units.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equity distribution agreement dated September 13, 2012, we are permitted to offer and sell common units having an aggregate offering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up to $500,000,000 from time to time. As of the date of this prospectus supplement, we have sold common units having an aggregate offering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$163,868,281.15 under that equity distribution agreement. This prospectus supplement replaces the prospectus supplement filed on September 13, 2012, and only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includes common units having an aggregate offering price of up to $336,131,718.85 remaining unsold under the equity distribution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446"/>
        <w:spacing w:after="0" w:line="268" w:lineRule="auto"/>
        <w:rPr>
          <w:sz w:val="20"/>
          <w:szCs w:val="20"/>
          <w:color w:val="auto"/>
        </w:rPr>
      </w:pPr>
      <w:r>
        <w:rPr>
          <w:rFonts w:ascii="Arial" w:cs="Arial" w:eastAsia="Arial" w:hAnsi="Arial"/>
          <w:sz w:val="18"/>
          <w:szCs w:val="18"/>
          <w:color w:val="auto"/>
        </w:rPr>
        <w:t>— the successful integration and future performance of acquired assets or businesses and the risks associated with operating in lines of business that are distinct and separate from our historical operations;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failure to implement or capitalize, or delays in implementing or capitalizing, on planned internal growth projects;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unanticipated changes in crude oil market structure, grade differentials and volatility (or lack thereof);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maintenance of our credit rating and ability to receive open credit from our suppliers and trade counterparties;</w:t>
      </w:r>
    </w:p>
    <w:p>
      <w:pPr>
        <w:spacing w:after="0" w:line="90" w:lineRule="exact"/>
        <w:rPr>
          <w:sz w:val="20"/>
          <w:szCs w:val="20"/>
          <w:color w:val="auto"/>
        </w:rPr>
      </w:pPr>
    </w:p>
    <w:p>
      <w:pPr>
        <w:ind w:left="900" w:right="420" w:hanging="446"/>
        <w:spacing w:after="0" w:line="268" w:lineRule="auto"/>
        <w:rPr>
          <w:sz w:val="20"/>
          <w:szCs w:val="20"/>
          <w:color w:val="auto"/>
        </w:rPr>
      </w:pPr>
      <w:r>
        <w:rPr>
          <w:rFonts w:ascii="Arial" w:cs="Arial" w:eastAsia="Arial" w:hAnsi="Arial"/>
          <w:sz w:val="18"/>
          <w:szCs w:val="18"/>
          <w:color w:val="auto"/>
        </w:rPr>
        <w:t>— continued creditworthiness of, and performance by, our counterparties, including financial institutions and trading companies with which we do business;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effectiveness of our risk management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environmental liabilities or events that are not covered by an indemnity, insurance or existing reserves;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abrupt or severe declines or interruptions in outer continental shelf production located offshore California and transported on our pipeline systems;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shortages or cost increases of supplies, materials or labor;</w:t>
      </w:r>
    </w:p>
    <w:p>
      <w:pPr>
        <w:spacing w:after="0" w:line="90" w:lineRule="exact"/>
        <w:rPr>
          <w:sz w:val="20"/>
          <w:szCs w:val="20"/>
          <w:color w:val="auto"/>
        </w:rPr>
      </w:pPr>
    </w:p>
    <w:p>
      <w:pPr>
        <w:ind w:left="900" w:right="220" w:hanging="446"/>
        <w:spacing w:after="0" w:line="259" w:lineRule="auto"/>
        <w:rPr>
          <w:sz w:val="20"/>
          <w:szCs w:val="20"/>
          <w:color w:val="auto"/>
        </w:rPr>
      </w:pPr>
      <w:r>
        <w:rPr>
          <w:rFonts w:ascii="Arial" w:cs="Arial" w:eastAsia="Arial" w:hAnsi="Arial"/>
          <w:sz w:val="18"/>
          <w:szCs w:val="18"/>
          <w:color w:val="auto"/>
        </w:rPr>
        <w:t>—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sz w:val="20"/>
          <w:szCs w:val="20"/>
          <w:color w:val="auto"/>
        </w:rPr>
      </w:pPr>
    </w:p>
    <w:p>
      <w:pPr>
        <w:ind w:left="900" w:right="600" w:hanging="446"/>
        <w:spacing w:after="0" w:line="332" w:lineRule="auto"/>
        <w:rPr>
          <w:sz w:val="20"/>
          <w:szCs w:val="20"/>
          <w:color w:val="auto"/>
        </w:rPr>
      </w:pPr>
      <w:r>
        <w:rPr>
          <w:rFonts w:ascii="Arial" w:cs="Arial" w:eastAsia="Arial" w:hAnsi="Arial"/>
          <w:sz w:val="16"/>
          <w:szCs w:val="16"/>
          <w:color w:val="auto"/>
        </w:rPr>
        <w:t>— 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availability of, and our ability to consummate, acquisition or combination opportunities;</w:t>
      </w:r>
    </w:p>
    <w:p>
      <w:pPr>
        <w:spacing w:after="0" w:line="90" w:lineRule="exact"/>
        <w:rPr>
          <w:sz w:val="20"/>
          <w:szCs w:val="20"/>
          <w:color w:val="auto"/>
        </w:rPr>
      </w:pPr>
    </w:p>
    <w:p>
      <w:pPr>
        <w:ind w:left="900" w:right="180" w:hanging="446"/>
        <w:spacing w:after="0" w:line="268" w:lineRule="auto"/>
        <w:rPr>
          <w:sz w:val="20"/>
          <w:szCs w:val="20"/>
          <w:color w:val="auto"/>
        </w:rPr>
      </w:pPr>
      <w:r>
        <w:rPr>
          <w:rFonts w:ascii="Arial" w:cs="Arial" w:eastAsia="Arial" w:hAnsi="Arial"/>
          <w:sz w:val="18"/>
          <w:szCs w:val="18"/>
          <w:color w:val="auto"/>
        </w:rPr>
        <w:t>— our ability to obtain debt or equity financing on satisfactory terms to fund additional acquisitions, expansion projects, working capital requirements and the repayment or refinancing of indebtedness;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the impact of current and future laws, rulings, governmental regulations, accounting standards and statements, and related interpretations;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effects of competition;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interruptions in service on third-party pipelines;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increased costs or lack of availability of insurance;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fluctuations in the debt and equity markets, including the price of our units at the time of vesting under our long-term incentive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currency exchange rate of the Canadian dollar;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weather interference with business operations or project construction;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risks related to the development and operation of natural gas storage facilities;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factors affecting demand for natural gas and natural gas storage services and rates;</w:t>
      </w:r>
    </w:p>
    <w:p>
      <w:pPr>
        <w:spacing w:after="0" w:line="90" w:lineRule="exact"/>
        <w:rPr>
          <w:sz w:val="20"/>
          <w:szCs w:val="20"/>
          <w:color w:val="auto"/>
        </w:rPr>
      </w:pPr>
    </w:p>
    <w:p>
      <w:pPr>
        <w:ind w:left="900" w:right="260" w:hanging="446"/>
        <w:spacing w:after="0" w:line="268" w:lineRule="auto"/>
        <w:rPr>
          <w:sz w:val="20"/>
          <w:szCs w:val="20"/>
          <w:color w:val="auto"/>
        </w:rPr>
      </w:pPr>
      <w:r>
        <w:rPr>
          <w:rFonts w:ascii="Arial" w:cs="Arial" w:eastAsia="Arial" w:hAnsi="Arial"/>
          <w:sz w:val="18"/>
          <w:szCs w:val="18"/>
          <w:color w:val="auto"/>
        </w:rPr>
        <w:t>— general economic, market or business conditions and the amplification of other risks caused by volatile financial markets, capital constraints and pervasive liquidity concerns; and</w:t>
      </w:r>
    </w:p>
    <w:p>
      <w:pPr>
        <w:spacing w:after="0" w:line="50" w:lineRule="exact"/>
        <w:rPr>
          <w:sz w:val="20"/>
          <w:szCs w:val="20"/>
          <w:color w:val="auto"/>
        </w:rPr>
      </w:pPr>
    </w:p>
    <w:p>
      <w:pPr>
        <w:ind w:left="900" w:right="80" w:hanging="446"/>
        <w:spacing w:after="0" w:line="332" w:lineRule="auto"/>
        <w:rPr>
          <w:sz w:val="20"/>
          <w:szCs w:val="20"/>
          <w:color w:val="auto"/>
        </w:rPr>
      </w:pPr>
      <w:r>
        <w:rPr>
          <w:rFonts w:ascii="Arial" w:cs="Arial" w:eastAsia="Arial" w:hAnsi="Arial"/>
          <w:sz w:val="16"/>
          <w:szCs w:val="16"/>
          <w:color w:val="auto"/>
        </w:rPr>
        <w:t>— 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on page S-4 of this prospectus supplement and in Item 1A. “Risk Factors” in our Annual Report on Form 10-K for the fiscal year ended December 31, 2011 (File No. 001-14569), which is incorporated in this prospectus supplement by reference, for information regarding risks you should consider before investing in our common units. Except as required by applicable securities laws, we do not intend to update these forward-looking statements and information.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This summary highlights information included or incorporated by reference in this prospectus supplement. It does not contain all of the information that you should consider before investing in the common units. You should read carefully the entire prospectus supplement, the accompanying base prospectus, the documents incorporated by reference herein and therein and the other documents to which we refer herein and therein for a more complete understanding of this offering.</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i w:val="1"/>
          <w:iCs w:val="1"/>
          <w:color w:val="auto"/>
        </w:rPr>
        <w:t>Please read “Risk Factors” on page S-4 of this prospectus supplement and in our Annual Report on Form 10-K for the fiscal year ended December 31, 2011, which is incorporated by reference herein, for information regarding risks you should consider before investing in our common units.</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unless the context clearly indicates otherwise, references to “PAA,” the “Partnership,” “we,” “us,” “our” and similar terms refer to Plains All American Pipeline, L.P. and its subsidiaries. With respect to the cover page and in the section entitled “Summary — The Offering,” “we,” “our” and “us” refer only to Plains All American Pipeline, L.P. and not to any of its subsidiaries. References to our “general partner,” as the context requires, include any or all of PAA GP LLC, Plains AAP, L.P. and Plains All American GP LLC.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Partnership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 rights. We also currently own an approximate 62% limited partner interest in PNG.</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Activities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Principal Executive Offices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executive offices are located at 333 Clay Street, Suite 1600, Houston, Texas 77002. Our telephone number is (713) 646-4100. We maintain a website at www.paalp.com that provides information about our business and operations. Information contained on or available through our website is not incorporated into or otherwise a part of this prospectus supplement or the accompanying base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2011 and our Quarterly Reports on Form 10-Q for the quarterly periods ended March 31, 2012, June 30, 2012 and September 30, 2012, each of which is incorporated by reference herein.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459"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Common Units Offered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Common units having an aggregate offering price of up to $336,131,718.85.</w:t>
      </w:r>
    </w:p>
    <w:p>
      <w:pPr>
        <w:spacing w:after="0" w:line="211" w:lineRule="exact"/>
        <w:rPr>
          <w:sz w:val="20"/>
          <w:szCs w:val="20"/>
          <w:color w:val="auto"/>
        </w:rPr>
      </w:pPr>
    </w:p>
    <w:p>
      <w:pPr>
        <w:sectPr>
          <w:pgSz w:w="11900" w:h="16838" w:orient="portrait"/>
          <w:cols w:equalWidth="0" w:num="2">
            <w:col w:w="3960" w:space="720"/>
            <w:col w:w="674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intend to use the net proceeds from this offering, including our general partner’s proportionate capital contribution, after deducting the sales agent’s commission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 Please read “Use of Proceeds.”</w:t>
      </w:r>
    </w:p>
    <w:p>
      <w:pPr>
        <w:spacing w:after="0" w:line="188" w:lineRule="exact"/>
        <w:rPr>
          <w:sz w:val="20"/>
          <w:szCs w:val="20"/>
          <w:color w:val="auto"/>
        </w:rPr>
      </w:pPr>
    </w:p>
    <w:p>
      <w:pPr>
        <w:sectPr>
          <w:pgSz w:w="11900" w:h="16838" w:orient="portrait"/>
          <w:cols w:equalWidth="0" w:num="2">
            <w:col w:w="3960" w:space="720"/>
            <w:col w:w="67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Exchange 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units are traded on the NYSE under the symbol “PAA.”</w:t>
      </w:r>
    </w:p>
    <w:p>
      <w:pPr>
        <w:spacing w:after="0" w:line="200" w:lineRule="exact"/>
        <w:rPr>
          <w:sz w:val="20"/>
          <w:szCs w:val="20"/>
          <w:color w:val="auto"/>
        </w:rPr>
      </w:pPr>
    </w:p>
    <w:p>
      <w:pPr>
        <w:sectPr>
          <w:pgSz w:w="11900" w:h="16838" w:orient="portrait"/>
          <w:cols w:equalWidth="0" w:num="2">
            <w:col w:w="3960" w:space="720"/>
            <w:col w:w="674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Affiliates of certain of the sales agents are lenders under our credit facilities. To the extent we use proceeds from this offering to repay indebtedness under our credit facilities, such affiliates may receive proceeds from this offering. Please read “Plan of Distribution” in this prospectus supplement for further information.</w:t>
      </w:r>
    </w:p>
    <w:p>
      <w:pPr>
        <w:spacing w:after="0" w:line="184" w:lineRule="exact"/>
        <w:rPr>
          <w:sz w:val="20"/>
          <w:szCs w:val="20"/>
          <w:color w:val="auto"/>
        </w:rPr>
      </w:pPr>
    </w:p>
    <w:p>
      <w:pPr>
        <w:sectPr>
          <w:pgSz w:w="11900" w:h="16838" w:orient="portrait"/>
          <w:cols w:equalWidth="0" w:num="2">
            <w:col w:w="3960" w:space="720"/>
            <w:col w:w="67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There are risks associated with this offering and our business. You should consider carefully the risk factors on page S-4 of this prospectus supplement and the other risks identified in the documents incorporated by reference herein before making a decision to purchase common units in this offering.</w:t>
      </w:r>
    </w:p>
    <w:p>
      <w:pPr>
        <w:spacing w:after="0" w:line="130" w:lineRule="exact"/>
        <w:rPr>
          <w:sz w:val="20"/>
          <w:szCs w:val="20"/>
          <w:color w:val="auto"/>
        </w:rPr>
      </w:pPr>
    </w:p>
    <w:p>
      <w:pPr>
        <w:sectPr>
          <w:pgSz w:w="11900" w:h="16838" w:orient="portrait"/>
          <w:cols w:equalWidth="0" w:num="2">
            <w:col w:w="3960" w:space="720"/>
            <w:col w:w="674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investment in our common units involves risk. You should carefully consider the risk factors set forth in Item 1A. “Risk Factors” of our Annual Report on Form 10-K for the fiscal year ended December 31, 2011, together with all of the other information included in, or incorporated by reference into, this prospectus supplement and the accompanying base prospectus, when evaluating an investment in our common units. If any of these risks were to occur, our business, financial condition or results of operations could be materially adversely affected. In that case, the trading price of our common units could decline and you could lose all or part of your investment.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use the net proceeds of this offering, including our general partner’s proportionate capital contribution, after deducting the sales agents’ commission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Affiliates of certain of the sales agents are lenders under our credit facilities. To the extent we use proceeds from this offering to repay indebtedness under our credit facilities, such affiliates may receive proceeds from this offering. Please read “Plan of Distribution” in this prospectus supplement for further information.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November 7, 2012, we had approximately $57 million and $740 million of borrowings outstanding under our PAA revolving credit facility and our PAA hedged inventory facility, respectively, with respective weighted average interest rates of approximately 1.49% and 1.61%. Substantially all of the borrowings were used for working capital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tax consequences to you of an investment in our common units will depend in part on your own tax circumstances. Although this section updates and adds information related to certain tax considerations, it should be read in conjunction with the risk factors included under the caption “Tax Risks to Common Unitholders” in our most recent Annual Report on Form 10-K, and with “Material U.S. Federal Income Tax Consequences” in the accompanying base prospectus, which provides a discussion of the principal federal income tax consequences associated with our operations and the purchase, ownership and disposition of our common units. The following discussion is limited as described under the caption “Material U.S. Federal Income Tax Consequences” in the accompanying base prospectus.</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All prospective unitholders are encouraged to consult with their own tax advisors about the federal, state, local and foreign tax consequences particular to their own circumstances. In particular, ownership of common units by tax-exempt entities, including employee benefit plans and IRAs, and non-U.S. investors raises issues unique to such persons. The relevant rules are complex, and the discussions herein and in the accompanying base prospectus do not address tax considerations applicable to tax-exempt entities and non-U.S. investors, except as specifically set forth in the accompanying base prospectus. Please read “Material U.S. Federal Income Tax Consequences — Tax-Exempt Organizations and Other Investors” in the accompanying base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13, 2012, we entered into an equity distribution agreement with Citigroup Global Markets Inc., Merrill Lynch, Pierce, Fenner &amp; Smith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Incorporated, J.P. Morgan Securities LLC, Knight Capital Americas LLC, Mizuho Securities USA Inc., Morgan Stanley &amp; Co. LLC, UBS Securities LLC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LLC, as sales agents, under which we are permitted to offer and sell common units having an aggregate offering price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$500,000,000 from time to time. Under the equity distribution agreement, we have sold common units having an aggregate offering price of $163,868,281.15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date of this prospectus supplement. This prospectus supplement replaces the prospectus supplement filed on September 13, 2012, and only includes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units having an aggregate offering price of up to $336,131,718.85 remaining unsold under the equity distribution agreement. We have filed the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 agreement as an exhibit to a Current Report on Form 8-K, which is incorporated by reference in this prospectus supplement. The sales, if 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units made under the equity distribution agreement will be made by means of ordinary brokers’ transactions on the NYSE at market prices, in block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transactions, or as otherwise as agreed upon by one or more of the sales agents and us. The sales agents will not engage in any transactions that stabilize the price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our common units.</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terms of the equity distribution agreement, we also may sell common units to one or more of our sales agents as principal for its own account at a price agreed upon at the time of sale. If we sell common units to one or more of our sales agents as principal, we will enter into a separate agreement with the sales agent and we will describe this agreement in a separate prospectus supplement or pricing supplement.</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designate the maximum amount of common units to be sold through the sales agents on a daily basis or otherwise as we and the sales agents agree and the minimum price per common unit at which such common units may be sold. Subject to the terms and conditions of the equity distribution agreement, the sales agents will use their reasonable efforts to sell on our behalf all of the designated common units. We may instruct the sales agents not to sell any common units if the sales cannot be effected at or above the price designated by us in any such instruction. We or the sales agents may suspend the offering of common units at any time and from time to time by notifying the other party.</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sales agents will provide to us written confirmation following the close of trading on the NYSE each day in which common units are sold under the equity distribution agreement. Each confirmation will include the number of common units sold on that day, the gross sales proceeds and the net proceeds to us (after regulatory transaction fees, if any, but before other expenses). We will report at least quarterly the number of common units sold through the sales agents under the equity distribution agreement, the net proceeds to us (before expenses) and the commissions of the sales agents in connection with the sales of the common units.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pay each sales agent a commission of up to 2% of the gross sales price per common unit sold through it as our agent under the equity distribution agreement. We have agreed to reimburse the sales agents for certain of their expenses.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Settlement for sales of common units will occur on the third business day following the date on which any sales were made in return for payment of the net proceeds to us. There is no arrangement for funds to be received in an escrow, trust or similar arrangement.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or any of the sales agents have reason to believe that our common units are no longer an “actively-traded security” as defined under Rule 101(c)(l) of Regulation M under the Securities Exchange Act of 1934, as amended, that party will promptly notify the others and sales of common units pursuant to the equity distribution agreement or any terms agreement will be suspended until in our collective judgment Rule 101(c)(1) or another exemptive provision has been satisfied.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offering of common units pursuant to the equity distribution agreement will terminate upon the earlier of (1) the sale of all common units subject to the equity distribution agreement or (2) the termination of the equity distribution agreement by us or by the sales agents.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sale of the common units on our behalf, each of the sales agents will be deemed to be an “underwriter” within the meaning of the Securities Act of 1933, as amended (the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sales agents and/or affiliates of each of the sales agents have, from time to time, performed, and may in the future perform, various financial advisory and commercial and investment banking services for us and our affiliates, for which they have received and in the future will receive customary compensation and expense reimbursement. The sales agents and/or affiliates of certain of the sales agents are lenders under our credit facilities. To the extent we use proceeds from this offering to repay indebtedness under our credit facilities, such affiliates may receive proceeds from this offering.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FINRA</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discount or commission to be received by any FINRA member or independent broker-dealer may not exceed 8% of the aggregate offering price of the common units offered pursuant to this prospectus supplement. Because FINRA views the common units offered hereby as interests in a direct participation program, this offering is being made in compliance with Rule 2310 of the FINRA Rules.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EEA</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other than Germany, with effect from and including the date on which the Prospectus Directive is implemented in that relevant member state (the relevant implementation date), an offer of securities described in this prospectus may not be made to the public in that relevant member state other than:</w:t>
      </w:r>
    </w:p>
    <w:p>
      <w:pPr>
        <w:spacing w:after="0" w:line="14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jc w:val="both"/>
        <w:ind w:left="900" w:right="120" w:hanging="446"/>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partnership may constitute a “collective investment scheme” as defined by section 235 of the Financial Services and Markets Act 2000 (FSMA) that is not a “recognised collective investment scheme” for the purposes of FSMA (CIS) and that has not been authorised or otherwise approved. As an unregulated scheme, it cannot be marketed in the United Kingdom to the general public, except in accordance with FSMA. This prospectus is only being distributed in the United Kingdom to, and is only directed at:</w:t>
      </w:r>
    </w:p>
    <w:p>
      <w:pPr>
        <w:spacing w:after="0" w:line="184" w:lineRule="exact"/>
        <w:rPr>
          <w:sz w:val="20"/>
          <w:szCs w:val="20"/>
          <w:color w:val="auto"/>
        </w:rPr>
      </w:pPr>
    </w:p>
    <w:p>
      <w:pPr>
        <w:ind w:left="900" w:hanging="446"/>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our partnership is a CIS and is marketed by a person who is an authorised person under FSMA, (a) investment professionals falling within Article 14(5) of the Financial Services and Markets Act 2000 (Promotion of Collective Investment Schemes) (Exemptions) Order 2001, as amended (the CIS Promotion Order) or (b) high net worth companies and other persons falling within Article 22(2)(a) to (d) of the CIS Promotion Order; or</w:t>
      </w:r>
    </w:p>
    <w:p>
      <w:pPr>
        <w:spacing w:after="0" w:line="147"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otherwise, if marketed by a person who is not an authorised person under FSMA, (a) persons who fall within Article 19(5) of the Financial Services and Markets Act 2000 (Financial Promotion) Order 2005, as amended (the Financial Promotion Order) or (b) Article 49(2)(a) to (d) of the Financial Promotion Order; and</w:t>
      </w:r>
    </w:p>
    <w:p>
      <w:pPr>
        <w:spacing w:after="0" w:line="18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both cases (1) and (2) to any other person to whom it may otherwise lawfully be made (all such persons together being referred to as “relevant persons”).</w:t>
      </w:r>
    </w:p>
    <w:p>
      <w:pPr>
        <w:spacing w:after="0" w:line="132"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Germany</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document has not been prepared in accordance with the requirements for a securities or sales prospectus under the German Securities Prospectus Act (</w:t>
      </w:r>
      <w:r>
        <w:rPr>
          <w:rFonts w:ascii="Arial" w:cs="Arial" w:eastAsia="Arial" w:hAnsi="Arial"/>
          <w:sz w:val="16"/>
          <w:szCs w:val="16"/>
          <w:i w:val="1"/>
          <w:iCs w:val="1"/>
          <w:color w:val="auto"/>
        </w:rPr>
        <w:t>Wertpapierprospektgesetz</w:t>
      </w:r>
      <w:r>
        <w:rPr>
          <w:rFonts w:ascii="Arial" w:cs="Arial" w:eastAsia="Arial" w:hAnsi="Arial"/>
          <w:sz w:val="16"/>
          <w:szCs w:val="16"/>
          <w:color w:val="auto"/>
        </w:rPr>
        <w:t>), the German Sales Prospectus Act (</w:t>
      </w:r>
      <w:r>
        <w:rPr>
          <w:rFonts w:ascii="Arial" w:cs="Arial" w:eastAsia="Arial" w:hAnsi="Arial"/>
          <w:sz w:val="16"/>
          <w:szCs w:val="16"/>
          <w:i w:val="1"/>
          <w:iCs w:val="1"/>
          <w:color w:val="auto"/>
        </w:rPr>
        <w:t>Verkaufsprospektgesetz</w:t>
      </w:r>
      <w:r>
        <w:rPr>
          <w:rFonts w:ascii="Arial" w:cs="Arial" w:eastAsia="Arial" w:hAnsi="Arial"/>
          <w:sz w:val="16"/>
          <w:szCs w:val="16"/>
          <w:color w:val="auto"/>
        </w:rPr>
        <w:t>), or the German Investment Act (</w:t>
      </w:r>
      <w:r>
        <w:rPr>
          <w:rFonts w:ascii="Arial" w:cs="Arial" w:eastAsia="Arial" w:hAnsi="Arial"/>
          <w:sz w:val="16"/>
          <w:szCs w:val="16"/>
          <w:i w:val="1"/>
          <w:iCs w:val="1"/>
          <w:color w:val="auto"/>
        </w:rPr>
        <w:t>Investmentgesetz</w:t>
      </w:r>
      <w:r>
        <w:rPr>
          <w:rFonts w:ascii="Arial" w:cs="Arial" w:eastAsia="Arial" w:hAnsi="Arial"/>
          <w:sz w:val="16"/>
          <w:szCs w:val="16"/>
          <w:color w:val="auto"/>
        </w:rPr>
        <w:t>). Neither the German Federal Financial Services Supervisory Authority (</w:t>
      </w:r>
      <w:r>
        <w:rPr>
          <w:rFonts w:ascii="Arial" w:cs="Arial" w:eastAsia="Arial" w:hAnsi="Arial"/>
          <w:sz w:val="16"/>
          <w:szCs w:val="16"/>
          <w:i w:val="1"/>
          <w:iCs w:val="1"/>
          <w:color w:val="auto"/>
        </w:rPr>
        <w:t>Bundesanstalt für Finanzdienstleistungsaufsicht</w:t>
      </w:r>
      <w:r>
        <w:rPr>
          <w:rFonts w:ascii="Arial" w:cs="Arial" w:eastAsia="Arial" w:hAnsi="Arial"/>
          <w:sz w:val="16"/>
          <w:szCs w:val="16"/>
          <w:color w:val="auto"/>
        </w:rPr>
        <w:t xml:space="preserve"> — BaFin) nor any other German authority has been notified of the intention to distribute our common units in Germany. Consequently, our common units may not be distributed in Germany by way of public offering, public advertisement or in any similar manner and this document and any other document relating to the offering, as well as information or statements contained therein, may not be supplied to the public in Germany or used in connection with any offer for subscription of our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document is strictly for use of the person who has received it. It may not be forwarded to other persons or published in Germany.</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offering does not constitute an offer to sell or the solicitation of an offer to buy our common units in any circumstances in which such offer or solicitation is unlawful.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Netherlands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common units may not be offered or sold, directly or indirectly, in the Netherlands, other than to qualified investors (</w:t>
      </w:r>
      <w:r>
        <w:rPr>
          <w:rFonts w:ascii="Arial" w:cs="Arial" w:eastAsia="Arial" w:hAnsi="Arial"/>
          <w:sz w:val="18"/>
          <w:szCs w:val="18"/>
          <w:i w:val="1"/>
          <w:iCs w:val="1"/>
          <w:color w:val="auto"/>
        </w:rPr>
        <w:t>gekwalificeerde beleggers</w:t>
      </w:r>
      <w:r>
        <w:rPr>
          <w:rFonts w:ascii="Arial" w:cs="Arial" w:eastAsia="Arial" w:hAnsi="Arial"/>
          <w:sz w:val="18"/>
          <w:szCs w:val="18"/>
          <w:color w:val="auto"/>
        </w:rPr>
        <w:t>) within the meaning of Article 1:1 of the Dutch Financial Supervision Act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validity of the common units offered in this prospectus supplement will be passed upon for us by Vinson &amp; Elkins L.L.P., Houston, Texas. Certain legal matters will be passed upon for the sales agents by Baker Botts L.L.P., Houston, Texas.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supplement from our Current Report on Form 8-K/A dated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common units contemplated by this prospectus supplement are complete:</w:t>
      </w:r>
    </w:p>
    <w:p>
      <w:pPr>
        <w:spacing w:after="0" w:line="18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March 31, 2012;</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June 30, 2012;</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September 30, 2012;</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(documentation related to debt offering);</w:t>
      </w:r>
    </w:p>
    <w:p>
      <w:pPr>
        <w:spacing w:after="0" w:line="211"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 and termination of 364-day credit facility);</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(documentation related to the BP NGL Acquisition);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Current Report on Form 8-K filed with the SEC on April 17, 2012 (announcement of withdrawal of proposal to acquire SemGroup Corporation);</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17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17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211"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 on Form 8-K filed with the SEC on October 2, 2012 (amendment of Limited Partnership Agreement of Plains All American Pipeline, L.P.).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65"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www.sec.gov.</w:t>
      </w:r>
    </w:p>
    <w:p>
      <w:pPr>
        <w:spacing w:after="0" w:line="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and the sales agents have not, authorized anyone else to provide you with any information. You should not assume that the information incorporated by reference or provided in this prospectus supplement or the accompanying base prospectus is accurate as of any date other than its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33"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15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94" w:lineRule="exact"/>
        <w:rPr>
          <w:sz w:val="20"/>
          <w:szCs w:val="20"/>
          <w:color w:val="auto"/>
        </w:rPr>
      </w:pPr>
    </w:p>
    <w:p>
      <w:pPr>
        <w:jc w:val="both"/>
        <w:ind w:right="28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units and the debt securities involves risks. Limited partnerships are inherently different from corporations. You should carefully consider the risk factors described under “</w:t>
      </w:r>
      <w:hyperlink w:anchor="page2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 of this prospectus before you make an investment in our securities.</w:t>
      </w:r>
    </w:p>
    <w:p>
      <w:pPr>
        <w:spacing w:after="0" w:line="14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23, 2012.</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Description of Our Debt Securities</w:t>
              </w:r>
            </w:hyperlink>
          </w:p>
        </w:tc>
        <w:tc>
          <w:tcPr>
            <w:tcW w:w="20" w:type="dxa"/>
            <w:vAlign w:val="bottom"/>
            <w:tcBorders>
              <w:top w:val="single" w:sz="8" w:color="0000EE"/>
            </w:tcBorders>
          </w:tcPr>
          <w:p>
            <w:pPr>
              <w:spacing w:after="0"/>
              <w:rPr>
                <w:sz w:val="17"/>
                <w:szCs w:val="17"/>
                <w:color w:val="auto"/>
              </w:rPr>
            </w:pPr>
          </w:p>
        </w:tc>
        <w:tc>
          <w:tcPr>
            <w:tcW w:w="16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3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 related to debt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Current Report on Form 8-K filed with the SEC on April 17, 2012 (announcement to withdraw offer to acquire SemGroup Corporation);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Telephone: (713) 646-4100</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Two-for-One Unit Split</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On August 16, 2012, we announced a two-for-one split of our common units. The two-for-one split will be effected on October 1, 2012, by a distribution of one additional common unit for each common unit outstanding and held by unitholders of record at the close of business on September 17, 2012. The effect of the two-for-one split was to double the number of all outstanding units and to reduce by half the minimum quarterly per unit distribution and the targeted distribution levels. The effect of this unit split has been retroactively applied to our relevant per unit information as shown in the tables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9"/>
              </w:rPr>
              <w:t>Three Months Ended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unit data (giving effect to unit split):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Basic net income per limited partner unit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0.57</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Declared distributions per limited partner unit(1)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0.5125</w:t>
            </w:r>
          </w:p>
        </w:tc>
        <w:tc>
          <w:tcPr>
            <w:tcW w:w="1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0.4788</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0.5225</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$ 0.4850</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1.0350</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$ 0.9638</w:t>
            </w:r>
          </w:p>
        </w:tc>
        <w:tc>
          <w:tcPr>
            <w:tcW w:w="100" w:type="dxa"/>
            <w:vAlign w:val="bottom"/>
          </w:tcPr>
          <w:p>
            <w:pPr>
              <w:spacing w:after="0"/>
              <w:rPr>
                <w:sz w:val="19"/>
                <w:szCs w:val="19"/>
                <w:color w:val="auto"/>
              </w:rPr>
            </w:pPr>
          </w:p>
        </w:tc>
      </w:tr>
      <w:tr>
        <w:trPr>
          <w:trHeight w:val="345"/>
        </w:trPr>
        <w:tc>
          <w:tcPr>
            <w:tcW w:w="6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w w:val="98"/>
              </w:rPr>
              <w:t>Year Ended December 31,</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3"/>
          </w:tcPr>
          <w:p>
            <w:pPr>
              <w:jc w:val="right"/>
              <w:ind w:right="62"/>
              <w:spacing w:after="0" w:line="142"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2"/>
                <w:szCs w:val="12"/>
                <w:color w:val="auto"/>
              </w:rPr>
            </w:pPr>
          </w:p>
        </w:tc>
        <w:tc>
          <w:tcPr>
            <w:tcW w:w="760" w:type="dxa"/>
            <w:vAlign w:val="bottom"/>
            <w:gridSpan w:val="4"/>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unit data (giving effect to unit split):</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Basic net income per limited partner unit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1.67</w:t>
            </w:r>
          </w:p>
        </w:tc>
        <w:tc>
          <w:tcPr>
            <w:tcW w:w="14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1.66</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Declared distributions per limited partner unit(1)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$1.9525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$1.8775</w:t>
            </w:r>
          </w:p>
        </w:tc>
        <w:tc>
          <w:tcPr>
            <w:tcW w:w="2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$1.8113</w:t>
            </w:r>
          </w:p>
        </w:tc>
        <w:tc>
          <w:tcPr>
            <w:tcW w:w="1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$1.7475</w:t>
            </w:r>
          </w:p>
        </w:tc>
        <w:tc>
          <w:tcPr>
            <w:tcW w:w="6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1.6413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general partner is entitled, directly or indirectly, to receive 2% proportional distributions, and also incentive distributions if the amount we distribute with respect to any quarter exceeds levels specified in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 (1)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34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jc w:val="both"/>
        <w:ind w:left="900" w:right="3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 Events of Default and Remedies” below) may exist.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900" w:right="6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the holders of a majority in the aggregate principal amount of the debt securities of that series can rescind the declaration.</w:t>
      </w:r>
    </w:p>
    <w:p>
      <w:pPr>
        <w:spacing w:after="0" w:line="19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900" w:right="8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194" w:lineRule="exact"/>
        <w:rPr>
          <w:sz w:val="20"/>
          <w:szCs w:val="20"/>
          <w:color w:val="auto"/>
        </w:rPr>
      </w:pPr>
    </w:p>
    <w:p>
      <w:pPr>
        <w:ind w:left="700" w:hanging="24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59"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37" w:lineRule="exact"/>
        <w:rPr>
          <w:rFonts w:ascii="Arial" w:cs="Arial" w:eastAsia="Arial" w:hAnsi="Arial"/>
          <w:sz w:val="16"/>
          <w:szCs w:val="16"/>
          <w:color w:val="auto"/>
        </w:rPr>
      </w:pPr>
    </w:p>
    <w:p>
      <w:pPr>
        <w:ind w:left="700" w:hanging="24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left="240" w:right="40" w:firstLine="220"/>
        <w:spacing w:after="0" w:line="268" w:lineRule="auto"/>
        <w:tabs>
          <w:tab w:leader="none" w:pos="7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900" w:right="3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 partner, until we distribute for each unit an amount equal to the minimum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for that quarter;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900" w:right="5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85% to all unitholders, pro rata, and 15% to the general partner, until each unitholder receives a total of $0.495 for that quarter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unit (the “first target distribution”);</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75% to all unitholders, pro rata, and 25% to the general partner, until each unitholder receives a total of $0.675 for that quarter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unit (the “second target distribution”);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 to all unitholders, pro rata, and 50% to the general partner.</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How Distributions from Capital Surplus Will Be Made</w:t>
      </w:r>
      <w:r>
        <w:rPr>
          <w:rFonts w:ascii="Arial" w:cs="Arial" w:eastAsia="Arial" w:hAnsi="Arial"/>
          <w:sz w:val="16"/>
          <w:szCs w:val="16"/>
          <w:color w:val="auto"/>
        </w:rPr>
        <w:t>. We will make distributions of available cash from capital surplus in the following manner:</w:t>
      </w:r>
    </w:p>
    <w:p>
      <w:pPr>
        <w:spacing w:after="0" w:line="113" w:lineRule="exact"/>
        <w:rPr>
          <w:sz w:val="20"/>
          <w:szCs w:val="20"/>
          <w:color w:val="auto"/>
        </w:rPr>
      </w:pPr>
    </w:p>
    <w:p>
      <w:pPr>
        <w:ind w:left="900" w:right="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 partner, until we distribute, for each common unit issued in this offering, available cash</w:t>
      </w:r>
      <w:r>
        <w:rPr>
          <w:rFonts w:ascii="Arial" w:cs="Arial" w:eastAsia="Arial" w:hAnsi="Arial"/>
          <w:sz w:val="18"/>
          <w:szCs w:val="18"/>
          <w:i w:val="1"/>
          <w:iCs w:val="1"/>
          <w:color w:val="auto"/>
        </w:rPr>
        <w:t xml:space="preserve"> </w:t>
      </w:r>
      <w:r>
        <w:rPr>
          <w:rFonts w:ascii="Arial" w:cs="Arial" w:eastAsia="Arial" w:hAnsi="Arial"/>
          <w:sz w:val="18"/>
          <w:szCs w:val="18"/>
          <w:color w:val="auto"/>
        </w:rPr>
        <w:t>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900" w:right="4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If we dissolve and liquidate, we will sell our assets or otherwise dispose of our assets and we will adjust the partners’ capital account balances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900" w:right="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the holders of common units who have positive balances in their capital accounts in proportion to those positive balances and 2%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their percentage interests in us that existed immediately prior to the issuance. The holders of common units will not have preemptive rights to acquire additional common units or other partnership interests in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9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right="20" w:firstLine="8"/>
        <w:spacing w:after="0" w:line="261"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 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Moreover, a termination may either accelerate the application of, or subject us to, any tax legislation enacted before the termination that would not otherwise have been applied to us as a continuing as opposed to a terminating partnership.</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88"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90" w:lineRule="exact"/>
        <w:rPr>
          <w:sz w:val="20"/>
          <w:szCs w:val="20"/>
          <w:color w:val="auto"/>
        </w:rPr>
      </w:pPr>
    </w:p>
    <w:p>
      <w:pPr>
        <w:ind w:left="700" w:hanging="24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90" w:lineRule="exact"/>
        <w:rPr>
          <w:rFonts w:ascii="Arial" w:cs="Arial" w:eastAsia="Arial" w:hAnsi="Arial"/>
          <w:sz w:val="18"/>
          <w:szCs w:val="18"/>
          <w:color w:val="auto"/>
        </w:rPr>
      </w:pPr>
    </w:p>
    <w:p>
      <w:pPr>
        <w:ind w:left="700" w:hanging="24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90" w:lineRule="exact"/>
        <w:rPr>
          <w:rFonts w:ascii="Arial" w:cs="Arial" w:eastAsia="Arial" w:hAnsi="Arial"/>
          <w:sz w:val="18"/>
          <w:szCs w:val="18"/>
          <w:color w:val="auto"/>
        </w:rPr>
      </w:pPr>
    </w:p>
    <w:p>
      <w:pPr>
        <w:ind w:left="700" w:hanging="24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90" w:lineRule="exact"/>
        <w:rPr>
          <w:rFonts w:ascii="Arial" w:cs="Arial" w:eastAsia="Arial" w:hAnsi="Arial"/>
          <w:sz w:val="18"/>
          <w:szCs w:val="18"/>
          <w:color w:val="auto"/>
        </w:rPr>
      </w:pPr>
    </w:p>
    <w:p>
      <w:pPr>
        <w:ind w:left="240" w:right="80" w:firstLine="220"/>
        <w:spacing w:after="0" w:line="268" w:lineRule="auto"/>
        <w:tabs>
          <w:tab w:leader="none" w:pos="7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Common Units</w:t>
      </w:r>
    </w:p>
    <w:p>
      <w:pPr>
        <w:spacing w:after="0" w:line="41"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3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Having an Aggregate Offering Price of Up to</w:t>
      </w:r>
    </w:p>
    <w:p>
      <w:pPr>
        <w:spacing w:after="0" w:line="5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$336,131,718.85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1768475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267970</wp:posOffset>
            </wp:positionV>
            <wp:extent cx="1697990" cy="548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November 8, 2012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Citigroup</w:t>
      </w:r>
    </w:p>
    <w:p>
      <w:pPr>
        <w:spacing w:after="0" w:line="1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BofA Merrill Lynch</w:t>
      </w:r>
    </w:p>
    <w:p>
      <w:pPr>
        <w:spacing w:after="0" w:line="1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 Morgan</w:t>
      </w:r>
    </w:p>
    <w:p>
      <w:pPr>
        <w:spacing w:after="0" w:line="14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Knight</w:t>
      </w:r>
    </w:p>
    <w:p>
      <w:pPr>
        <w:spacing w:after="0" w:line="14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Mizuho Securities</w:t>
      </w:r>
    </w:p>
    <w:p>
      <w:pPr>
        <w:spacing w:after="0" w:line="14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Morgan Stanley</w:t>
      </w:r>
    </w:p>
    <w:p>
      <w:pPr>
        <w:spacing w:after="0" w:line="1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UBS Investment Bank</w:t>
      </w:r>
    </w:p>
    <w:p>
      <w:pPr>
        <w:spacing w:after="0" w:line="14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emdash "/>
      <w:numFmt w:val="bullet"/>
      <w:start w:val="1"/>
    </w:lvl>
  </w:abstractNum>
  <w:abstractNum w:abstractNumId="1">
    <w:nsid w:val="75A2A8D4"/>
    <w:multiLevelType w:val="hybridMultilevel"/>
    <w:lvl w:ilvl="0">
      <w:lvlJc w:val="left"/>
      <w:lvlText w:val="\emdash "/>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Letter"/>
      <w:start w:val="1"/>
    </w:lvl>
    <w:lvl w:ilvl="1">
      <w:lvlJc w:val="left"/>
      <w:lvlText w:val="(%2)"/>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2"/>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2020-01-30T13:05:36Z</dcterms:created>
  <dcterms:modified xsi:type="dcterms:W3CDTF">2020-01-30T13:05:36Z</dcterms:modified>
</cp:coreProperties>
</file>