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February 23, 2017</w:t>
      </w:r>
    </w:p>
    <w:p>
      <w:pPr>
        <w:spacing w:after="0" w:line="225"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S-3</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PLAINS GP HOLDINGS, L.P.</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90-1005472</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1860" w:type="dxa"/>
            <w:vAlign w:val="bottom"/>
          </w:tcPr>
          <w:p>
            <w:pPr>
              <w:jc w:val="center"/>
              <w:ind w:left="132"/>
              <w:spacing w:after="0"/>
              <w:rPr>
                <w:sz w:val="20"/>
                <w:szCs w:val="20"/>
                <w:color w:val="auto"/>
              </w:rPr>
            </w:pPr>
            <w:r>
              <w:rPr>
                <w:rFonts w:ascii="Arial" w:cs="Arial" w:eastAsia="Arial" w:hAnsi="Arial"/>
                <w:sz w:val="18"/>
                <w:szCs w:val="18"/>
                <w:color w:val="auto"/>
                <w:w w:val="90"/>
              </w:rPr>
              <w:t>(I.R.S. Employer</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8"/>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Richard McGee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Copies 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P. Oelman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Alan Beck</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1001 Fannin Street, Suite 2500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758-2222</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19" w:lineRule="exact"/>
        <w:rPr>
          <w:sz w:val="24"/>
          <w:szCs w:val="24"/>
          <w:color w:val="auto"/>
        </w:rPr>
      </w:pPr>
    </w:p>
    <w:p>
      <w:pPr>
        <w:ind w:right="560" w:firstLine="439"/>
        <w:spacing w:after="0" w:line="268"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o</w:t>
      </w:r>
    </w:p>
    <w:p>
      <w:pPr>
        <w:spacing w:after="0" w:line="186" w:lineRule="exact"/>
        <w:rPr>
          <w:sz w:val="24"/>
          <w:szCs w:val="24"/>
          <w:color w:val="auto"/>
        </w:rPr>
      </w:pPr>
    </w:p>
    <w:p>
      <w:pPr>
        <w:ind w:right="260" w:firstLine="439"/>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0" w:lineRule="exact"/>
        <w:rPr>
          <w:sz w:val="24"/>
          <w:szCs w:val="24"/>
          <w:color w:val="auto"/>
        </w:rPr>
      </w:pPr>
    </w:p>
    <w:p>
      <w:pPr>
        <w:ind w:firstLine="439"/>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480" w:firstLine="439"/>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38" w:orient="portrait"/>
          <w:cols w:equalWidth="0" w:num="1">
            <w:col w:w="11360"/>
          </w:cols>
          <w:pgMar w:left="240" w:top="685" w:right="299" w:bottom="0" w:gutter="0" w:footer="0" w:header="0"/>
        </w:sectPr>
      </w:pPr>
    </w:p>
    <w:bookmarkStart w:id="1" w:name="page2"/>
    <w:bookmarkEnd w:id="1"/>
    <w:p>
      <w:pPr>
        <w:ind w:right="280" w:firstLine="439"/>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91" w:lineRule="exact"/>
        <w:rPr>
          <w:sz w:val="20"/>
          <w:szCs w:val="20"/>
          <w:color w:val="auto"/>
        </w:rPr>
      </w:pPr>
    </w:p>
    <w:p>
      <w:pPr>
        <w:ind w:right="440" w:firstLine="439"/>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86"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0"/>
          <w:szCs w:val="20"/>
          <w:color w:val="auto"/>
        </w:rPr>
      </w:pPr>
    </w:p>
    <w:p>
      <w:pPr>
        <w:ind w:left="260"/>
        <w:spacing w:after="0" w:line="207" w:lineRule="exact"/>
        <w:tabs>
          <w:tab w:leader="none" w:pos="3360" w:val="left"/>
          <w:tab w:leader="none" w:pos="598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39" w:lineRule="exact"/>
        <w:rPr>
          <w:sz w:val="20"/>
          <w:szCs w:val="20"/>
          <w:color w:val="auto"/>
        </w:rPr>
      </w:pPr>
    </w:p>
    <w:p>
      <w:pPr>
        <w:jc w:val="center"/>
        <w:ind w:left="2220"/>
        <w:spacing w:after="0"/>
        <w:rPr>
          <w:sz w:val="20"/>
          <w:szCs w:val="20"/>
          <w:color w:val="auto"/>
        </w:rPr>
      </w:pPr>
      <w:r>
        <w:rPr>
          <w:rFonts w:ascii="Arial" w:cs="Arial" w:eastAsia="Arial" w:hAnsi="Arial"/>
          <w:sz w:val="14"/>
          <w:szCs w:val="14"/>
          <w:color w:val="auto"/>
        </w:rPr>
        <w:t>(Do not check if a</w:t>
      </w:r>
    </w:p>
    <w:p>
      <w:pPr>
        <w:jc w:val="center"/>
        <w:ind w:left="2220"/>
        <w:spacing w:after="0"/>
        <w:rPr>
          <w:sz w:val="20"/>
          <w:szCs w:val="20"/>
          <w:color w:val="auto"/>
        </w:rPr>
      </w:pPr>
      <w:r>
        <w:rPr>
          <w:rFonts w:ascii="Arial" w:cs="Arial" w:eastAsia="Arial" w:hAnsi="Arial"/>
          <w:sz w:val="14"/>
          <w:szCs w:val="14"/>
          <w:color w:val="auto"/>
        </w:rPr>
        <w:t>smaller reporting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0"/>
          <w:szCs w:val="20"/>
          <w:color w:val="auto"/>
        </w:rPr>
      </w:pPr>
    </w:p>
    <w:p>
      <w:pPr>
        <w:spacing w:after="0" w:line="263" w:lineRule="exact"/>
        <w:rPr>
          <w:sz w:val="20"/>
          <w:szCs w:val="20"/>
          <w:color w:val="auto"/>
        </w:rPr>
      </w:pPr>
    </w:p>
    <w:tbl>
      <w:tblPr>
        <w:tblLayout w:type="fixed"/>
        <w:tblInd w:w="14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296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960" w:type="dxa"/>
            <w:vAlign w:val="bottom"/>
          </w:tcPr>
          <w:p>
            <w:pPr>
              <w:jc w:val="center"/>
              <w:ind w:left="410"/>
              <w:spacing w:after="0" w:line="117" w:lineRule="exact"/>
              <w:rPr>
                <w:sz w:val="20"/>
                <w:szCs w:val="20"/>
                <w:color w:val="auto"/>
              </w:rPr>
            </w:pPr>
            <w:r>
              <w:rPr>
                <w:rFonts w:ascii="Arial" w:cs="Arial" w:eastAsia="Arial" w:hAnsi="Arial"/>
                <w:sz w:val="12"/>
                <w:szCs w:val="12"/>
                <w:b w:val="1"/>
                <w:bCs w:val="1"/>
                <w:color w:val="auto"/>
              </w:rPr>
              <w:t>Amount to be Registered/</w:t>
            </w:r>
          </w:p>
        </w:tc>
        <w:tc>
          <w:tcPr>
            <w:tcW w:w="13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960" w:type="dxa"/>
            <w:vAlign w:val="bottom"/>
          </w:tcPr>
          <w:p>
            <w:pPr>
              <w:jc w:val="center"/>
              <w:ind w:left="390"/>
              <w:spacing w:after="0" w:line="149" w:lineRule="exact"/>
              <w:rPr>
                <w:sz w:val="20"/>
                <w:szCs w:val="20"/>
                <w:color w:val="auto"/>
              </w:rPr>
            </w:pPr>
            <w:r>
              <w:rPr>
                <w:rFonts w:ascii="Arial" w:cs="Arial" w:eastAsia="Arial" w:hAnsi="Arial"/>
                <w:sz w:val="14"/>
                <w:szCs w:val="14"/>
                <w:b w:val="1"/>
                <w:bCs w:val="1"/>
                <w:color w:val="auto"/>
                <w:w w:val="88"/>
              </w:rPr>
              <w:t>Proposed Maximum Offering</w:t>
            </w:r>
          </w:p>
        </w:tc>
        <w:tc>
          <w:tcPr>
            <w:tcW w:w="13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00" w:type="dxa"/>
            <w:vAlign w:val="bottom"/>
          </w:tcPr>
          <w:p>
            <w:pPr>
              <w:jc w:val="center"/>
              <w:ind w:left="406"/>
              <w:spacing w:after="0" w:line="149" w:lineRule="exact"/>
              <w:rPr>
                <w:sz w:val="20"/>
                <w:szCs w:val="20"/>
                <w:color w:val="auto"/>
              </w:rPr>
            </w:pPr>
            <w:r>
              <w:rPr>
                <w:rFonts w:ascii="Arial" w:cs="Arial" w:eastAsia="Arial" w:hAnsi="Arial"/>
                <w:sz w:val="14"/>
                <w:szCs w:val="14"/>
                <w:b w:val="1"/>
                <w:bCs w:val="1"/>
                <w:color w:val="auto"/>
                <w:w w:val="87"/>
              </w:rPr>
              <w:t>Title of Securities</w:t>
            </w:r>
          </w:p>
        </w:tc>
        <w:tc>
          <w:tcPr>
            <w:tcW w:w="2960" w:type="dxa"/>
            <w:vAlign w:val="bottom"/>
          </w:tcPr>
          <w:p>
            <w:pPr>
              <w:jc w:val="center"/>
              <w:ind w:left="410"/>
              <w:spacing w:after="0" w:line="149" w:lineRule="exact"/>
              <w:rPr>
                <w:sz w:val="20"/>
                <w:szCs w:val="20"/>
                <w:color w:val="auto"/>
              </w:rPr>
            </w:pPr>
            <w:r>
              <w:rPr>
                <w:rFonts w:ascii="Arial" w:cs="Arial" w:eastAsia="Arial" w:hAnsi="Arial"/>
                <w:sz w:val="14"/>
                <w:szCs w:val="14"/>
                <w:b w:val="1"/>
                <w:bCs w:val="1"/>
                <w:color w:val="auto"/>
                <w:w w:val="87"/>
              </w:rPr>
              <w:t>Price Per Unit/ Proposed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 of</w:t>
            </w:r>
          </w:p>
        </w:tc>
      </w:tr>
      <w:tr>
        <w:trPr>
          <w:trHeight w:val="182"/>
        </w:trPr>
        <w:tc>
          <w:tcPr>
            <w:tcW w:w="20" w:type="dxa"/>
            <w:vAlign w:val="bottom"/>
          </w:tcPr>
          <w:p>
            <w:pPr>
              <w:spacing w:after="0"/>
              <w:rPr>
                <w:sz w:val="15"/>
                <w:szCs w:val="15"/>
                <w:color w:val="auto"/>
              </w:rPr>
            </w:pPr>
          </w:p>
        </w:tc>
        <w:tc>
          <w:tcPr>
            <w:tcW w:w="430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85"/>
              </w:rPr>
              <w:t>to be Registered</w:t>
            </w:r>
          </w:p>
        </w:tc>
        <w:tc>
          <w:tcPr>
            <w:tcW w:w="2960" w:type="dxa"/>
            <w:vAlign w:val="bottom"/>
            <w:tcBorders>
              <w:bottom w:val="single" w:sz="8" w:color="auto"/>
            </w:tcBorders>
          </w:tcPr>
          <w:p>
            <w:pPr>
              <w:jc w:val="center"/>
              <w:ind w:left="410"/>
              <w:spacing w:after="0"/>
              <w:rPr>
                <w:sz w:val="20"/>
                <w:szCs w:val="20"/>
                <w:color w:val="auto"/>
              </w:rPr>
            </w:pPr>
            <w:r>
              <w:rPr>
                <w:rFonts w:ascii="Arial" w:cs="Arial" w:eastAsia="Arial" w:hAnsi="Arial"/>
                <w:sz w:val="14"/>
                <w:szCs w:val="14"/>
                <w:b w:val="1"/>
                <w:bCs w:val="1"/>
                <w:color w:val="auto"/>
                <w:w w:val="88"/>
              </w:rPr>
              <w:t>Maximum Aggregate Offering Price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Class A shares representing limited partner interests</w:t>
            </w:r>
          </w:p>
        </w:tc>
        <w:tc>
          <w:tcPr>
            <w:tcW w:w="2960" w:type="dxa"/>
            <w:vAlign w:val="bottom"/>
          </w:tcPr>
          <w:p>
            <w:pPr>
              <w:jc w:val="center"/>
              <w:ind w:left="410"/>
              <w:spacing w:after="0"/>
              <w:rPr>
                <w:sz w:val="20"/>
                <w:szCs w:val="20"/>
                <w:color w:val="auto"/>
              </w:rPr>
            </w:pPr>
            <w:r>
              <w:rPr>
                <w:rFonts w:ascii="Arial" w:cs="Arial" w:eastAsia="Arial" w:hAnsi="Arial"/>
                <w:sz w:val="18"/>
                <w:szCs w:val="18"/>
                <w:color w:val="auto"/>
                <w:w w:val="90"/>
              </w:rPr>
              <w:t>(1)</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right="100" w:hanging="532"/>
        <w:spacing w:after="0" w:line="306"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and number of Class A shares representing limited partner interests is being registered as may from time to time be offered hereunder at indeterminate prices. In accordance with Rule 456(b) and 457(r) under the Securities Act of 1933, as amended, the registrant is deferring payment of all of the registration fee and will pay such registration fee subsequently in advance or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Class A Shares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4" w:lineRule="exact"/>
        <w:rPr>
          <w:sz w:val="20"/>
          <w:szCs w:val="20"/>
          <w:color w:val="auto"/>
        </w:rPr>
      </w:pPr>
    </w:p>
    <w:p>
      <w:pPr>
        <w:jc w:val="both"/>
        <w:ind w:right="1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6"/>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7">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516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4900" w:type="dxa"/>
            <w:vAlign w:val="bottom"/>
            <w:gridSpan w:val="12"/>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Our Cash Distribution Policy</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466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508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should help you understand some of the conventions used in this prospectus. All references in this prospectus to:</w:t>
      </w:r>
    </w:p>
    <w:p>
      <w:pPr>
        <w:spacing w:after="0" w:line="239" w:lineRule="exact"/>
        <w:rPr>
          <w:sz w:val="20"/>
          <w:szCs w:val="20"/>
          <w:color w:val="auto"/>
        </w:rPr>
      </w:pPr>
    </w:p>
    <w:p>
      <w:pPr>
        <w:ind w:left="1080" w:right="16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including, but not limited to: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5" w:lineRule="exact"/>
        <w:rPr>
          <w:rFonts w:ascii="Arial" w:cs="Arial" w:eastAsia="Arial" w:hAnsi="Arial"/>
          <w:sz w:val="16"/>
          <w:szCs w:val="16"/>
          <w:color w:val="auto"/>
        </w:rPr>
      </w:pPr>
    </w:p>
    <w:p>
      <w:pPr>
        <w:jc w:val="both"/>
        <w:ind w:left="1080" w:right="3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jc w:val="both"/>
        <w:ind w:right="7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and February 21, 2017;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also make available free of charge on our website at ir.pagp.com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you should not consider information contained on our website as part of this prospectus.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2016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We do not directly own any operating assets; our principal sources of cash flow are derived from our indirect investment in PAA. As of February 22, 2017, we directly and indirectly owned 103,277,067 Class A Units of AAP, which we refer to as AAP Class A units, which represented a 42.8% limited partner interest in AAP. AAP owns a non-economic general partner interest in PAA and, as of February 22, 2017, owned 243,391,545 common units of PAA. Our general partner, PAA GP Holdings LLC, has responsibility for managing the business and affairs of PAA, in addition to AAP and PAGP.</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2016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repayment of indebtedness, acquisitions, capital expenditures and additions to working capital.</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Omnibus Agreement, we have agreed to use the net proceeds from any sale of Class A shares to purchase from AAP a number of AAP Class A units equal to the number of Class A shares sold at a price equal to the net proceeds from such sale. The Omnibus Agreement also provides that immediately following such purchase and sale, AAP will use the net proceeds it receives from such sale of AAP Class A units to PAGP to purchase from PAA an equivalent number of common units of PAA. It is anticipated that PAA will, in turn, use the net proceeds from such sale of common units to AAP for general partnership purposes, which may include, among other things, repayment of indebtedness, acquisitions, capital expenditures and additions to working capital.</w:t>
      </w:r>
    </w:p>
    <w:p>
      <w:pPr>
        <w:spacing w:after="0" w:line="170"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February 22, 2017, we directly and indirectly owned 103,277,067 AAP Class A units, which represented a 42.8% limited partnership interest in AAP. AAP owns a non-economic general partner interest in PAA and, as of February 22, 2017, owned 243,391,545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4"/>
              </w:rPr>
              <w:t>Issuance of additional shares (or other partnership</w:t>
            </w:r>
          </w:p>
        </w:tc>
        <w:tc>
          <w:tcPr>
            <w:tcW w:w="7540" w:type="dxa"/>
            <w:vAlign w:val="bottom"/>
          </w:tcPr>
          <w:p>
            <w:pPr>
              <w:spacing w:after="0"/>
              <w:rPr>
                <w:sz w:val="18"/>
                <w:szCs w:val="18"/>
                <w:color w:val="auto"/>
              </w:rPr>
            </w:pP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Amendments to our partnership agreement may be proposed only by or with the consent of our general</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6"/>
              </w:rPr>
              <w:t>partner. Certain amendments may be made by our general partner without the approval of our</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shareholders. Other amendments generally require the approval of a majority of our outstanding shares</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(including under certain circumstances, our Class C shares). Please read "—Amendments to Our</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Partnership Agreement."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Merger of our partnership or the sale of all or</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A majority of our outstanding shares in certain circumstances. Please read "—Merger, Sale or Other</w:t>
            </w: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substantially all of our assets</w:t>
            </w:r>
          </w:p>
        </w:tc>
        <w:tc>
          <w:tcPr>
            <w:tcW w:w="7540" w:type="dxa"/>
            <w:vAlign w:val="bottom"/>
          </w:tcPr>
          <w:p>
            <w:pPr>
              <w:ind w:left="300"/>
              <w:spacing w:after="0"/>
              <w:rPr>
                <w:sz w:val="20"/>
                <w:szCs w:val="20"/>
                <w:color w:val="auto"/>
              </w:rPr>
            </w:pPr>
            <w:r>
              <w:rPr>
                <w:rFonts w:ascii="Arial" w:cs="Arial" w:eastAsia="Arial" w:hAnsi="Arial"/>
                <w:sz w:val="18"/>
                <w:szCs w:val="18"/>
                <w:color w:val="auto"/>
              </w:rPr>
              <w:t>Disposition of Assets."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"—Withdrawal or Removal of the General Partner."</w:t>
            </w:r>
          </w:p>
        </w:tc>
      </w:tr>
      <w:tr>
        <w:trPr>
          <w:trHeight w:val="466"/>
        </w:trPr>
        <w:tc>
          <w:tcPr>
            <w:tcW w:w="382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Not less than 66</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w:t>
            </w:r>
            <w:r>
              <w:rPr>
                <w:rFonts w:ascii="Arial" w:cs="Arial" w:eastAsia="Arial" w:hAnsi="Arial"/>
                <w:sz w:val="14"/>
                <w:szCs w:val="14"/>
                <w:color w:val="auto"/>
                <w:w w:val="93"/>
              </w:rPr>
              <w:t>3</w:t>
            </w:r>
            <w:r>
              <w:rPr>
                <w:rFonts w:ascii="Arial" w:cs="Arial" w:eastAsia="Arial" w:hAnsi="Arial"/>
                <w:sz w:val="18"/>
                <w:szCs w:val="18"/>
                <w:color w:val="auto"/>
                <w:w w:val="93"/>
              </w:rPr>
              <w:t>% of our outstanding shares, including shares held by our general partner, the</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Legacy Owners and their respective affiliates. Please read "—Withdrawal or Removal of the General</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"—Transfer of General Partner Interest."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2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settlement of or creation of a reserve for contingent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 Public Election of Directors") unless any action by the shareholders requires approval by holders of a greater percentage of the shares, in which case the quorum will be the greater percentage.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officers of our general partner that are serving as directors will not be included in a class or subject to election by our shareholders. In addition, the CEO of our general partner is automatically designated as the Chairman of the board of directors of our general partner. Furthermore, any director subject to appointment by the holders of PAA's Series A preferred units (as described below) will not be included in a class or subject to election by our shareholders. Each class of directors will serve a three-year term.</w:t>
      </w:r>
    </w:p>
    <w:p>
      <w:pPr>
        <w:spacing w:after="0" w:line="17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provided that 19.9% of the outstanding Class A shares, Class B shares and Class C shares beneficially owned by a greater than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 owner will be counted for purposes of determining a quorum for the election of our general partner's board of directors.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we would have the power to indemnify the person against liabilities under our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the Class B Units of AAP (the "AAP management units") who have exchanged such AAP management units for AAP Class A units and a like number of Class B shares, or their permitted transferees. All of the Class C shares are owned by PAA.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2018 and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our Class A shares that is an individual, corporation, estate or trust that is not a 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In addition, the fiduciaries of any ERISA Plan with investment discretion with respect to the assets of an employee benefit plan should determine whether an investment in our Class A shares is authorized by the appropriate governing instrument and is a proper investment for the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under certain circumstances. Under these rules, an entity's assets generally would not be considered to be "plan assets" if, among other things:</w:t>
      </w:r>
    </w:p>
    <w:p>
      <w:pPr>
        <w:spacing w:after="0" w:line="262" w:lineRule="exact"/>
        <w:rPr>
          <w:sz w:val="20"/>
          <w:szCs w:val="20"/>
          <w:color w:val="auto"/>
        </w:rPr>
      </w:pPr>
    </w:p>
    <w:p>
      <w:pPr>
        <w:ind w:left="1080" w:right="30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sell the Class A shares offered hereby through one or more underwriters on a firm commitment basis.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prospectus supplement with respect to any offering of Class A shares will set forth the terms of the offering, including: (i) the name or names of any underwriters; (ii) the purchase price of the Class A shares and the proceeds to us from the sale; (iii) any underwriting discounts and commissions and other items constituting underwriters' compensation; and (iv) any delayed delivery arrangements.</w:t>
      </w:r>
    </w:p>
    <w:p>
      <w:pPr>
        <w:spacing w:after="0" w:line="19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will enter into an underwriting agreement with the underwriters at the time of sale to them. We will set forth the names of these underwriters and the terms of the transaction in the prospectus supplement, which will be used by the underwriters to make resales of the Class A shares in respect of which this prospectus is delivered to the public. We may indemnify the underwriters under the relevant underwriting agreement against specific liabilities, including liabilities under the Securities Act. The underwriters may also be our customers or may engage in transactions with or perform services for us in the ordinary course of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w:t>
      </w:r>
    </w:p>
    <w:p>
      <w:pPr>
        <w:spacing w:after="0" w:line="1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80" w:type="dxa"/>
            <w:vAlign w:val="bottom"/>
            <w:gridSpan w:val="2"/>
            <w:shd w:val="clear" w:color="auto" w:fill="CCEEFF"/>
          </w:tcPr>
          <w:p>
            <w:pPr>
              <w:jc w:val="right"/>
              <w:ind w:right="151"/>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 of the Securities Act.</w:t>
      </w:r>
    </w:p>
    <w:p>
      <w:pPr>
        <w:spacing w:after="0" w:line="252" w:lineRule="exact"/>
        <w:rPr>
          <w:sz w:val="20"/>
          <w:szCs w:val="20"/>
          <w:color w:val="auto"/>
        </w:rPr>
      </w:pPr>
    </w:p>
    <w:p>
      <w:pPr>
        <w:ind w:left="1680" w:right="14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Section 17-108 of the Delaware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75"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S-3, which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8" w:lineRule="exact"/>
        <w:rPr>
          <w:rFonts w:ascii="Arial" w:cs="Arial" w:eastAsia="Arial" w:hAnsi="Arial"/>
          <w:sz w:val="18"/>
          <w:szCs w:val="18"/>
          <w:color w:val="auto"/>
        </w:rPr>
      </w:pPr>
    </w:p>
    <w:p>
      <w:pPr>
        <w:ind w:left="1620" w:hanging="532"/>
        <w:spacing w:after="0" w:line="290" w:lineRule="auto"/>
        <w:tabs>
          <w:tab w:leader="none" w:pos="16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620" w:right="280" w:hanging="532"/>
        <w:spacing w:after="0" w:line="268" w:lineRule="auto"/>
        <w:tabs>
          <w:tab w:leader="none" w:pos="16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1080" w:right="4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above do not apply if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211" w:lineRule="exact"/>
        <w:rPr>
          <w:sz w:val="20"/>
          <w:szCs w:val="20"/>
          <w:color w:val="auto"/>
        </w:rPr>
      </w:pPr>
    </w:p>
    <w:p>
      <w:pPr>
        <w:ind w:left="1080" w:right="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spacing w:after="0" w:line="287" w:lineRule="auto"/>
        <w:rPr>
          <w:sz w:val="20"/>
          <w:szCs w:val="20"/>
          <w:color w:val="auto"/>
        </w:rPr>
      </w:pPr>
      <w:r>
        <w:rPr>
          <w:rFonts w:ascii="Arial" w:cs="Arial" w:eastAsia="Arial" w:hAnsi="Arial"/>
          <w:sz w:val="16"/>
          <w:szCs w:val="16"/>
          <w:color w:val="auto"/>
        </w:rPr>
        <w:t>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0" w:lineRule="exact"/>
        <w:rPr>
          <w:sz w:val="20"/>
          <w:szCs w:val="20"/>
          <w:color w:val="auto"/>
        </w:rPr>
      </w:pPr>
    </w:p>
    <w:p>
      <w:pPr>
        <w:ind w:left="1080" w:hanging="532"/>
        <w:spacing w:after="0" w:line="255"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1620" w:hanging="532"/>
        <w:spacing w:after="0"/>
        <w:tabs>
          <w:tab w:leader="none" w:pos="1620" w:val="left"/>
        </w:tabs>
        <w:numPr>
          <w:ilvl w:val="2"/>
          <w:numId w:val="3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61" w:lineRule="exact"/>
        <w:rPr>
          <w:rFonts w:ascii="Arial" w:cs="Arial" w:eastAsia="Arial" w:hAnsi="Arial"/>
          <w:sz w:val="16"/>
          <w:szCs w:val="16"/>
          <w:color w:val="auto"/>
        </w:rPr>
      </w:pPr>
    </w:p>
    <w:p>
      <w:pPr>
        <w:ind w:left="1620" w:right="360" w:hanging="532"/>
        <w:spacing w:after="0" w:line="268" w:lineRule="auto"/>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right="60" w:hanging="532"/>
        <w:spacing w:after="0" w:line="25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Arial" w:cs="Arial" w:eastAsia="Arial" w:hAnsi="Arial"/>
          <w:sz w:val="18"/>
          <w:szCs w:val="18"/>
          <w:color w:val="auto"/>
        </w:rPr>
      </w:pPr>
    </w:p>
    <w:p>
      <w:pPr>
        <w:ind w:left="540" w:right="80" w:hanging="532"/>
        <w:spacing w:after="0" w:line="290"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February 23, 2017.</w:t>
      </w:r>
    </w:p>
    <w:p>
      <w:pPr>
        <w:spacing w:after="0" w:line="188"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5680"/>
        <w:spacing w:after="0"/>
        <w:tabs>
          <w:tab w:leader="none" w:pos="6160" w:val="left"/>
        </w:tabs>
        <w:rPr>
          <w:sz w:val="20"/>
          <w:szCs w:val="20"/>
          <w:color w:val="auto"/>
        </w:rPr>
      </w:pPr>
      <w:r>
        <w:rPr>
          <w:rFonts w:ascii="Arial" w:cs="Arial" w:eastAsia="Arial" w:hAnsi="Arial"/>
          <w:sz w:val="18"/>
          <w:szCs w:val="18"/>
          <w:color w:val="auto"/>
        </w:rPr>
        <w:t>By:</w:t>
        <w:tab/>
        <w:t>PAA GP HOLDINGS LLC, its general partner</w:t>
      </w:r>
    </w:p>
    <w:p>
      <w:pPr>
        <w:spacing w:after="0" w:line="225" w:lineRule="exact"/>
        <w:rPr>
          <w:sz w:val="20"/>
          <w:szCs w:val="20"/>
          <w:color w:val="auto"/>
        </w:rPr>
      </w:pPr>
    </w:p>
    <w:p>
      <w:pPr>
        <w:ind w:left="56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26244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2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Greg L. Armstrong</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360"/>
          </w:cols>
          <w:pgMar w:left="240" w:top="131" w:right="299" w:bottom="1440" w:gutter="0" w:footer="0" w:header="0"/>
        </w:sectPr>
      </w:pP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182" w:lineRule="exact"/>
        <w:rPr>
          <w:sz w:val="20"/>
          <w:szCs w:val="20"/>
          <w:color w:val="auto"/>
        </w:rPr>
      </w:pPr>
    </w:p>
    <w:p>
      <w:pPr>
        <w:ind w:left="270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65"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Greg L. Armstrong</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Harry N. Pefanis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0"/>
        <w:spacing w:after="0"/>
        <w:tabs>
          <w:tab w:leader="none" w:pos="4320" w:val="left"/>
        </w:tabs>
        <w:rPr>
          <w:sz w:val="20"/>
          <w:szCs w:val="20"/>
          <w:color w:val="auto"/>
        </w:rPr>
      </w:pP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8"/>
              </w:rPr>
              <w:t>Chairman of the Board, Chief Executive Officer</w:t>
            </w:r>
          </w:p>
        </w:tc>
        <w:tc>
          <w:tcPr>
            <w:tcW w:w="1600" w:type="dxa"/>
            <w:vAlign w:val="bottom"/>
            <w:vMerge w:val="restart"/>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114"/>
        </w:trPr>
        <w:tc>
          <w:tcPr>
            <w:tcW w:w="3700" w:type="dxa"/>
            <w:vAlign w:val="bottom"/>
            <w:vMerge w:val="restart"/>
          </w:tcPr>
          <w:p>
            <w:pPr>
              <w:spacing w:after="0"/>
              <w:rPr>
                <w:sz w:val="20"/>
                <w:szCs w:val="20"/>
                <w:color w:val="auto"/>
              </w:rPr>
            </w:pPr>
            <w:r>
              <w:rPr>
                <w:rFonts w:ascii="Arial" w:cs="Arial" w:eastAsia="Arial" w:hAnsi="Arial"/>
                <w:sz w:val="18"/>
                <w:szCs w:val="18"/>
                <w:color w:val="auto"/>
              </w:rPr>
              <w:t>and Director (Principal Executive Officer)</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3700" w:type="dxa"/>
            <w:vAlign w:val="bottom"/>
          </w:tcPr>
          <w:p>
            <w:pPr>
              <w:spacing w:after="0"/>
              <w:rPr>
                <w:sz w:val="20"/>
                <w:szCs w:val="20"/>
                <w:color w:val="auto"/>
              </w:rPr>
            </w:pPr>
            <w:r>
              <w:rPr>
                <w:rFonts w:ascii="Arial" w:cs="Arial" w:eastAsia="Arial" w:hAnsi="Arial"/>
                <w:sz w:val="18"/>
                <w:szCs w:val="18"/>
                <w:color w:val="auto"/>
                <w:w w:val="98"/>
              </w:rPr>
              <w:t>President, Chief Operating Officer and Director</w:t>
            </w:r>
          </w:p>
        </w:tc>
        <w:tc>
          <w:tcPr>
            <w:tcW w:w="1600" w:type="dxa"/>
            <w:vAlign w:val="bottom"/>
          </w:tcPr>
          <w:p>
            <w:pPr>
              <w:ind w:left="320"/>
              <w:spacing w:after="0"/>
              <w:rPr>
                <w:sz w:val="20"/>
                <w:szCs w:val="20"/>
                <w:color w:val="auto"/>
              </w:rPr>
            </w:pPr>
            <w:r>
              <w:rPr>
                <w:rFonts w:ascii="Arial" w:cs="Arial" w:eastAsia="Arial" w:hAnsi="Arial"/>
                <w:sz w:val="18"/>
                <w:szCs w:val="18"/>
                <w:color w:val="auto"/>
                <w:w w:val="85"/>
              </w:rPr>
              <w:t>February 23, 2017</w:t>
            </w:r>
          </w:p>
        </w:tc>
        <w:tc>
          <w:tcPr>
            <w:tcW w:w="0" w:type="dxa"/>
            <w:vAlign w:val="bottom"/>
          </w:tcPr>
          <w:p>
            <w:pPr>
              <w:spacing w:after="0"/>
              <w:rPr>
                <w:sz w:val="1"/>
                <w:szCs w:val="1"/>
                <w:color w:val="auto"/>
              </w:rPr>
            </w:pPr>
          </w:p>
        </w:tc>
      </w:tr>
      <w:tr>
        <w:trPr>
          <w:trHeight w:val="635"/>
        </w:trPr>
        <w:tc>
          <w:tcPr>
            <w:tcW w:w="3700" w:type="dxa"/>
            <w:vAlign w:val="bottom"/>
          </w:tcPr>
          <w:p>
            <w:pPr>
              <w:ind w:left="800"/>
              <w:spacing w:after="0"/>
              <w:rPr>
                <w:sz w:val="20"/>
                <w:szCs w:val="20"/>
                <w:color w:val="auto"/>
              </w:rPr>
            </w:pPr>
            <w:r>
              <w:rPr>
                <w:rFonts w:ascii="Arial" w:cs="Arial" w:eastAsia="Arial" w:hAnsi="Arial"/>
                <w:sz w:val="18"/>
                <w:szCs w:val="18"/>
                <w:color w:val="auto"/>
              </w:rPr>
              <w:t>II-4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136525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60" w:space="720"/>
            <w:col w:w="6580"/>
          </w:cols>
          <w:pgMar w:left="240" w:top="131" w:right="2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262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tabs>
          <w:tab w:leader="none" w:pos="2720" w:val="left"/>
        </w:tabs>
        <w:rPr>
          <w:sz w:val="20"/>
          <w:szCs w:val="20"/>
          <w:color w:val="auto"/>
        </w:rPr>
      </w:pPr>
      <w:r>
        <w:rPr>
          <w:rFonts w:ascii="Arial" w:cs="Arial" w:eastAsia="Arial" w:hAnsi="Arial"/>
          <w:sz w:val="11"/>
          <w:szCs w:val="11"/>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34" w:lineRule="exact"/>
        <w:rPr>
          <w:sz w:val="20"/>
          <w:szCs w:val="20"/>
          <w:color w:val="auto"/>
        </w:rPr>
      </w:pPr>
    </w:p>
    <w:p>
      <w:pPr>
        <w:sectPr>
          <w:pgSz w:w="11900" w:h="16838" w:orient="portrait"/>
          <w:cols w:equalWidth="0" w:num="2">
            <w:col w:w="5660" w:space="720"/>
            <w:col w:w="3839"/>
          </w:cols>
          <w:pgMar w:left="240" w:top="131" w:right="1440" w:bottom="1440" w:gutter="0" w:footer="0" w:header="0"/>
        </w:sectPr>
      </w:pPr>
    </w:p>
    <w:p>
      <w:pPr>
        <w:spacing w:after="0" w:line="26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WILLIE C.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Willie C. Chiang</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Al Swanson</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Chris Herbold</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Victor Burk</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BERNARD FIGLOCK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Bernard (Ben) Figlock</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EVERARDO GOYANES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Everardo Goyanes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Gary R. Petersen</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John T. Raymond</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Bobby S. Shackouls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Robert V. Sinnott</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J. TAFT SYMONDS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J. Taft Symonds</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CHRISTOPHER M. TEMPLE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Christopher M. Temple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Executive Vice President, Chief Operating Officer (U.S.) and Director</w:t>
      </w:r>
    </w:p>
    <w:p>
      <w:pPr>
        <w:spacing w:after="0" w:line="200" w:lineRule="exact"/>
        <w:rPr>
          <w:sz w:val="20"/>
          <w:szCs w:val="20"/>
          <w:color w:val="auto"/>
        </w:rPr>
      </w:pPr>
    </w:p>
    <w:p>
      <w:pPr>
        <w:spacing w:after="0" w:line="20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Executive Vice President and Chief Financial Officer (Principal Financial Officer)</w:t>
      </w:r>
    </w:p>
    <w:p>
      <w:pPr>
        <w:spacing w:after="0" w:line="2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Vice President—Accounting and Chief Accounting Officer (Principal Accounting Officer)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2017</w:t>
      </w:r>
    </w:p>
    <w:p>
      <w:pPr>
        <w:spacing w:after="0" w:line="437" w:lineRule="exact"/>
        <w:rPr>
          <w:sz w:val="20"/>
          <w:szCs w:val="20"/>
          <w:color w:val="auto"/>
        </w:rPr>
      </w:pPr>
    </w:p>
    <w:p>
      <w:pPr>
        <w:sectPr>
          <w:pgSz w:w="11900" w:h="16838" w:orient="portrait"/>
          <w:cols w:equalWidth="0" w:num="3">
            <w:col w:w="4060" w:space="720"/>
            <w:col w:w="3300" w:space="720"/>
            <w:col w:w="1419"/>
          </w:cols>
          <w:pgMar w:left="240" w:top="131" w:right="1440" w:bottom="1440" w:gutter="0" w:footer="0" w:header="0"/>
          <w:type w:val="continuous"/>
        </w:sectPr>
      </w:pPr>
    </w:p>
    <w:p>
      <w:pPr>
        <w:spacing w:after="0" w:line="2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4"/>
        </w:trPr>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420" w:type="dxa"/>
            <w:vAlign w:val="bottom"/>
            <w:vMerge w:val="continue"/>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444"/>
        </w:trPr>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7"/>
              </w:rPr>
              <w:t>—  Simplification Agreement, dated as of July 11, 2016, by and among PAA GP Holdings LLC, Plains GP</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7"/>
              </w:rPr>
              <w:t>Holdings, L.P., Plains All American GP LLC, Plains AAP, L.P., PAA GP LLC and Plains All American</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1"/>
              </w:rPr>
              <w:t>Pipeline, L.P. (incorporated by reference to Exhibit 2.1 to Plains All American Pipeline, L.P.'s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on July 14, 2016).</w:t>
            </w: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5"/>
              </w:rPr>
              <w:t>—  Second Amended and Restated Limited Partnership Agreement of Plains GP Holdings, L.P., dated as of</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7"/>
              </w:rPr>
              <w:t>November 15, 2016 (incorporated by reference to Exhibit 3.1 to the Current Report on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November 15, 2016).</w:t>
            </w: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3"/>
              </w:rPr>
              <w:t>—  Third Amended and Restated Limited Liability Company Agreement of PAA GP Holdings LLC, dated as of</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w w:val="99"/>
              </w:rPr>
              <w:t>February 16, 2017 (incorporated by reference to Exhibit 3.1 to the Current Report on Form 8-K filed</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8240" w:type="dxa"/>
            <w:vAlign w:val="bottom"/>
            <w:gridSpan w:val="3"/>
          </w:tcPr>
          <w:p>
            <w:pPr>
              <w:ind w:left="60"/>
              <w:spacing w:after="0"/>
              <w:rPr>
                <w:sz w:val="20"/>
                <w:szCs w:val="20"/>
                <w:color w:val="auto"/>
              </w:rPr>
            </w:pPr>
            <w:r>
              <w:rPr>
                <w:rFonts w:ascii="Arial" w:cs="Arial" w:eastAsia="Arial" w:hAnsi="Arial"/>
                <w:sz w:val="18"/>
                <w:szCs w:val="18"/>
                <w:color w:val="auto"/>
                <w:w w:val="90"/>
              </w:rPr>
              <w:t>—  Specimen certificate representing Class A shares (incorporated by reference to Exhibit 4.1 of the Registration</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40" w:type="dxa"/>
            <w:vAlign w:val="bottom"/>
            <w:gridSpan w:val="3"/>
          </w:tcPr>
          <w:p>
            <w:pPr>
              <w:ind w:left="400"/>
              <w:spacing w:after="0"/>
              <w:rPr>
                <w:sz w:val="20"/>
                <w:szCs w:val="20"/>
                <w:color w:val="auto"/>
              </w:rPr>
            </w:pPr>
            <w:r>
              <w:rPr>
                <w:rFonts w:ascii="Arial" w:cs="Arial" w:eastAsia="Arial" w:hAnsi="Arial"/>
                <w:sz w:val="18"/>
                <w:szCs w:val="18"/>
                <w:color w:val="auto"/>
              </w:rPr>
              <w:t>Statement on Form S-3 filed December 8, 2016).</w:t>
            </w:r>
          </w:p>
        </w:tc>
        <w:tc>
          <w:tcPr>
            <w:tcW w:w="0" w:type="dxa"/>
            <w:vAlign w:val="bottom"/>
          </w:tcPr>
          <w:p>
            <w:pPr>
              <w:spacing w:after="0"/>
              <w:rPr>
                <w:sz w:val="1"/>
                <w:szCs w:val="1"/>
                <w:color w:val="auto"/>
              </w:rPr>
            </w:pPr>
          </w:p>
        </w:tc>
      </w:tr>
      <w:tr>
        <w:trPr>
          <w:trHeight w:val="459"/>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Opinion of Vinson &amp; Elkins L.L.P. as to the legality of the securities being registered.</w:t>
            </w:r>
          </w:p>
        </w:tc>
        <w:tc>
          <w:tcPr>
            <w:tcW w:w="0" w:type="dxa"/>
            <w:vAlign w:val="bottom"/>
          </w:tcPr>
          <w:p>
            <w:pPr>
              <w:spacing w:after="0"/>
              <w:rPr>
                <w:sz w:val="1"/>
                <w:szCs w:val="1"/>
                <w:color w:val="auto"/>
              </w:rPr>
            </w:pPr>
          </w:p>
        </w:tc>
      </w:tr>
      <w:tr>
        <w:trPr>
          <w:trHeight w:val="459"/>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Opinion of Vinson &amp; Elkins L.L.P. relating to tax matters.</w:t>
            </w:r>
          </w:p>
        </w:tc>
        <w:tc>
          <w:tcPr>
            <w:tcW w:w="0" w:type="dxa"/>
            <w:vAlign w:val="bottom"/>
          </w:tcPr>
          <w:p>
            <w:pPr>
              <w:spacing w:after="0"/>
              <w:rPr>
                <w:sz w:val="1"/>
                <w:szCs w:val="1"/>
                <w:color w:val="auto"/>
              </w:rPr>
            </w:pPr>
          </w:p>
        </w:tc>
      </w:tr>
      <w:tr>
        <w:trPr>
          <w:trHeight w:val="459"/>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Consent of PricewaterhouseCoopers LLP.</w:t>
            </w:r>
          </w:p>
        </w:tc>
        <w:tc>
          <w:tcPr>
            <w:tcW w:w="0" w:type="dxa"/>
            <w:vAlign w:val="bottom"/>
          </w:tcPr>
          <w:p>
            <w:pPr>
              <w:spacing w:after="0"/>
              <w:rPr>
                <w:sz w:val="1"/>
                <w:szCs w:val="1"/>
                <w:color w:val="auto"/>
              </w:rPr>
            </w:pPr>
          </w:p>
        </w:tc>
      </w:tr>
      <w:tr>
        <w:trPr>
          <w:trHeight w:val="459"/>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Consent of Vinson &amp; Elkins L.L.P. (contained in Exhibits 5.1 and 8.1).</w:t>
            </w:r>
          </w:p>
        </w:tc>
        <w:tc>
          <w:tcPr>
            <w:tcW w:w="0" w:type="dxa"/>
            <w:vAlign w:val="bottom"/>
          </w:tcPr>
          <w:p>
            <w:pPr>
              <w:spacing w:after="0"/>
              <w:rPr>
                <w:sz w:val="1"/>
                <w:szCs w:val="1"/>
                <w:color w:val="auto"/>
              </w:rPr>
            </w:pPr>
          </w:p>
        </w:tc>
      </w:tr>
      <w:tr>
        <w:trPr>
          <w:trHeight w:val="459"/>
        </w:trPr>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8240" w:type="dxa"/>
            <w:vAlign w:val="bottom"/>
            <w:gridSpan w:val="3"/>
          </w:tcPr>
          <w:p>
            <w:pPr>
              <w:ind w:left="60"/>
              <w:spacing w:after="0"/>
              <w:rPr>
                <w:sz w:val="20"/>
                <w:szCs w:val="20"/>
                <w:color w:val="auto"/>
              </w:rPr>
            </w:pPr>
            <w:r>
              <w:rPr>
                <w:rFonts w:ascii="Arial" w:cs="Arial" w:eastAsia="Arial" w:hAnsi="Arial"/>
                <w:sz w:val="18"/>
                <w:szCs w:val="18"/>
                <w:color w:val="auto"/>
              </w:rPr>
              <w:t>—  Power of Attorney (included on signature pages of this registration statement).</w:t>
            </w: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center"/>
        <w:ind w:left="5580" w:right="240" w:hanging="4431"/>
        <w:spacing w:after="0" w:line="519" w:lineRule="auto"/>
        <w:tabs>
          <w:tab w:leader="none" w:pos="1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a post-effective amendment to this registration statement. 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58315" cy="231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58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acted as counsel to Plains GP Holdings,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 connection with the preparation and filing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on or about the date hereof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in connection with the registration by the Partnership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of the offer and sale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from time to time, pursuant to Rule 415 under the Securities Act, of Class A shares representing limited partner interests in the Partnership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also participated in the preparation of the Prospectus (the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contained in the Registration Statement to which this opinion is an exhibit.</w:t>
      </w:r>
    </w:p>
    <w:p>
      <w:pPr>
        <w:spacing w:after="0" w:line="260"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the basis for the opinion hereinafter expressed, we examined the Delaware Revised Uniform Limited Partnership Act (the "</w:t>
      </w:r>
      <w:r>
        <w:rPr>
          <w:rFonts w:ascii="Arial" w:cs="Arial" w:eastAsia="Arial" w:hAnsi="Arial"/>
          <w:sz w:val="16"/>
          <w:szCs w:val="16"/>
          <w:b w:val="1"/>
          <w:bCs w:val="1"/>
          <w:i w:val="1"/>
          <w:iCs w:val="1"/>
          <w:color w:val="auto"/>
        </w:rPr>
        <w:t>Delaware LP Act</w:t>
      </w:r>
      <w:r>
        <w:rPr>
          <w:rFonts w:ascii="Arial" w:cs="Arial" w:eastAsia="Arial" w:hAnsi="Arial"/>
          <w:sz w:val="16"/>
          <w:szCs w:val="16"/>
          <w:color w:val="auto"/>
        </w:rPr>
        <w:t>"), the Second Amended and Restated Agreement of Limited Partnership of the Partnership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the Certificate of Limited Partnership filed with the Secretary of State of the State of Delaware pursuant to the Delaware LP Act in connection with the formation of the Partnership, resolutions of PAA GP Holdings LLC, A Delaware limited liability company and the general partner of the Partnership, the Partnership's records and documents, certificates of the Partnership and public officials and such other instruments and documents as we deemed necessary or advisable for the purposes of this opinion. In such examination, we have assumed that (i) all information contained in all documents submitted to us for review is accurate and complete (ii) the authenticity of all documents submitted to us as originals and the conformity with the original documents of all documents submitted to us as copies; (iii) all signatures on each such document examined by us are genuine; (iv) each certificate from governmental officials reviewed by us is accurate, complete and authentic, and all official public records are accurate and complete (v) the Registration Statement, and any amendments thereto (including post-effective amendments), will have become effective; (vi) a prospectus supplement will have been prepared and filed with the Commission describing the Shares offered thereby; (vii) a definitive purchase, underwriting or similar agreement with respect to any Shares offered will have been duly authorized and validly executed and delivered by the Partnership and the other parties thereto; and (viii) all Shares will be issued and sold in compliance with applicable federal and state securities laws and in the manner stated in the Registration Statement and the appropriate prospectus supplement.</w:t>
      </w:r>
    </w:p>
    <w:p>
      <w:pPr>
        <w:spacing w:after="0" w:line="17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Based upon and subject to the foregoing, we are of the opinion that the Shares, when (i) the Partnership has taken all necessary action to approve the issuance of such Shares, the terms of the offering thereof and related matters; and (ii) the Shares have been issued and delivered in accordance with the terms of the applicable definitive purchase, underwriting or similar agreement approved by the Partnership upon payment of the consideration thereof or provided for therein, will be duly authorized, validly issued, fully paid (to the extent required under the Partnership Agreement) and non-assessable (except as such nonassessability may be affected by Sections 17-303, 17-607 or 17-804 of the Delaware LP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814070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293370</wp:posOffset>
            </wp:positionV>
            <wp:extent cx="586613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66130" cy="38608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 xml:space="preserve">Plains GP Holdings, L.P. </w:t>
      </w:r>
      <w:r>
        <w:rPr>
          <w:rFonts w:ascii="Arial" w:cs="Arial" w:eastAsia="Arial" w:hAnsi="Arial"/>
          <w:sz w:val="18"/>
          <w:szCs w:val="18"/>
          <w:color w:val="auto"/>
        </w:rPr>
        <w:t>February 23, 2017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74675"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6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39"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foregoing opinion is limited in all respects to the federal laws of the United States of America, the Delaware LP Act and the Constitution of the State of Delaware, each as interpreted by the courts of the State of Delaware, and we are expressing no opinion as to the effect of the laws of any other jurisdiction.</w:t>
      </w:r>
    </w:p>
    <w:p>
      <w:pPr>
        <w:spacing w:after="0" w:line="139"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48" w:name="page49"/>
    <w:bookmarkEnd w:id="48"/>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5831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58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8.1</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Plains GP Holdings,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acted as counsel for Plains GP Holdings, L.P. (</w:t>
      </w:r>
      <w:r>
        <w:rPr>
          <w:rFonts w:ascii="Arial" w:cs="Arial" w:eastAsia="Arial" w:hAnsi="Arial"/>
          <w:sz w:val="18"/>
          <w:szCs w:val="18"/>
          <w:b w:val="1"/>
          <w:bCs w:val="1"/>
          <w:i w:val="1"/>
          <w:iCs w:val="1"/>
          <w:color w:val="auto"/>
        </w:rPr>
        <w:t>"PAGP"</w:t>
      </w:r>
      <w:r>
        <w:rPr>
          <w:rFonts w:ascii="Arial" w:cs="Arial" w:eastAsia="Arial" w:hAnsi="Arial"/>
          <w:sz w:val="18"/>
          <w:szCs w:val="18"/>
          <w:color w:val="auto"/>
        </w:rPr>
        <w:t>), a Delaware limited partnership that has elected to be treated as a corporation for U.S. federal income tax purposes,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Class A shares representing limited partner interests in PAGP.</w:t>
      </w:r>
    </w:p>
    <w:p>
      <w:pPr>
        <w:spacing w:after="0" w:line="19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This opinion is based on various facts and assumptions, including factual representations of PAGP concerning its business, properties and governing documents as set forth in the Registration Statement.</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In addition, in rendering this opinion we have assumed the truth and accuracy of all representations and statements made to us which are qualified as to knowledge or belief, without regard to such qualification.</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may affect the conclusions stated herein.</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310515</wp:posOffset>
            </wp:positionV>
            <wp:extent cx="5866130" cy="386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6130" cy="38608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9" w:name="page50"/>
    <w:bookmarkEnd w:id="49"/>
    <w:p>
      <w:pPr>
        <w:ind w:firstLine="34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74675" cy="231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74675" cy="231775"/>
                    </a:xfrm>
                    <a:prstGeom prst="rect">
                      <a:avLst/>
                    </a:prstGeom>
                    <a:noFill/>
                  </pic:spPr>
                </pic:pic>
              </a:graphicData>
            </a:graphic>
          </wp:anchor>
        </w:drawing>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Class A shares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70"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hereby consent to the filing of this opinion of counsel as an exhibit to the Registration Statement and the use of our name under the captions "Material U.S. Federal Income Tax Consequences" and "Legal Matters" in the Registration Statement. In giving such consent, we do not admit that we are within the category of persons whose consent is required under Section 7 of the Securities Act.</w:t>
      </w:r>
    </w:p>
    <w:p>
      <w:pPr>
        <w:spacing w:after="0" w:line="19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VINSON &amp; ELKINS L.L.P.</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8.1</w:t>
        </w:r>
      </w:hyperlink>
    </w:p>
    <w:p>
      <w:pPr>
        <w:sectPr>
          <w:pgSz w:w="11900" w:h="16838" w:orient="portrait"/>
          <w:cols w:equalWidth="0" w:num="1">
            <w:col w:w="10219"/>
          </w:cols>
          <w:pgMar w:left="240" w:top="820" w:right="1440" w:bottom="1440" w:gutter="0" w:footer="0" w:header="0"/>
        </w:sectPr>
      </w:pPr>
    </w:p>
    <w:bookmarkStart w:id="51" w:name="page52"/>
    <w:bookmarkEnd w:id="51"/>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February 23, 2017 relating to the financial statements and the effectiveness of internal control over financial reporting, which appears in Plains GP Holdings, L.P.'s Annual Report on Form 10-K for the year ended December 31, 2016.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5"/>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4"/>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Roman"/>
      <w:start w:val="3"/>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5E884ADC"/>
    <w:multiLevelType w:val="hybridMultilevel"/>
    <w:lvl w:ilvl="0">
      <w:lvlJc w:val="left"/>
      <w:lvlText w:val="(%1)"/>
      <w:numFmt w:val="lowerLetter"/>
      <w:start w:val="2"/>
    </w:lvl>
    <w:lvl w:ilvl="1">
      <w:lvlJc w:val="left"/>
      <w:lvlText w:val="(%2)"/>
      <w:numFmt w:val="lowerRoman"/>
      <w:start w:val="1"/>
    </w:lvl>
  </w:abstractNum>
  <w:abstractNum w:abstractNumId="37">
    <w:nsid w:val="51EAD3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8">
    <w:nsid w:val="2D51779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2020-01-16T09:32:00Z</dcterms:created>
  <dcterms:modified xsi:type="dcterms:W3CDTF">2020-01-16T09:32:00Z</dcterms:modified>
</cp:coreProperties>
</file>